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widowControl w:val="0"/>
        <w:jc w:val="right"/>
        <w:rPr>
          <w:rFonts w:hint="eastAsia" w:eastAsia="仿宋_GB2312"/>
          <w:b/>
          <w:color w:val="auto"/>
          <w:sz w:val="32"/>
          <w:szCs w:val="32"/>
        </w:rPr>
      </w:pPr>
      <w:bookmarkStart w:id="0" w:name="_Toc138079897"/>
    </w:p>
    <w:p>
      <w:pPr>
        <w:widowControl w:val="0"/>
        <w:jc w:val="center"/>
        <w:rPr>
          <w:color w:val="auto"/>
          <w:sz w:val="36"/>
        </w:rPr>
      </w:pPr>
    </w:p>
    <w:p>
      <w:pPr>
        <w:widowControl w:val="0"/>
        <w:jc w:val="center"/>
        <w:rPr>
          <w:color w:val="auto"/>
          <w:sz w:val="36"/>
        </w:rPr>
      </w:pPr>
    </w:p>
    <w:p>
      <w:pPr>
        <w:widowControl w:val="0"/>
        <w:spacing w:line="360" w:lineRule="auto"/>
        <w:jc w:val="center"/>
        <w:rPr>
          <w:rFonts w:hint="eastAsia" w:eastAsia="华文新魏"/>
          <w:b/>
          <w:color w:val="auto"/>
          <w:sz w:val="48"/>
          <w:szCs w:val="48"/>
          <w:lang w:eastAsia="zh-CN"/>
        </w:rPr>
      </w:pPr>
      <w:r>
        <w:rPr>
          <w:rFonts w:hint="eastAsia" w:eastAsia="华文新魏"/>
          <w:b/>
          <w:color w:val="auto"/>
          <w:sz w:val="48"/>
          <w:szCs w:val="48"/>
          <w:lang w:eastAsia="zh-CN"/>
        </w:rPr>
        <w:t>湖北楚新矿业有限公司</w:t>
      </w:r>
    </w:p>
    <w:p>
      <w:pPr>
        <w:widowControl w:val="0"/>
        <w:spacing w:line="360" w:lineRule="auto"/>
        <w:jc w:val="center"/>
        <w:rPr>
          <w:rFonts w:hint="eastAsia" w:eastAsia="华文新魏"/>
          <w:b/>
          <w:color w:val="auto"/>
          <w:sz w:val="48"/>
          <w:szCs w:val="48"/>
          <w:lang w:eastAsia="zh-CN"/>
        </w:rPr>
      </w:pPr>
      <w:r>
        <w:rPr>
          <w:rFonts w:hint="eastAsia" w:eastAsia="华文新魏"/>
          <w:b/>
          <w:color w:val="auto"/>
          <w:sz w:val="48"/>
          <w:szCs w:val="48"/>
          <w:lang w:eastAsia="zh-CN"/>
        </w:rPr>
        <w:t>皮带输送廊道及综合物流码头建设项目（综合物流码头部分）</w:t>
      </w:r>
    </w:p>
    <w:p>
      <w:pPr>
        <w:widowControl w:val="0"/>
        <w:spacing w:before="156" w:beforeLines="50" w:after="312" w:afterLines="100" w:line="360" w:lineRule="auto"/>
        <w:jc w:val="center"/>
        <w:rPr>
          <w:rFonts w:eastAsia="隶书"/>
          <w:color w:val="auto"/>
          <w:spacing w:val="40"/>
          <w:sz w:val="90"/>
        </w:rPr>
      </w:pPr>
      <w:r>
        <w:rPr>
          <w:rFonts w:eastAsia="隶书"/>
          <w:color w:val="auto"/>
          <w:spacing w:val="40"/>
          <w:sz w:val="90"/>
        </w:rPr>
        <w:t>环境影响报告书</w:t>
      </w:r>
    </w:p>
    <w:p>
      <w:pPr>
        <w:widowControl w:val="0"/>
        <w:jc w:val="center"/>
        <w:rPr>
          <w:rFonts w:eastAsia="仿宋_GB2312"/>
          <w:b/>
          <w:color w:val="auto"/>
          <w:sz w:val="32"/>
        </w:rPr>
      </w:pPr>
      <w:r>
        <w:rPr>
          <w:rFonts w:eastAsia="仿宋_GB2312"/>
          <w:b/>
          <w:color w:val="auto"/>
          <w:sz w:val="32"/>
        </w:rPr>
        <w:t>（</w:t>
      </w:r>
      <w:r>
        <w:rPr>
          <w:rFonts w:hint="eastAsia" w:eastAsia="仿宋_GB2312"/>
          <w:b/>
          <w:color w:val="auto"/>
          <w:sz w:val="32"/>
        </w:rPr>
        <w:t>送审稿</w:t>
      </w:r>
      <w:r>
        <w:rPr>
          <w:rFonts w:eastAsia="仿宋_GB2312"/>
          <w:b/>
          <w:color w:val="auto"/>
          <w:sz w:val="32"/>
        </w:rPr>
        <w:t>）</w:t>
      </w:r>
    </w:p>
    <w:p>
      <w:pPr>
        <w:widowControl w:val="0"/>
        <w:jc w:val="center"/>
        <w:rPr>
          <w:b/>
          <w:color w:val="auto"/>
          <w:sz w:val="36"/>
        </w:rPr>
      </w:pPr>
    </w:p>
    <w:p>
      <w:pPr>
        <w:widowControl w:val="0"/>
        <w:jc w:val="center"/>
        <w:rPr>
          <w:b/>
          <w:color w:val="auto"/>
          <w:sz w:val="36"/>
        </w:rPr>
      </w:pPr>
    </w:p>
    <w:p>
      <w:pPr>
        <w:widowControl w:val="0"/>
        <w:jc w:val="center"/>
        <w:rPr>
          <w:b/>
          <w:color w:val="auto"/>
          <w:sz w:val="36"/>
        </w:rPr>
      </w:pPr>
    </w:p>
    <w:p>
      <w:pPr>
        <w:widowControl w:val="0"/>
        <w:rPr>
          <w:b/>
          <w:color w:val="auto"/>
          <w:sz w:val="36"/>
        </w:rPr>
      </w:pPr>
    </w:p>
    <w:p>
      <w:pPr>
        <w:widowControl w:val="0"/>
        <w:rPr>
          <w:b/>
          <w:color w:val="auto"/>
          <w:sz w:val="36"/>
        </w:rPr>
      </w:pPr>
    </w:p>
    <w:p>
      <w:pPr>
        <w:widowControl w:val="0"/>
        <w:rPr>
          <w:b/>
          <w:color w:val="auto"/>
          <w:sz w:val="36"/>
        </w:rPr>
      </w:pPr>
    </w:p>
    <w:tbl>
      <w:tblPr>
        <w:tblStyle w:val="92"/>
        <w:tblW w:w="0" w:type="auto"/>
        <w:tblInd w:w="0" w:type="dxa"/>
        <w:tblLayout w:type="autofit"/>
        <w:tblCellMar>
          <w:top w:w="0" w:type="dxa"/>
          <w:left w:w="108" w:type="dxa"/>
          <w:bottom w:w="0" w:type="dxa"/>
          <w:right w:w="108" w:type="dxa"/>
        </w:tblCellMar>
      </w:tblPr>
      <w:tblGrid>
        <w:gridCol w:w="2835"/>
        <w:gridCol w:w="4884"/>
      </w:tblGrid>
      <w:tr>
        <w:tblPrEx>
          <w:tblCellMar>
            <w:top w:w="0" w:type="dxa"/>
            <w:left w:w="108" w:type="dxa"/>
            <w:bottom w:w="0" w:type="dxa"/>
            <w:right w:w="108" w:type="dxa"/>
          </w:tblCellMar>
        </w:tblPrEx>
        <w:tc>
          <w:tcPr>
            <w:tcW w:w="2835" w:type="dxa"/>
            <w:noWrap w:val="0"/>
            <w:tcMar>
              <w:left w:w="0" w:type="dxa"/>
              <w:right w:w="0" w:type="dxa"/>
            </w:tcMar>
            <w:vAlign w:val="top"/>
          </w:tcPr>
          <w:p>
            <w:pPr>
              <w:widowControl w:val="0"/>
              <w:jc w:val="right"/>
              <w:rPr>
                <w:b/>
                <w:color w:val="auto"/>
                <w:sz w:val="36"/>
              </w:rPr>
            </w:pPr>
            <w:r>
              <w:rPr>
                <w:rFonts w:eastAsia="仿宋_GB2312"/>
                <w:b/>
                <w:color w:val="auto"/>
                <w:sz w:val="32"/>
              </w:rPr>
              <w:t>建设单位：</w:t>
            </w:r>
          </w:p>
        </w:tc>
        <w:tc>
          <w:tcPr>
            <w:tcW w:w="4884" w:type="dxa"/>
            <w:noWrap w:val="0"/>
            <w:tcMar>
              <w:left w:w="0" w:type="dxa"/>
              <w:right w:w="0" w:type="dxa"/>
            </w:tcMar>
            <w:vAlign w:val="top"/>
          </w:tcPr>
          <w:p>
            <w:pPr>
              <w:widowControl w:val="0"/>
              <w:jc w:val="both"/>
              <w:rPr>
                <w:b/>
                <w:color w:val="auto"/>
                <w:sz w:val="36"/>
              </w:rPr>
            </w:pPr>
            <w:r>
              <w:rPr>
                <w:rFonts w:hint="eastAsia" w:ascii="Times New Roman" w:hAnsi="Times New Roman" w:eastAsia="仿宋_GB2312" w:cs="Times New Roman"/>
                <w:b/>
                <w:color w:val="auto"/>
                <w:sz w:val="32"/>
              </w:rPr>
              <w:t>湖北楚新矿业有限公司</w:t>
            </w:r>
          </w:p>
        </w:tc>
      </w:tr>
      <w:tr>
        <w:tblPrEx>
          <w:tblCellMar>
            <w:top w:w="0" w:type="dxa"/>
            <w:left w:w="108" w:type="dxa"/>
            <w:bottom w:w="0" w:type="dxa"/>
            <w:right w:w="108" w:type="dxa"/>
          </w:tblCellMar>
        </w:tblPrEx>
        <w:tc>
          <w:tcPr>
            <w:tcW w:w="2835" w:type="dxa"/>
            <w:noWrap w:val="0"/>
            <w:tcMar>
              <w:left w:w="0" w:type="dxa"/>
              <w:right w:w="0" w:type="dxa"/>
            </w:tcMar>
            <w:vAlign w:val="top"/>
          </w:tcPr>
          <w:p>
            <w:pPr>
              <w:widowControl w:val="0"/>
              <w:jc w:val="right"/>
              <w:rPr>
                <w:b/>
                <w:color w:val="auto"/>
                <w:sz w:val="36"/>
              </w:rPr>
            </w:pPr>
            <w:r>
              <w:rPr>
                <w:rFonts w:eastAsia="仿宋_GB2312"/>
                <w:b/>
                <w:color w:val="auto"/>
                <w:sz w:val="32"/>
              </w:rPr>
              <w:t>编制单位：</w:t>
            </w:r>
          </w:p>
        </w:tc>
        <w:tc>
          <w:tcPr>
            <w:tcW w:w="4884" w:type="dxa"/>
            <w:noWrap w:val="0"/>
            <w:tcMar>
              <w:left w:w="0" w:type="dxa"/>
              <w:right w:w="0" w:type="dxa"/>
            </w:tcMar>
            <w:vAlign w:val="top"/>
          </w:tcPr>
          <w:p>
            <w:pPr>
              <w:widowControl w:val="0"/>
              <w:jc w:val="both"/>
              <w:rPr>
                <w:b/>
                <w:color w:val="auto"/>
                <w:sz w:val="36"/>
              </w:rPr>
            </w:pPr>
            <w:r>
              <w:rPr>
                <w:rFonts w:hint="eastAsia" w:ascii="Times New Roman" w:hAnsi="Times New Roman" w:eastAsia="仿宋_GB2312" w:cs="Times New Roman"/>
                <w:b/>
                <w:color w:val="auto"/>
                <w:sz w:val="32"/>
                <w:lang w:val="en-US" w:eastAsia="zh-CN"/>
              </w:rPr>
              <w:t>湖北汉环环境工程有限</w:t>
            </w:r>
            <w:r>
              <w:rPr>
                <w:rFonts w:hint="eastAsia" w:ascii="Times New Roman" w:hAnsi="Times New Roman" w:eastAsia="仿宋_GB2312" w:cs="Times New Roman"/>
                <w:b/>
                <w:color w:val="auto"/>
                <w:sz w:val="32"/>
              </w:rPr>
              <w:t>公司</w:t>
            </w:r>
          </w:p>
        </w:tc>
      </w:tr>
    </w:tbl>
    <w:p>
      <w:pPr>
        <w:widowControl w:val="0"/>
        <w:jc w:val="center"/>
        <w:rPr>
          <w:rFonts w:eastAsia="仿宋_GB2312"/>
          <w:b/>
          <w:color w:val="auto"/>
          <w:sz w:val="32"/>
        </w:rPr>
      </w:pPr>
      <w:r>
        <w:rPr>
          <w:rFonts w:eastAsia="仿宋_GB2312"/>
          <w:b/>
          <w:color w:val="auto"/>
          <w:sz w:val="32"/>
        </w:rPr>
        <w:t>二</w:t>
      </w:r>
      <w:r>
        <w:rPr>
          <w:b/>
          <w:color w:val="auto"/>
          <w:sz w:val="32"/>
        </w:rPr>
        <w:t>〇</w:t>
      </w:r>
      <w:r>
        <w:rPr>
          <w:rFonts w:eastAsia="仿宋_GB2312"/>
          <w:b/>
          <w:color w:val="auto"/>
          <w:sz w:val="32"/>
        </w:rPr>
        <w:t>二</w:t>
      </w:r>
      <w:r>
        <w:rPr>
          <w:rFonts w:hint="eastAsia" w:eastAsia="仿宋_GB2312"/>
          <w:b/>
          <w:color w:val="auto"/>
          <w:sz w:val="32"/>
          <w:lang w:val="en-US" w:eastAsia="zh-CN"/>
        </w:rPr>
        <w:t>三</w:t>
      </w:r>
      <w:r>
        <w:rPr>
          <w:rFonts w:eastAsia="仿宋_GB2312"/>
          <w:b/>
          <w:color w:val="auto"/>
          <w:sz w:val="32"/>
        </w:rPr>
        <w:t>年</w:t>
      </w:r>
      <w:r>
        <w:rPr>
          <w:rFonts w:hint="eastAsia" w:eastAsia="仿宋_GB2312"/>
          <w:b/>
          <w:color w:val="auto"/>
          <w:sz w:val="32"/>
          <w:lang w:val="en-US" w:eastAsia="zh-CN"/>
        </w:rPr>
        <w:t>七</w:t>
      </w:r>
      <w:r>
        <w:rPr>
          <w:rFonts w:eastAsia="仿宋_GB2312"/>
          <w:b/>
          <w:color w:val="auto"/>
          <w:sz w:val="32"/>
        </w:rPr>
        <w:t>月</w:t>
      </w:r>
    </w:p>
    <w:p>
      <w:pPr>
        <w:widowControl w:val="0"/>
        <w:jc w:val="center"/>
        <w:rPr>
          <w:rFonts w:eastAsia="仿宋_GB2312"/>
          <w:b/>
          <w:color w:val="auto"/>
          <w:sz w:val="32"/>
        </w:rPr>
        <w:sectPr>
          <w:headerReference r:id="rId4" w:type="first"/>
          <w:headerReference r:id="rId3" w:type="default"/>
          <w:footerReference r:id="rId5" w:type="default"/>
          <w:footerReference r:id="rId6" w:type="even"/>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0" w:num="1"/>
          <w:titlePg/>
          <w:rtlGutter w:val="0"/>
          <w:docGrid w:type="lines" w:linePitch="312" w:charSpace="0"/>
        </w:sectPr>
      </w:pPr>
    </w:p>
    <w:p>
      <w:pPr>
        <w:widowControl w:val="0"/>
        <w:jc w:val="center"/>
        <w:outlineLvl w:val="0"/>
        <w:rPr>
          <w:rFonts w:eastAsia="黑体"/>
          <w:color w:val="auto"/>
          <w:sz w:val="32"/>
        </w:rPr>
      </w:pPr>
      <w:bookmarkStart w:id="1" w:name="_Toc16686"/>
      <w:bookmarkStart w:id="2" w:name="_Toc508720886"/>
      <w:bookmarkStart w:id="3" w:name="_Toc32349"/>
      <w:bookmarkStart w:id="4" w:name="_Toc517360951"/>
      <w:bookmarkStart w:id="5" w:name="_Toc513037478"/>
      <w:bookmarkStart w:id="6" w:name="_Toc518920316"/>
      <w:bookmarkStart w:id="7" w:name="_Toc19006"/>
      <w:bookmarkStart w:id="8" w:name="_Toc41155986"/>
      <w:bookmarkStart w:id="9" w:name="_Toc41075071"/>
      <w:bookmarkStart w:id="10" w:name="_Toc517271039"/>
      <w:bookmarkStart w:id="11" w:name="_Toc508617538"/>
      <w:bookmarkStart w:id="12" w:name="_Toc503531323"/>
      <w:bookmarkStart w:id="13" w:name="_Toc508693365"/>
      <w:bookmarkStart w:id="14" w:name="_Toc531189387"/>
      <w:bookmarkStart w:id="15" w:name="_Toc13060"/>
      <w:bookmarkStart w:id="16" w:name="_Toc41303728"/>
      <w:bookmarkStart w:id="17" w:name="_Toc28594146"/>
      <w:bookmarkStart w:id="18" w:name="_Toc508445065"/>
      <w:bookmarkStart w:id="19" w:name="_Toc508382860"/>
      <w:bookmarkStart w:id="20" w:name="_Toc514420286"/>
      <w:bookmarkStart w:id="21" w:name="_Toc3455378"/>
      <w:bookmarkStart w:id="22" w:name="_Toc514412320"/>
      <w:bookmarkStart w:id="23" w:name="_Toc3317465"/>
      <w:bookmarkStart w:id="24" w:name="_Toc31714"/>
      <w:bookmarkStart w:id="25" w:name="_Toc2596"/>
      <w:bookmarkStart w:id="26" w:name="_Toc514251915"/>
      <w:bookmarkStart w:id="27" w:name="_Toc500342543"/>
      <w:bookmarkStart w:id="28" w:name="_Toc517431918"/>
      <w:bookmarkStart w:id="29" w:name="_Toc13423"/>
      <w:bookmarkStart w:id="30" w:name="_Toc503510164"/>
      <w:bookmarkStart w:id="31" w:name="_Toc27423"/>
      <w:bookmarkStart w:id="32" w:name="_Toc3565283"/>
      <w:bookmarkStart w:id="33" w:name="_Toc8139209"/>
      <w:bookmarkStart w:id="34" w:name="_Toc18054"/>
      <w:bookmarkStart w:id="35" w:name="_Toc30964"/>
      <w:bookmarkStart w:id="36" w:name="_Toc22506"/>
      <w:bookmarkStart w:id="37" w:name="_Toc3455371"/>
      <w:bookmarkStart w:id="38" w:name="_Toc517360950"/>
      <w:bookmarkStart w:id="39" w:name="_Toc28594140"/>
      <w:bookmarkStart w:id="40" w:name="_Toc3317458"/>
      <w:bookmarkStart w:id="41" w:name="_Toc3565276"/>
      <w:bookmarkStart w:id="42" w:name="_Toc514420285"/>
      <w:bookmarkStart w:id="43" w:name="_Toc476660095"/>
      <w:bookmarkStart w:id="44" w:name="_Toc518920315"/>
      <w:bookmarkStart w:id="45" w:name="_Toc41075065"/>
      <w:bookmarkStart w:id="46" w:name="_Toc531189380"/>
      <w:bookmarkStart w:id="47" w:name="_Toc513037477"/>
      <w:bookmarkStart w:id="48" w:name="_Toc514251914"/>
      <w:bookmarkStart w:id="49" w:name="_Toc517271038"/>
      <w:bookmarkStart w:id="50" w:name="_Toc514412319"/>
      <w:bookmarkStart w:id="51" w:name="_Toc27844"/>
      <w:bookmarkStart w:id="52" w:name="_Toc41303722"/>
      <w:bookmarkStart w:id="53" w:name="_Toc517431917"/>
      <w:bookmarkStart w:id="54" w:name="_Toc41155980"/>
      <w:bookmarkStart w:id="55" w:name="_Toc508617537"/>
      <w:bookmarkStart w:id="56" w:name="_Toc508720885"/>
      <w:bookmarkStart w:id="57" w:name="_Toc8139202"/>
      <w:bookmarkStart w:id="58" w:name="_Toc16452"/>
      <w:bookmarkStart w:id="59" w:name="_Toc2413"/>
      <w:r>
        <w:rPr>
          <w:rFonts w:eastAsia="黑体"/>
          <w:color w:val="auto"/>
          <w:sz w:val="32"/>
        </w:rPr>
        <w:t>目  录</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pPr>
        <w:pStyle w:val="65"/>
        <w:tabs>
          <w:tab w:val="right" w:leader="dot" w:pos="8300"/>
          <w:tab w:val="clear" w:pos="8296"/>
        </w:tabs>
        <w:rPr>
          <w:color w:val="auto"/>
        </w:rPr>
      </w:pPr>
      <w:r>
        <w:rPr>
          <w:b w:val="0"/>
          <w:color w:val="auto"/>
          <w:sz w:val="24"/>
          <w:szCs w:val="24"/>
        </w:rPr>
        <w:fldChar w:fldCharType="begin"/>
      </w:r>
      <w:r>
        <w:rPr>
          <w:rStyle w:val="110"/>
          <w:b w:val="0"/>
          <w:color w:val="auto"/>
          <w:sz w:val="24"/>
          <w:szCs w:val="24"/>
        </w:rPr>
        <w:instrText xml:space="preserve"> TOC \o "1-3" \h \z \u </w:instrText>
      </w:r>
      <w:r>
        <w:rPr>
          <w:b w:val="0"/>
          <w:color w:val="auto"/>
          <w:sz w:val="24"/>
          <w:szCs w:val="24"/>
        </w:rPr>
        <w:fldChar w:fldCharType="separate"/>
      </w:r>
      <w:r>
        <w:rPr>
          <w:color w:val="auto"/>
          <w:szCs w:val="24"/>
        </w:rPr>
        <w:fldChar w:fldCharType="begin"/>
      </w:r>
      <w:r>
        <w:rPr>
          <w:color w:val="auto"/>
          <w:szCs w:val="24"/>
        </w:rPr>
        <w:instrText xml:space="preserve"> HYPERLINK \l _Toc12331 </w:instrText>
      </w:r>
      <w:r>
        <w:rPr>
          <w:color w:val="auto"/>
          <w:szCs w:val="24"/>
        </w:rPr>
        <w:fldChar w:fldCharType="separate"/>
      </w:r>
      <w:r>
        <w:rPr>
          <w:rFonts w:eastAsia="黑体"/>
          <w:color w:val="auto"/>
          <w:szCs w:val="44"/>
        </w:rPr>
        <w:t>概  述</w:t>
      </w:r>
      <w:r>
        <w:rPr>
          <w:color w:val="auto"/>
        </w:rPr>
        <w:tab/>
      </w:r>
      <w:r>
        <w:rPr>
          <w:color w:val="auto"/>
        </w:rPr>
        <w:fldChar w:fldCharType="begin"/>
      </w:r>
      <w:r>
        <w:rPr>
          <w:color w:val="auto"/>
        </w:rPr>
        <w:instrText xml:space="preserve"> PAGEREF _Toc12331 \h </w:instrText>
      </w:r>
      <w:r>
        <w:rPr>
          <w:color w:val="auto"/>
        </w:rPr>
        <w:fldChar w:fldCharType="separate"/>
      </w:r>
      <w:r>
        <w:rPr>
          <w:color w:val="auto"/>
        </w:rPr>
        <w:t>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_Toc15840 </w:instrText>
      </w:r>
      <w:r>
        <w:rPr>
          <w:color w:val="auto"/>
          <w:szCs w:val="24"/>
        </w:rPr>
        <w:fldChar w:fldCharType="separate"/>
      </w:r>
      <w:r>
        <w:rPr>
          <w:rFonts w:hint="eastAsia" w:ascii="Times New Roman" w:hAnsi="Times New Roman" w:eastAsia="仿宋_GB2312" w:cs="Times New Roman"/>
          <w:color w:val="auto"/>
        </w:rPr>
        <w:t>一</w:t>
      </w:r>
      <w:r>
        <w:rPr>
          <w:rFonts w:hint="eastAsia" w:ascii="宋体" w:hAnsi="宋体" w:cs="宋体"/>
          <w:color w:val="auto"/>
        </w:rPr>
        <w:t>、</w:t>
      </w:r>
      <w:r>
        <w:rPr>
          <w:rFonts w:eastAsia="仿宋_GB2312"/>
          <w:color w:val="auto"/>
        </w:rPr>
        <w:t>工程建设背景</w:t>
      </w:r>
      <w:r>
        <w:rPr>
          <w:color w:val="auto"/>
        </w:rPr>
        <w:tab/>
      </w:r>
      <w:r>
        <w:rPr>
          <w:color w:val="auto"/>
        </w:rPr>
        <w:fldChar w:fldCharType="begin"/>
      </w:r>
      <w:r>
        <w:rPr>
          <w:color w:val="auto"/>
        </w:rPr>
        <w:instrText xml:space="preserve"> PAGEREF _Toc15840 \h </w:instrText>
      </w:r>
      <w:r>
        <w:rPr>
          <w:color w:val="auto"/>
        </w:rPr>
        <w:fldChar w:fldCharType="separate"/>
      </w:r>
      <w:r>
        <w:rPr>
          <w:color w:val="auto"/>
        </w:rPr>
        <w:t>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_Toc29877 </w:instrText>
      </w:r>
      <w:r>
        <w:rPr>
          <w:color w:val="auto"/>
          <w:szCs w:val="24"/>
        </w:rPr>
        <w:fldChar w:fldCharType="separate"/>
      </w:r>
      <w:r>
        <w:rPr>
          <w:rFonts w:hint="eastAsia" w:eastAsia="仿宋_GB2312"/>
          <w:color w:val="auto"/>
          <w:lang w:val="en-US" w:eastAsia="zh-CN"/>
        </w:rPr>
        <w:t>二</w:t>
      </w:r>
      <w:r>
        <w:rPr>
          <w:rFonts w:hint="eastAsia" w:eastAsia="仿宋_GB2312"/>
          <w:color w:val="auto"/>
        </w:rPr>
        <w:t>、</w:t>
      </w:r>
      <w:r>
        <w:rPr>
          <w:rFonts w:eastAsia="仿宋_GB2312"/>
          <w:color w:val="auto"/>
        </w:rPr>
        <w:t>环境影响评价工作过程</w:t>
      </w:r>
      <w:r>
        <w:rPr>
          <w:color w:val="auto"/>
        </w:rPr>
        <w:tab/>
      </w:r>
      <w:r>
        <w:rPr>
          <w:color w:val="auto"/>
        </w:rPr>
        <w:fldChar w:fldCharType="begin"/>
      </w:r>
      <w:r>
        <w:rPr>
          <w:color w:val="auto"/>
        </w:rPr>
        <w:instrText xml:space="preserve"> PAGEREF _Toc29877 \h </w:instrText>
      </w:r>
      <w:r>
        <w:rPr>
          <w:color w:val="auto"/>
        </w:rPr>
        <w:fldChar w:fldCharType="separate"/>
      </w:r>
      <w:r>
        <w:rPr>
          <w:color w:val="auto"/>
        </w:rPr>
        <w:t>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_Toc28870 </w:instrText>
      </w:r>
      <w:r>
        <w:rPr>
          <w:color w:val="auto"/>
          <w:szCs w:val="24"/>
        </w:rPr>
        <w:fldChar w:fldCharType="separate"/>
      </w:r>
      <w:r>
        <w:rPr>
          <w:rFonts w:hint="eastAsia" w:eastAsia="仿宋_GB2312"/>
          <w:color w:val="auto"/>
          <w:lang w:val="en-US" w:eastAsia="zh-CN"/>
        </w:rPr>
        <w:t>三</w:t>
      </w:r>
      <w:r>
        <w:rPr>
          <w:rFonts w:hint="eastAsia" w:eastAsia="仿宋_GB2312"/>
          <w:color w:val="auto"/>
        </w:rPr>
        <w:t>、</w:t>
      </w:r>
      <w:r>
        <w:rPr>
          <w:rFonts w:hint="eastAsia" w:eastAsia="仿宋_GB2312"/>
          <w:color w:val="auto"/>
          <w:lang w:val="en-US" w:eastAsia="zh-CN"/>
        </w:rPr>
        <w:t>分析判定相关情况</w:t>
      </w:r>
      <w:r>
        <w:rPr>
          <w:color w:val="auto"/>
        </w:rPr>
        <w:tab/>
      </w:r>
      <w:r>
        <w:rPr>
          <w:color w:val="auto"/>
        </w:rPr>
        <w:fldChar w:fldCharType="begin"/>
      </w:r>
      <w:r>
        <w:rPr>
          <w:color w:val="auto"/>
        </w:rPr>
        <w:instrText xml:space="preserve"> PAGEREF _Toc28870 \h </w:instrText>
      </w:r>
      <w:r>
        <w:rPr>
          <w:color w:val="auto"/>
        </w:rPr>
        <w:fldChar w:fldCharType="separate"/>
      </w:r>
      <w:r>
        <w:rPr>
          <w:color w:val="auto"/>
        </w:rPr>
        <w:t>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_Toc6549 </w:instrText>
      </w:r>
      <w:r>
        <w:rPr>
          <w:color w:val="auto"/>
          <w:szCs w:val="24"/>
        </w:rPr>
        <w:fldChar w:fldCharType="separate"/>
      </w:r>
      <w:r>
        <w:rPr>
          <w:rFonts w:hint="eastAsia" w:eastAsia="黑体"/>
          <w:color w:val="auto"/>
          <w:lang w:val="en-US" w:eastAsia="zh-CN"/>
        </w:rPr>
        <w:t>1、</w:t>
      </w:r>
      <w:r>
        <w:rPr>
          <w:rFonts w:eastAsia="黑体"/>
          <w:color w:val="auto"/>
        </w:rPr>
        <w:t>产业政策</w:t>
      </w:r>
      <w:r>
        <w:rPr>
          <w:rFonts w:hint="eastAsia" w:eastAsia="黑体"/>
          <w:color w:val="auto"/>
          <w:lang w:val="en-US" w:eastAsia="zh-CN"/>
        </w:rPr>
        <w:t>符合</w:t>
      </w:r>
      <w:r>
        <w:rPr>
          <w:rFonts w:eastAsia="黑体"/>
          <w:color w:val="auto"/>
        </w:rPr>
        <w:t>性分析</w:t>
      </w:r>
      <w:r>
        <w:rPr>
          <w:color w:val="auto"/>
        </w:rPr>
        <w:tab/>
      </w:r>
      <w:r>
        <w:rPr>
          <w:color w:val="auto"/>
        </w:rPr>
        <w:fldChar w:fldCharType="begin"/>
      </w:r>
      <w:r>
        <w:rPr>
          <w:color w:val="auto"/>
        </w:rPr>
        <w:instrText xml:space="preserve"> PAGEREF _Toc6549 \h </w:instrText>
      </w:r>
      <w:r>
        <w:rPr>
          <w:color w:val="auto"/>
        </w:rPr>
        <w:fldChar w:fldCharType="separate"/>
      </w:r>
      <w:r>
        <w:rPr>
          <w:color w:val="auto"/>
        </w:rPr>
        <w:t>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_Toc3095 </w:instrText>
      </w:r>
      <w:r>
        <w:rPr>
          <w:color w:val="auto"/>
          <w:szCs w:val="24"/>
        </w:rPr>
        <w:fldChar w:fldCharType="separate"/>
      </w:r>
      <w:r>
        <w:rPr>
          <w:rFonts w:hint="eastAsia" w:eastAsia="黑体"/>
          <w:color w:val="auto"/>
          <w:lang w:val="en-US" w:eastAsia="zh-CN"/>
        </w:rPr>
        <w:t>2、规划符合性分析</w:t>
      </w:r>
      <w:r>
        <w:rPr>
          <w:color w:val="auto"/>
        </w:rPr>
        <w:tab/>
      </w:r>
      <w:r>
        <w:rPr>
          <w:color w:val="auto"/>
        </w:rPr>
        <w:fldChar w:fldCharType="begin"/>
      </w:r>
      <w:r>
        <w:rPr>
          <w:color w:val="auto"/>
        </w:rPr>
        <w:instrText xml:space="preserve"> PAGEREF _Toc3095 \h </w:instrText>
      </w:r>
      <w:r>
        <w:rPr>
          <w:color w:val="auto"/>
        </w:rPr>
        <w:fldChar w:fldCharType="separate"/>
      </w:r>
      <w:r>
        <w:rPr>
          <w:color w:val="auto"/>
        </w:rPr>
        <w:t>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_Toc25074 </w:instrText>
      </w:r>
      <w:r>
        <w:rPr>
          <w:color w:val="auto"/>
          <w:szCs w:val="24"/>
        </w:rPr>
        <w:fldChar w:fldCharType="separate"/>
      </w:r>
      <w:r>
        <w:rPr>
          <w:rFonts w:hint="eastAsia" w:eastAsia="黑体"/>
          <w:color w:val="auto"/>
          <w:lang w:val="en-US" w:eastAsia="zh-CN"/>
        </w:rPr>
        <w:t>3、“三线一单”符合性分析</w:t>
      </w:r>
      <w:r>
        <w:rPr>
          <w:color w:val="auto"/>
        </w:rPr>
        <w:tab/>
      </w:r>
      <w:r>
        <w:rPr>
          <w:color w:val="auto"/>
        </w:rPr>
        <w:fldChar w:fldCharType="begin"/>
      </w:r>
      <w:r>
        <w:rPr>
          <w:color w:val="auto"/>
        </w:rPr>
        <w:instrText xml:space="preserve"> PAGEREF _Toc25074 \h </w:instrText>
      </w:r>
      <w:r>
        <w:rPr>
          <w:color w:val="auto"/>
        </w:rPr>
        <w:fldChar w:fldCharType="separate"/>
      </w:r>
      <w:r>
        <w:rPr>
          <w:color w:val="auto"/>
        </w:rPr>
        <w:t>23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_Toc15275 </w:instrText>
      </w:r>
      <w:r>
        <w:rPr>
          <w:color w:val="auto"/>
          <w:szCs w:val="24"/>
        </w:rPr>
        <w:fldChar w:fldCharType="separate"/>
      </w:r>
      <w:r>
        <w:rPr>
          <w:rFonts w:hint="eastAsia" w:eastAsia="黑体"/>
          <w:color w:val="auto"/>
          <w:lang w:val="en-US" w:eastAsia="zh-CN"/>
        </w:rPr>
        <w:t>4、与相关保护区符合性分析</w:t>
      </w:r>
      <w:r>
        <w:rPr>
          <w:color w:val="auto"/>
        </w:rPr>
        <w:tab/>
      </w:r>
      <w:r>
        <w:rPr>
          <w:color w:val="auto"/>
        </w:rPr>
        <w:fldChar w:fldCharType="begin"/>
      </w:r>
      <w:r>
        <w:rPr>
          <w:color w:val="auto"/>
        </w:rPr>
        <w:instrText xml:space="preserve"> PAGEREF _Toc15275 \h </w:instrText>
      </w:r>
      <w:r>
        <w:rPr>
          <w:color w:val="auto"/>
        </w:rPr>
        <w:fldChar w:fldCharType="separate"/>
      </w:r>
      <w:r>
        <w:rPr>
          <w:color w:val="auto"/>
        </w:rPr>
        <w:t>30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_Toc12884 </w:instrText>
      </w:r>
      <w:r>
        <w:rPr>
          <w:color w:val="auto"/>
          <w:szCs w:val="24"/>
        </w:rPr>
        <w:fldChar w:fldCharType="separate"/>
      </w:r>
      <w:r>
        <w:rPr>
          <w:rFonts w:hint="eastAsia" w:eastAsia="黑体"/>
          <w:color w:val="auto"/>
          <w:lang w:val="en-US" w:eastAsia="zh-CN"/>
        </w:rPr>
        <w:t>5、工程选址合理性分析</w:t>
      </w:r>
      <w:r>
        <w:rPr>
          <w:color w:val="auto"/>
        </w:rPr>
        <w:tab/>
      </w:r>
      <w:r>
        <w:rPr>
          <w:color w:val="auto"/>
        </w:rPr>
        <w:fldChar w:fldCharType="begin"/>
      </w:r>
      <w:r>
        <w:rPr>
          <w:color w:val="auto"/>
        </w:rPr>
        <w:instrText xml:space="preserve"> PAGEREF _Toc12884 \h </w:instrText>
      </w:r>
      <w:r>
        <w:rPr>
          <w:color w:val="auto"/>
        </w:rPr>
        <w:fldChar w:fldCharType="separate"/>
      </w:r>
      <w:r>
        <w:rPr>
          <w:color w:val="auto"/>
        </w:rPr>
        <w:t>31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_Toc16847 </w:instrText>
      </w:r>
      <w:r>
        <w:rPr>
          <w:color w:val="auto"/>
          <w:szCs w:val="24"/>
        </w:rPr>
        <w:fldChar w:fldCharType="separate"/>
      </w:r>
      <w:r>
        <w:rPr>
          <w:rFonts w:hint="eastAsia" w:eastAsia="仿宋_GB2312"/>
          <w:color w:val="auto"/>
          <w:lang w:val="en-US" w:eastAsia="zh-CN"/>
        </w:rPr>
        <w:t>四</w:t>
      </w:r>
      <w:r>
        <w:rPr>
          <w:rFonts w:eastAsia="仿宋_GB2312"/>
          <w:color w:val="auto"/>
        </w:rPr>
        <w:t>、项目关注的主要环境问题</w:t>
      </w:r>
      <w:r>
        <w:rPr>
          <w:color w:val="auto"/>
        </w:rPr>
        <w:tab/>
      </w:r>
      <w:r>
        <w:rPr>
          <w:color w:val="auto"/>
        </w:rPr>
        <w:fldChar w:fldCharType="begin"/>
      </w:r>
      <w:r>
        <w:rPr>
          <w:color w:val="auto"/>
        </w:rPr>
        <w:instrText xml:space="preserve"> PAGEREF _Toc16847 \h </w:instrText>
      </w:r>
      <w:r>
        <w:rPr>
          <w:color w:val="auto"/>
        </w:rPr>
        <w:fldChar w:fldCharType="separate"/>
      </w:r>
      <w:r>
        <w:rPr>
          <w:color w:val="auto"/>
        </w:rPr>
        <w:t>32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_Toc31786 </w:instrText>
      </w:r>
      <w:r>
        <w:rPr>
          <w:color w:val="auto"/>
          <w:szCs w:val="24"/>
        </w:rPr>
        <w:fldChar w:fldCharType="separate"/>
      </w:r>
      <w:r>
        <w:rPr>
          <w:rFonts w:hint="eastAsia" w:eastAsia="仿宋_GB2312"/>
          <w:color w:val="auto"/>
        </w:rPr>
        <w:t>五、</w:t>
      </w:r>
      <w:r>
        <w:rPr>
          <w:rFonts w:eastAsia="仿宋_GB2312"/>
          <w:color w:val="auto"/>
        </w:rPr>
        <w:t>结论</w:t>
      </w:r>
      <w:r>
        <w:rPr>
          <w:color w:val="auto"/>
        </w:rPr>
        <w:tab/>
      </w:r>
      <w:r>
        <w:rPr>
          <w:color w:val="auto"/>
        </w:rPr>
        <w:fldChar w:fldCharType="begin"/>
      </w:r>
      <w:r>
        <w:rPr>
          <w:color w:val="auto"/>
        </w:rPr>
        <w:instrText xml:space="preserve"> PAGEREF _Toc31786 \h </w:instrText>
      </w:r>
      <w:r>
        <w:rPr>
          <w:color w:val="auto"/>
        </w:rPr>
        <w:fldChar w:fldCharType="separate"/>
      </w:r>
      <w:r>
        <w:rPr>
          <w:color w:val="auto"/>
        </w:rPr>
        <w:t>33</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_Toc2344 </w:instrText>
      </w:r>
      <w:r>
        <w:rPr>
          <w:color w:val="auto"/>
          <w:szCs w:val="24"/>
        </w:rPr>
        <w:fldChar w:fldCharType="separate"/>
      </w:r>
      <w:r>
        <w:rPr>
          <w:rFonts w:eastAsia="黑体"/>
          <w:color w:val="auto"/>
          <w:szCs w:val="44"/>
        </w:rPr>
        <w:t>1总</w:t>
      </w:r>
      <w:r>
        <w:rPr>
          <w:rFonts w:hint="eastAsia" w:eastAsia="黑体"/>
          <w:color w:val="auto"/>
          <w:szCs w:val="44"/>
          <w:lang w:val="en-US" w:eastAsia="zh-CN"/>
        </w:rPr>
        <w:t>则</w:t>
      </w:r>
      <w:r>
        <w:rPr>
          <w:color w:val="auto"/>
        </w:rPr>
        <w:tab/>
      </w:r>
      <w:r>
        <w:rPr>
          <w:color w:val="auto"/>
        </w:rPr>
        <w:fldChar w:fldCharType="begin"/>
      </w:r>
      <w:r>
        <w:rPr>
          <w:color w:val="auto"/>
        </w:rPr>
        <w:instrText xml:space="preserve"> PAGEREF _Toc2344 \h </w:instrText>
      </w:r>
      <w:r>
        <w:rPr>
          <w:color w:val="auto"/>
        </w:rPr>
        <w:fldChar w:fldCharType="separate"/>
      </w:r>
      <w:r>
        <w:rPr>
          <w:color w:val="auto"/>
        </w:rPr>
        <w:t>34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_Toc2735 </w:instrText>
      </w:r>
      <w:r>
        <w:rPr>
          <w:color w:val="auto"/>
          <w:szCs w:val="24"/>
        </w:rPr>
        <w:fldChar w:fldCharType="separate"/>
      </w:r>
      <w:r>
        <w:rPr>
          <w:rFonts w:hint="eastAsia" w:ascii="Times New Roman" w:hAnsi="Times New Roman"/>
          <w:color w:val="auto"/>
          <w:szCs w:val="32"/>
          <w:lang w:val="en-US" w:eastAsia="zh-CN"/>
        </w:rPr>
        <w:t>1.1评价目的</w:t>
      </w:r>
      <w:r>
        <w:rPr>
          <w:color w:val="auto"/>
        </w:rPr>
        <w:tab/>
      </w:r>
      <w:r>
        <w:rPr>
          <w:color w:val="auto"/>
        </w:rPr>
        <w:fldChar w:fldCharType="begin"/>
      </w:r>
      <w:r>
        <w:rPr>
          <w:color w:val="auto"/>
        </w:rPr>
        <w:instrText xml:space="preserve"> PAGEREF _Toc2735 \h </w:instrText>
      </w:r>
      <w:r>
        <w:rPr>
          <w:color w:val="auto"/>
        </w:rPr>
        <w:fldChar w:fldCharType="separate"/>
      </w:r>
      <w:r>
        <w:rPr>
          <w:color w:val="auto"/>
        </w:rPr>
        <w:t>34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_Toc13958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2</w:t>
      </w:r>
      <w:r>
        <w:rPr>
          <w:rFonts w:ascii="Times New Roman" w:hAnsi="Times New Roman"/>
          <w:color w:val="auto"/>
          <w:szCs w:val="32"/>
        </w:rPr>
        <w:t>编制依据</w:t>
      </w:r>
      <w:r>
        <w:rPr>
          <w:color w:val="auto"/>
        </w:rPr>
        <w:tab/>
      </w:r>
      <w:r>
        <w:rPr>
          <w:color w:val="auto"/>
        </w:rPr>
        <w:fldChar w:fldCharType="begin"/>
      </w:r>
      <w:r>
        <w:rPr>
          <w:color w:val="auto"/>
        </w:rPr>
        <w:instrText xml:space="preserve"> PAGEREF _Toc13958 \h </w:instrText>
      </w:r>
      <w:r>
        <w:rPr>
          <w:color w:val="auto"/>
        </w:rPr>
        <w:fldChar w:fldCharType="separate"/>
      </w:r>
      <w:r>
        <w:rPr>
          <w:color w:val="auto"/>
        </w:rPr>
        <w:t>34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_Toc25585 </w:instrText>
      </w:r>
      <w:r>
        <w:rPr>
          <w:color w:val="auto"/>
          <w:szCs w:val="24"/>
        </w:rPr>
        <w:fldChar w:fldCharType="separate"/>
      </w:r>
      <w:r>
        <w:rPr>
          <w:rFonts w:eastAsia="黑体"/>
          <w:color w:val="auto"/>
        </w:rPr>
        <w:t>1.</w:t>
      </w:r>
      <w:r>
        <w:rPr>
          <w:rFonts w:hint="eastAsia" w:eastAsia="黑体"/>
          <w:color w:val="auto"/>
          <w:lang w:val="en-US" w:eastAsia="zh-CN"/>
        </w:rPr>
        <w:t>2</w:t>
      </w:r>
      <w:r>
        <w:rPr>
          <w:rFonts w:eastAsia="黑体"/>
          <w:color w:val="auto"/>
        </w:rPr>
        <w:t>.1</w:t>
      </w:r>
      <w:r>
        <w:rPr>
          <w:rFonts w:hint="eastAsia" w:eastAsia="黑体"/>
          <w:color w:val="auto"/>
          <w:lang w:val="en-US" w:eastAsia="zh-CN"/>
        </w:rPr>
        <w:t>国家有关环境保护的法律、法规及规定</w:t>
      </w:r>
      <w:r>
        <w:rPr>
          <w:color w:val="auto"/>
        </w:rPr>
        <w:tab/>
      </w:r>
      <w:r>
        <w:rPr>
          <w:color w:val="auto"/>
        </w:rPr>
        <w:fldChar w:fldCharType="begin"/>
      </w:r>
      <w:r>
        <w:rPr>
          <w:color w:val="auto"/>
        </w:rPr>
        <w:instrText xml:space="preserve"> PAGEREF _Toc25585 \h </w:instrText>
      </w:r>
      <w:r>
        <w:rPr>
          <w:color w:val="auto"/>
        </w:rPr>
        <w:fldChar w:fldCharType="separate"/>
      </w:r>
      <w:r>
        <w:rPr>
          <w:color w:val="auto"/>
        </w:rPr>
        <w:t>34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_Toc16977 </w:instrText>
      </w:r>
      <w:r>
        <w:rPr>
          <w:color w:val="auto"/>
          <w:szCs w:val="24"/>
        </w:rPr>
        <w:fldChar w:fldCharType="separate"/>
      </w:r>
      <w:r>
        <w:rPr>
          <w:rFonts w:eastAsia="黑体"/>
          <w:color w:val="auto"/>
        </w:rPr>
        <w:t>1.</w:t>
      </w:r>
      <w:r>
        <w:rPr>
          <w:rFonts w:hint="eastAsia" w:eastAsia="黑体"/>
          <w:color w:val="auto"/>
          <w:lang w:val="en-US" w:eastAsia="zh-CN"/>
        </w:rPr>
        <w:t>2</w:t>
      </w:r>
      <w:r>
        <w:rPr>
          <w:rFonts w:eastAsia="黑体"/>
          <w:color w:val="auto"/>
        </w:rPr>
        <w:t>.2</w:t>
      </w:r>
      <w:r>
        <w:rPr>
          <w:rFonts w:hint="eastAsia" w:eastAsia="黑体"/>
          <w:color w:val="auto"/>
          <w:lang w:val="en-US" w:eastAsia="zh-CN"/>
        </w:rPr>
        <w:t>地方有关环境保护的法律、法规及规定</w:t>
      </w:r>
      <w:r>
        <w:rPr>
          <w:color w:val="auto"/>
        </w:rPr>
        <w:tab/>
      </w:r>
      <w:r>
        <w:rPr>
          <w:color w:val="auto"/>
        </w:rPr>
        <w:fldChar w:fldCharType="begin"/>
      </w:r>
      <w:r>
        <w:rPr>
          <w:color w:val="auto"/>
        </w:rPr>
        <w:instrText xml:space="preserve"> PAGEREF _Toc16977 \h </w:instrText>
      </w:r>
      <w:r>
        <w:rPr>
          <w:color w:val="auto"/>
        </w:rPr>
        <w:fldChar w:fldCharType="separate"/>
      </w:r>
      <w:r>
        <w:rPr>
          <w:color w:val="auto"/>
        </w:rPr>
        <w:t>37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_Toc18173 </w:instrText>
      </w:r>
      <w:r>
        <w:rPr>
          <w:color w:val="auto"/>
          <w:szCs w:val="24"/>
        </w:rPr>
        <w:fldChar w:fldCharType="separate"/>
      </w:r>
      <w:r>
        <w:rPr>
          <w:rFonts w:eastAsia="黑体"/>
          <w:color w:val="auto"/>
        </w:rPr>
        <w:t>1.</w:t>
      </w:r>
      <w:r>
        <w:rPr>
          <w:rFonts w:hint="eastAsia" w:eastAsia="黑体"/>
          <w:color w:val="auto"/>
          <w:lang w:val="en-US" w:eastAsia="zh-CN"/>
        </w:rPr>
        <w:t>2</w:t>
      </w:r>
      <w:r>
        <w:rPr>
          <w:rFonts w:eastAsia="黑体"/>
          <w:color w:val="auto"/>
        </w:rPr>
        <w:t>.</w:t>
      </w:r>
      <w:r>
        <w:rPr>
          <w:rFonts w:hint="eastAsia" w:eastAsia="黑体"/>
          <w:color w:val="auto"/>
          <w:lang w:val="en-US" w:eastAsia="zh-CN"/>
        </w:rPr>
        <w:t>3主要技术</w:t>
      </w:r>
      <w:r>
        <w:rPr>
          <w:rFonts w:eastAsia="黑体"/>
          <w:color w:val="auto"/>
        </w:rPr>
        <w:t>导则</w:t>
      </w:r>
      <w:r>
        <w:rPr>
          <w:rFonts w:hint="eastAsia" w:eastAsia="黑体"/>
          <w:color w:val="auto"/>
          <w:lang w:val="en-US" w:eastAsia="zh-CN"/>
        </w:rPr>
        <w:t>及规范文件</w:t>
      </w:r>
      <w:r>
        <w:rPr>
          <w:color w:val="auto"/>
        </w:rPr>
        <w:tab/>
      </w:r>
      <w:r>
        <w:rPr>
          <w:color w:val="auto"/>
        </w:rPr>
        <w:fldChar w:fldCharType="begin"/>
      </w:r>
      <w:r>
        <w:rPr>
          <w:color w:val="auto"/>
        </w:rPr>
        <w:instrText xml:space="preserve"> PAGEREF _Toc18173 \h </w:instrText>
      </w:r>
      <w:r>
        <w:rPr>
          <w:color w:val="auto"/>
        </w:rPr>
        <w:fldChar w:fldCharType="separate"/>
      </w:r>
      <w:r>
        <w:rPr>
          <w:color w:val="auto"/>
        </w:rPr>
        <w:t>38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_Toc7812 </w:instrText>
      </w:r>
      <w:r>
        <w:rPr>
          <w:color w:val="auto"/>
          <w:szCs w:val="24"/>
        </w:rPr>
        <w:fldChar w:fldCharType="separate"/>
      </w:r>
      <w:r>
        <w:rPr>
          <w:rFonts w:ascii="Times New Roman" w:hAnsi="Times New Roman" w:eastAsia="黑体" w:cs="Times New Roman"/>
          <w:bCs/>
          <w:color w:val="auto"/>
          <w:lang w:val="en-US" w:eastAsia="zh-CN"/>
        </w:rPr>
        <w:t>1.</w:t>
      </w:r>
      <w:r>
        <w:rPr>
          <w:rFonts w:hint="eastAsia" w:eastAsia="黑体" w:cs="Times New Roman"/>
          <w:bCs/>
          <w:color w:val="auto"/>
          <w:lang w:val="en-US" w:eastAsia="zh-CN"/>
        </w:rPr>
        <w:t>2</w:t>
      </w:r>
      <w:r>
        <w:rPr>
          <w:rFonts w:ascii="Times New Roman" w:hAnsi="Times New Roman" w:eastAsia="黑体" w:cs="Times New Roman"/>
          <w:bCs/>
          <w:color w:val="auto"/>
          <w:lang w:val="en-US" w:eastAsia="zh-CN"/>
        </w:rPr>
        <w:t>.</w:t>
      </w:r>
      <w:r>
        <w:rPr>
          <w:rFonts w:hint="eastAsia" w:ascii="Times New Roman" w:hAnsi="Times New Roman" w:eastAsia="黑体" w:cs="Times New Roman"/>
          <w:bCs/>
          <w:color w:val="auto"/>
          <w:lang w:val="en-US" w:eastAsia="zh-CN"/>
        </w:rPr>
        <w:t>4环境评价工作依据文件及资料</w:t>
      </w:r>
      <w:r>
        <w:rPr>
          <w:color w:val="auto"/>
        </w:rPr>
        <w:tab/>
      </w:r>
      <w:r>
        <w:rPr>
          <w:color w:val="auto"/>
        </w:rPr>
        <w:fldChar w:fldCharType="begin"/>
      </w:r>
      <w:r>
        <w:rPr>
          <w:color w:val="auto"/>
        </w:rPr>
        <w:instrText xml:space="preserve"> PAGEREF _Toc7812 \h </w:instrText>
      </w:r>
      <w:r>
        <w:rPr>
          <w:color w:val="auto"/>
        </w:rPr>
        <w:fldChar w:fldCharType="separate"/>
      </w:r>
      <w:r>
        <w:rPr>
          <w:color w:val="auto"/>
        </w:rPr>
        <w:t>39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_Toc22655 </w:instrText>
      </w:r>
      <w:r>
        <w:rPr>
          <w:color w:val="auto"/>
          <w:szCs w:val="24"/>
        </w:rPr>
        <w:fldChar w:fldCharType="separate"/>
      </w:r>
      <w:r>
        <w:rPr>
          <w:rFonts w:hint="eastAsia" w:ascii="Times New Roman" w:hAnsi="Times New Roman"/>
          <w:color w:val="auto"/>
          <w:szCs w:val="32"/>
          <w:lang w:val="en-US" w:eastAsia="zh-CN"/>
        </w:rPr>
        <w:t>1.3环境功能区划及评价标准</w:t>
      </w:r>
      <w:r>
        <w:rPr>
          <w:color w:val="auto"/>
        </w:rPr>
        <w:tab/>
      </w:r>
      <w:r>
        <w:rPr>
          <w:color w:val="auto"/>
        </w:rPr>
        <w:fldChar w:fldCharType="begin"/>
      </w:r>
      <w:r>
        <w:rPr>
          <w:color w:val="auto"/>
        </w:rPr>
        <w:instrText xml:space="preserve"> PAGEREF _Toc22655 \h </w:instrText>
      </w:r>
      <w:r>
        <w:rPr>
          <w:color w:val="auto"/>
        </w:rPr>
        <w:fldChar w:fldCharType="separate"/>
      </w:r>
      <w:r>
        <w:rPr>
          <w:color w:val="auto"/>
        </w:rPr>
        <w:t>39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_Toc21835 </w:instrText>
      </w:r>
      <w:r>
        <w:rPr>
          <w:color w:val="auto"/>
          <w:szCs w:val="24"/>
        </w:rPr>
        <w:fldChar w:fldCharType="separate"/>
      </w:r>
      <w:r>
        <w:rPr>
          <w:rFonts w:eastAsia="黑体"/>
          <w:color w:val="auto"/>
        </w:rPr>
        <w:t>1.</w:t>
      </w:r>
      <w:r>
        <w:rPr>
          <w:rFonts w:hint="eastAsia" w:eastAsia="黑体"/>
          <w:color w:val="auto"/>
          <w:lang w:val="en-US" w:eastAsia="zh-CN"/>
        </w:rPr>
        <w:t>3.1环境功能区划</w:t>
      </w:r>
      <w:r>
        <w:rPr>
          <w:color w:val="auto"/>
        </w:rPr>
        <w:tab/>
      </w:r>
      <w:r>
        <w:rPr>
          <w:color w:val="auto"/>
        </w:rPr>
        <w:fldChar w:fldCharType="begin"/>
      </w:r>
      <w:r>
        <w:rPr>
          <w:color w:val="auto"/>
        </w:rPr>
        <w:instrText xml:space="preserve"> PAGEREF _Toc21835 \h </w:instrText>
      </w:r>
      <w:r>
        <w:rPr>
          <w:color w:val="auto"/>
        </w:rPr>
        <w:fldChar w:fldCharType="separate"/>
      </w:r>
      <w:r>
        <w:rPr>
          <w:color w:val="auto"/>
        </w:rPr>
        <w:t>39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_Toc22876 </w:instrText>
      </w:r>
      <w:r>
        <w:rPr>
          <w:color w:val="auto"/>
          <w:szCs w:val="24"/>
        </w:rPr>
        <w:fldChar w:fldCharType="separate"/>
      </w:r>
      <w:r>
        <w:rPr>
          <w:rFonts w:eastAsia="黑体"/>
          <w:color w:val="auto"/>
        </w:rPr>
        <w:t>1.</w:t>
      </w:r>
      <w:r>
        <w:rPr>
          <w:rFonts w:hint="eastAsia" w:eastAsia="黑体"/>
          <w:color w:val="auto"/>
          <w:lang w:val="en-US" w:eastAsia="zh-CN"/>
        </w:rPr>
        <w:t>3.2</w:t>
      </w:r>
      <w:r>
        <w:rPr>
          <w:rFonts w:eastAsia="黑体"/>
          <w:color w:val="auto"/>
        </w:rPr>
        <w:t>评价标准</w:t>
      </w:r>
      <w:r>
        <w:rPr>
          <w:color w:val="auto"/>
        </w:rPr>
        <w:tab/>
      </w:r>
      <w:r>
        <w:rPr>
          <w:color w:val="auto"/>
        </w:rPr>
        <w:fldChar w:fldCharType="begin"/>
      </w:r>
      <w:r>
        <w:rPr>
          <w:color w:val="auto"/>
        </w:rPr>
        <w:instrText xml:space="preserve"> PAGEREF _Toc22876 \h </w:instrText>
      </w:r>
      <w:r>
        <w:rPr>
          <w:color w:val="auto"/>
        </w:rPr>
        <w:fldChar w:fldCharType="separate"/>
      </w:r>
      <w:r>
        <w:rPr>
          <w:color w:val="auto"/>
        </w:rPr>
        <w:t>40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_Toc11709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4</w:t>
      </w:r>
      <w:r>
        <w:rPr>
          <w:rFonts w:ascii="Times New Roman" w:hAnsi="Times New Roman"/>
          <w:color w:val="auto"/>
          <w:szCs w:val="32"/>
        </w:rPr>
        <w:t>评价工作等级与评价范围</w:t>
      </w:r>
      <w:r>
        <w:rPr>
          <w:color w:val="auto"/>
        </w:rPr>
        <w:tab/>
      </w:r>
      <w:r>
        <w:rPr>
          <w:color w:val="auto"/>
        </w:rPr>
        <w:fldChar w:fldCharType="begin"/>
      </w:r>
      <w:r>
        <w:rPr>
          <w:color w:val="auto"/>
        </w:rPr>
        <w:instrText xml:space="preserve"> PAGEREF _Toc11709 \h </w:instrText>
      </w:r>
      <w:r>
        <w:rPr>
          <w:color w:val="auto"/>
        </w:rPr>
        <w:fldChar w:fldCharType="separate"/>
      </w:r>
      <w:r>
        <w:rPr>
          <w:color w:val="auto"/>
        </w:rPr>
        <w:t>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_Toc24327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.1环境空气</w:t>
      </w:r>
      <w:r>
        <w:rPr>
          <w:color w:val="auto"/>
        </w:rPr>
        <w:tab/>
      </w:r>
      <w:r>
        <w:rPr>
          <w:color w:val="auto"/>
        </w:rPr>
        <w:fldChar w:fldCharType="begin"/>
      </w:r>
      <w:r>
        <w:rPr>
          <w:color w:val="auto"/>
        </w:rPr>
        <w:instrText xml:space="preserve"> PAGEREF _Toc24327 \h </w:instrText>
      </w:r>
      <w:r>
        <w:rPr>
          <w:color w:val="auto"/>
        </w:rPr>
        <w:fldChar w:fldCharType="separate"/>
      </w:r>
      <w:r>
        <w:rPr>
          <w:color w:val="auto"/>
        </w:rPr>
        <w:t>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_Toc3923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.2地表水环境</w:t>
      </w:r>
      <w:r>
        <w:rPr>
          <w:color w:val="auto"/>
        </w:rPr>
        <w:tab/>
      </w:r>
      <w:r>
        <w:rPr>
          <w:color w:val="auto"/>
        </w:rPr>
        <w:fldChar w:fldCharType="begin"/>
      </w:r>
      <w:r>
        <w:rPr>
          <w:color w:val="auto"/>
        </w:rPr>
        <w:instrText xml:space="preserve"> PAGEREF _Toc3923 \h </w:instrText>
      </w:r>
      <w:r>
        <w:rPr>
          <w:color w:val="auto"/>
        </w:rPr>
        <w:fldChar w:fldCharType="separate"/>
      </w:r>
      <w:r>
        <w:rPr>
          <w:color w:val="auto"/>
        </w:rPr>
        <w:t>45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_Toc934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w:t>
      </w:r>
      <w:r>
        <w:rPr>
          <w:rFonts w:hint="eastAsia" w:eastAsia="黑体"/>
          <w:color w:val="auto"/>
          <w:lang w:val="en-US" w:eastAsia="zh-CN"/>
        </w:rPr>
        <w:t>3</w:t>
      </w:r>
      <w:r>
        <w:rPr>
          <w:rFonts w:eastAsia="黑体"/>
          <w:color w:val="auto"/>
        </w:rPr>
        <w:t>声环境</w:t>
      </w:r>
      <w:r>
        <w:rPr>
          <w:color w:val="auto"/>
        </w:rPr>
        <w:tab/>
      </w:r>
      <w:r>
        <w:rPr>
          <w:color w:val="auto"/>
        </w:rPr>
        <w:fldChar w:fldCharType="begin"/>
      </w:r>
      <w:r>
        <w:rPr>
          <w:color w:val="auto"/>
        </w:rPr>
        <w:instrText xml:space="preserve"> PAGEREF _Toc934 \h </w:instrText>
      </w:r>
      <w:r>
        <w:rPr>
          <w:color w:val="auto"/>
        </w:rPr>
        <w:fldChar w:fldCharType="separate"/>
      </w:r>
      <w:r>
        <w:rPr>
          <w:color w:val="auto"/>
        </w:rPr>
        <w:t>46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_Toc25082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w:t>
      </w:r>
      <w:r>
        <w:rPr>
          <w:rFonts w:hint="eastAsia" w:eastAsia="黑体"/>
          <w:color w:val="auto"/>
          <w:lang w:val="en-US" w:eastAsia="zh-CN"/>
        </w:rPr>
        <w:t>4地下水</w:t>
      </w:r>
      <w:r>
        <w:rPr>
          <w:rFonts w:eastAsia="黑体"/>
          <w:color w:val="auto"/>
        </w:rPr>
        <w:t>环境</w:t>
      </w:r>
      <w:r>
        <w:rPr>
          <w:color w:val="auto"/>
        </w:rPr>
        <w:tab/>
      </w:r>
      <w:r>
        <w:rPr>
          <w:color w:val="auto"/>
        </w:rPr>
        <w:fldChar w:fldCharType="begin"/>
      </w:r>
      <w:r>
        <w:rPr>
          <w:color w:val="auto"/>
        </w:rPr>
        <w:instrText xml:space="preserve"> PAGEREF _Toc25082 \h </w:instrText>
      </w:r>
      <w:r>
        <w:rPr>
          <w:color w:val="auto"/>
        </w:rPr>
        <w:fldChar w:fldCharType="separate"/>
      </w:r>
      <w:r>
        <w:rPr>
          <w:color w:val="auto"/>
        </w:rPr>
        <w:t>47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_Toc29765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w:t>
      </w:r>
      <w:r>
        <w:rPr>
          <w:rFonts w:hint="eastAsia" w:eastAsia="黑体"/>
          <w:color w:val="auto"/>
          <w:lang w:val="en-US" w:eastAsia="zh-CN"/>
        </w:rPr>
        <w:t>5土壤</w:t>
      </w:r>
      <w:r>
        <w:rPr>
          <w:rFonts w:eastAsia="黑体"/>
          <w:color w:val="auto"/>
        </w:rPr>
        <w:t>环境</w:t>
      </w:r>
      <w:r>
        <w:rPr>
          <w:color w:val="auto"/>
        </w:rPr>
        <w:tab/>
      </w:r>
      <w:r>
        <w:rPr>
          <w:color w:val="auto"/>
        </w:rPr>
        <w:fldChar w:fldCharType="begin"/>
      </w:r>
      <w:r>
        <w:rPr>
          <w:color w:val="auto"/>
        </w:rPr>
        <w:instrText xml:space="preserve"> PAGEREF _Toc29765 \h </w:instrText>
      </w:r>
      <w:r>
        <w:rPr>
          <w:color w:val="auto"/>
        </w:rPr>
        <w:fldChar w:fldCharType="separate"/>
      </w:r>
      <w:r>
        <w:rPr>
          <w:color w:val="auto"/>
        </w:rPr>
        <w:t>47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_Toc22529 </w:instrText>
      </w:r>
      <w:r>
        <w:rPr>
          <w:color w:val="auto"/>
          <w:szCs w:val="24"/>
        </w:rPr>
        <w:fldChar w:fldCharType="separate"/>
      </w:r>
      <w:r>
        <w:rPr>
          <w:rFonts w:ascii="Times New Roman" w:hAnsi="Times New Roman" w:eastAsia="黑体" w:cs="Times New Roman"/>
          <w:bCs/>
          <w:color w:val="auto"/>
        </w:rPr>
        <w:t>1.</w:t>
      </w:r>
      <w:r>
        <w:rPr>
          <w:rFonts w:hint="eastAsia" w:eastAsia="黑体" w:cs="Times New Roman"/>
          <w:bCs/>
          <w:color w:val="auto"/>
          <w:lang w:val="en-US" w:eastAsia="zh-CN"/>
        </w:rPr>
        <w:t>4</w:t>
      </w:r>
      <w:r>
        <w:rPr>
          <w:rFonts w:ascii="Times New Roman" w:hAnsi="Times New Roman" w:eastAsia="黑体" w:cs="Times New Roman"/>
          <w:bCs/>
          <w:color w:val="auto"/>
        </w:rPr>
        <w:t>.</w:t>
      </w:r>
      <w:r>
        <w:rPr>
          <w:rFonts w:hint="eastAsia" w:ascii="Times New Roman" w:hAnsi="Times New Roman" w:eastAsia="黑体" w:cs="Times New Roman"/>
          <w:bCs/>
          <w:color w:val="auto"/>
          <w:lang w:val="en-US" w:eastAsia="zh-CN"/>
        </w:rPr>
        <w:t>6</w:t>
      </w:r>
      <w:r>
        <w:rPr>
          <w:rFonts w:ascii="Times New Roman" w:hAnsi="Times New Roman" w:eastAsia="黑体" w:cs="Times New Roman"/>
          <w:bCs/>
          <w:color w:val="auto"/>
        </w:rPr>
        <w:t>生态环境影响</w:t>
      </w:r>
      <w:r>
        <w:rPr>
          <w:color w:val="auto"/>
        </w:rPr>
        <w:tab/>
      </w:r>
      <w:r>
        <w:rPr>
          <w:color w:val="auto"/>
        </w:rPr>
        <w:fldChar w:fldCharType="begin"/>
      </w:r>
      <w:r>
        <w:rPr>
          <w:color w:val="auto"/>
        </w:rPr>
        <w:instrText xml:space="preserve"> PAGEREF _Toc22529 \h </w:instrText>
      </w:r>
      <w:r>
        <w:rPr>
          <w:color w:val="auto"/>
        </w:rPr>
        <w:fldChar w:fldCharType="separate"/>
      </w:r>
      <w:r>
        <w:rPr>
          <w:color w:val="auto"/>
        </w:rPr>
        <w:t>47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_Toc13729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w:t>
      </w:r>
      <w:r>
        <w:rPr>
          <w:rFonts w:hint="eastAsia" w:eastAsia="黑体"/>
          <w:color w:val="auto"/>
          <w:lang w:val="en-US" w:eastAsia="zh-CN"/>
        </w:rPr>
        <w:t>7环境</w:t>
      </w:r>
      <w:r>
        <w:rPr>
          <w:rFonts w:eastAsia="黑体"/>
          <w:color w:val="auto"/>
        </w:rPr>
        <w:t>风险评价</w:t>
      </w:r>
      <w:r>
        <w:rPr>
          <w:color w:val="auto"/>
        </w:rPr>
        <w:tab/>
      </w:r>
      <w:r>
        <w:rPr>
          <w:color w:val="auto"/>
        </w:rPr>
        <w:fldChar w:fldCharType="begin"/>
      </w:r>
      <w:r>
        <w:rPr>
          <w:color w:val="auto"/>
        </w:rPr>
        <w:instrText xml:space="preserve"> PAGEREF _Toc13729 \h </w:instrText>
      </w:r>
      <w:r>
        <w:rPr>
          <w:color w:val="auto"/>
        </w:rPr>
        <w:fldChar w:fldCharType="separate"/>
      </w:r>
      <w:r>
        <w:rPr>
          <w:color w:val="auto"/>
        </w:rPr>
        <w:t>48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_Toc14388 </w:instrText>
      </w:r>
      <w:r>
        <w:rPr>
          <w:color w:val="auto"/>
          <w:szCs w:val="24"/>
        </w:rPr>
        <w:fldChar w:fldCharType="separate"/>
      </w:r>
      <w:r>
        <w:rPr>
          <w:rFonts w:eastAsia="黑体"/>
          <w:color w:val="auto"/>
        </w:rPr>
        <w:t>1.</w:t>
      </w:r>
      <w:r>
        <w:rPr>
          <w:rFonts w:hint="eastAsia" w:eastAsia="黑体"/>
          <w:color w:val="auto"/>
          <w:lang w:val="en-US" w:eastAsia="zh-CN"/>
        </w:rPr>
        <w:t>4</w:t>
      </w:r>
      <w:r>
        <w:rPr>
          <w:rFonts w:eastAsia="黑体"/>
          <w:color w:val="auto"/>
        </w:rPr>
        <w:t>.</w:t>
      </w:r>
      <w:r>
        <w:rPr>
          <w:rFonts w:hint="eastAsia" w:eastAsia="黑体"/>
          <w:color w:val="auto"/>
        </w:rPr>
        <w:t>8</w:t>
      </w:r>
      <w:r>
        <w:rPr>
          <w:rFonts w:eastAsia="黑体"/>
          <w:color w:val="auto"/>
        </w:rPr>
        <w:t>小结</w:t>
      </w:r>
      <w:r>
        <w:rPr>
          <w:color w:val="auto"/>
        </w:rPr>
        <w:tab/>
      </w:r>
      <w:r>
        <w:rPr>
          <w:color w:val="auto"/>
        </w:rPr>
        <w:fldChar w:fldCharType="begin"/>
      </w:r>
      <w:r>
        <w:rPr>
          <w:color w:val="auto"/>
        </w:rPr>
        <w:instrText xml:space="preserve"> PAGEREF _Toc14388 \h </w:instrText>
      </w:r>
      <w:r>
        <w:rPr>
          <w:color w:val="auto"/>
        </w:rPr>
        <w:fldChar w:fldCharType="separate"/>
      </w:r>
      <w:r>
        <w:rPr>
          <w:color w:val="auto"/>
        </w:rPr>
        <w:t>49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_Toc31831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5环境影响识别与</w:t>
      </w:r>
      <w:r>
        <w:rPr>
          <w:rFonts w:ascii="Times New Roman" w:hAnsi="Times New Roman"/>
          <w:color w:val="auto"/>
          <w:szCs w:val="32"/>
        </w:rPr>
        <w:t>评价因子筛选</w:t>
      </w:r>
      <w:r>
        <w:rPr>
          <w:color w:val="auto"/>
        </w:rPr>
        <w:tab/>
      </w:r>
      <w:r>
        <w:rPr>
          <w:color w:val="auto"/>
        </w:rPr>
        <w:fldChar w:fldCharType="begin"/>
      </w:r>
      <w:r>
        <w:rPr>
          <w:color w:val="auto"/>
        </w:rPr>
        <w:instrText xml:space="preserve"> PAGEREF _Toc31831 \h </w:instrText>
      </w:r>
      <w:r>
        <w:rPr>
          <w:color w:val="auto"/>
        </w:rPr>
        <w:fldChar w:fldCharType="separate"/>
      </w:r>
      <w:r>
        <w:rPr>
          <w:color w:val="auto"/>
        </w:rPr>
        <w:t>49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_Toc12750 </w:instrText>
      </w:r>
      <w:r>
        <w:rPr>
          <w:color w:val="auto"/>
          <w:szCs w:val="24"/>
        </w:rPr>
        <w:fldChar w:fldCharType="separate"/>
      </w:r>
      <w:r>
        <w:rPr>
          <w:rFonts w:eastAsia="黑体"/>
          <w:color w:val="auto"/>
        </w:rPr>
        <w:t>1.</w:t>
      </w:r>
      <w:r>
        <w:rPr>
          <w:rFonts w:hint="eastAsia" w:eastAsia="黑体"/>
          <w:color w:val="auto"/>
          <w:lang w:val="en-US" w:eastAsia="zh-CN"/>
        </w:rPr>
        <w:t>5</w:t>
      </w:r>
      <w:r>
        <w:rPr>
          <w:rFonts w:eastAsia="黑体"/>
          <w:color w:val="auto"/>
        </w:rPr>
        <w:t>.1</w:t>
      </w:r>
      <w:r>
        <w:rPr>
          <w:rFonts w:hint="eastAsia" w:eastAsia="黑体"/>
          <w:color w:val="auto"/>
          <w:lang w:val="en-US" w:eastAsia="zh-CN"/>
        </w:rPr>
        <w:t>环境影响识别</w:t>
      </w:r>
      <w:r>
        <w:rPr>
          <w:color w:val="auto"/>
        </w:rPr>
        <w:tab/>
      </w:r>
      <w:r>
        <w:rPr>
          <w:color w:val="auto"/>
        </w:rPr>
        <w:fldChar w:fldCharType="begin"/>
      </w:r>
      <w:r>
        <w:rPr>
          <w:color w:val="auto"/>
        </w:rPr>
        <w:instrText xml:space="preserve"> PAGEREF _Toc12750 \h </w:instrText>
      </w:r>
      <w:r>
        <w:rPr>
          <w:color w:val="auto"/>
        </w:rPr>
        <w:fldChar w:fldCharType="separate"/>
      </w:r>
      <w:r>
        <w:rPr>
          <w:color w:val="auto"/>
        </w:rPr>
        <w:t>49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_Toc7030 </w:instrText>
      </w:r>
      <w:r>
        <w:rPr>
          <w:color w:val="auto"/>
          <w:szCs w:val="24"/>
        </w:rPr>
        <w:fldChar w:fldCharType="separate"/>
      </w:r>
      <w:r>
        <w:rPr>
          <w:rFonts w:eastAsia="黑体"/>
          <w:color w:val="auto"/>
        </w:rPr>
        <w:t>1.</w:t>
      </w:r>
      <w:r>
        <w:rPr>
          <w:rFonts w:hint="eastAsia" w:eastAsia="黑体"/>
          <w:color w:val="auto"/>
          <w:lang w:val="en-US" w:eastAsia="zh-CN"/>
        </w:rPr>
        <w:t>5</w:t>
      </w:r>
      <w:r>
        <w:rPr>
          <w:rFonts w:eastAsia="黑体"/>
          <w:color w:val="auto"/>
        </w:rPr>
        <w:t>.</w:t>
      </w:r>
      <w:r>
        <w:rPr>
          <w:rFonts w:hint="eastAsia" w:eastAsia="黑体"/>
          <w:color w:val="auto"/>
          <w:lang w:val="en-US" w:eastAsia="zh-CN"/>
        </w:rPr>
        <w:t>2评价因子筛选</w:t>
      </w:r>
      <w:r>
        <w:rPr>
          <w:color w:val="auto"/>
        </w:rPr>
        <w:tab/>
      </w:r>
      <w:r>
        <w:rPr>
          <w:color w:val="auto"/>
        </w:rPr>
        <w:fldChar w:fldCharType="begin"/>
      </w:r>
      <w:r>
        <w:rPr>
          <w:color w:val="auto"/>
        </w:rPr>
        <w:instrText xml:space="preserve"> PAGEREF _Toc7030 \h </w:instrText>
      </w:r>
      <w:r>
        <w:rPr>
          <w:color w:val="auto"/>
        </w:rPr>
        <w:fldChar w:fldCharType="separate"/>
      </w:r>
      <w:r>
        <w:rPr>
          <w:color w:val="auto"/>
        </w:rPr>
        <w:t>50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_Toc20800 </w:instrText>
      </w:r>
      <w:r>
        <w:rPr>
          <w:color w:val="auto"/>
          <w:szCs w:val="24"/>
        </w:rPr>
        <w:fldChar w:fldCharType="separate"/>
      </w:r>
      <w:r>
        <w:rPr>
          <w:rFonts w:ascii="Times New Roman" w:hAnsi="Times New Roman"/>
          <w:color w:val="auto"/>
          <w:szCs w:val="32"/>
        </w:rPr>
        <w:t>1.6</w:t>
      </w:r>
      <w:r>
        <w:rPr>
          <w:rFonts w:hint="eastAsia" w:ascii="Times New Roman" w:hAnsi="Times New Roman"/>
          <w:color w:val="auto"/>
          <w:szCs w:val="32"/>
          <w:lang w:val="en-US" w:eastAsia="zh-CN"/>
        </w:rPr>
        <w:t>评价时段、评价重点</w:t>
      </w:r>
      <w:r>
        <w:rPr>
          <w:rFonts w:ascii="Times New Roman" w:hAnsi="Times New Roman"/>
          <w:color w:val="auto"/>
          <w:szCs w:val="32"/>
        </w:rPr>
        <w:t>与环境保护目标</w:t>
      </w:r>
      <w:r>
        <w:rPr>
          <w:color w:val="auto"/>
        </w:rPr>
        <w:tab/>
      </w:r>
      <w:r>
        <w:rPr>
          <w:color w:val="auto"/>
        </w:rPr>
        <w:fldChar w:fldCharType="begin"/>
      </w:r>
      <w:r>
        <w:rPr>
          <w:color w:val="auto"/>
        </w:rPr>
        <w:instrText xml:space="preserve"> PAGEREF _Toc20800 \h </w:instrText>
      </w:r>
      <w:r>
        <w:rPr>
          <w:color w:val="auto"/>
        </w:rPr>
        <w:fldChar w:fldCharType="separate"/>
      </w:r>
      <w:r>
        <w:rPr>
          <w:color w:val="auto"/>
        </w:rPr>
        <w:t>51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_Toc25805 </w:instrText>
      </w:r>
      <w:r>
        <w:rPr>
          <w:color w:val="auto"/>
          <w:szCs w:val="24"/>
        </w:rPr>
        <w:fldChar w:fldCharType="separate"/>
      </w:r>
      <w:r>
        <w:rPr>
          <w:rFonts w:eastAsia="黑体"/>
          <w:color w:val="auto"/>
        </w:rPr>
        <w:t>1.6.1</w:t>
      </w:r>
      <w:r>
        <w:rPr>
          <w:rFonts w:hint="eastAsia" w:eastAsia="黑体"/>
          <w:color w:val="auto"/>
          <w:lang w:val="en-US" w:eastAsia="zh-CN"/>
        </w:rPr>
        <w:t>评价时段</w:t>
      </w:r>
      <w:r>
        <w:rPr>
          <w:color w:val="auto"/>
        </w:rPr>
        <w:tab/>
      </w:r>
      <w:r>
        <w:rPr>
          <w:color w:val="auto"/>
        </w:rPr>
        <w:fldChar w:fldCharType="begin"/>
      </w:r>
      <w:r>
        <w:rPr>
          <w:color w:val="auto"/>
        </w:rPr>
        <w:instrText xml:space="preserve"> PAGEREF _Toc25805 \h </w:instrText>
      </w:r>
      <w:r>
        <w:rPr>
          <w:color w:val="auto"/>
        </w:rPr>
        <w:fldChar w:fldCharType="separate"/>
      </w:r>
      <w:r>
        <w:rPr>
          <w:color w:val="auto"/>
        </w:rPr>
        <w:t>51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_Toc9173 </w:instrText>
      </w:r>
      <w:r>
        <w:rPr>
          <w:color w:val="auto"/>
          <w:szCs w:val="24"/>
        </w:rPr>
        <w:fldChar w:fldCharType="separate"/>
      </w:r>
      <w:r>
        <w:rPr>
          <w:rFonts w:eastAsia="黑体"/>
          <w:color w:val="auto"/>
        </w:rPr>
        <w:t>1.6</w:t>
      </w:r>
      <w:r>
        <w:rPr>
          <w:rFonts w:hint="eastAsia" w:eastAsia="黑体"/>
          <w:color w:val="auto"/>
          <w:lang w:val="en-US" w:eastAsia="zh-CN"/>
        </w:rPr>
        <w:t>.2评价重点</w:t>
      </w:r>
      <w:r>
        <w:rPr>
          <w:color w:val="auto"/>
        </w:rPr>
        <w:tab/>
      </w:r>
      <w:r>
        <w:rPr>
          <w:color w:val="auto"/>
        </w:rPr>
        <w:fldChar w:fldCharType="begin"/>
      </w:r>
      <w:r>
        <w:rPr>
          <w:color w:val="auto"/>
        </w:rPr>
        <w:instrText xml:space="preserve"> PAGEREF _Toc9173 \h </w:instrText>
      </w:r>
      <w:r>
        <w:rPr>
          <w:color w:val="auto"/>
        </w:rPr>
        <w:fldChar w:fldCharType="separate"/>
      </w:r>
      <w:r>
        <w:rPr>
          <w:color w:val="auto"/>
        </w:rPr>
        <w:t>51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_Toc28773 </w:instrText>
      </w:r>
      <w:r>
        <w:rPr>
          <w:color w:val="auto"/>
          <w:szCs w:val="24"/>
        </w:rPr>
        <w:fldChar w:fldCharType="separate"/>
      </w:r>
      <w:r>
        <w:rPr>
          <w:rFonts w:eastAsia="黑体"/>
          <w:color w:val="auto"/>
        </w:rPr>
        <w:t>1.6.</w:t>
      </w:r>
      <w:r>
        <w:rPr>
          <w:rFonts w:hint="eastAsia" w:eastAsia="黑体"/>
          <w:color w:val="auto"/>
          <w:lang w:val="en-US" w:eastAsia="zh-CN"/>
        </w:rPr>
        <w:t>3地表水</w:t>
      </w:r>
      <w:r>
        <w:rPr>
          <w:rFonts w:eastAsia="黑体"/>
          <w:color w:val="auto"/>
        </w:rPr>
        <w:t>环境</w:t>
      </w:r>
      <w:r>
        <w:rPr>
          <w:rFonts w:hint="eastAsia" w:eastAsia="黑体"/>
          <w:color w:val="auto"/>
          <w:lang w:val="en-US" w:eastAsia="zh-CN"/>
        </w:rPr>
        <w:t>保护</w:t>
      </w:r>
      <w:r>
        <w:rPr>
          <w:rFonts w:eastAsia="黑体"/>
          <w:color w:val="auto"/>
        </w:rPr>
        <w:t>目标</w:t>
      </w:r>
      <w:r>
        <w:rPr>
          <w:color w:val="auto"/>
        </w:rPr>
        <w:tab/>
      </w:r>
      <w:r>
        <w:rPr>
          <w:color w:val="auto"/>
        </w:rPr>
        <w:fldChar w:fldCharType="begin"/>
      </w:r>
      <w:r>
        <w:rPr>
          <w:color w:val="auto"/>
        </w:rPr>
        <w:instrText xml:space="preserve"> PAGEREF _Toc28773 \h </w:instrText>
      </w:r>
      <w:r>
        <w:rPr>
          <w:color w:val="auto"/>
        </w:rPr>
        <w:fldChar w:fldCharType="separate"/>
      </w:r>
      <w:r>
        <w:rPr>
          <w:color w:val="auto"/>
        </w:rPr>
        <w:t>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_Toc18866 </w:instrText>
      </w:r>
      <w:r>
        <w:rPr>
          <w:color w:val="auto"/>
          <w:szCs w:val="24"/>
        </w:rPr>
        <w:fldChar w:fldCharType="separate"/>
      </w:r>
      <w:r>
        <w:rPr>
          <w:rFonts w:hint="eastAsia" w:ascii="Times New Roman" w:hAnsi="Times New Roman" w:eastAsia="黑体" w:cs="Times New Roman"/>
          <w:bCs/>
          <w:color w:val="auto"/>
          <w:lang w:eastAsia="zh-CN"/>
        </w:rPr>
        <w:t>1.6.</w:t>
      </w:r>
      <w:r>
        <w:rPr>
          <w:rFonts w:hint="eastAsia" w:eastAsia="黑体" w:cs="Times New Roman"/>
          <w:bCs/>
          <w:color w:val="auto"/>
          <w:lang w:val="en-US" w:eastAsia="zh-CN"/>
        </w:rPr>
        <w:t>4</w:t>
      </w:r>
      <w:r>
        <w:rPr>
          <w:rFonts w:hint="eastAsia" w:ascii="Times New Roman" w:hAnsi="Times New Roman" w:eastAsia="黑体" w:cs="Times New Roman"/>
          <w:bCs/>
          <w:color w:val="auto"/>
          <w:lang w:val="en-US" w:eastAsia="zh-CN"/>
        </w:rPr>
        <w:t>大气</w:t>
      </w:r>
      <w:r>
        <w:rPr>
          <w:rFonts w:hint="eastAsia" w:ascii="Times New Roman" w:hAnsi="Times New Roman" w:eastAsia="黑体" w:cs="Times New Roman"/>
          <w:bCs/>
          <w:color w:val="auto"/>
          <w:lang w:eastAsia="zh-CN"/>
        </w:rPr>
        <w:t>环境</w:t>
      </w:r>
      <w:r>
        <w:rPr>
          <w:rFonts w:hint="eastAsia" w:eastAsia="黑体" w:cs="Times New Roman"/>
          <w:bCs/>
          <w:color w:val="auto"/>
          <w:lang w:val="en-US" w:eastAsia="zh-CN"/>
        </w:rPr>
        <w:t>及声环境</w:t>
      </w:r>
      <w:r>
        <w:rPr>
          <w:rFonts w:hint="eastAsia" w:ascii="Times New Roman" w:hAnsi="Times New Roman" w:eastAsia="黑体" w:cs="Times New Roman"/>
          <w:bCs/>
          <w:color w:val="auto"/>
          <w:lang w:val="en-US" w:eastAsia="zh-CN"/>
        </w:rPr>
        <w:t>保护</w:t>
      </w:r>
      <w:r>
        <w:rPr>
          <w:rFonts w:hint="eastAsia" w:ascii="Times New Roman" w:hAnsi="Times New Roman" w:eastAsia="黑体" w:cs="Times New Roman"/>
          <w:bCs/>
          <w:color w:val="auto"/>
          <w:lang w:eastAsia="zh-CN"/>
        </w:rPr>
        <w:t>目标</w:t>
      </w:r>
      <w:r>
        <w:rPr>
          <w:color w:val="auto"/>
        </w:rPr>
        <w:tab/>
      </w:r>
      <w:r>
        <w:rPr>
          <w:color w:val="auto"/>
        </w:rPr>
        <w:fldChar w:fldCharType="begin"/>
      </w:r>
      <w:r>
        <w:rPr>
          <w:color w:val="auto"/>
        </w:rPr>
        <w:instrText xml:space="preserve"> PAGEREF _Toc18866 \h </w:instrText>
      </w:r>
      <w:r>
        <w:rPr>
          <w:color w:val="auto"/>
        </w:rPr>
        <w:fldChar w:fldCharType="separate"/>
      </w:r>
      <w:r>
        <w:rPr>
          <w:color w:val="auto"/>
        </w:rPr>
        <w:t>53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_Toc11523 </w:instrText>
      </w:r>
      <w:r>
        <w:rPr>
          <w:color w:val="auto"/>
          <w:szCs w:val="24"/>
        </w:rPr>
        <w:fldChar w:fldCharType="separate"/>
      </w:r>
      <w:r>
        <w:rPr>
          <w:rFonts w:hint="eastAsia" w:ascii="Times New Roman" w:hAnsi="Times New Roman" w:eastAsia="黑体" w:cs="Times New Roman"/>
          <w:bCs/>
          <w:color w:val="auto"/>
          <w:lang w:eastAsia="zh-CN"/>
        </w:rPr>
        <w:t>1.6.</w:t>
      </w:r>
      <w:r>
        <w:rPr>
          <w:rFonts w:hint="eastAsia" w:eastAsia="黑体" w:cs="Times New Roman"/>
          <w:bCs/>
          <w:color w:val="auto"/>
          <w:lang w:val="en-US" w:eastAsia="zh-CN"/>
        </w:rPr>
        <w:t>5生态环境</w:t>
      </w:r>
      <w:r>
        <w:rPr>
          <w:rFonts w:hint="eastAsia" w:ascii="Times New Roman" w:hAnsi="Times New Roman" w:eastAsia="黑体" w:cs="Times New Roman"/>
          <w:bCs/>
          <w:color w:val="auto"/>
          <w:lang w:val="en-US" w:eastAsia="zh-CN"/>
        </w:rPr>
        <w:t>保护</w:t>
      </w:r>
      <w:r>
        <w:rPr>
          <w:rFonts w:hint="eastAsia" w:ascii="Times New Roman" w:hAnsi="Times New Roman" w:eastAsia="黑体" w:cs="Times New Roman"/>
          <w:bCs/>
          <w:color w:val="auto"/>
          <w:lang w:eastAsia="zh-CN"/>
        </w:rPr>
        <w:t>目标</w:t>
      </w:r>
      <w:r>
        <w:rPr>
          <w:color w:val="auto"/>
        </w:rPr>
        <w:tab/>
      </w:r>
      <w:r>
        <w:rPr>
          <w:color w:val="auto"/>
        </w:rPr>
        <w:fldChar w:fldCharType="begin"/>
      </w:r>
      <w:r>
        <w:rPr>
          <w:color w:val="auto"/>
        </w:rPr>
        <w:instrText xml:space="preserve"> PAGEREF _Toc11523 \h </w:instrText>
      </w:r>
      <w:r>
        <w:rPr>
          <w:color w:val="auto"/>
        </w:rPr>
        <w:fldChar w:fldCharType="separate"/>
      </w:r>
      <w:r>
        <w:rPr>
          <w:color w:val="auto"/>
        </w:rPr>
        <w:t>53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_Toc28886 </w:instrText>
      </w:r>
      <w:r>
        <w:rPr>
          <w:color w:val="auto"/>
          <w:szCs w:val="24"/>
        </w:rPr>
        <w:fldChar w:fldCharType="separate"/>
      </w:r>
      <w:r>
        <w:rPr>
          <w:rFonts w:hint="eastAsia" w:ascii="Times New Roman" w:hAnsi="Times New Roman" w:eastAsia="黑体" w:cs="Times New Roman"/>
          <w:bCs/>
          <w:color w:val="auto"/>
          <w:lang w:val="en-US" w:eastAsia="zh-CN"/>
        </w:rPr>
        <w:t>1.6.6环境风险保护目标</w:t>
      </w:r>
      <w:r>
        <w:rPr>
          <w:color w:val="auto"/>
        </w:rPr>
        <w:tab/>
      </w:r>
      <w:r>
        <w:rPr>
          <w:color w:val="auto"/>
        </w:rPr>
        <w:fldChar w:fldCharType="begin"/>
      </w:r>
      <w:r>
        <w:rPr>
          <w:color w:val="auto"/>
        </w:rPr>
        <w:instrText xml:space="preserve"> PAGEREF _Toc28886 \h </w:instrText>
      </w:r>
      <w:r>
        <w:rPr>
          <w:color w:val="auto"/>
        </w:rPr>
        <w:fldChar w:fldCharType="separate"/>
      </w:r>
      <w:r>
        <w:rPr>
          <w:color w:val="auto"/>
        </w:rPr>
        <w:t>54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_Toc27062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7</w:t>
      </w:r>
      <w:r>
        <w:rPr>
          <w:rFonts w:ascii="Times New Roman" w:hAnsi="Times New Roman"/>
          <w:color w:val="auto"/>
          <w:szCs w:val="32"/>
        </w:rPr>
        <w:t>评价工作程序、原则和方法</w:t>
      </w:r>
      <w:r>
        <w:rPr>
          <w:color w:val="auto"/>
        </w:rPr>
        <w:tab/>
      </w:r>
      <w:r>
        <w:rPr>
          <w:color w:val="auto"/>
        </w:rPr>
        <w:fldChar w:fldCharType="begin"/>
      </w:r>
      <w:r>
        <w:rPr>
          <w:color w:val="auto"/>
        </w:rPr>
        <w:instrText xml:space="preserve"> PAGEREF _Toc27062 \h </w:instrText>
      </w:r>
      <w:r>
        <w:rPr>
          <w:color w:val="auto"/>
        </w:rPr>
        <w:fldChar w:fldCharType="separate"/>
      </w:r>
      <w:r>
        <w:rPr>
          <w:color w:val="auto"/>
        </w:rPr>
        <w:t>54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_Toc18683 </w:instrText>
      </w:r>
      <w:r>
        <w:rPr>
          <w:color w:val="auto"/>
          <w:szCs w:val="24"/>
        </w:rPr>
        <w:fldChar w:fldCharType="separate"/>
      </w:r>
      <w:r>
        <w:rPr>
          <w:rFonts w:eastAsia="黑体"/>
          <w:color w:val="auto"/>
        </w:rPr>
        <w:t>1.2.1评价工作程序</w:t>
      </w:r>
      <w:r>
        <w:rPr>
          <w:color w:val="auto"/>
        </w:rPr>
        <w:tab/>
      </w:r>
      <w:r>
        <w:rPr>
          <w:color w:val="auto"/>
        </w:rPr>
        <w:fldChar w:fldCharType="begin"/>
      </w:r>
      <w:r>
        <w:rPr>
          <w:color w:val="auto"/>
        </w:rPr>
        <w:instrText xml:space="preserve"> PAGEREF _Toc18683 \h </w:instrText>
      </w:r>
      <w:r>
        <w:rPr>
          <w:color w:val="auto"/>
        </w:rPr>
        <w:fldChar w:fldCharType="separate"/>
      </w:r>
      <w:r>
        <w:rPr>
          <w:color w:val="auto"/>
        </w:rPr>
        <w:t>54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_Toc18607 </w:instrText>
      </w:r>
      <w:r>
        <w:rPr>
          <w:color w:val="auto"/>
          <w:szCs w:val="24"/>
        </w:rPr>
        <w:fldChar w:fldCharType="separate"/>
      </w:r>
      <w:r>
        <w:rPr>
          <w:rFonts w:eastAsia="黑体"/>
          <w:color w:val="auto"/>
        </w:rPr>
        <w:t>1.2.2评价工作原则</w:t>
      </w:r>
      <w:r>
        <w:rPr>
          <w:color w:val="auto"/>
        </w:rPr>
        <w:tab/>
      </w:r>
      <w:r>
        <w:rPr>
          <w:color w:val="auto"/>
        </w:rPr>
        <w:fldChar w:fldCharType="begin"/>
      </w:r>
      <w:r>
        <w:rPr>
          <w:color w:val="auto"/>
        </w:rPr>
        <w:instrText xml:space="preserve"> PAGEREF _Toc18607 \h </w:instrText>
      </w:r>
      <w:r>
        <w:rPr>
          <w:color w:val="auto"/>
        </w:rPr>
        <w:fldChar w:fldCharType="separate"/>
      </w:r>
      <w:r>
        <w:rPr>
          <w:color w:val="auto"/>
        </w:rPr>
        <w:t>54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_Toc16256 </w:instrText>
      </w:r>
      <w:r>
        <w:rPr>
          <w:color w:val="auto"/>
          <w:szCs w:val="24"/>
        </w:rPr>
        <w:fldChar w:fldCharType="separate"/>
      </w:r>
      <w:r>
        <w:rPr>
          <w:rFonts w:eastAsia="黑体"/>
          <w:color w:val="auto"/>
        </w:rPr>
        <w:t>1.2.3评价方法</w:t>
      </w:r>
      <w:r>
        <w:rPr>
          <w:color w:val="auto"/>
        </w:rPr>
        <w:tab/>
      </w:r>
      <w:r>
        <w:rPr>
          <w:color w:val="auto"/>
        </w:rPr>
        <w:fldChar w:fldCharType="begin"/>
      </w:r>
      <w:r>
        <w:rPr>
          <w:color w:val="auto"/>
        </w:rPr>
        <w:instrText xml:space="preserve"> PAGEREF _Toc16256 \h </w:instrText>
      </w:r>
      <w:r>
        <w:rPr>
          <w:color w:val="auto"/>
        </w:rPr>
        <w:fldChar w:fldCharType="separate"/>
      </w:r>
      <w:r>
        <w:rPr>
          <w:color w:val="auto"/>
        </w:rPr>
        <w:t>55</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_Toc19955 </w:instrText>
      </w:r>
      <w:r>
        <w:rPr>
          <w:color w:val="auto"/>
          <w:szCs w:val="24"/>
        </w:rPr>
        <w:fldChar w:fldCharType="separate"/>
      </w:r>
      <w:r>
        <w:rPr>
          <w:rFonts w:eastAsia="黑体"/>
          <w:color w:val="auto"/>
          <w:szCs w:val="44"/>
        </w:rPr>
        <w:t>2工程概况</w:t>
      </w:r>
      <w:r>
        <w:rPr>
          <w:color w:val="auto"/>
        </w:rPr>
        <w:tab/>
      </w:r>
      <w:r>
        <w:rPr>
          <w:color w:val="auto"/>
        </w:rPr>
        <w:fldChar w:fldCharType="begin"/>
      </w:r>
      <w:r>
        <w:rPr>
          <w:color w:val="auto"/>
        </w:rPr>
        <w:instrText xml:space="preserve"> PAGEREF _Toc19955 \h </w:instrText>
      </w:r>
      <w:r>
        <w:rPr>
          <w:color w:val="auto"/>
        </w:rPr>
        <w:fldChar w:fldCharType="separate"/>
      </w:r>
      <w:r>
        <w:rPr>
          <w:color w:val="auto"/>
        </w:rPr>
        <w:t>56</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_Toc3028 </w:instrText>
      </w:r>
      <w:r>
        <w:rPr>
          <w:color w:val="auto"/>
          <w:szCs w:val="24"/>
        </w:rPr>
        <w:fldChar w:fldCharType="separate"/>
      </w:r>
      <w:r>
        <w:rPr>
          <w:rFonts w:ascii="Times New Roman" w:hAnsi="Times New Roman"/>
          <w:color w:val="auto"/>
          <w:szCs w:val="32"/>
        </w:rPr>
        <w:t>2.1</w:t>
      </w:r>
      <w:r>
        <w:rPr>
          <w:rFonts w:hint="eastAsia" w:ascii="Times New Roman" w:hAnsi="Times New Roman"/>
          <w:color w:val="auto"/>
          <w:szCs w:val="32"/>
          <w:lang w:val="en-US" w:eastAsia="zh-CN"/>
        </w:rPr>
        <w:t>现有码头概况</w:t>
      </w:r>
      <w:r>
        <w:rPr>
          <w:color w:val="auto"/>
        </w:rPr>
        <w:tab/>
      </w:r>
      <w:r>
        <w:rPr>
          <w:color w:val="auto"/>
        </w:rPr>
        <w:fldChar w:fldCharType="begin"/>
      </w:r>
      <w:r>
        <w:rPr>
          <w:color w:val="auto"/>
        </w:rPr>
        <w:instrText xml:space="preserve"> PAGEREF _Toc3028 \h </w:instrText>
      </w:r>
      <w:r>
        <w:rPr>
          <w:color w:val="auto"/>
        </w:rPr>
        <w:fldChar w:fldCharType="separate"/>
      </w:r>
      <w:r>
        <w:rPr>
          <w:color w:val="auto"/>
        </w:rPr>
        <w:t>56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_Toc4278 </w:instrText>
      </w:r>
      <w:r>
        <w:rPr>
          <w:color w:val="auto"/>
          <w:szCs w:val="24"/>
        </w:rPr>
        <w:fldChar w:fldCharType="separate"/>
      </w:r>
      <w:r>
        <w:rPr>
          <w:rFonts w:eastAsia="黑体"/>
          <w:color w:val="auto"/>
        </w:rPr>
        <w:t>2.</w:t>
      </w:r>
      <w:r>
        <w:rPr>
          <w:rFonts w:hint="eastAsia" w:eastAsia="黑体"/>
          <w:color w:val="auto"/>
          <w:lang w:val="en-US" w:eastAsia="zh-CN"/>
        </w:rPr>
        <w:t>1</w:t>
      </w:r>
      <w:r>
        <w:rPr>
          <w:rFonts w:eastAsia="黑体"/>
          <w:color w:val="auto"/>
        </w:rPr>
        <w:t>.1</w:t>
      </w:r>
      <w:r>
        <w:rPr>
          <w:rFonts w:hint="eastAsia" w:eastAsia="黑体"/>
          <w:color w:val="auto"/>
          <w:lang w:val="en-US" w:eastAsia="zh-CN"/>
        </w:rPr>
        <w:t>现有码头地理位置</w:t>
      </w:r>
      <w:r>
        <w:rPr>
          <w:color w:val="auto"/>
        </w:rPr>
        <w:tab/>
      </w:r>
      <w:r>
        <w:rPr>
          <w:color w:val="auto"/>
        </w:rPr>
        <w:fldChar w:fldCharType="begin"/>
      </w:r>
      <w:r>
        <w:rPr>
          <w:color w:val="auto"/>
        </w:rPr>
        <w:instrText xml:space="preserve"> PAGEREF _Toc4278 \h </w:instrText>
      </w:r>
      <w:r>
        <w:rPr>
          <w:color w:val="auto"/>
        </w:rPr>
        <w:fldChar w:fldCharType="separate"/>
      </w:r>
      <w:r>
        <w:rPr>
          <w:color w:val="auto"/>
        </w:rPr>
        <w:t>56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_Toc6128 </w:instrText>
      </w:r>
      <w:r>
        <w:rPr>
          <w:color w:val="auto"/>
          <w:szCs w:val="24"/>
        </w:rPr>
        <w:fldChar w:fldCharType="separate"/>
      </w:r>
      <w:r>
        <w:rPr>
          <w:rFonts w:eastAsia="黑体"/>
          <w:color w:val="auto"/>
        </w:rPr>
        <w:t>2.</w:t>
      </w:r>
      <w:r>
        <w:rPr>
          <w:rFonts w:hint="eastAsia" w:eastAsia="黑体"/>
          <w:color w:val="auto"/>
          <w:lang w:val="en-US" w:eastAsia="zh-CN"/>
        </w:rPr>
        <w:t>1</w:t>
      </w:r>
      <w:r>
        <w:rPr>
          <w:rFonts w:eastAsia="黑体"/>
          <w:color w:val="auto"/>
        </w:rPr>
        <w:t>.</w:t>
      </w:r>
      <w:r>
        <w:rPr>
          <w:rFonts w:hint="eastAsia" w:eastAsia="黑体"/>
          <w:color w:val="auto"/>
          <w:lang w:val="en-US" w:eastAsia="zh-CN"/>
        </w:rPr>
        <w:t>2港口现状</w:t>
      </w:r>
      <w:r>
        <w:rPr>
          <w:color w:val="auto"/>
        </w:rPr>
        <w:tab/>
      </w:r>
      <w:r>
        <w:rPr>
          <w:color w:val="auto"/>
        </w:rPr>
        <w:fldChar w:fldCharType="begin"/>
      </w:r>
      <w:r>
        <w:rPr>
          <w:color w:val="auto"/>
        </w:rPr>
        <w:instrText xml:space="preserve"> PAGEREF _Toc6128 \h </w:instrText>
      </w:r>
      <w:r>
        <w:rPr>
          <w:color w:val="auto"/>
        </w:rPr>
        <w:fldChar w:fldCharType="separate"/>
      </w:r>
      <w:r>
        <w:rPr>
          <w:color w:val="auto"/>
        </w:rPr>
        <w:t>56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_Toc3156 </w:instrText>
      </w:r>
      <w:r>
        <w:rPr>
          <w:color w:val="auto"/>
          <w:szCs w:val="24"/>
        </w:rPr>
        <w:fldChar w:fldCharType="separate"/>
      </w:r>
      <w:r>
        <w:rPr>
          <w:rFonts w:eastAsia="黑体"/>
          <w:color w:val="auto"/>
        </w:rPr>
        <w:t>2.</w:t>
      </w:r>
      <w:r>
        <w:rPr>
          <w:rFonts w:hint="eastAsia" w:eastAsia="黑体"/>
          <w:color w:val="auto"/>
          <w:lang w:val="en-US" w:eastAsia="zh-CN"/>
        </w:rPr>
        <w:t>1</w:t>
      </w:r>
      <w:r>
        <w:rPr>
          <w:rFonts w:eastAsia="黑体"/>
          <w:color w:val="auto"/>
        </w:rPr>
        <w:t>.</w:t>
      </w:r>
      <w:r>
        <w:rPr>
          <w:rFonts w:hint="eastAsia" w:eastAsia="黑体"/>
          <w:color w:val="auto"/>
          <w:lang w:val="en-US" w:eastAsia="zh-CN"/>
        </w:rPr>
        <w:t>3现有码头工程基本情况</w:t>
      </w:r>
      <w:r>
        <w:rPr>
          <w:color w:val="auto"/>
        </w:rPr>
        <w:tab/>
      </w:r>
      <w:r>
        <w:rPr>
          <w:color w:val="auto"/>
        </w:rPr>
        <w:fldChar w:fldCharType="begin"/>
      </w:r>
      <w:r>
        <w:rPr>
          <w:color w:val="auto"/>
        </w:rPr>
        <w:instrText xml:space="preserve"> PAGEREF _Toc3156 \h </w:instrText>
      </w:r>
      <w:r>
        <w:rPr>
          <w:color w:val="auto"/>
        </w:rPr>
        <w:fldChar w:fldCharType="separate"/>
      </w:r>
      <w:r>
        <w:rPr>
          <w:color w:val="auto"/>
        </w:rPr>
        <w:t>58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_Toc28128 </w:instrText>
      </w:r>
      <w:r>
        <w:rPr>
          <w:color w:val="auto"/>
          <w:szCs w:val="24"/>
        </w:rPr>
        <w:fldChar w:fldCharType="separate"/>
      </w:r>
      <w:r>
        <w:rPr>
          <w:rFonts w:eastAsia="黑体"/>
          <w:color w:val="auto"/>
        </w:rPr>
        <w:t>2.</w:t>
      </w:r>
      <w:r>
        <w:rPr>
          <w:rFonts w:hint="eastAsia" w:eastAsia="黑体"/>
          <w:color w:val="auto"/>
          <w:lang w:val="en-US" w:eastAsia="zh-CN"/>
        </w:rPr>
        <w:t>1</w:t>
      </w:r>
      <w:r>
        <w:rPr>
          <w:rFonts w:eastAsia="黑体"/>
          <w:color w:val="auto"/>
        </w:rPr>
        <w:t>.</w:t>
      </w:r>
      <w:r>
        <w:rPr>
          <w:rFonts w:hint="eastAsia" w:eastAsia="黑体"/>
          <w:color w:val="auto"/>
          <w:lang w:val="en-US" w:eastAsia="zh-CN"/>
        </w:rPr>
        <w:t>4现有码头建设内容</w:t>
      </w:r>
      <w:r>
        <w:rPr>
          <w:color w:val="auto"/>
        </w:rPr>
        <w:tab/>
      </w:r>
      <w:r>
        <w:rPr>
          <w:color w:val="auto"/>
        </w:rPr>
        <w:fldChar w:fldCharType="begin"/>
      </w:r>
      <w:r>
        <w:rPr>
          <w:color w:val="auto"/>
        </w:rPr>
        <w:instrText xml:space="preserve"> PAGEREF _Toc28128 \h </w:instrText>
      </w:r>
      <w:r>
        <w:rPr>
          <w:color w:val="auto"/>
        </w:rPr>
        <w:fldChar w:fldCharType="separate"/>
      </w:r>
      <w:r>
        <w:rPr>
          <w:color w:val="auto"/>
        </w:rPr>
        <w:t>58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_Toc13892 </w:instrText>
      </w:r>
      <w:r>
        <w:rPr>
          <w:color w:val="auto"/>
          <w:szCs w:val="24"/>
        </w:rPr>
        <w:fldChar w:fldCharType="separate"/>
      </w:r>
      <w:r>
        <w:rPr>
          <w:rFonts w:eastAsia="黑体"/>
          <w:color w:val="auto"/>
        </w:rPr>
        <w:t>2.</w:t>
      </w:r>
      <w:r>
        <w:rPr>
          <w:rFonts w:hint="eastAsia" w:eastAsia="黑体"/>
          <w:color w:val="auto"/>
          <w:lang w:val="en-US" w:eastAsia="zh-CN"/>
        </w:rPr>
        <w:t>1</w:t>
      </w:r>
      <w:r>
        <w:rPr>
          <w:rFonts w:eastAsia="黑体"/>
          <w:color w:val="auto"/>
        </w:rPr>
        <w:t>.</w:t>
      </w:r>
      <w:r>
        <w:rPr>
          <w:rFonts w:hint="eastAsia" w:eastAsia="黑体"/>
          <w:color w:val="auto"/>
          <w:lang w:val="en-US" w:eastAsia="zh-CN"/>
        </w:rPr>
        <w:t>5现有码头存在的主要环境问题</w:t>
      </w:r>
      <w:r>
        <w:rPr>
          <w:color w:val="auto"/>
        </w:rPr>
        <w:tab/>
      </w:r>
      <w:r>
        <w:rPr>
          <w:color w:val="auto"/>
        </w:rPr>
        <w:fldChar w:fldCharType="begin"/>
      </w:r>
      <w:r>
        <w:rPr>
          <w:color w:val="auto"/>
        </w:rPr>
        <w:instrText xml:space="preserve"> PAGEREF _Toc13892 \h </w:instrText>
      </w:r>
      <w:r>
        <w:rPr>
          <w:color w:val="auto"/>
        </w:rPr>
        <w:fldChar w:fldCharType="separate"/>
      </w:r>
      <w:r>
        <w:rPr>
          <w:color w:val="auto"/>
        </w:rPr>
        <w:t>60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_Toc23157 </w:instrText>
      </w:r>
      <w:r>
        <w:rPr>
          <w:color w:val="auto"/>
          <w:szCs w:val="24"/>
        </w:rPr>
        <w:fldChar w:fldCharType="separate"/>
      </w:r>
      <w:r>
        <w:rPr>
          <w:rFonts w:ascii="Times New Roman" w:hAnsi="Times New Roman"/>
          <w:color w:val="auto"/>
          <w:szCs w:val="32"/>
        </w:rPr>
        <w:t>2.2</w:t>
      </w:r>
      <w:r>
        <w:rPr>
          <w:rFonts w:hint="eastAsia" w:ascii="Times New Roman" w:hAnsi="Times New Roman"/>
          <w:color w:val="auto"/>
          <w:szCs w:val="32"/>
          <w:lang w:val="en-US" w:eastAsia="zh-CN"/>
        </w:rPr>
        <w:t>改建工程概况</w:t>
      </w:r>
      <w:r>
        <w:rPr>
          <w:color w:val="auto"/>
        </w:rPr>
        <w:tab/>
      </w:r>
      <w:r>
        <w:rPr>
          <w:color w:val="auto"/>
        </w:rPr>
        <w:fldChar w:fldCharType="begin"/>
      </w:r>
      <w:r>
        <w:rPr>
          <w:color w:val="auto"/>
        </w:rPr>
        <w:instrText xml:space="preserve"> PAGEREF _Toc23157 \h </w:instrText>
      </w:r>
      <w:r>
        <w:rPr>
          <w:color w:val="auto"/>
        </w:rPr>
        <w:fldChar w:fldCharType="separate"/>
      </w:r>
      <w:r>
        <w:rPr>
          <w:color w:val="auto"/>
        </w:rPr>
        <w:t>60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_Toc26747 </w:instrText>
      </w:r>
      <w:r>
        <w:rPr>
          <w:color w:val="auto"/>
          <w:szCs w:val="24"/>
        </w:rPr>
        <w:fldChar w:fldCharType="separate"/>
      </w:r>
      <w:r>
        <w:rPr>
          <w:rFonts w:eastAsia="黑体"/>
          <w:color w:val="auto"/>
        </w:rPr>
        <w:t>2.</w:t>
      </w:r>
      <w:r>
        <w:rPr>
          <w:rFonts w:hint="eastAsia" w:eastAsia="黑体"/>
          <w:color w:val="auto"/>
          <w:lang w:val="en-US" w:eastAsia="zh-CN"/>
        </w:rPr>
        <w:t>2.1改建工程建设内容</w:t>
      </w:r>
      <w:r>
        <w:rPr>
          <w:color w:val="auto"/>
        </w:rPr>
        <w:tab/>
      </w:r>
      <w:r>
        <w:rPr>
          <w:color w:val="auto"/>
        </w:rPr>
        <w:fldChar w:fldCharType="begin"/>
      </w:r>
      <w:r>
        <w:rPr>
          <w:color w:val="auto"/>
        </w:rPr>
        <w:instrText xml:space="preserve"> PAGEREF _Toc26747 \h </w:instrText>
      </w:r>
      <w:r>
        <w:rPr>
          <w:color w:val="auto"/>
        </w:rPr>
        <w:fldChar w:fldCharType="separate"/>
      </w:r>
      <w:r>
        <w:rPr>
          <w:color w:val="auto"/>
        </w:rPr>
        <w:t>60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_Toc13964 </w:instrText>
      </w:r>
      <w:r>
        <w:rPr>
          <w:color w:val="auto"/>
          <w:szCs w:val="24"/>
        </w:rPr>
        <w:fldChar w:fldCharType="separate"/>
      </w:r>
      <w:r>
        <w:rPr>
          <w:rFonts w:eastAsia="黑体"/>
          <w:color w:val="auto"/>
        </w:rPr>
        <w:t>2.</w:t>
      </w:r>
      <w:r>
        <w:rPr>
          <w:rFonts w:hint="eastAsia" w:eastAsia="黑体"/>
          <w:color w:val="auto"/>
          <w:lang w:val="en-US" w:eastAsia="zh-CN"/>
        </w:rPr>
        <w:t>2.2改建工程设计方案</w:t>
      </w:r>
      <w:r>
        <w:rPr>
          <w:color w:val="auto"/>
        </w:rPr>
        <w:tab/>
      </w:r>
      <w:r>
        <w:rPr>
          <w:color w:val="auto"/>
        </w:rPr>
        <w:fldChar w:fldCharType="begin"/>
      </w:r>
      <w:r>
        <w:rPr>
          <w:color w:val="auto"/>
        </w:rPr>
        <w:instrText xml:space="preserve"> PAGEREF _Toc13964 \h </w:instrText>
      </w:r>
      <w:r>
        <w:rPr>
          <w:color w:val="auto"/>
        </w:rPr>
        <w:fldChar w:fldCharType="separate"/>
      </w:r>
      <w:r>
        <w:rPr>
          <w:color w:val="auto"/>
        </w:rPr>
        <w:t>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_Toc27675 </w:instrText>
      </w:r>
      <w:r>
        <w:rPr>
          <w:color w:val="auto"/>
          <w:szCs w:val="24"/>
        </w:rPr>
        <w:fldChar w:fldCharType="separate"/>
      </w:r>
      <w:r>
        <w:rPr>
          <w:rFonts w:hint="eastAsia" w:eastAsia="黑体" w:cs="Times New Roman"/>
          <w:color w:val="auto"/>
          <w:lang w:val="en-US" w:eastAsia="zh-CN"/>
        </w:rPr>
        <w:t>2.2.3总平面布置与外环境关系</w:t>
      </w:r>
      <w:r>
        <w:rPr>
          <w:color w:val="auto"/>
        </w:rPr>
        <w:tab/>
      </w:r>
      <w:r>
        <w:rPr>
          <w:color w:val="auto"/>
        </w:rPr>
        <w:fldChar w:fldCharType="begin"/>
      </w:r>
      <w:r>
        <w:rPr>
          <w:color w:val="auto"/>
        </w:rPr>
        <w:instrText xml:space="preserve"> PAGEREF _Toc27675 \h </w:instrText>
      </w:r>
      <w:r>
        <w:rPr>
          <w:color w:val="auto"/>
        </w:rPr>
        <w:fldChar w:fldCharType="separate"/>
      </w:r>
      <w:r>
        <w:rPr>
          <w:color w:val="auto"/>
        </w:rPr>
        <w:t>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_Toc5014 </w:instrText>
      </w:r>
      <w:r>
        <w:rPr>
          <w:color w:val="auto"/>
          <w:szCs w:val="24"/>
        </w:rPr>
        <w:fldChar w:fldCharType="separate"/>
      </w:r>
      <w:r>
        <w:rPr>
          <w:rFonts w:ascii="Times New Roman" w:hAnsi="Times New Roman" w:eastAsia="黑体" w:cs="Times New Roman"/>
          <w:color w:val="auto"/>
        </w:rPr>
        <w:t>2.</w:t>
      </w:r>
      <w:r>
        <w:rPr>
          <w:rFonts w:hint="eastAsia" w:ascii="Times New Roman" w:hAnsi="Times New Roman" w:eastAsia="黑体" w:cs="Times New Roman"/>
          <w:color w:val="auto"/>
          <w:lang w:val="en-US" w:eastAsia="zh-CN"/>
        </w:rPr>
        <w:t>2.</w:t>
      </w:r>
      <w:r>
        <w:rPr>
          <w:rFonts w:hint="eastAsia" w:eastAsia="黑体" w:cs="Times New Roman"/>
          <w:color w:val="auto"/>
          <w:lang w:val="en-US" w:eastAsia="zh-CN"/>
        </w:rPr>
        <w:t>3</w:t>
      </w:r>
      <w:r>
        <w:rPr>
          <w:rFonts w:hint="eastAsia" w:ascii="Times New Roman" w:hAnsi="Times New Roman" w:eastAsia="黑体" w:cs="Times New Roman"/>
          <w:color w:val="auto"/>
          <w:lang w:val="en-US" w:eastAsia="zh-CN"/>
        </w:rPr>
        <w:t>装卸工艺</w:t>
      </w:r>
      <w:r>
        <w:rPr>
          <w:color w:val="auto"/>
        </w:rPr>
        <w:tab/>
      </w:r>
      <w:r>
        <w:rPr>
          <w:color w:val="auto"/>
        </w:rPr>
        <w:fldChar w:fldCharType="begin"/>
      </w:r>
      <w:r>
        <w:rPr>
          <w:color w:val="auto"/>
        </w:rPr>
        <w:instrText xml:space="preserve"> PAGEREF _Toc5014 \h </w:instrText>
      </w:r>
      <w:r>
        <w:rPr>
          <w:color w:val="auto"/>
        </w:rPr>
        <w:fldChar w:fldCharType="separate"/>
      </w:r>
      <w:r>
        <w:rPr>
          <w:color w:val="auto"/>
        </w:rPr>
        <w:t>63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_Toc3681 </w:instrText>
      </w:r>
      <w:r>
        <w:rPr>
          <w:color w:val="auto"/>
          <w:szCs w:val="24"/>
        </w:rPr>
        <w:fldChar w:fldCharType="separate"/>
      </w:r>
      <w:r>
        <w:rPr>
          <w:rFonts w:eastAsia="黑体"/>
          <w:color w:val="auto"/>
        </w:rPr>
        <w:t>2.</w:t>
      </w:r>
      <w:r>
        <w:rPr>
          <w:rFonts w:hint="eastAsia" w:eastAsia="黑体"/>
          <w:color w:val="auto"/>
          <w:lang w:val="en-US" w:eastAsia="zh-CN"/>
        </w:rPr>
        <w:t>2.4水工建筑物</w:t>
      </w:r>
      <w:r>
        <w:rPr>
          <w:color w:val="auto"/>
        </w:rPr>
        <w:tab/>
      </w:r>
      <w:r>
        <w:rPr>
          <w:color w:val="auto"/>
        </w:rPr>
        <w:fldChar w:fldCharType="begin"/>
      </w:r>
      <w:r>
        <w:rPr>
          <w:color w:val="auto"/>
        </w:rPr>
        <w:instrText xml:space="preserve"> PAGEREF _Toc3681 \h </w:instrText>
      </w:r>
      <w:r>
        <w:rPr>
          <w:color w:val="auto"/>
        </w:rPr>
        <w:fldChar w:fldCharType="separate"/>
      </w:r>
      <w:r>
        <w:rPr>
          <w:color w:val="auto"/>
        </w:rPr>
        <w:t>65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_Toc11579 </w:instrText>
      </w:r>
      <w:r>
        <w:rPr>
          <w:color w:val="auto"/>
          <w:szCs w:val="24"/>
        </w:rPr>
        <w:fldChar w:fldCharType="separate"/>
      </w:r>
      <w:r>
        <w:rPr>
          <w:rFonts w:ascii="Times New Roman" w:hAnsi="Times New Roman" w:eastAsia="黑体" w:cs="Times New Roman"/>
          <w:color w:val="auto"/>
        </w:rPr>
        <w:t>2.</w:t>
      </w:r>
      <w:r>
        <w:rPr>
          <w:rFonts w:hint="eastAsia" w:ascii="Times New Roman" w:hAnsi="Times New Roman" w:eastAsia="黑体" w:cs="Times New Roman"/>
          <w:color w:val="auto"/>
          <w:lang w:val="en-US" w:eastAsia="zh-CN"/>
        </w:rPr>
        <w:t>2.</w:t>
      </w:r>
      <w:r>
        <w:rPr>
          <w:rFonts w:hint="eastAsia" w:eastAsia="黑体" w:cs="Times New Roman"/>
          <w:color w:val="auto"/>
          <w:lang w:val="en-US" w:eastAsia="zh-CN"/>
        </w:rPr>
        <w:t>5</w:t>
      </w:r>
      <w:r>
        <w:rPr>
          <w:rFonts w:ascii="Times New Roman" w:hAnsi="Times New Roman" w:eastAsia="黑体" w:cs="Times New Roman"/>
          <w:color w:val="auto"/>
        </w:rPr>
        <w:t>公用工程</w:t>
      </w:r>
      <w:r>
        <w:rPr>
          <w:color w:val="auto"/>
        </w:rPr>
        <w:tab/>
      </w:r>
      <w:r>
        <w:rPr>
          <w:color w:val="auto"/>
        </w:rPr>
        <w:fldChar w:fldCharType="begin"/>
      </w:r>
      <w:r>
        <w:rPr>
          <w:color w:val="auto"/>
        </w:rPr>
        <w:instrText xml:space="preserve"> PAGEREF _Toc11579 \h </w:instrText>
      </w:r>
      <w:r>
        <w:rPr>
          <w:color w:val="auto"/>
        </w:rPr>
        <w:fldChar w:fldCharType="separate"/>
      </w:r>
      <w:r>
        <w:rPr>
          <w:color w:val="auto"/>
        </w:rPr>
        <w:t>67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_Toc14891 </w:instrText>
      </w:r>
      <w:r>
        <w:rPr>
          <w:color w:val="auto"/>
          <w:szCs w:val="24"/>
        </w:rPr>
        <w:fldChar w:fldCharType="separate"/>
      </w:r>
      <w:r>
        <w:rPr>
          <w:rFonts w:ascii="Times New Roman" w:hAnsi="Times New Roman" w:eastAsia="黑体" w:cs="Times New Roman"/>
          <w:color w:val="auto"/>
        </w:rPr>
        <w:t>2.</w:t>
      </w:r>
      <w:r>
        <w:rPr>
          <w:rFonts w:hint="eastAsia" w:ascii="Times New Roman" w:hAnsi="Times New Roman" w:eastAsia="黑体" w:cs="Times New Roman"/>
          <w:color w:val="auto"/>
          <w:lang w:val="en-US" w:eastAsia="zh-CN"/>
        </w:rPr>
        <w:t>2.</w:t>
      </w:r>
      <w:r>
        <w:rPr>
          <w:rFonts w:hint="eastAsia" w:eastAsia="黑体" w:cs="Times New Roman"/>
          <w:color w:val="auto"/>
          <w:lang w:val="en-US" w:eastAsia="zh-CN"/>
        </w:rPr>
        <w:t>6施工平面布置</w:t>
      </w:r>
      <w:r>
        <w:rPr>
          <w:color w:val="auto"/>
        </w:rPr>
        <w:tab/>
      </w:r>
      <w:r>
        <w:rPr>
          <w:color w:val="auto"/>
        </w:rPr>
        <w:fldChar w:fldCharType="begin"/>
      </w:r>
      <w:r>
        <w:rPr>
          <w:color w:val="auto"/>
        </w:rPr>
        <w:instrText xml:space="preserve"> PAGEREF _Toc14891 \h </w:instrText>
      </w:r>
      <w:r>
        <w:rPr>
          <w:color w:val="auto"/>
        </w:rPr>
        <w:fldChar w:fldCharType="separate"/>
      </w:r>
      <w:r>
        <w:rPr>
          <w:color w:val="auto"/>
        </w:rPr>
        <w:t>69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_Toc20822 </w:instrText>
      </w:r>
      <w:r>
        <w:rPr>
          <w:color w:val="auto"/>
          <w:szCs w:val="24"/>
        </w:rPr>
        <w:fldChar w:fldCharType="separate"/>
      </w:r>
      <w:r>
        <w:rPr>
          <w:rFonts w:ascii="Times New Roman" w:hAnsi="Times New Roman" w:eastAsia="黑体" w:cs="Times New Roman"/>
          <w:color w:val="auto"/>
        </w:rPr>
        <w:t>2.</w:t>
      </w:r>
      <w:r>
        <w:rPr>
          <w:rFonts w:hint="eastAsia" w:ascii="Times New Roman" w:hAnsi="Times New Roman" w:eastAsia="黑体" w:cs="Times New Roman"/>
          <w:color w:val="auto"/>
          <w:lang w:val="en-US" w:eastAsia="zh-CN"/>
        </w:rPr>
        <w:t>2.</w:t>
      </w:r>
      <w:r>
        <w:rPr>
          <w:rFonts w:hint="eastAsia" w:eastAsia="黑体" w:cs="Times New Roman"/>
          <w:color w:val="auto"/>
          <w:lang w:val="en-US" w:eastAsia="zh-CN"/>
        </w:rPr>
        <w:t>7</w:t>
      </w:r>
      <w:r>
        <w:rPr>
          <w:rFonts w:ascii="Times New Roman" w:hAnsi="Times New Roman" w:eastAsia="黑体" w:cs="Times New Roman"/>
          <w:color w:val="auto"/>
        </w:rPr>
        <w:t>劳动定员与工作制度</w:t>
      </w:r>
      <w:r>
        <w:rPr>
          <w:color w:val="auto"/>
        </w:rPr>
        <w:tab/>
      </w:r>
      <w:r>
        <w:rPr>
          <w:color w:val="auto"/>
        </w:rPr>
        <w:fldChar w:fldCharType="begin"/>
      </w:r>
      <w:r>
        <w:rPr>
          <w:color w:val="auto"/>
        </w:rPr>
        <w:instrText xml:space="preserve"> PAGEREF _Toc20822 \h </w:instrText>
      </w:r>
      <w:r>
        <w:rPr>
          <w:color w:val="auto"/>
        </w:rPr>
        <w:fldChar w:fldCharType="separate"/>
      </w:r>
      <w:r>
        <w:rPr>
          <w:color w:val="auto"/>
        </w:rPr>
        <w:t>69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_Toc8849 </w:instrText>
      </w:r>
      <w:r>
        <w:rPr>
          <w:color w:val="auto"/>
          <w:szCs w:val="24"/>
        </w:rPr>
        <w:fldChar w:fldCharType="separate"/>
      </w:r>
      <w:r>
        <w:rPr>
          <w:rFonts w:hint="eastAsia" w:eastAsia="黑体" w:cs="Times New Roman"/>
          <w:color w:val="auto"/>
          <w:lang w:val="en-US" w:eastAsia="zh-CN"/>
        </w:rPr>
        <w:t>2.2.8施工方案</w:t>
      </w:r>
      <w:r>
        <w:rPr>
          <w:color w:val="auto"/>
        </w:rPr>
        <w:tab/>
      </w:r>
      <w:r>
        <w:rPr>
          <w:color w:val="auto"/>
        </w:rPr>
        <w:fldChar w:fldCharType="begin"/>
      </w:r>
      <w:r>
        <w:rPr>
          <w:color w:val="auto"/>
        </w:rPr>
        <w:instrText xml:space="preserve"> PAGEREF _Toc8849 \h </w:instrText>
      </w:r>
      <w:r>
        <w:rPr>
          <w:color w:val="auto"/>
        </w:rPr>
        <w:fldChar w:fldCharType="separate"/>
      </w:r>
      <w:r>
        <w:rPr>
          <w:color w:val="auto"/>
        </w:rPr>
        <w:t>70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_Toc14496 </w:instrText>
      </w:r>
      <w:r>
        <w:rPr>
          <w:color w:val="auto"/>
          <w:szCs w:val="24"/>
        </w:rPr>
        <w:fldChar w:fldCharType="separate"/>
      </w:r>
      <w:r>
        <w:rPr>
          <w:rFonts w:ascii="Times New Roman" w:hAnsi="Times New Roman" w:eastAsia="黑体" w:cs="Times New Roman"/>
          <w:color w:val="auto"/>
        </w:rPr>
        <w:t>2.</w:t>
      </w:r>
      <w:r>
        <w:rPr>
          <w:rFonts w:hint="eastAsia" w:ascii="Times New Roman" w:hAnsi="Times New Roman" w:eastAsia="黑体" w:cs="Times New Roman"/>
          <w:color w:val="auto"/>
          <w:lang w:val="en-US" w:eastAsia="zh-CN"/>
        </w:rPr>
        <w:t>2.</w:t>
      </w:r>
      <w:r>
        <w:rPr>
          <w:rFonts w:hint="eastAsia" w:eastAsia="黑体" w:cs="Times New Roman"/>
          <w:color w:val="auto"/>
          <w:lang w:val="en-US" w:eastAsia="zh-CN"/>
        </w:rPr>
        <w:t>9</w:t>
      </w:r>
      <w:r>
        <w:rPr>
          <w:rFonts w:hint="eastAsia" w:ascii="Times New Roman" w:hAnsi="Times New Roman" w:eastAsia="黑体" w:cs="Times New Roman"/>
          <w:color w:val="auto"/>
          <w:lang w:val="en-US" w:eastAsia="zh-CN"/>
        </w:rPr>
        <w:t>总投资及建设工期</w:t>
      </w:r>
      <w:r>
        <w:rPr>
          <w:color w:val="auto"/>
        </w:rPr>
        <w:tab/>
      </w:r>
      <w:r>
        <w:rPr>
          <w:color w:val="auto"/>
        </w:rPr>
        <w:fldChar w:fldCharType="begin"/>
      </w:r>
      <w:r>
        <w:rPr>
          <w:color w:val="auto"/>
        </w:rPr>
        <w:instrText xml:space="preserve"> PAGEREF _Toc14496 \h </w:instrText>
      </w:r>
      <w:r>
        <w:rPr>
          <w:color w:val="auto"/>
        </w:rPr>
        <w:fldChar w:fldCharType="separate"/>
      </w:r>
      <w:r>
        <w:rPr>
          <w:color w:val="auto"/>
        </w:rPr>
        <w:t>72</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_Toc12131 </w:instrText>
      </w:r>
      <w:r>
        <w:rPr>
          <w:color w:val="auto"/>
          <w:szCs w:val="24"/>
        </w:rPr>
        <w:fldChar w:fldCharType="separate"/>
      </w:r>
      <w:r>
        <w:rPr>
          <w:rFonts w:eastAsia="黑体"/>
          <w:color w:val="auto"/>
          <w:szCs w:val="44"/>
        </w:rPr>
        <w:t>3</w:t>
      </w:r>
      <w:r>
        <w:rPr>
          <w:rFonts w:hint="eastAsia" w:eastAsia="黑体"/>
          <w:color w:val="auto"/>
          <w:szCs w:val="44"/>
          <w:lang w:val="en-US" w:eastAsia="zh-CN"/>
        </w:rPr>
        <w:t>建设项目</w:t>
      </w:r>
      <w:r>
        <w:rPr>
          <w:rFonts w:eastAsia="黑体"/>
          <w:color w:val="auto"/>
          <w:szCs w:val="44"/>
        </w:rPr>
        <w:t>工程分析</w:t>
      </w:r>
      <w:r>
        <w:rPr>
          <w:color w:val="auto"/>
        </w:rPr>
        <w:tab/>
      </w:r>
      <w:r>
        <w:rPr>
          <w:color w:val="auto"/>
        </w:rPr>
        <w:fldChar w:fldCharType="begin"/>
      </w:r>
      <w:r>
        <w:rPr>
          <w:color w:val="auto"/>
        </w:rPr>
        <w:instrText xml:space="preserve"> PAGEREF _Toc12131 \h </w:instrText>
      </w:r>
      <w:r>
        <w:rPr>
          <w:color w:val="auto"/>
        </w:rPr>
        <w:fldChar w:fldCharType="separate"/>
      </w:r>
      <w:r>
        <w:rPr>
          <w:color w:val="auto"/>
        </w:rPr>
        <w:t>74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_Toc23990 </w:instrText>
      </w:r>
      <w:r>
        <w:rPr>
          <w:color w:val="auto"/>
          <w:szCs w:val="24"/>
        </w:rPr>
        <w:fldChar w:fldCharType="separate"/>
      </w:r>
      <w:r>
        <w:rPr>
          <w:rFonts w:hint="eastAsia" w:ascii="Times New Roman" w:hAnsi="Times New Roman" w:cs="Times New Roman"/>
          <w:bCs/>
          <w:color w:val="auto"/>
          <w:szCs w:val="32"/>
        </w:rPr>
        <w:t>3.1施工期污染源分析</w:t>
      </w:r>
      <w:r>
        <w:rPr>
          <w:color w:val="auto"/>
        </w:rPr>
        <w:tab/>
      </w:r>
      <w:r>
        <w:rPr>
          <w:color w:val="auto"/>
        </w:rPr>
        <w:fldChar w:fldCharType="begin"/>
      </w:r>
      <w:r>
        <w:rPr>
          <w:color w:val="auto"/>
        </w:rPr>
        <w:instrText xml:space="preserve"> PAGEREF _Toc23990 \h </w:instrText>
      </w:r>
      <w:r>
        <w:rPr>
          <w:color w:val="auto"/>
        </w:rPr>
        <w:fldChar w:fldCharType="separate"/>
      </w:r>
      <w:r>
        <w:rPr>
          <w:color w:val="auto"/>
        </w:rPr>
        <w:t>74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_Toc8852 </w:instrText>
      </w:r>
      <w:r>
        <w:rPr>
          <w:color w:val="auto"/>
          <w:szCs w:val="24"/>
        </w:rPr>
        <w:fldChar w:fldCharType="separate"/>
      </w:r>
      <w:r>
        <w:rPr>
          <w:rFonts w:hint="eastAsia" w:ascii="Times New Roman" w:hAnsi="Times New Roman" w:eastAsia="黑体" w:cs="Times New Roman"/>
          <w:bCs/>
          <w:color w:val="auto"/>
        </w:rPr>
        <w:t>3.1.1</w:t>
      </w:r>
      <w:r>
        <w:rPr>
          <w:rFonts w:hint="eastAsia" w:ascii="Times New Roman" w:hAnsi="Times New Roman" w:eastAsia="黑体" w:cs="Times New Roman"/>
          <w:bCs/>
          <w:color w:val="auto"/>
          <w:lang w:val="en-US" w:eastAsia="zh-CN"/>
        </w:rPr>
        <w:t>大气</w:t>
      </w:r>
      <w:r>
        <w:rPr>
          <w:rFonts w:hint="eastAsia" w:ascii="Times New Roman" w:hAnsi="Times New Roman" w:eastAsia="黑体" w:cs="Times New Roman"/>
          <w:bCs/>
          <w:color w:val="auto"/>
        </w:rPr>
        <w:t>环境</w:t>
      </w:r>
      <w:r>
        <w:rPr>
          <w:color w:val="auto"/>
        </w:rPr>
        <w:tab/>
      </w:r>
      <w:r>
        <w:rPr>
          <w:color w:val="auto"/>
        </w:rPr>
        <w:fldChar w:fldCharType="begin"/>
      </w:r>
      <w:r>
        <w:rPr>
          <w:color w:val="auto"/>
        </w:rPr>
        <w:instrText xml:space="preserve"> PAGEREF _Toc8852 \h </w:instrText>
      </w:r>
      <w:r>
        <w:rPr>
          <w:color w:val="auto"/>
        </w:rPr>
        <w:fldChar w:fldCharType="separate"/>
      </w:r>
      <w:r>
        <w:rPr>
          <w:color w:val="auto"/>
        </w:rPr>
        <w:t>74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_Toc3434 </w:instrText>
      </w:r>
      <w:r>
        <w:rPr>
          <w:color w:val="auto"/>
          <w:szCs w:val="24"/>
        </w:rPr>
        <w:fldChar w:fldCharType="separate"/>
      </w:r>
      <w:r>
        <w:rPr>
          <w:rFonts w:hint="eastAsia" w:ascii="Times New Roman" w:hAnsi="Times New Roman" w:eastAsia="黑体" w:cs="Times New Roman"/>
          <w:bCs/>
          <w:color w:val="auto"/>
        </w:rPr>
        <w:t>3.1.</w:t>
      </w:r>
      <w:r>
        <w:rPr>
          <w:rFonts w:hint="eastAsia" w:eastAsia="黑体" w:cs="Times New Roman"/>
          <w:bCs/>
          <w:color w:val="auto"/>
          <w:lang w:val="en-US" w:eastAsia="zh-CN"/>
        </w:rPr>
        <w:t>2</w:t>
      </w:r>
      <w:r>
        <w:rPr>
          <w:rFonts w:hint="eastAsia" w:ascii="Times New Roman" w:hAnsi="Times New Roman" w:eastAsia="黑体" w:cs="Times New Roman"/>
          <w:bCs/>
          <w:color w:val="auto"/>
          <w:lang w:val="en-US" w:eastAsia="zh-CN"/>
        </w:rPr>
        <w:t>水</w:t>
      </w:r>
      <w:r>
        <w:rPr>
          <w:rFonts w:hint="eastAsia" w:ascii="Times New Roman" w:hAnsi="Times New Roman" w:eastAsia="黑体" w:cs="Times New Roman"/>
          <w:bCs/>
          <w:color w:val="auto"/>
        </w:rPr>
        <w:t>环境</w:t>
      </w:r>
      <w:r>
        <w:rPr>
          <w:color w:val="auto"/>
        </w:rPr>
        <w:tab/>
      </w:r>
      <w:r>
        <w:rPr>
          <w:color w:val="auto"/>
        </w:rPr>
        <w:fldChar w:fldCharType="begin"/>
      </w:r>
      <w:r>
        <w:rPr>
          <w:color w:val="auto"/>
        </w:rPr>
        <w:instrText xml:space="preserve"> PAGEREF _Toc3434 \h </w:instrText>
      </w:r>
      <w:r>
        <w:rPr>
          <w:color w:val="auto"/>
        </w:rPr>
        <w:fldChar w:fldCharType="separate"/>
      </w:r>
      <w:r>
        <w:rPr>
          <w:color w:val="auto"/>
        </w:rPr>
        <w:t>76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_Toc26056 </w:instrText>
      </w:r>
      <w:r>
        <w:rPr>
          <w:color w:val="auto"/>
          <w:szCs w:val="24"/>
        </w:rPr>
        <w:fldChar w:fldCharType="separate"/>
      </w:r>
      <w:r>
        <w:rPr>
          <w:rFonts w:hint="eastAsia" w:ascii="Times New Roman" w:hAnsi="Times New Roman" w:eastAsia="黑体" w:cs="Times New Roman"/>
          <w:bCs/>
          <w:color w:val="auto"/>
        </w:rPr>
        <w:t>3.1.</w:t>
      </w:r>
      <w:r>
        <w:rPr>
          <w:rFonts w:hint="eastAsia" w:eastAsia="黑体" w:cs="Times New Roman"/>
          <w:bCs/>
          <w:color w:val="auto"/>
          <w:lang w:val="en-US" w:eastAsia="zh-CN"/>
        </w:rPr>
        <w:t>3声</w:t>
      </w:r>
      <w:r>
        <w:rPr>
          <w:rFonts w:hint="eastAsia" w:ascii="Times New Roman" w:hAnsi="Times New Roman" w:eastAsia="黑体" w:cs="Times New Roman"/>
          <w:bCs/>
          <w:color w:val="auto"/>
        </w:rPr>
        <w:t>环境</w:t>
      </w:r>
      <w:r>
        <w:rPr>
          <w:color w:val="auto"/>
        </w:rPr>
        <w:tab/>
      </w:r>
      <w:r>
        <w:rPr>
          <w:color w:val="auto"/>
        </w:rPr>
        <w:fldChar w:fldCharType="begin"/>
      </w:r>
      <w:r>
        <w:rPr>
          <w:color w:val="auto"/>
        </w:rPr>
        <w:instrText xml:space="preserve"> PAGEREF _Toc26056 \h </w:instrText>
      </w:r>
      <w:r>
        <w:rPr>
          <w:color w:val="auto"/>
        </w:rPr>
        <w:fldChar w:fldCharType="separate"/>
      </w:r>
      <w:r>
        <w:rPr>
          <w:color w:val="auto"/>
        </w:rPr>
        <w:t>78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_Toc636 </w:instrText>
      </w:r>
      <w:r>
        <w:rPr>
          <w:color w:val="auto"/>
          <w:szCs w:val="24"/>
        </w:rPr>
        <w:fldChar w:fldCharType="separate"/>
      </w:r>
      <w:r>
        <w:rPr>
          <w:rFonts w:hint="eastAsia" w:ascii="Times New Roman" w:hAnsi="Times New Roman" w:eastAsia="黑体" w:cs="Times New Roman"/>
          <w:bCs/>
          <w:color w:val="auto"/>
        </w:rPr>
        <w:t>3.1.</w:t>
      </w:r>
      <w:r>
        <w:rPr>
          <w:rFonts w:hint="eastAsia" w:eastAsia="黑体" w:cs="Times New Roman"/>
          <w:bCs/>
          <w:color w:val="auto"/>
          <w:lang w:val="en-US" w:eastAsia="zh-CN"/>
        </w:rPr>
        <w:t>4固体废物</w:t>
      </w:r>
      <w:r>
        <w:rPr>
          <w:color w:val="auto"/>
        </w:rPr>
        <w:tab/>
      </w:r>
      <w:r>
        <w:rPr>
          <w:color w:val="auto"/>
        </w:rPr>
        <w:fldChar w:fldCharType="begin"/>
      </w:r>
      <w:r>
        <w:rPr>
          <w:color w:val="auto"/>
        </w:rPr>
        <w:instrText xml:space="preserve"> PAGEREF _Toc636 \h </w:instrText>
      </w:r>
      <w:r>
        <w:rPr>
          <w:color w:val="auto"/>
        </w:rPr>
        <w:fldChar w:fldCharType="separate"/>
      </w:r>
      <w:r>
        <w:rPr>
          <w:color w:val="auto"/>
        </w:rPr>
        <w:t>78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_Toc10668 </w:instrText>
      </w:r>
      <w:r>
        <w:rPr>
          <w:color w:val="auto"/>
          <w:szCs w:val="24"/>
        </w:rPr>
        <w:fldChar w:fldCharType="separate"/>
      </w:r>
      <w:r>
        <w:rPr>
          <w:rFonts w:hint="eastAsia" w:ascii="Times New Roman" w:hAnsi="Times New Roman" w:eastAsia="黑体" w:cs="Times New Roman"/>
          <w:bCs/>
          <w:color w:val="auto"/>
        </w:rPr>
        <w:t>3.1.</w:t>
      </w:r>
      <w:r>
        <w:rPr>
          <w:rFonts w:hint="eastAsia" w:eastAsia="黑体" w:cs="Times New Roman"/>
          <w:bCs/>
          <w:color w:val="auto"/>
          <w:lang w:val="en-US" w:eastAsia="zh-CN"/>
        </w:rPr>
        <w:t>5生态环境</w:t>
      </w:r>
      <w:r>
        <w:rPr>
          <w:color w:val="auto"/>
        </w:rPr>
        <w:tab/>
      </w:r>
      <w:r>
        <w:rPr>
          <w:color w:val="auto"/>
        </w:rPr>
        <w:fldChar w:fldCharType="begin"/>
      </w:r>
      <w:r>
        <w:rPr>
          <w:color w:val="auto"/>
        </w:rPr>
        <w:instrText xml:space="preserve"> PAGEREF _Toc10668 \h </w:instrText>
      </w:r>
      <w:r>
        <w:rPr>
          <w:color w:val="auto"/>
        </w:rPr>
        <w:fldChar w:fldCharType="separate"/>
      </w:r>
      <w:r>
        <w:rPr>
          <w:color w:val="auto"/>
        </w:rPr>
        <w:t>79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_Toc12327 </w:instrText>
      </w:r>
      <w:r>
        <w:rPr>
          <w:color w:val="auto"/>
          <w:szCs w:val="24"/>
        </w:rPr>
        <w:fldChar w:fldCharType="separate"/>
      </w:r>
      <w:r>
        <w:rPr>
          <w:rFonts w:ascii="Times New Roman" w:hAnsi="Times New Roman"/>
          <w:color w:val="auto"/>
          <w:szCs w:val="32"/>
        </w:rPr>
        <w:t>3.</w:t>
      </w:r>
      <w:r>
        <w:rPr>
          <w:rFonts w:hint="eastAsia" w:ascii="Times New Roman" w:hAnsi="Times New Roman"/>
          <w:color w:val="auto"/>
          <w:szCs w:val="32"/>
          <w:lang w:val="en-US" w:eastAsia="zh-CN"/>
        </w:rPr>
        <w:t>2运营期污染源分析</w:t>
      </w:r>
      <w:r>
        <w:rPr>
          <w:color w:val="auto"/>
        </w:rPr>
        <w:tab/>
      </w:r>
      <w:r>
        <w:rPr>
          <w:color w:val="auto"/>
        </w:rPr>
        <w:fldChar w:fldCharType="begin"/>
      </w:r>
      <w:r>
        <w:rPr>
          <w:color w:val="auto"/>
        </w:rPr>
        <w:instrText xml:space="preserve"> PAGEREF _Toc12327 \h </w:instrText>
      </w:r>
      <w:r>
        <w:rPr>
          <w:color w:val="auto"/>
        </w:rPr>
        <w:fldChar w:fldCharType="separate"/>
      </w:r>
      <w:r>
        <w:rPr>
          <w:color w:val="auto"/>
        </w:rPr>
        <w:t>80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_Toc3268 </w:instrText>
      </w:r>
      <w:r>
        <w:rPr>
          <w:color w:val="auto"/>
          <w:szCs w:val="24"/>
        </w:rPr>
        <w:fldChar w:fldCharType="separate"/>
      </w:r>
      <w:r>
        <w:rPr>
          <w:rFonts w:hint="eastAsia" w:eastAsia="黑体"/>
          <w:color w:val="auto"/>
        </w:rPr>
        <w:t>3.</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1废气</w:t>
      </w:r>
      <w:r>
        <w:rPr>
          <w:color w:val="auto"/>
        </w:rPr>
        <w:tab/>
      </w:r>
      <w:r>
        <w:rPr>
          <w:color w:val="auto"/>
        </w:rPr>
        <w:fldChar w:fldCharType="begin"/>
      </w:r>
      <w:r>
        <w:rPr>
          <w:color w:val="auto"/>
        </w:rPr>
        <w:instrText xml:space="preserve"> PAGEREF _Toc3268 \h </w:instrText>
      </w:r>
      <w:r>
        <w:rPr>
          <w:color w:val="auto"/>
        </w:rPr>
        <w:fldChar w:fldCharType="separate"/>
      </w:r>
      <w:r>
        <w:rPr>
          <w:color w:val="auto"/>
        </w:rPr>
        <w:t>81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_Toc14899 </w:instrText>
      </w:r>
      <w:r>
        <w:rPr>
          <w:color w:val="auto"/>
          <w:szCs w:val="24"/>
        </w:rPr>
        <w:fldChar w:fldCharType="separate"/>
      </w:r>
      <w:r>
        <w:rPr>
          <w:rFonts w:hint="eastAsia" w:eastAsia="黑体"/>
          <w:color w:val="auto"/>
        </w:rPr>
        <w:t>3.</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2废水</w:t>
      </w:r>
      <w:r>
        <w:rPr>
          <w:color w:val="auto"/>
        </w:rPr>
        <w:tab/>
      </w:r>
      <w:r>
        <w:rPr>
          <w:color w:val="auto"/>
        </w:rPr>
        <w:fldChar w:fldCharType="begin"/>
      </w:r>
      <w:r>
        <w:rPr>
          <w:color w:val="auto"/>
        </w:rPr>
        <w:instrText xml:space="preserve"> PAGEREF _Toc14899 \h </w:instrText>
      </w:r>
      <w:r>
        <w:rPr>
          <w:color w:val="auto"/>
        </w:rPr>
        <w:fldChar w:fldCharType="separate"/>
      </w:r>
      <w:r>
        <w:rPr>
          <w:color w:val="auto"/>
        </w:rPr>
        <w:t>85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_Toc28101 </w:instrText>
      </w:r>
      <w:r>
        <w:rPr>
          <w:color w:val="auto"/>
          <w:szCs w:val="24"/>
        </w:rPr>
        <w:fldChar w:fldCharType="separate"/>
      </w:r>
      <w:r>
        <w:rPr>
          <w:rFonts w:hint="eastAsia" w:eastAsia="黑体"/>
          <w:color w:val="auto"/>
        </w:rPr>
        <w:t>3.</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3噪声</w:t>
      </w:r>
      <w:r>
        <w:rPr>
          <w:color w:val="auto"/>
        </w:rPr>
        <w:tab/>
      </w:r>
      <w:r>
        <w:rPr>
          <w:color w:val="auto"/>
        </w:rPr>
        <w:fldChar w:fldCharType="begin"/>
      </w:r>
      <w:r>
        <w:rPr>
          <w:color w:val="auto"/>
        </w:rPr>
        <w:instrText xml:space="preserve"> PAGEREF _Toc28101 \h </w:instrText>
      </w:r>
      <w:r>
        <w:rPr>
          <w:color w:val="auto"/>
        </w:rPr>
        <w:fldChar w:fldCharType="separate"/>
      </w:r>
      <w:r>
        <w:rPr>
          <w:color w:val="auto"/>
        </w:rPr>
        <w:t>88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_Toc20066 </w:instrText>
      </w:r>
      <w:r>
        <w:rPr>
          <w:color w:val="auto"/>
          <w:szCs w:val="24"/>
        </w:rPr>
        <w:fldChar w:fldCharType="separate"/>
      </w:r>
      <w:r>
        <w:rPr>
          <w:rFonts w:hint="eastAsia" w:eastAsia="黑体"/>
          <w:color w:val="auto"/>
        </w:rPr>
        <w:t>3.</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4固体废物</w:t>
      </w:r>
      <w:r>
        <w:rPr>
          <w:color w:val="auto"/>
        </w:rPr>
        <w:tab/>
      </w:r>
      <w:r>
        <w:rPr>
          <w:color w:val="auto"/>
        </w:rPr>
        <w:fldChar w:fldCharType="begin"/>
      </w:r>
      <w:r>
        <w:rPr>
          <w:color w:val="auto"/>
        </w:rPr>
        <w:instrText xml:space="preserve"> PAGEREF _Toc20066 \h </w:instrText>
      </w:r>
      <w:r>
        <w:rPr>
          <w:color w:val="auto"/>
        </w:rPr>
        <w:fldChar w:fldCharType="separate"/>
      </w:r>
      <w:r>
        <w:rPr>
          <w:color w:val="auto"/>
        </w:rPr>
        <w:t>88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_Toc28096 </w:instrText>
      </w:r>
      <w:r>
        <w:rPr>
          <w:color w:val="auto"/>
          <w:szCs w:val="24"/>
        </w:rPr>
        <w:fldChar w:fldCharType="separate"/>
      </w:r>
      <w:r>
        <w:rPr>
          <w:rFonts w:hint="eastAsia" w:eastAsia="黑体"/>
          <w:color w:val="auto"/>
        </w:rPr>
        <w:t>3.</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5生态环境</w:t>
      </w:r>
      <w:r>
        <w:rPr>
          <w:color w:val="auto"/>
        </w:rPr>
        <w:tab/>
      </w:r>
      <w:r>
        <w:rPr>
          <w:color w:val="auto"/>
        </w:rPr>
        <w:fldChar w:fldCharType="begin"/>
      </w:r>
      <w:r>
        <w:rPr>
          <w:color w:val="auto"/>
        </w:rPr>
        <w:instrText xml:space="preserve"> PAGEREF _Toc28096 \h </w:instrText>
      </w:r>
      <w:r>
        <w:rPr>
          <w:color w:val="auto"/>
        </w:rPr>
        <w:fldChar w:fldCharType="separate"/>
      </w:r>
      <w:r>
        <w:rPr>
          <w:color w:val="auto"/>
        </w:rPr>
        <w:t>89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_Toc29299 </w:instrText>
      </w:r>
      <w:r>
        <w:rPr>
          <w:color w:val="auto"/>
          <w:szCs w:val="24"/>
        </w:rPr>
        <w:fldChar w:fldCharType="separate"/>
      </w:r>
      <w:r>
        <w:rPr>
          <w:rFonts w:eastAsia="黑体"/>
          <w:color w:val="auto"/>
        </w:rPr>
        <w:t>3.</w:t>
      </w:r>
      <w:r>
        <w:rPr>
          <w:rFonts w:hint="eastAsia" w:eastAsia="黑体"/>
          <w:color w:val="auto"/>
          <w:lang w:val="en-US" w:eastAsia="zh-CN"/>
        </w:rPr>
        <w:t>2</w:t>
      </w:r>
      <w:r>
        <w:rPr>
          <w:rFonts w:eastAsia="黑体"/>
          <w:color w:val="auto"/>
        </w:rPr>
        <w:t>.</w:t>
      </w:r>
      <w:r>
        <w:rPr>
          <w:rFonts w:hint="eastAsia" w:eastAsia="黑体"/>
          <w:color w:val="auto"/>
          <w:lang w:val="en-US" w:eastAsia="zh-CN"/>
        </w:rPr>
        <w:t>6</w:t>
      </w:r>
      <w:r>
        <w:rPr>
          <w:rFonts w:eastAsia="黑体"/>
          <w:color w:val="auto"/>
        </w:rPr>
        <w:t>污染物排放情况汇总</w:t>
      </w:r>
      <w:r>
        <w:rPr>
          <w:color w:val="auto"/>
        </w:rPr>
        <w:tab/>
      </w:r>
      <w:r>
        <w:rPr>
          <w:color w:val="auto"/>
        </w:rPr>
        <w:fldChar w:fldCharType="begin"/>
      </w:r>
      <w:r>
        <w:rPr>
          <w:color w:val="auto"/>
        </w:rPr>
        <w:instrText xml:space="preserve"> PAGEREF _Toc29299 \h </w:instrText>
      </w:r>
      <w:r>
        <w:rPr>
          <w:color w:val="auto"/>
        </w:rPr>
        <w:fldChar w:fldCharType="separate"/>
      </w:r>
      <w:r>
        <w:rPr>
          <w:color w:val="auto"/>
        </w:rPr>
        <w:t>90</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_Toc2216 </w:instrText>
      </w:r>
      <w:r>
        <w:rPr>
          <w:color w:val="auto"/>
          <w:szCs w:val="24"/>
        </w:rPr>
        <w:fldChar w:fldCharType="separate"/>
      </w:r>
      <w:r>
        <w:rPr>
          <w:rFonts w:eastAsia="黑体"/>
          <w:color w:val="auto"/>
          <w:szCs w:val="44"/>
        </w:rPr>
        <w:t>4</w:t>
      </w:r>
      <w:r>
        <w:rPr>
          <w:rFonts w:hint="eastAsia" w:eastAsia="黑体"/>
          <w:color w:val="auto"/>
          <w:szCs w:val="44"/>
          <w:lang w:val="en-US" w:eastAsia="zh-CN"/>
        </w:rPr>
        <w:t>环境现状调查与评价</w:t>
      </w:r>
      <w:r>
        <w:rPr>
          <w:color w:val="auto"/>
        </w:rPr>
        <w:tab/>
      </w:r>
      <w:r>
        <w:rPr>
          <w:color w:val="auto"/>
        </w:rPr>
        <w:fldChar w:fldCharType="begin"/>
      </w:r>
      <w:r>
        <w:rPr>
          <w:color w:val="auto"/>
        </w:rPr>
        <w:instrText xml:space="preserve"> PAGEREF _Toc2216 \h </w:instrText>
      </w:r>
      <w:r>
        <w:rPr>
          <w:color w:val="auto"/>
        </w:rPr>
        <w:fldChar w:fldCharType="separate"/>
      </w:r>
      <w:r>
        <w:rPr>
          <w:color w:val="auto"/>
        </w:rPr>
        <w:t>92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_Toc13071 </w:instrText>
      </w:r>
      <w:r>
        <w:rPr>
          <w:color w:val="auto"/>
          <w:szCs w:val="24"/>
        </w:rPr>
        <w:fldChar w:fldCharType="separate"/>
      </w:r>
      <w:r>
        <w:rPr>
          <w:rFonts w:ascii="Times New Roman" w:hAnsi="Times New Roman"/>
          <w:color w:val="auto"/>
          <w:szCs w:val="32"/>
        </w:rPr>
        <w:t>4.1自然环境概况</w:t>
      </w:r>
      <w:r>
        <w:rPr>
          <w:color w:val="auto"/>
        </w:rPr>
        <w:tab/>
      </w:r>
      <w:r>
        <w:rPr>
          <w:color w:val="auto"/>
        </w:rPr>
        <w:fldChar w:fldCharType="begin"/>
      </w:r>
      <w:r>
        <w:rPr>
          <w:color w:val="auto"/>
        </w:rPr>
        <w:instrText xml:space="preserve"> PAGEREF _Toc13071 \h </w:instrText>
      </w:r>
      <w:r>
        <w:rPr>
          <w:color w:val="auto"/>
        </w:rPr>
        <w:fldChar w:fldCharType="separate"/>
      </w:r>
      <w:r>
        <w:rPr>
          <w:color w:val="auto"/>
        </w:rPr>
        <w:t>92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_Toc7925 </w:instrText>
      </w:r>
      <w:r>
        <w:rPr>
          <w:color w:val="auto"/>
          <w:szCs w:val="24"/>
        </w:rPr>
        <w:fldChar w:fldCharType="separate"/>
      </w:r>
      <w:r>
        <w:rPr>
          <w:rFonts w:eastAsia="黑体"/>
          <w:color w:val="auto"/>
        </w:rPr>
        <w:t>4.1.1地埋位置</w:t>
      </w:r>
      <w:r>
        <w:rPr>
          <w:color w:val="auto"/>
        </w:rPr>
        <w:tab/>
      </w:r>
      <w:r>
        <w:rPr>
          <w:color w:val="auto"/>
        </w:rPr>
        <w:fldChar w:fldCharType="begin"/>
      </w:r>
      <w:r>
        <w:rPr>
          <w:color w:val="auto"/>
        </w:rPr>
        <w:instrText xml:space="preserve"> PAGEREF _Toc7925 \h </w:instrText>
      </w:r>
      <w:r>
        <w:rPr>
          <w:color w:val="auto"/>
        </w:rPr>
        <w:fldChar w:fldCharType="separate"/>
      </w:r>
      <w:r>
        <w:rPr>
          <w:color w:val="auto"/>
        </w:rPr>
        <w:t>92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_Toc17250 </w:instrText>
      </w:r>
      <w:r>
        <w:rPr>
          <w:color w:val="auto"/>
          <w:szCs w:val="24"/>
        </w:rPr>
        <w:fldChar w:fldCharType="separate"/>
      </w:r>
      <w:r>
        <w:rPr>
          <w:rFonts w:eastAsia="黑体"/>
          <w:color w:val="auto"/>
        </w:rPr>
        <w:t>4.1.2</w:t>
      </w:r>
      <w:r>
        <w:rPr>
          <w:rFonts w:hint="eastAsia" w:eastAsia="黑体"/>
          <w:color w:val="auto"/>
          <w:lang w:val="en-US" w:eastAsia="zh-CN"/>
        </w:rPr>
        <w:t>气象气候</w:t>
      </w:r>
      <w:r>
        <w:rPr>
          <w:color w:val="auto"/>
        </w:rPr>
        <w:tab/>
      </w:r>
      <w:r>
        <w:rPr>
          <w:color w:val="auto"/>
        </w:rPr>
        <w:fldChar w:fldCharType="begin"/>
      </w:r>
      <w:r>
        <w:rPr>
          <w:color w:val="auto"/>
        </w:rPr>
        <w:instrText xml:space="preserve"> PAGEREF _Toc17250 \h </w:instrText>
      </w:r>
      <w:r>
        <w:rPr>
          <w:color w:val="auto"/>
        </w:rPr>
        <w:fldChar w:fldCharType="separate"/>
      </w:r>
      <w:r>
        <w:rPr>
          <w:color w:val="auto"/>
        </w:rPr>
        <w:t>92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_Toc24946 </w:instrText>
      </w:r>
      <w:r>
        <w:rPr>
          <w:color w:val="auto"/>
          <w:szCs w:val="24"/>
        </w:rPr>
        <w:fldChar w:fldCharType="separate"/>
      </w:r>
      <w:r>
        <w:rPr>
          <w:rFonts w:eastAsia="黑体"/>
          <w:color w:val="auto"/>
        </w:rPr>
        <w:t>4.1.3水文</w:t>
      </w:r>
      <w:r>
        <w:rPr>
          <w:color w:val="auto"/>
        </w:rPr>
        <w:tab/>
      </w:r>
      <w:r>
        <w:rPr>
          <w:color w:val="auto"/>
        </w:rPr>
        <w:fldChar w:fldCharType="begin"/>
      </w:r>
      <w:r>
        <w:rPr>
          <w:color w:val="auto"/>
        </w:rPr>
        <w:instrText xml:space="preserve"> PAGEREF _Toc24946 \h </w:instrText>
      </w:r>
      <w:r>
        <w:rPr>
          <w:color w:val="auto"/>
        </w:rPr>
        <w:fldChar w:fldCharType="separate"/>
      </w:r>
      <w:r>
        <w:rPr>
          <w:color w:val="auto"/>
        </w:rPr>
        <w:t>93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_Toc23082 </w:instrText>
      </w:r>
      <w:r>
        <w:rPr>
          <w:color w:val="auto"/>
          <w:szCs w:val="24"/>
        </w:rPr>
        <w:fldChar w:fldCharType="separate"/>
      </w:r>
      <w:r>
        <w:rPr>
          <w:rFonts w:hint="eastAsia" w:eastAsia="黑体"/>
          <w:color w:val="auto"/>
        </w:rPr>
        <w:t>4.1.</w:t>
      </w:r>
      <w:r>
        <w:rPr>
          <w:rFonts w:hint="eastAsia" w:eastAsia="黑体"/>
          <w:color w:val="auto"/>
          <w:lang w:val="en-US" w:eastAsia="zh-CN"/>
        </w:rPr>
        <w:t>4地形地貌及工程泥沙</w:t>
      </w:r>
      <w:r>
        <w:rPr>
          <w:color w:val="auto"/>
        </w:rPr>
        <w:tab/>
      </w:r>
      <w:r>
        <w:rPr>
          <w:color w:val="auto"/>
        </w:rPr>
        <w:fldChar w:fldCharType="begin"/>
      </w:r>
      <w:r>
        <w:rPr>
          <w:color w:val="auto"/>
        </w:rPr>
        <w:instrText xml:space="preserve"> PAGEREF _Toc23082 \h </w:instrText>
      </w:r>
      <w:r>
        <w:rPr>
          <w:color w:val="auto"/>
        </w:rPr>
        <w:fldChar w:fldCharType="separate"/>
      </w:r>
      <w:r>
        <w:rPr>
          <w:color w:val="auto"/>
        </w:rPr>
        <w:t>95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_Toc22654 </w:instrText>
      </w:r>
      <w:r>
        <w:rPr>
          <w:color w:val="auto"/>
          <w:szCs w:val="24"/>
        </w:rPr>
        <w:fldChar w:fldCharType="separate"/>
      </w:r>
      <w:r>
        <w:rPr>
          <w:rFonts w:hint="eastAsia" w:eastAsia="黑体"/>
          <w:color w:val="auto"/>
        </w:rPr>
        <w:t>4.1.</w:t>
      </w:r>
      <w:r>
        <w:rPr>
          <w:rFonts w:hint="eastAsia" w:eastAsia="黑体"/>
          <w:color w:val="auto"/>
          <w:lang w:val="en-US" w:eastAsia="zh-CN"/>
        </w:rPr>
        <w:t>5工程地质</w:t>
      </w:r>
      <w:r>
        <w:rPr>
          <w:color w:val="auto"/>
        </w:rPr>
        <w:tab/>
      </w:r>
      <w:r>
        <w:rPr>
          <w:color w:val="auto"/>
        </w:rPr>
        <w:fldChar w:fldCharType="begin"/>
      </w:r>
      <w:r>
        <w:rPr>
          <w:color w:val="auto"/>
        </w:rPr>
        <w:instrText xml:space="preserve"> PAGEREF _Toc22654 \h </w:instrText>
      </w:r>
      <w:r>
        <w:rPr>
          <w:color w:val="auto"/>
        </w:rPr>
        <w:fldChar w:fldCharType="separate"/>
      </w:r>
      <w:r>
        <w:rPr>
          <w:color w:val="auto"/>
        </w:rPr>
        <w:t>99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_Toc16507 </w:instrText>
      </w:r>
      <w:r>
        <w:rPr>
          <w:color w:val="auto"/>
          <w:szCs w:val="24"/>
        </w:rPr>
        <w:fldChar w:fldCharType="separate"/>
      </w:r>
      <w:r>
        <w:rPr>
          <w:rFonts w:hint="eastAsia" w:eastAsia="黑体"/>
          <w:color w:val="auto"/>
        </w:rPr>
        <w:t>4.1.</w:t>
      </w:r>
      <w:r>
        <w:rPr>
          <w:rFonts w:hint="eastAsia" w:eastAsia="黑体"/>
          <w:color w:val="auto"/>
          <w:lang w:val="en-US" w:eastAsia="zh-CN"/>
        </w:rPr>
        <w:t>6地震</w:t>
      </w:r>
      <w:r>
        <w:rPr>
          <w:color w:val="auto"/>
        </w:rPr>
        <w:tab/>
      </w:r>
      <w:r>
        <w:rPr>
          <w:color w:val="auto"/>
        </w:rPr>
        <w:fldChar w:fldCharType="begin"/>
      </w:r>
      <w:r>
        <w:rPr>
          <w:color w:val="auto"/>
        </w:rPr>
        <w:instrText xml:space="preserve"> PAGEREF _Toc16507 \h </w:instrText>
      </w:r>
      <w:r>
        <w:rPr>
          <w:color w:val="auto"/>
        </w:rPr>
        <w:fldChar w:fldCharType="separate"/>
      </w:r>
      <w:r>
        <w:rPr>
          <w:color w:val="auto"/>
        </w:rPr>
        <w:t>101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_Toc19012 </w:instrText>
      </w:r>
      <w:r>
        <w:rPr>
          <w:color w:val="auto"/>
          <w:szCs w:val="24"/>
        </w:rPr>
        <w:fldChar w:fldCharType="separate"/>
      </w:r>
      <w:r>
        <w:rPr>
          <w:rFonts w:hint="eastAsia" w:ascii="Times New Roman" w:hAnsi="Times New Roman" w:eastAsia="黑体" w:cs="Times New Roman"/>
          <w:color w:val="auto"/>
          <w:lang w:val="en-US" w:eastAsia="zh-CN"/>
        </w:rPr>
        <w:t>4.1.7</w:t>
      </w:r>
      <w:r>
        <w:rPr>
          <w:rFonts w:hint="eastAsia" w:ascii="Times New Roman" w:hAnsi="Times New Roman" w:eastAsia="黑体" w:cs="Times New Roman"/>
          <w:color w:val="auto"/>
        </w:rPr>
        <w:t>港口作业天数</w:t>
      </w:r>
      <w:r>
        <w:rPr>
          <w:color w:val="auto"/>
        </w:rPr>
        <w:tab/>
      </w:r>
      <w:r>
        <w:rPr>
          <w:color w:val="auto"/>
        </w:rPr>
        <w:fldChar w:fldCharType="begin"/>
      </w:r>
      <w:r>
        <w:rPr>
          <w:color w:val="auto"/>
        </w:rPr>
        <w:instrText xml:space="preserve"> PAGEREF _Toc19012 \h </w:instrText>
      </w:r>
      <w:r>
        <w:rPr>
          <w:color w:val="auto"/>
        </w:rPr>
        <w:fldChar w:fldCharType="separate"/>
      </w:r>
      <w:r>
        <w:rPr>
          <w:color w:val="auto"/>
        </w:rPr>
        <w:t>101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_Toc26522 </w:instrText>
      </w:r>
      <w:r>
        <w:rPr>
          <w:color w:val="auto"/>
          <w:szCs w:val="24"/>
        </w:rPr>
        <w:fldChar w:fldCharType="separate"/>
      </w:r>
      <w:r>
        <w:rPr>
          <w:rFonts w:ascii="Times New Roman" w:hAnsi="Times New Roman"/>
          <w:color w:val="auto"/>
          <w:szCs w:val="32"/>
        </w:rPr>
        <w:t>4.</w:t>
      </w:r>
      <w:r>
        <w:rPr>
          <w:rFonts w:hint="eastAsia" w:ascii="Times New Roman" w:hAnsi="Times New Roman"/>
          <w:color w:val="auto"/>
          <w:szCs w:val="32"/>
          <w:lang w:val="en-US" w:eastAsia="zh-CN"/>
        </w:rPr>
        <w:t>2</w:t>
      </w:r>
      <w:r>
        <w:rPr>
          <w:rFonts w:ascii="Times New Roman" w:hAnsi="Times New Roman"/>
          <w:color w:val="auto"/>
          <w:szCs w:val="32"/>
        </w:rPr>
        <w:t>环境空气质量现状监测与评价</w:t>
      </w:r>
      <w:r>
        <w:rPr>
          <w:color w:val="auto"/>
        </w:rPr>
        <w:tab/>
      </w:r>
      <w:r>
        <w:rPr>
          <w:color w:val="auto"/>
        </w:rPr>
        <w:fldChar w:fldCharType="begin"/>
      </w:r>
      <w:r>
        <w:rPr>
          <w:color w:val="auto"/>
        </w:rPr>
        <w:instrText xml:space="preserve"> PAGEREF _Toc26522 \h </w:instrText>
      </w:r>
      <w:r>
        <w:rPr>
          <w:color w:val="auto"/>
        </w:rPr>
        <w:fldChar w:fldCharType="separate"/>
      </w:r>
      <w:r>
        <w:rPr>
          <w:color w:val="auto"/>
        </w:rPr>
        <w:t>101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_Toc8114 </w:instrText>
      </w:r>
      <w:r>
        <w:rPr>
          <w:color w:val="auto"/>
          <w:szCs w:val="24"/>
        </w:rPr>
        <w:fldChar w:fldCharType="separate"/>
      </w:r>
      <w:r>
        <w:rPr>
          <w:rFonts w:hint="eastAsia" w:ascii="Times New Roman" w:hAnsi="Times New Roman" w:eastAsia="黑体" w:cs="Times New Roman"/>
          <w:color w:val="auto"/>
          <w:lang w:val="en-US" w:eastAsia="zh-CN"/>
        </w:rPr>
        <w:t>4.2.1基本污染物环境质量现状</w:t>
      </w:r>
      <w:r>
        <w:rPr>
          <w:color w:val="auto"/>
        </w:rPr>
        <w:tab/>
      </w:r>
      <w:r>
        <w:rPr>
          <w:color w:val="auto"/>
        </w:rPr>
        <w:fldChar w:fldCharType="begin"/>
      </w:r>
      <w:r>
        <w:rPr>
          <w:color w:val="auto"/>
        </w:rPr>
        <w:instrText xml:space="preserve"> PAGEREF _Toc8114 \h </w:instrText>
      </w:r>
      <w:r>
        <w:rPr>
          <w:color w:val="auto"/>
        </w:rPr>
        <w:fldChar w:fldCharType="separate"/>
      </w:r>
      <w:r>
        <w:rPr>
          <w:color w:val="auto"/>
        </w:rPr>
        <w:t>101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_Toc18062 </w:instrText>
      </w:r>
      <w:r>
        <w:rPr>
          <w:color w:val="auto"/>
          <w:szCs w:val="24"/>
        </w:rPr>
        <w:fldChar w:fldCharType="separate"/>
      </w:r>
      <w:r>
        <w:rPr>
          <w:rFonts w:hint="eastAsia" w:ascii="Times New Roman" w:hAnsi="Times New Roman" w:eastAsia="黑体" w:cs="Times New Roman"/>
          <w:color w:val="auto"/>
          <w:lang w:val="en-US" w:eastAsia="zh-CN"/>
        </w:rPr>
        <w:t>4.2.2其他污染物环境质量现状</w:t>
      </w:r>
      <w:r>
        <w:rPr>
          <w:color w:val="auto"/>
        </w:rPr>
        <w:tab/>
      </w:r>
      <w:r>
        <w:rPr>
          <w:color w:val="auto"/>
        </w:rPr>
        <w:fldChar w:fldCharType="begin"/>
      </w:r>
      <w:r>
        <w:rPr>
          <w:color w:val="auto"/>
        </w:rPr>
        <w:instrText xml:space="preserve"> PAGEREF _Toc18062 \h </w:instrText>
      </w:r>
      <w:r>
        <w:rPr>
          <w:color w:val="auto"/>
        </w:rPr>
        <w:fldChar w:fldCharType="separate"/>
      </w:r>
      <w:r>
        <w:rPr>
          <w:color w:val="auto"/>
        </w:rPr>
        <w:t>103</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_Toc9789 </w:instrText>
      </w:r>
      <w:r>
        <w:rPr>
          <w:color w:val="auto"/>
          <w:szCs w:val="24"/>
        </w:rPr>
        <w:fldChar w:fldCharType="separate"/>
      </w:r>
      <w:r>
        <w:rPr>
          <w:rFonts w:hint="eastAsia" w:ascii="Times New Roman" w:hAnsi="Times New Roman"/>
          <w:color w:val="auto"/>
          <w:szCs w:val="32"/>
          <w:lang w:val="en-US" w:eastAsia="zh-CN"/>
        </w:rPr>
        <w:t>4.3地表水环境质量现状监测与评价</w:t>
      </w:r>
      <w:r>
        <w:rPr>
          <w:color w:val="auto"/>
        </w:rPr>
        <w:tab/>
      </w:r>
      <w:r>
        <w:rPr>
          <w:color w:val="auto"/>
        </w:rPr>
        <w:fldChar w:fldCharType="begin"/>
      </w:r>
      <w:r>
        <w:rPr>
          <w:color w:val="auto"/>
        </w:rPr>
        <w:instrText xml:space="preserve"> PAGEREF _Toc9789 \h </w:instrText>
      </w:r>
      <w:r>
        <w:rPr>
          <w:color w:val="auto"/>
        </w:rPr>
        <w:fldChar w:fldCharType="separate"/>
      </w:r>
      <w:r>
        <w:rPr>
          <w:color w:val="auto"/>
        </w:rPr>
        <w:t>104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_Toc1371 </w:instrText>
      </w:r>
      <w:r>
        <w:rPr>
          <w:color w:val="auto"/>
          <w:szCs w:val="24"/>
        </w:rPr>
        <w:fldChar w:fldCharType="separate"/>
      </w:r>
      <w:r>
        <w:rPr>
          <w:rFonts w:hint="eastAsia" w:ascii="Times New Roman" w:hAnsi="Times New Roman" w:eastAsia="黑体" w:cs="Times New Roman"/>
          <w:color w:val="auto"/>
          <w:lang w:val="en-US" w:eastAsia="zh-CN"/>
        </w:rPr>
        <w:t>4.</w:t>
      </w:r>
      <w:r>
        <w:rPr>
          <w:rFonts w:hint="eastAsia" w:eastAsia="黑体" w:cs="Times New Roman"/>
          <w:color w:val="auto"/>
          <w:lang w:val="en-US" w:eastAsia="zh-CN"/>
        </w:rPr>
        <w:t>3.1</w:t>
      </w:r>
      <w:r>
        <w:rPr>
          <w:rFonts w:hint="eastAsia" w:ascii="Times New Roman" w:hAnsi="Times New Roman" w:eastAsia="黑体" w:cs="Times New Roman"/>
          <w:color w:val="auto"/>
          <w:lang w:val="en-US" w:eastAsia="zh-CN"/>
        </w:rPr>
        <w:t>区域水资源与开发利用现状调查</w:t>
      </w:r>
      <w:r>
        <w:rPr>
          <w:color w:val="auto"/>
        </w:rPr>
        <w:tab/>
      </w:r>
      <w:r>
        <w:rPr>
          <w:color w:val="auto"/>
        </w:rPr>
        <w:fldChar w:fldCharType="begin"/>
      </w:r>
      <w:r>
        <w:rPr>
          <w:color w:val="auto"/>
        </w:rPr>
        <w:instrText xml:space="preserve"> PAGEREF _Toc1371 \h </w:instrText>
      </w:r>
      <w:r>
        <w:rPr>
          <w:color w:val="auto"/>
        </w:rPr>
        <w:fldChar w:fldCharType="separate"/>
      </w:r>
      <w:r>
        <w:rPr>
          <w:color w:val="auto"/>
        </w:rPr>
        <w:t>104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_Toc15538 </w:instrText>
      </w:r>
      <w:r>
        <w:rPr>
          <w:color w:val="auto"/>
          <w:szCs w:val="24"/>
        </w:rPr>
        <w:fldChar w:fldCharType="separate"/>
      </w:r>
      <w:r>
        <w:rPr>
          <w:rFonts w:hint="eastAsia" w:ascii="Times New Roman" w:hAnsi="Times New Roman" w:eastAsia="黑体" w:cs="Times New Roman"/>
          <w:color w:val="auto"/>
          <w:lang w:val="en-US" w:eastAsia="zh-CN"/>
        </w:rPr>
        <w:t>4.</w:t>
      </w:r>
      <w:r>
        <w:rPr>
          <w:rFonts w:hint="eastAsia" w:eastAsia="黑体" w:cs="Times New Roman"/>
          <w:color w:val="auto"/>
          <w:lang w:val="en-US" w:eastAsia="zh-CN"/>
        </w:rPr>
        <w:t>3</w:t>
      </w:r>
      <w:r>
        <w:rPr>
          <w:rFonts w:hint="eastAsia" w:ascii="Times New Roman" w:hAnsi="Times New Roman" w:eastAsia="黑体" w:cs="Times New Roman"/>
          <w:color w:val="auto"/>
          <w:lang w:val="en-US" w:eastAsia="zh-CN"/>
        </w:rPr>
        <w:t>.2水文情势现状调查</w:t>
      </w:r>
      <w:r>
        <w:rPr>
          <w:color w:val="auto"/>
        </w:rPr>
        <w:tab/>
      </w:r>
      <w:r>
        <w:rPr>
          <w:color w:val="auto"/>
        </w:rPr>
        <w:fldChar w:fldCharType="begin"/>
      </w:r>
      <w:r>
        <w:rPr>
          <w:color w:val="auto"/>
        </w:rPr>
        <w:instrText xml:space="preserve"> PAGEREF _Toc15538 \h </w:instrText>
      </w:r>
      <w:r>
        <w:rPr>
          <w:color w:val="auto"/>
        </w:rPr>
        <w:fldChar w:fldCharType="separate"/>
      </w:r>
      <w:r>
        <w:rPr>
          <w:color w:val="auto"/>
        </w:rPr>
        <w:t>105</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_Toc27400 </w:instrText>
      </w:r>
      <w:r>
        <w:rPr>
          <w:color w:val="auto"/>
          <w:szCs w:val="24"/>
        </w:rPr>
        <w:fldChar w:fldCharType="separate"/>
      </w:r>
      <w:r>
        <w:rPr>
          <w:rFonts w:ascii="Times New Roman" w:hAnsi="Times New Roman"/>
          <w:color w:val="auto"/>
          <w:szCs w:val="32"/>
        </w:rPr>
        <w:t>4.</w:t>
      </w:r>
      <w:r>
        <w:rPr>
          <w:rFonts w:hint="eastAsia" w:ascii="Times New Roman" w:hAnsi="Times New Roman"/>
          <w:color w:val="auto"/>
          <w:szCs w:val="32"/>
          <w:lang w:val="en-US" w:eastAsia="zh-CN"/>
        </w:rPr>
        <w:t>4</w:t>
      </w:r>
      <w:r>
        <w:rPr>
          <w:rFonts w:ascii="Times New Roman" w:hAnsi="Times New Roman"/>
          <w:color w:val="auto"/>
          <w:szCs w:val="32"/>
        </w:rPr>
        <w:t>声环境质量现状监测与评价</w:t>
      </w:r>
      <w:r>
        <w:rPr>
          <w:color w:val="auto"/>
        </w:rPr>
        <w:tab/>
      </w:r>
      <w:r>
        <w:rPr>
          <w:color w:val="auto"/>
        </w:rPr>
        <w:fldChar w:fldCharType="begin"/>
      </w:r>
      <w:r>
        <w:rPr>
          <w:color w:val="auto"/>
        </w:rPr>
        <w:instrText xml:space="preserve"> PAGEREF _Toc27400 \h </w:instrText>
      </w:r>
      <w:r>
        <w:rPr>
          <w:color w:val="auto"/>
        </w:rPr>
        <w:fldChar w:fldCharType="separate"/>
      </w:r>
      <w:r>
        <w:rPr>
          <w:color w:val="auto"/>
        </w:rPr>
        <w:t>119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_Toc11173 </w:instrText>
      </w:r>
      <w:r>
        <w:rPr>
          <w:color w:val="auto"/>
          <w:szCs w:val="24"/>
        </w:rPr>
        <w:fldChar w:fldCharType="separate"/>
      </w:r>
      <w:r>
        <w:rPr>
          <w:rFonts w:eastAsia="黑体"/>
          <w:color w:val="auto"/>
        </w:rPr>
        <w:t>4.</w:t>
      </w:r>
      <w:r>
        <w:rPr>
          <w:rFonts w:hint="eastAsia" w:eastAsia="黑体"/>
          <w:color w:val="auto"/>
          <w:lang w:val="en-US" w:eastAsia="zh-CN"/>
        </w:rPr>
        <w:t>4.</w:t>
      </w:r>
      <w:r>
        <w:rPr>
          <w:rFonts w:eastAsia="黑体"/>
          <w:color w:val="auto"/>
        </w:rPr>
        <w:t>1</w:t>
      </w:r>
      <w:r>
        <w:rPr>
          <w:rFonts w:hint="eastAsia" w:eastAsia="黑体"/>
          <w:color w:val="auto"/>
          <w:lang w:val="en-US" w:eastAsia="zh-CN"/>
        </w:rPr>
        <w:t>声环境质量现状调查</w:t>
      </w:r>
      <w:r>
        <w:rPr>
          <w:color w:val="auto"/>
        </w:rPr>
        <w:tab/>
      </w:r>
      <w:r>
        <w:rPr>
          <w:color w:val="auto"/>
        </w:rPr>
        <w:fldChar w:fldCharType="begin"/>
      </w:r>
      <w:r>
        <w:rPr>
          <w:color w:val="auto"/>
        </w:rPr>
        <w:instrText xml:space="preserve"> PAGEREF _Toc11173 \h </w:instrText>
      </w:r>
      <w:r>
        <w:rPr>
          <w:color w:val="auto"/>
        </w:rPr>
        <w:fldChar w:fldCharType="separate"/>
      </w:r>
      <w:r>
        <w:rPr>
          <w:color w:val="auto"/>
        </w:rPr>
        <w:t>119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_Toc27868 </w:instrText>
      </w:r>
      <w:r>
        <w:rPr>
          <w:color w:val="auto"/>
          <w:szCs w:val="24"/>
        </w:rPr>
        <w:fldChar w:fldCharType="separate"/>
      </w:r>
      <w:r>
        <w:rPr>
          <w:rFonts w:ascii="Times New Roman" w:hAnsi="Times New Roman"/>
          <w:color w:val="auto"/>
          <w:szCs w:val="32"/>
        </w:rPr>
        <w:t>4.</w:t>
      </w:r>
      <w:r>
        <w:rPr>
          <w:rFonts w:hint="eastAsia" w:ascii="Times New Roman" w:hAnsi="Times New Roman"/>
          <w:color w:val="auto"/>
          <w:szCs w:val="32"/>
          <w:lang w:val="en-US" w:eastAsia="zh-CN"/>
        </w:rPr>
        <w:t>5生态</w:t>
      </w:r>
      <w:r>
        <w:rPr>
          <w:rFonts w:ascii="Times New Roman" w:hAnsi="Times New Roman"/>
          <w:color w:val="auto"/>
          <w:szCs w:val="32"/>
        </w:rPr>
        <w:t>环境</w:t>
      </w:r>
      <w:r>
        <w:rPr>
          <w:rFonts w:hint="eastAsia" w:ascii="Times New Roman" w:hAnsi="Times New Roman"/>
          <w:color w:val="auto"/>
          <w:szCs w:val="32"/>
          <w:lang w:val="en-US" w:eastAsia="zh-CN"/>
        </w:rPr>
        <w:t>现状调查与评价</w:t>
      </w:r>
      <w:r>
        <w:rPr>
          <w:color w:val="auto"/>
        </w:rPr>
        <w:tab/>
      </w:r>
      <w:r>
        <w:rPr>
          <w:color w:val="auto"/>
        </w:rPr>
        <w:fldChar w:fldCharType="begin"/>
      </w:r>
      <w:r>
        <w:rPr>
          <w:color w:val="auto"/>
        </w:rPr>
        <w:instrText xml:space="preserve"> PAGEREF _Toc27868 \h </w:instrText>
      </w:r>
      <w:r>
        <w:rPr>
          <w:color w:val="auto"/>
        </w:rPr>
        <w:fldChar w:fldCharType="separate"/>
      </w:r>
      <w:r>
        <w:rPr>
          <w:color w:val="auto"/>
        </w:rPr>
        <w:t>120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_Toc11838 </w:instrText>
      </w:r>
      <w:r>
        <w:rPr>
          <w:color w:val="auto"/>
          <w:szCs w:val="24"/>
        </w:rPr>
        <w:fldChar w:fldCharType="separate"/>
      </w:r>
      <w:r>
        <w:rPr>
          <w:rFonts w:eastAsia="黑体"/>
          <w:color w:val="auto"/>
        </w:rPr>
        <w:t>4.</w:t>
      </w:r>
      <w:r>
        <w:rPr>
          <w:rFonts w:hint="eastAsia" w:eastAsia="黑体"/>
          <w:color w:val="auto"/>
          <w:lang w:val="en-US" w:eastAsia="zh-CN"/>
        </w:rPr>
        <w:t>5.</w:t>
      </w:r>
      <w:r>
        <w:rPr>
          <w:rFonts w:eastAsia="黑体"/>
          <w:color w:val="auto"/>
        </w:rPr>
        <w:t>1</w:t>
      </w:r>
      <w:r>
        <w:rPr>
          <w:rFonts w:hint="eastAsia" w:eastAsia="黑体"/>
          <w:color w:val="auto"/>
          <w:lang w:val="en-US" w:eastAsia="zh-CN"/>
        </w:rPr>
        <w:t>陆生生态现状调查</w:t>
      </w:r>
      <w:r>
        <w:rPr>
          <w:color w:val="auto"/>
        </w:rPr>
        <w:tab/>
      </w:r>
      <w:r>
        <w:rPr>
          <w:color w:val="auto"/>
        </w:rPr>
        <w:fldChar w:fldCharType="begin"/>
      </w:r>
      <w:r>
        <w:rPr>
          <w:color w:val="auto"/>
        </w:rPr>
        <w:instrText xml:space="preserve"> PAGEREF _Toc11838 \h </w:instrText>
      </w:r>
      <w:r>
        <w:rPr>
          <w:color w:val="auto"/>
        </w:rPr>
        <w:fldChar w:fldCharType="separate"/>
      </w:r>
      <w:r>
        <w:rPr>
          <w:color w:val="auto"/>
        </w:rPr>
        <w:t>120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_Toc28789 </w:instrText>
      </w:r>
      <w:r>
        <w:rPr>
          <w:color w:val="auto"/>
          <w:szCs w:val="24"/>
        </w:rPr>
        <w:fldChar w:fldCharType="separate"/>
      </w:r>
      <w:r>
        <w:rPr>
          <w:rFonts w:eastAsia="黑体"/>
          <w:color w:val="auto"/>
        </w:rPr>
        <w:t>4.</w:t>
      </w:r>
      <w:r>
        <w:rPr>
          <w:rFonts w:hint="eastAsia" w:eastAsia="黑体"/>
          <w:color w:val="auto"/>
          <w:lang w:val="en-US" w:eastAsia="zh-CN"/>
        </w:rPr>
        <w:t>5.2水生生态现状调查</w:t>
      </w:r>
      <w:r>
        <w:rPr>
          <w:color w:val="auto"/>
        </w:rPr>
        <w:tab/>
      </w:r>
      <w:r>
        <w:rPr>
          <w:color w:val="auto"/>
        </w:rPr>
        <w:fldChar w:fldCharType="begin"/>
      </w:r>
      <w:r>
        <w:rPr>
          <w:color w:val="auto"/>
        </w:rPr>
        <w:instrText xml:space="preserve"> PAGEREF _Toc28789 \h </w:instrText>
      </w:r>
      <w:r>
        <w:rPr>
          <w:color w:val="auto"/>
        </w:rPr>
        <w:fldChar w:fldCharType="separate"/>
      </w:r>
      <w:r>
        <w:rPr>
          <w:color w:val="auto"/>
        </w:rPr>
        <w:t>121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_Toc5739 </w:instrText>
      </w:r>
      <w:r>
        <w:rPr>
          <w:color w:val="auto"/>
          <w:szCs w:val="24"/>
        </w:rPr>
        <w:fldChar w:fldCharType="separate"/>
      </w:r>
      <w:r>
        <w:rPr>
          <w:rFonts w:eastAsia="黑体"/>
          <w:color w:val="auto"/>
        </w:rPr>
        <w:t>4.</w:t>
      </w:r>
      <w:r>
        <w:rPr>
          <w:rFonts w:hint="eastAsia" w:eastAsia="黑体"/>
          <w:color w:val="auto"/>
          <w:lang w:val="en-US" w:eastAsia="zh-CN"/>
        </w:rPr>
        <w:t>5.3长江湖北宜昌中华鲟自然保护区</w:t>
      </w:r>
      <w:r>
        <w:rPr>
          <w:color w:val="auto"/>
        </w:rPr>
        <w:tab/>
      </w:r>
      <w:r>
        <w:rPr>
          <w:color w:val="auto"/>
        </w:rPr>
        <w:fldChar w:fldCharType="begin"/>
      </w:r>
      <w:r>
        <w:rPr>
          <w:color w:val="auto"/>
        </w:rPr>
        <w:instrText xml:space="preserve"> PAGEREF _Toc5739 \h </w:instrText>
      </w:r>
      <w:r>
        <w:rPr>
          <w:color w:val="auto"/>
        </w:rPr>
        <w:fldChar w:fldCharType="separate"/>
      </w:r>
      <w:r>
        <w:rPr>
          <w:color w:val="auto"/>
        </w:rPr>
        <w:t>149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_Toc8102 </w:instrText>
      </w:r>
      <w:r>
        <w:rPr>
          <w:color w:val="auto"/>
          <w:szCs w:val="24"/>
        </w:rPr>
        <w:fldChar w:fldCharType="separate"/>
      </w:r>
      <w:r>
        <w:rPr>
          <w:rFonts w:hint="eastAsia" w:ascii="Times New Roman" w:hAnsi="Times New Roman"/>
          <w:color w:val="auto"/>
          <w:szCs w:val="32"/>
        </w:rPr>
        <w:t>4.</w:t>
      </w:r>
      <w:r>
        <w:rPr>
          <w:rFonts w:hint="eastAsia" w:ascii="Times New Roman" w:hAnsi="Times New Roman"/>
          <w:color w:val="auto"/>
          <w:szCs w:val="32"/>
          <w:lang w:val="en-US" w:eastAsia="zh-CN"/>
        </w:rPr>
        <w:t>6</w:t>
      </w:r>
      <w:r>
        <w:rPr>
          <w:rFonts w:hint="eastAsia" w:ascii="Times New Roman" w:hAnsi="Times New Roman"/>
          <w:color w:val="auto"/>
          <w:szCs w:val="32"/>
        </w:rPr>
        <w:t>区域环境质量现状小结</w:t>
      </w:r>
      <w:r>
        <w:rPr>
          <w:color w:val="auto"/>
        </w:rPr>
        <w:tab/>
      </w:r>
      <w:r>
        <w:rPr>
          <w:color w:val="auto"/>
        </w:rPr>
        <w:fldChar w:fldCharType="begin"/>
      </w:r>
      <w:r>
        <w:rPr>
          <w:color w:val="auto"/>
        </w:rPr>
        <w:instrText xml:space="preserve"> PAGEREF _Toc8102 \h </w:instrText>
      </w:r>
      <w:r>
        <w:rPr>
          <w:color w:val="auto"/>
        </w:rPr>
        <w:fldChar w:fldCharType="separate"/>
      </w:r>
      <w:r>
        <w:rPr>
          <w:color w:val="auto"/>
        </w:rPr>
        <w:t>150</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_Toc4045 </w:instrText>
      </w:r>
      <w:r>
        <w:rPr>
          <w:color w:val="auto"/>
          <w:szCs w:val="24"/>
        </w:rPr>
        <w:fldChar w:fldCharType="separate"/>
      </w:r>
      <w:r>
        <w:rPr>
          <w:rFonts w:eastAsia="黑体"/>
          <w:color w:val="auto"/>
          <w:szCs w:val="44"/>
        </w:rPr>
        <w:t>5环境影响预测与评价</w:t>
      </w:r>
      <w:r>
        <w:rPr>
          <w:color w:val="auto"/>
        </w:rPr>
        <w:tab/>
      </w:r>
      <w:r>
        <w:rPr>
          <w:color w:val="auto"/>
        </w:rPr>
        <w:fldChar w:fldCharType="begin"/>
      </w:r>
      <w:r>
        <w:rPr>
          <w:color w:val="auto"/>
        </w:rPr>
        <w:instrText xml:space="preserve"> PAGEREF _Toc4045 \h </w:instrText>
      </w:r>
      <w:r>
        <w:rPr>
          <w:color w:val="auto"/>
        </w:rPr>
        <w:fldChar w:fldCharType="separate"/>
      </w:r>
      <w:r>
        <w:rPr>
          <w:color w:val="auto"/>
        </w:rPr>
        <w:t>152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_Toc25667 </w:instrText>
      </w:r>
      <w:r>
        <w:rPr>
          <w:color w:val="auto"/>
          <w:szCs w:val="24"/>
        </w:rPr>
        <w:fldChar w:fldCharType="separate"/>
      </w:r>
      <w:r>
        <w:rPr>
          <w:rFonts w:ascii="Times New Roman" w:hAnsi="Times New Roman"/>
          <w:color w:val="auto"/>
          <w:szCs w:val="32"/>
        </w:rPr>
        <w:t>5.</w:t>
      </w:r>
      <w:r>
        <w:rPr>
          <w:rFonts w:hint="eastAsia" w:ascii="Times New Roman" w:hAnsi="Times New Roman"/>
          <w:color w:val="auto"/>
          <w:szCs w:val="32"/>
          <w:lang w:val="en-US" w:eastAsia="zh-CN"/>
        </w:rPr>
        <w:t>1施工期</w:t>
      </w:r>
      <w:r>
        <w:rPr>
          <w:rFonts w:ascii="Times New Roman" w:hAnsi="Times New Roman"/>
          <w:color w:val="auto"/>
          <w:szCs w:val="32"/>
        </w:rPr>
        <w:t>环境影响分析</w:t>
      </w:r>
      <w:r>
        <w:rPr>
          <w:color w:val="auto"/>
        </w:rPr>
        <w:tab/>
      </w:r>
      <w:r>
        <w:rPr>
          <w:color w:val="auto"/>
        </w:rPr>
        <w:fldChar w:fldCharType="begin"/>
      </w:r>
      <w:r>
        <w:rPr>
          <w:color w:val="auto"/>
        </w:rPr>
        <w:instrText xml:space="preserve"> PAGEREF _Toc25667 \h </w:instrText>
      </w:r>
      <w:r>
        <w:rPr>
          <w:color w:val="auto"/>
        </w:rPr>
        <w:fldChar w:fldCharType="separate"/>
      </w:r>
      <w:r>
        <w:rPr>
          <w:color w:val="auto"/>
        </w:rPr>
        <w:t>152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_Toc24274 </w:instrText>
      </w:r>
      <w:r>
        <w:rPr>
          <w:color w:val="auto"/>
          <w:szCs w:val="24"/>
        </w:rPr>
        <w:fldChar w:fldCharType="separate"/>
      </w:r>
      <w:r>
        <w:rPr>
          <w:rFonts w:eastAsia="黑体"/>
          <w:color w:val="auto"/>
        </w:rPr>
        <w:t>5.</w:t>
      </w:r>
      <w:r>
        <w:rPr>
          <w:rFonts w:hint="eastAsia" w:eastAsia="黑体"/>
          <w:color w:val="auto"/>
          <w:lang w:val="en-US" w:eastAsia="zh-CN"/>
        </w:rPr>
        <w:t>1</w:t>
      </w:r>
      <w:r>
        <w:rPr>
          <w:rFonts w:eastAsia="黑体"/>
          <w:color w:val="auto"/>
        </w:rPr>
        <w:t>.</w:t>
      </w:r>
      <w:r>
        <w:rPr>
          <w:rFonts w:hint="eastAsia" w:eastAsia="黑体"/>
          <w:color w:val="auto"/>
          <w:lang w:val="en-US" w:eastAsia="zh-CN"/>
        </w:rPr>
        <w:t>1施工期地表水环境影响分析</w:t>
      </w:r>
      <w:r>
        <w:rPr>
          <w:color w:val="auto"/>
        </w:rPr>
        <w:tab/>
      </w:r>
      <w:r>
        <w:rPr>
          <w:color w:val="auto"/>
        </w:rPr>
        <w:fldChar w:fldCharType="begin"/>
      </w:r>
      <w:r>
        <w:rPr>
          <w:color w:val="auto"/>
        </w:rPr>
        <w:instrText xml:space="preserve"> PAGEREF _Toc24274 \h </w:instrText>
      </w:r>
      <w:r>
        <w:rPr>
          <w:color w:val="auto"/>
        </w:rPr>
        <w:fldChar w:fldCharType="separate"/>
      </w:r>
      <w:r>
        <w:rPr>
          <w:color w:val="auto"/>
        </w:rPr>
        <w:t>152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_Toc4927 </w:instrText>
      </w:r>
      <w:r>
        <w:rPr>
          <w:color w:val="auto"/>
          <w:szCs w:val="24"/>
        </w:rPr>
        <w:fldChar w:fldCharType="separate"/>
      </w:r>
      <w:r>
        <w:rPr>
          <w:rFonts w:eastAsia="黑体"/>
          <w:color w:val="auto"/>
        </w:rPr>
        <w:t>5.</w:t>
      </w:r>
      <w:r>
        <w:rPr>
          <w:rFonts w:hint="eastAsia" w:eastAsia="黑体"/>
          <w:color w:val="auto"/>
          <w:lang w:val="en-US" w:eastAsia="zh-CN"/>
        </w:rPr>
        <w:t>1</w:t>
      </w:r>
      <w:r>
        <w:rPr>
          <w:rFonts w:eastAsia="黑体"/>
          <w:color w:val="auto"/>
        </w:rPr>
        <w:t>.</w:t>
      </w:r>
      <w:r>
        <w:rPr>
          <w:rFonts w:hint="eastAsia" w:eastAsia="黑体"/>
          <w:color w:val="auto"/>
          <w:lang w:val="en-US" w:eastAsia="zh-CN"/>
        </w:rPr>
        <w:t>2施工期大气环境影响分析</w:t>
      </w:r>
      <w:r>
        <w:rPr>
          <w:color w:val="auto"/>
        </w:rPr>
        <w:tab/>
      </w:r>
      <w:r>
        <w:rPr>
          <w:color w:val="auto"/>
        </w:rPr>
        <w:fldChar w:fldCharType="begin"/>
      </w:r>
      <w:r>
        <w:rPr>
          <w:color w:val="auto"/>
        </w:rPr>
        <w:instrText xml:space="preserve"> PAGEREF _Toc4927 \h </w:instrText>
      </w:r>
      <w:r>
        <w:rPr>
          <w:color w:val="auto"/>
        </w:rPr>
        <w:fldChar w:fldCharType="separate"/>
      </w:r>
      <w:r>
        <w:rPr>
          <w:color w:val="auto"/>
        </w:rPr>
        <w:t>152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_Toc9692 </w:instrText>
      </w:r>
      <w:r>
        <w:rPr>
          <w:color w:val="auto"/>
          <w:szCs w:val="24"/>
        </w:rPr>
        <w:fldChar w:fldCharType="separate"/>
      </w:r>
      <w:r>
        <w:rPr>
          <w:rFonts w:eastAsia="黑体"/>
          <w:color w:val="auto"/>
        </w:rPr>
        <w:t>5</w:t>
      </w:r>
      <w:r>
        <w:rPr>
          <w:rFonts w:hint="eastAsia" w:eastAsia="黑体"/>
          <w:color w:val="auto"/>
          <w:lang w:val="en-US" w:eastAsia="zh-CN"/>
        </w:rPr>
        <w:t>.1.3施工期声环境影响分析</w:t>
      </w:r>
      <w:r>
        <w:rPr>
          <w:color w:val="auto"/>
        </w:rPr>
        <w:tab/>
      </w:r>
      <w:r>
        <w:rPr>
          <w:color w:val="auto"/>
        </w:rPr>
        <w:fldChar w:fldCharType="begin"/>
      </w:r>
      <w:r>
        <w:rPr>
          <w:color w:val="auto"/>
        </w:rPr>
        <w:instrText xml:space="preserve"> PAGEREF _Toc9692 \h </w:instrText>
      </w:r>
      <w:r>
        <w:rPr>
          <w:color w:val="auto"/>
        </w:rPr>
        <w:fldChar w:fldCharType="separate"/>
      </w:r>
      <w:r>
        <w:rPr>
          <w:color w:val="auto"/>
        </w:rPr>
        <w:t>154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_Toc18889 </w:instrText>
      </w:r>
      <w:r>
        <w:rPr>
          <w:color w:val="auto"/>
          <w:szCs w:val="24"/>
        </w:rPr>
        <w:fldChar w:fldCharType="separate"/>
      </w:r>
      <w:r>
        <w:rPr>
          <w:rFonts w:eastAsia="黑体"/>
          <w:color w:val="auto"/>
        </w:rPr>
        <w:t>5</w:t>
      </w:r>
      <w:r>
        <w:rPr>
          <w:rFonts w:hint="eastAsia" w:eastAsia="黑体"/>
          <w:color w:val="auto"/>
          <w:lang w:val="en-US" w:eastAsia="zh-CN"/>
        </w:rPr>
        <w:t>.1.4施工期固体废物环境影响分析</w:t>
      </w:r>
      <w:r>
        <w:rPr>
          <w:color w:val="auto"/>
        </w:rPr>
        <w:tab/>
      </w:r>
      <w:r>
        <w:rPr>
          <w:color w:val="auto"/>
        </w:rPr>
        <w:fldChar w:fldCharType="begin"/>
      </w:r>
      <w:r>
        <w:rPr>
          <w:color w:val="auto"/>
        </w:rPr>
        <w:instrText xml:space="preserve"> PAGEREF _Toc18889 \h </w:instrText>
      </w:r>
      <w:r>
        <w:rPr>
          <w:color w:val="auto"/>
        </w:rPr>
        <w:fldChar w:fldCharType="separate"/>
      </w:r>
      <w:r>
        <w:rPr>
          <w:color w:val="auto"/>
        </w:rPr>
        <w:t>155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_Toc18535 </w:instrText>
      </w:r>
      <w:r>
        <w:rPr>
          <w:color w:val="auto"/>
          <w:szCs w:val="24"/>
        </w:rPr>
        <w:fldChar w:fldCharType="separate"/>
      </w:r>
      <w:r>
        <w:rPr>
          <w:rFonts w:eastAsia="黑体"/>
          <w:color w:val="auto"/>
        </w:rPr>
        <w:t>5</w:t>
      </w:r>
      <w:r>
        <w:rPr>
          <w:rFonts w:hint="eastAsia" w:eastAsia="黑体"/>
          <w:color w:val="auto"/>
          <w:lang w:val="en-US" w:eastAsia="zh-CN"/>
        </w:rPr>
        <w:t>.1.5施工期生态环境环境影响分析</w:t>
      </w:r>
      <w:r>
        <w:rPr>
          <w:color w:val="auto"/>
        </w:rPr>
        <w:tab/>
      </w:r>
      <w:r>
        <w:rPr>
          <w:color w:val="auto"/>
        </w:rPr>
        <w:fldChar w:fldCharType="begin"/>
      </w:r>
      <w:r>
        <w:rPr>
          <w:color w:val="auto"/>
        </w:rPr>
        <w:instrText xml:space="preserve"> PAGEREF _Toc18535 \h </w:instrText>
      </w:r>
      <w:r>
        <w:rPr>
          <w:color w:val="auto"/>
        </w:rPr>
        <w:fldChar w:fldCharType="separate"/>
      </w:r>
      <w:r>
        <w:rPr>
          <w:color w:val="auto"/>
        </w:rPr>
        <w:t>156</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_Toc21582 </w:instrText>
      </w:r>
      <w:r>
        <w:rPr>
          <w:color w:val="auto"/>
          <w:szCs w:val="24"/>
        </w:rPr>
        <w:fldChar w:fldCharType="separate"/>
      </w:r>
      <w:r>
        <w:rPr>
          <w:rFonts w:ascii="Times New Roman" w:hAnsi="Times New Roman"/>
          <w:color w:val="auto"/>
          <w:szCs w:val="32"/>
        </w:rPr>
        <w:t>5.</w:t>
      </w:r>
      <w:r>
        <w:rPr>
          <w:rFonts w:hint="eastAsia" w:ascii="Times New Roman" w:hAnsi="Times New Roman"/>
          <w:color w:val="auto"/>
          <w:szCs w:val="32"/>
          <w:lang w:val="en-US" w:eastAsia="zh-CN"/>
        </w:rPr>
        <w:t>2运营期环境影响分析</w:t>
      </w:r>
      <w:r>
        <w:rPr>
          <w:color w:val="auto"/>
        </w:rPr>
        <w:tab/>
      </w:r>
      <w:r>
        <w:rPr>
          <w:color w:val="auto"/>
        </w:rPr>
        <w:fldChar w:fldCharType="begin"/>
      </w:r>
      <w:r>
        <w:rPr>
          <w:color w:val="auto"/>
        </w:rPr>
        <w:instrText xml:space="preserve"> PAGEREF _Toc21582 \h </w:instrText>
      </w:r>
      <w:r>
        <w:rPr>
          <w:color w:val="auto"/>
        </w:rPr>
        <w:fldChar w:fldCharType="separate"/>
      </w:r>
      <w:r>
        <w:rPr>
          <w:color w:val="auto"/>
        </w:rPr>
        <w:t>162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_Toc1158 </w:instrText>
      </w:r>
      <w:r>
        <w:rPr>
          <w:color w:val="auto"/>
          <w:szCs w:val="24"/>
        </w:rPr>
        <w:fldChar w:fldCharType="separate"/>
      </w:r>
      <w:r>
        <w:rPr>
          <w:rFonts w:hint="eastAsia" w:eastAsia="黑体"/>
          <w:color w:val="auto"/>
        </w:rPr>
        <w:t>5</w:t>
      </w:r>
      <w:r>
        <w:rPr>
          <w:rFonts w:eastAsia="黑体"/>
          <w:color w:val="auto"/>
        </w:rPr>
        <w:t>.2.1</w:t>
      </w:r>
      <w:r>
        <w:rPr>
          <w:rFonts w:hint="eastAsia" w:eastAsia="黑体"/>
          <w:color w:val="auto"/>
          <w:lang w:eastAsia="zh-CN"/>
        </w:rPr>
        <w:t>运营期</w:t>
      </w:r>
      <w:r>
        <w:rPr>
          <w:rFonts w:hint="eastAsia" w:eastAsia="黑体"/>
          <w:color w:val="auto"/>
          <w:lang w:val="en-US" w:eastAsia="zh-CN"/>
        </w:rPr>
        <w:t>地表水环境</w:t>
      </w:r>
      <w:r>
        <w:rPr>
          <w:rFonts w:hint="eastAsia" w:eastAsia="黑体"/>
          <w:color w:val="auto"/>
        </w:rPr>
        <w:t>影响分析</w:t>
      </w:r>
      <w:r>
        <w:rPr>
          <w:color w:val="auto"/>
        </w:rPr>
        <w:tab/>
      </w:r>
      <w:r>
        <w:rPr>
          <w:color w:val="auto"/>
        </w:rPr>
        <w:fldChar w:fldCharType="begin"/>
      </w:r>
      <w:r>
        <w:rPr>
          <w:color w:val="auto"/>
        </w:rPr>
        <w:instrText xml:space="preserve"> PAGEREF _Toc1158 \h </w:instrText>
      </w:r>
      <w:r>
        <w:rPr>
          <w:color w:val="auto"/>
        </w:rPr>
        <w:fldChar w:fldCharType="separate"/>
      </w:r>
      <w:r>
        <w:rPr>
          <w:color w:val="auto"/>
        </w:rPr>
        <w:t>162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_Toc30344 </w:instrText>
      </w:r>
      <w:r>
        <w:rPr>
          <w:color w:val="auto"/>
          <w:szCs w:val="24"/>
        </w:rPr>
        <w:fldChar w:fldCharType="separate"/>
      </w:r>
      <w:r>
        <w:rPr>
          <w:rFonts w:eastAsia="黑体"/>
          <w:color w:val="auto"/>
        </w:rPr>
        <w:t>5</w:t>
      </w:r>
      <w:r>
        <w:rPr>
          <w:rFonts w:hint="eastAsia" w:eastAsia="黑体"/>
          <w:color w:val="auto"/>
          <w:lang w:val="en-US" w:eastAsia="zh-CN"/>
        </w:rPr>
        <w:t>.2</w:t>
      </w:r>
      <w:r>
        <w:rPr>
          <w:rFonts w:eastAsia="黑体"/>
          <w:color w:val="auto"/>
        </w:rPr>
        <w:t>.</w:t>
      </w:r>
      <w:r>
        <w:rPr>
          <w:rFonts w:hint="eastAsia" w:eastAsia="黑体"/>
          <w:color w:val="auto"/>
          <w:lang w:val="en-US" w:eastAsia="zh-CN"/>
        </w:rPr>
        <w:t>2运营期大气环境影响分析</w:t>
      </w:r>
      <w:r>
        <w:rPr>
          <w:color w:val="auto"/>
        </w:rPr>
        <w:tab/>
      </w:r>
      <w:r>
        <w:rPr>
          <w:color w:val="auto"/>
        </w:rPr>
        <w:fldChar w:fldCharType="begin"/>
      </w:r>
      <w:r>
        <w:rPr>
          <w:color w:val="auto"/>
        </w:rPr>
        <w:instrText xml:space="preserve"> PAGEREF _Toc30344 \h </w:instrText>
      </w:r>
      <w:r>
        <w:rPr>
          <w:color w:val="auto"/>
        </w:rPr>
        <w:fldChar w:fldCharType="separate"/>
      </w:r>
      <w:r>
        <w:rPr>
          <w:color w:val="auto"/>
        </w:rPr>
        <w:t>181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_Toc23862 </w:instrText>
      </w:r>
      <w:r>
        <w:rPr>
          <w:color w:val="auto"/>
          <w:szCs w:val="24"/>
        </w:rPr>
        <w:fldChar w:fldCharType="separate"/>
      </w:r>
      <w:r>
        <w:rPr>
          <w:rFonts w:eastAsia="黑体"/>
          <w:color w:val="auto"/>
        </w:rPr>
        <w:t>5.</w:t>
      </w:r>
      <w:r>
        <w:rPr>
          <w:rFonts w:hint="eastAsia" w:eastAsia="黑体"/>
          <w:color w:val="auto"/>
          <w:lang w:val="en-US" w:eastAsia="zh-CN"/>
        </w:rPr>
        <w:t>2.3运营期</w:t>
      </w:r>
      <w:r>
        <w:rPr>
          <w:rFonts w:eastAsia="黑体"/>
          <w:color w:val="auto"/>
        </w:rPr>
        <w:t>声环境影响</w:t>
      </w:r>
      <w:r>
        <w:rPr>
          <w:rFonts w:hint="eastAsia" w:eastAsia="黑体"/>
          <w:color w:val="auto"/>
          <w:lang w:val="en-US" w:eastAsia="zh-CN"/>
        </w:rPr>
        <w:t>分析</w:t>
      </w:r>
      <w:r>
        <w:rPr>
          <w:color w:val="auto"/>
        </w:rPr>
        <w:tab/>
      </w:r>
      <w:r>
        <w:rPr>
          <w:color w:val="auto"/>
        </w:rPr>
        <w:fldChar w:fldCharType="begin"/>
      </w:r>
      <w:r>
        <w:rPr>
          <w:color w:val="auto"/>
        </w:rPr>
        <w:instrText xml:space="preserve"> PAGEREF _Toc23862 \h </w:instrText>
      </w:r>
      <w:r>
        <w:rPr>
          <w:color w:val="auto"/>
        </w:rPr>
        <w:fldChar w:fldCharType="separate"/>
      </w:r>
      <w:r>
        <w:rPr>
          <w:color w:val="auto"/>
        </w:rPr>
        <w:t>194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_Toc25855 </w:instrText>
      </w:r>
      <w:r>
        <w:rPr>
          <w:color w:val="auto"/>
          <w:szCs w:val="24"/>
        </w:rPr>
        <w:fldChar w:fldCharType="separate"/>
      </w:r>
      <w:r>
        <w:rPr>
          <w:rFonts w:eastAsia="黑体"/>
          <w:color w:val="auto"/>
        </w:rPr>
        <w:t>5.</w:t>
      </w:r>
      <w:r>
        <w:rPr>
          <w:rFonts w:hint="eastAsia" w:eastAsia="黑体"/>
          <w:color w:val="auto"/>
          <w:lang w:val="en-US" w:eastAsia="zh-CN"/>
        </w:rPr>
        <w:t>2.</w:t>
      </w:r>
      <w:r>
        <w:rPr>
          <w:rFonts w:eastAsia="黑体"/>
          <w:color w:val="auto"/>
        </w:rPr>
        <w:t>4</w:t>
      </w:r>
      <w:r>
        <w:rPr>
          <w:rFonts w:hint="eastAsia" w:eastAsia="黑体"/>
          <w:color w:val="auto"/>
          <w:lang w:val="en-US" w:eastAsia="zh-CN"/>
        </w:rPr>
        <w:t>运营期</w:t>
      </w:r>
      <w:r>
        <w:rPr>
          <w:rFonts w:eastAsia="黑体"/>
          <w:color w:val="auto"/>
        </w:rPr>
        <w:t>固体废物影响分析</w:t>
      </w:r>
      <w:r>
        <w:rPr>
          <w:color w:val="auto"/>
        </w:rPr>
        <w:tab/>
      </w:r>
      <w:r>
        <w:rPr>
          <w:color w:val="auto"/>
        </w:rPr>
        <w:fldChar w:fldCharType="begin"/>
      </w:r>
      <w:r>
        <w:rPr>
          <w:color w:val="auto"/>
        </w:rPr>
        <w:instrText xml:space="preserve"> PAGEREF _Toc25855 \h </w:instrText>
      </w:r>
      <w:r>
        <w:rPr>
          <w:color w:val="auto"/>
        </w:rPr>
        <w:fldChar w:fldCharType="separate"/>
      </w:r>
      <w:r>
        <w:rPr>
          <w:color w:val="auto"/>
        </w:rPr>
        <w:t>200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_Toc1109 </w:instrText>
      </w:r>
      <w:r>
        <w:rPr>
          <w:color w:val="auto"/>
          <w:szCs w:val="24"/>
        </w:rPr>
        <w:fldChar w:fldCharType="separate"/>
      </w:r>
      <w:r>
        <w:rPr>
          <w:rFonts w:eastAsia="黑体"/>
          <w:color w:val="auto"/>
        </w:rPr>
        <w:t>5.</w:t>
      </w:r>
      <w:r>
        <w:rPr>
          <w:rFonts w:hint="eastAsia" w:eastAsia="黑体"/>
          <w:color w:val="auto"/>
          <w:lang w:val="en-US" w:eastAsia="zh-CN"/>
        </w:rPr>
        <w:t>2.5运营期生态环境</w:t>
      </w:r>
      <w:r>
        <w:rPr>
          <w:rFonts w:eastAsia="黑体"/>
          <w:color w:val="auto"/>
        </w:rPr>
        <w:t>影响分析</w:t>
      </w:r>
      <w:r>
        <w:rPr>
          <w:color w:val="auto"/>
        </w:rPr>
        <w:tab/>
      </w:r>
      <w:r>
        <w:rPr>
          <w:color w:val="auto"/>
        </w:rPr>
        <w:fldChar w:fldCharType="begin"/>
      </w:r>
      <w:r>
        <w:rPr>
          <w:color w:val="auto"/>
        </w:rPr>
        <w:instrText xml:space="preserve"> PAGEREF _Toc1109 \h </w:instrText>
      </w:r>
      <w:r>
        <w:rPr>
          <w:color w:val="auto"/>
        </w:rPr>
        <w:fldChar w:fldCharType="separate"/>
      </w:r>
      <w:r>
        <w:rPr>
          <w:color w:val="auto"/>
        </w:rPr>
        <w:t>202</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_Toc944 </w:instrText>
      </w:r>
      <w:r>
        <w:rPr>
          <w:color w:val="auto"/>
          <w:szCs w:val="24"/>
        </w:rPr>
        <w:fldChar w:fldCharType="separate"/>
      </w:r>
      <w:r>
        <w:rPr>
          <w:rFonts w:eastAsia="黑体"/>
          <w:color w:val="auto"/>
          <w:szCs w:val="44"/>
        </w:rPr>
        <w:t>6</w:t>
      </w:r>
      <w:r>
        <w:rPr>
          <w:rFonts w:hint="eastAsia" w:eastAsia="黑体"/>
          <w:color w:val="auto"/>
          <w:szCs w:val="44"/>
          <w:lang w:val="en-US" w:eastAsia="zh-CN"/>
        </w:rPr>
        <w:t>工程对长江湖北宜昌中华鲟自然保护区外围保护地带的影响分析</w:t>
      </w:r>
      <w:r>
        <w:rPr>
          <w:color w:val="auto"/>
        </w:rPr>
        <w:tab/>
      </w:r>
      <w:r>
        <w:rPr>
          <w:color w:val="auto"/>
        </w:rPr>
        <w:fldChar w:fldCharType="begin"/>
      </w:r>
      <w:r>
        <w:rPr>
          <w:color w:val="auto"/>
        </w:rPr>
        <w:instrText xml:space="preserve"> PAGEREF _Toc944 \h </w:instrText>
      </w:r>
      <w:r>
        <w:rPr>
          <w:color w:val="auto"/>
        </w:rPr>
        <w:fldChar w:fldCharType="separate"/>
      </w:r>
      <w:r>
        <w:rPr>
          <w:color w:val="auto"/>
        </w:rPr>
        <w:t>207</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_Toc10557 </w:instrText>
      </w:r>
      <w:r>
        <w:rPr>
          <w:color w:val="auto"/>
          <w:szCs w:val="24"/>
        </w:rPr>
        <w:fldChar w:fldCharType="separate"/>
      </w:r>
      <w:r>
        <w:rPr>
          <w:rFonts w:hint="eastAsia" w:ascii="Times New Roman" w:hAnsi="Times New Roman"/>
          <w:color w:val="auto"/>
          <w:szCs w:val="32"/>
          <w:lang w:val="en-US" w:eastAsia="zh-CN"/>
        </w:rPr>
        <w:t>6</w:t>
      </w:r>
      <w:r>
        <w:rPr>
          <w:rFonts w:ascii="Times New Roman" w:hAnsi="Times New Roman"/>
          <w:color w:val="auto"/>
          <w:szCs w:val="32"/>
        </w:rPr>
        <w:t>.1</w:t>
      </w:r>
      <w:r>
        <w:rPr>
          <w:rFonts w:hint="eastAsia" w:ascii="Times New Roman" w:hAnsi="Times New Roman"/>
          <w:color w:val="auto"/>
          <w:szCs w:val="32"/>
        </w:rPr>
        <w:t>长江湖北宜昌中华鲟自然保护区概况</w:t>
      </w:r>
      <w:r>
        <w:rPr>
          <w:color w:val="auto"/>
        </w:rPr>
        <w:tab/>
      </w:r>
      <w:r>
        <w:rPr>
          <w:color w:val="auto"/>
        </w:rPr>
        <w:fldChar w:fldCharType="begin"/>
      </w:r>
      <w:r>
        <w:rPr>
          <w:color w:val="auto"/>
        </w:rPr>
        <w:instrText xml:space="preserve"> PAGEREF _Toc10557 \h </w:instrText>
      </w:r>
      <w:r>
        <w:rPr>
          <w:color w:val="auto"/>
        </w:rPr>
        <w:fldChar w:fldCharType="separate"/>
      </w:r>
      <w:r>
        <w:rPr>
          <w:color w:val="auto"/>
        </w:rPr>
        <w:t>207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_Toc23209 </w:instrText>
      </w:r>
      <w:r>
        <w:rPr>
          <w:color w:val="auto"/>
          <w:szCs w:val="24"/>
        </w:rPr>
        <w:fldChar w:fldCharType="separate"/>
      </w:r>
      <w:r>
        <w:rPr>
          <w:rFonts w:hint="eastAsia" w:eastAsia="黑体"/>
          <w:color w:val="auto"/>
          <w:lang w:val="en-US" w:eastAsia="zh-CN"/>
        </w:rPr>
        <w:t>6.1.1保护区地理位置和范围</w:t>
      </w:r>
      <w:r>
        <w:rPr>
          <w:color w:val="auto"/>
        </w:rPr>
        <w:tab/>
      </w:r>
      <w:r>
        <w:rPr>
          <w:color w:val="auto"/>
        </w:rPr>
        <w:fldChar w:fldCharType="begin"/>
      </w:r>
      <w:r>
        <w:rPr>
          <w:color w:val="auto"/>
        </w:rPr>
        <w:instrText xml:space="preserve"> PAGEREF _Toc23209 \h </w:instrText>
      </w:r>
      <w:r>
        <w:rPr>
          <w:color w:val="auto"/>
        </w:rPr>
        <w:fldChar w:fldCharType="separate"/>
      </w:r>
      <w:r>
        <w:rPr>
          <w:color w:val="auto"/>
        </w:rPr>
        <w:t>207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_Toc31064 </w:instrText>
      </w:r>
      <w:r>
        <w:rPr>
          <w:color w:val="auto"/>
          <w:szCs w:val="24"/>
        </w:rPr>
        <w:fldChar w:fldCharType="separate"/>
      </w:r>
      <w:r>
        <w:rPr>
          <w:rFonts w:hint="eastAsia" w:eastAsia="黑体"/>
          <w:color w:val="auto"/>
          <w:lang w:val="en-US" w:eastAsia="zh-CN"/>
        </w:rPr>
        <w:t>6.1.2保护区功能区划分</w:t>
      </w:r>
      <w:r>
        <w:rPr>
          <w:color w:val="auto"/>
        </w:rPr>
        <w:tab/>
      </w:r>
      <w:r>
        <w:rPr>
          <w:color w:val="auto"/>
        </w:rPr>
        <w:fldChar w:fldCharType="begin"/>
      </w:r>
      <w:r>
        <w:rPr>
          <w:color w:val="auto"/>
        </w:rPr>
        <w:instrText xml:space="preserve"> PAGEREF _Toc31064 \h </w:instrText>
      </w:r>
      <w:r>
        <w:rPr>
          <w:color w:val="auto"/>
        </w:rPr>
        <w:fldChar w:fldCharType="separate"/>
      </w:r>
      <w:r>
        <w:rPr>
          <w:color w:val="auto"/>
        </w:rPr>
        <w:t>207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_Toc30950 </w:instrText>
      </w:r>
      <w:r>
        <w:rPr>
          <w:color w:val="auto"/>
          <w:szCs w:val="24"/>
        </w:rPr>
        <w:fldChar w:fldCharType="separate"/>
      </w:r>
      <w:r>
        <w:rPr>
          <w:rFonts w:hint="eastAsia" w:eastAsia="黑体"/>
          <w:color w:val="auto"/>
          <w:lang w:val="en-US" w:eastAsia="zh-CN"/>
        </w:rPr>
        <w:t>6.1.3保护区主要保护对象</w:t>
      </w:r>
      <w:r>
        <w:rPr>
          <w:color w:val="auto"/>
        </w:rPr>
        <w:tab/>
      </w:r>
      <w:r>
        <w:rPr>
          <w:color w:val="auto"/>
        </w:rPr>
        <w:fldChar w:fldCharType="begin"/>
      </w:r>
      <w:r>
        <w:rPr>
          <w:color w:val="auto"/>
        </w:rPr>
        <w:instrText xml:space="preserve"> PAGEREF _Toc30950 \h </w:instrText>
      </w:r>
      <w:r>
        <w:rPr>
          <w:color w:val="auto"/>
        </w:rPr>
        <w:fldChar w:fldCharType="separate"/>
      </w:r>
      <w:r>
        <w:rPr>
          <w:color w:val="auto"/>
        </w:rPr>
        <w:t>208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_Toc18977 </w:instrText>
      </w:r>
      <w:r>
        <w:rPr>
          <w:color w:val="auto"/>
          <w:szCs w:val="24"/>
        </w:rPr>
        <w:fldChar w:fldCharType="separate"/>
      </w:r>
      <w:r>
        <w:rPr>
          <w:rFonts w:hint="eastAsia" w:eastAsia="黑体"/>
          <w:color w:val="auto"/>
          <w:lang w:val="en-US" w:eastAsia="zh-CN"/>
        </w:rPr>
        <w:t>6.1.4保护区存在价值评估</w:t>
      </w:r>
      <w:r>
        <w:rPr>
          <w:color w:val="auto"/>
        </w:rPr>
        <w:tab/>
      </w:r>
      <w:r>
        <w:rPr>
          <w:color w:val="auto"/>
        </w:rPr>
        <w:fldChar w:fldCharType="begin"/>
      </w:r>
      <w:r>
        <w:rPr>
          <w:color w:val="auto"/>
        </w:rPr>
        <w:instrText xml:space="preserve"> PAGEREF _Toc18977 \h </w:instrText>
      </w:r>
      <w:r>
        <w:rPr>
          <w:color w:val="auto"/>
        </w:rPr>
        <w:fldChar w:fldCharType="separate"/>
      </w:r>
      <w:r>
        <w:rPr>
          <w:color w:val="auto"/>
        </w:rPr>
        <w:t>208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_Toc32431 </w:instrText>
      </w:r>
      <w:r>
        <w:rPr>
          <w:color w:val="auto"/>
          <w:szCs w:val="24"/>
        </w:rPr>
        <w:fldChar w:fldCharType="separate"/>
      </w:r>
      <w:r>
        <w:rPr>
          <w:rFonts w:hint="eastAsia" w:eastAsia="黑体"/>
          <w:color w:val="auto"/>
          <w:lang w:val="en-US" w:eastAsia="zh-CN"/>
        </w:rPr>
        <w:t>6.1.5保护区的管理机构</w:t>
      </w:r>
      <w:r>
        <w:rPr>
          <w:color w:val="auto"/>
        </w:rPr>
        <w:tab/>
      </w:r>
      <w:r>
        <w:rPr>
          <w:color w:val="auto"/>
        </w:rPr>
        <w:fldChar w:fldCharType="begin"/>
      </w:r>
      <w:r>
        <w:rPr>
          <w:color w:val="auto"/>
        </w:rPr>
        <w:instrText xml:space="preserve"> PAGEREF _Toc32431 \h </w:instrText>
      </w:r>
      <w:r>
        <w:rPr>
          <w:color w:val="auto"/>
        </w:rPr>
        <w:fldChar w:fldCharType="separate"/>
      </w:r>
      <w:r>
        <w:rPr>
          <w:color w:val="auto"/>
        </w:rPr>
        <w:t>209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_Toc24693 </w:instrText>
      </w:r>
      <w:r>
        <w:rPr>
          <w:color w:val="auto"/>
          <w:szCs w:val="24"/>
        </w:rPr>
        <w:fldChar w:fldCharType="separate"/>
      </w:r>
      <w:r>
        <w:rPr>
          <w:rFonts w:hint="eastAsia" w:ascii="Times New Roman" w:hAnsi="Times New Roman"/>
          <w:color w:val="auto"/>
          <w:szCs w:val="32"/>
          <w:lang w:val="en-US" w:eastAsia="zh-CN"/>
        </w:rPr>
        <w:t>6</w:t>
      </w:r>
      <w:r>
        <w:rPr>
          <w:rFonts w:ascii="Times New Roman" w:hAnsi="Times New Roman"/>
          <w:color w:val="auto"/>
          <w:szCs w:val="32"/>
        </w:rPr>
        <w:t>.</w:t>
      </w:r>
      <w:r>
        <w:rPr>
          <w:rFonts w:hint="eastAsia" w:ascii="Times New Roman" w:hAnsi="Times New Roman"/>
          <w:color w:val="auto"/>
          <w:szCs w:val="32"/>
          <w:lang w:val="en-US" w:eastAsia="zh-CN"/>
        </w:rPr>
        <w:t>2</w:t>
      </w:r>
      <w:r>
        <w:rPr>
          <w:rFonts w:hint="eastAsia" w:ascii="Times New Roman" w:hAnsi="Times New Roman"/>
          <w:color w:val="auto"/>
          <w:szCs w:val="32"/>
        </w:rPr>
        <w:t>对长江湖北宜昌中华鲟自然保护区外围保护地带和中华鲟的影响分析</w:t>
      </w:r>
      <w:r>
        <w:rPr>
          <w:color w:val="auto"/>
        </w:rPr>
        <w:tab/>
      </w:r>
      <w:r>
        <w:rPr>
          <w:color w:val="auto"/>
        </w:rPr>
        <w:fldChar w:fldCharType="begin"/>
      </w:r>
      <w:r>
        <w:rPr>
          <w:color w:val="auto"/>
        </w:rPr>
        <w:instrText xml:space="preserve"> PAGEREF _Toc24693 \h </w:instrText>
      </w:r>
      <w:r>
        <w:rPr>
          <w:color w:val="auto"/>
        </w:rPr>
        <w:fldChar w:fldCharType="separate"/>
      </w:r>
      <w:r>
        <w:rPr>
          <w:color w:val="auto"/>
        </w:rPr>
        <w:t>210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_Toc5188 </w:instrText>
      </w:r>
      <w:r>
        <w:rPr>
          <w:color w:val="auto"/>
          <w:szCs w:val="24"/>
        </w:rPr>
        <w:fldChar w:fldCharType="separate"/>
      </w:r>
      <w:r>
        <w:rPr>
          <w:rFonts w:hint="eastAsia" w:eastAsia="黑体"/>
          <w:color w:val="auto"/>
          <w:lang w:val="en-US" w:eastAsia="zh-CN"/>
        </w:rPr>
        <w:t>6.2.1工程对中华鲟的影响分析</w:t>
      </w:r>
      <w:r>
        <w:rPr>
          <w:color w:val="auto"/>
        </w:rPr>
        <w:tab/>
      </w:r>
      <w:r>
        <w:rPr>
          <w:color w:val="auto"/>
        </w:rPr>
        <w:fldChar w:fldCharType="begin"/>
      </w:r>
      <w:r>
        <w:rPr>
          <w:color w:val="auto"/>
        </w:rPr>
        <w:instrText xml:space="preserve"> PAGEREF _Toc5188 \h </w:instrText>
      </w:r>
      <w:r>
        <w:rPr>
          <w:color w:val="auto"/>
        </w:rPr>
        <w:fldChar w:fldCharType="separate"/>
      </w:r>
      <w:r>
        <w:rPr>
          <w:color w:val="auto"/>
        </w:rPr>
        <w:t>210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_Toc10016 </w:instrText>
      </w:r>
      <w:r>
        <w:rPr>
          <w:color w:val="auto"/>
          <w:szCs w:val="24"/>
        </w:rPr>
        <w:fldChar w:fldCharType="separate"/>
      </w:r>
      <w:r>
        <w:rPr>
          <w:rFonts w:hint="eastAsia" w:eastAsia="黑体"/>
          <w:color w:val="auto"/>
          <w:lang w:val="en-US" w:eastAsia="zh-CN"/>
        </w:rPr>
        <w:t>6.2.2工程对白鲟和长江鲟的影响分析</w:t>
      </w:r>
      <w:r>
        <w:rPr>
          <w:color w:val="auto"/>
        </w:rPr>
        <w:tab/>
      </w:r>
      <w:r>
        <w:rPr>
          <w:color w:val="auto"/>
        </w:rPr>
        <w:fldChar w:fldCharType="begin"/>
      </w:r>
      <w:r>
        <w:rPr>
          <w:color w:val="auto"/>
        </w:rPr>
        <w:instrText xml:space="preserve"> PAGEREF _Toc10016 \h </w:instrText>
      </w:r>
      <w:r>
        <w:rPr>
          <w:color w:val="auto"/>
        </w:rPr>
        <w:fldChar w:fldCharType="separate"/>
      </w:r>
      <w:r>
        <w:rPr>
          <w:color w:val="auto"/>
        </w:rPr>
        <w:t>213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_Toc30372 </w:instrText>
      </w:r>
      <w:r>
        <w:rPr>
          <w:color w:val="auto"/>
          <w:szCs w:val="24"/>
        </w:rPr>
        <w:fldChar w:fldCharType="separate"/>
      </w:r>
      <w:r>
        <w:rPr>
          <w:rFonts w:hint="eastAsia" w:eastAsia="黑体"/>
          <w:color w:val="auto"/>
          <w:lang w:val="en-US" w:eastAsia="zh-CN"/>
        </w:rPr>
        <w:t>6.2.3工程对胭脂鱼的影响分析</w:t>
      </w:r>
      <w:r>
        <w:rPr>
          <w:color w:val="auto"/>
        </w:rPr>
        <w:tab/>
      </w:r>
      <w:r>
        <w:rPr>
          <w:color w:val="auto"/>
        </w:rPr>
        <w:fldChar w:fldCharType="begin"/>
      </w:r>
      <w:r>
        <w:rPr>
          <w:color w:val="auto"/>
        </w:rPr>
        <w:instrText xml:space="preserve"> PAGEREF _Toc30372 \h </w:instrText>
      </w:r>
      <w:r>
        <w:rPr>
          <w:color w:val="auto"/>
        </w:rPr>
        <w:fldChar w:fldCharType="separate"/>
      </w:r>
      <w:r>
        <w:rPr>
          <w:color w:val="auto"/>
        </w:rPr>
        <w:t>213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_Toc30465 </w:instrText>
      </w:r>
      <w:r>
        <w:rPr>
          <w:color w:val="auto"/>
          <w:szCs w:val="24"/>
        </w:rPr>
        <w:fldChar w:fldCharType="separate"/>
      </w:r>
      <w:r>
        <w:rPr>
          <w:rFonts w:hint="eastAsia" w:eastAsia="黑体"/>
          <w:color w:val="auto"/>
          <w:lang w:val="en-US" w:eastAsia="zh-CN"/>
        </w:rPr>
        <w:t>6.2.4工程对其他珍稀物种及经济鱼类的影响分析</w:t>
      </w:r>
      <w:r>
        <w:rPr>
          <w:color w:val="auto"/>
        </w:rPr>
        <w:tab/>
      </w:r>
      <w:r>
        <w:rPr>
          <w:color w:val="auto"/>
        </w:rPr>
        <w:fldChar w:fldCharType="begin"/>
      </w:r>
      <w:r>
        <w:rPr>
          <w:color w:val="auto"/>
        </w:rPr>
        <w:instrText xml:space="preserve"> PAGEREF _Toc30465 \h </w:instrText>
      </w:r>
      <w:r>
        <w:rPr>
          <w:color w:val="auto"/>
        </w:rPr>
        <w:fldChar w:fldCharType="separate"/>
      </w:r>
      <w:r>
        <w:rPr>
          <w:color w:val="auto"/>
        </w:rPr>
        <w:t>214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_Toc21409 </w:instrText>
      </w:r>
      <w:r>
        <w:rPr>
          <w:color w:val="auto"/>
          <w:szCs w:val="24"/>
        </w:rPr>
        <w:fldChar w:fldCharType="separate"/>
      </w:r>
      <w:r>
        <w:rPr>
          <w:rFonts w:hint="eastAsia" w:ascii="Times New Roman" w:hAnsi="Times New Roman"/>
          <w:color w:val="auto"/>
          <w:szCs w:val="32"/>
          <w:lang w:val="en-US" w:eastAsia="zh-CN"/>
        </w:rPr>
        <w:t>6.3工程对保护区结构和功能的影响</w:t>
      </w:r>
      <w:r>
        <w:rPr>
          <w:color w:val="auto"/>
        </w:rPr>
        <w:tab/>
      </w:r>
      <w:r>
        <w:rPr>
          <w:color w:val="auto"/>
        </w:rPr>
        <w:fldChar w:fldCharType="begin"/>
      </w:r>
      <w:r>
        <w:rPr>
          <w:color w:val="auto"/>
        </w:rPr>
        <w:instrText xml:space="preserve"> PAGEREF _Toc21409 \h </w:instrText>
      </w:r>
      <w:r>
        <w:rPr>
          <w:color w:val="auto"/>
        </w:rPr>
        <w:fldChar w:fldCharType="separate"/>
      </w:r>
      <w:r>
        <w:rPr>
          <w:color w:val="auto"/>
        </w:rPr>
        <w:t>216</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_Toc25927 </w:instrText>
      </w:r>
      <w:r>
        <w:rPr>
          <w:color w:val="auto"/>
          <w:szCs w:val="24"/>
        </w:rPr>
        <w:fldChar w:fldCharType="separate"/>
      </w:r>
      <w:r>
        <w:rPr>
          <w:rFonts w:hint="eastAsia" w:ascii="Times New Roman" w:hAnsi="Times New Roman"/>
          <w:color w:val="auto"/>
          <w:szCs w:val="32"/>
          <w:lang w:val="en-US" w:eastAsia="zh-CN"/>
        </w:rPr>
        <w:t>6</w:t>
      </w:r>
      <w:r>
        <w:rPr>
          <w:rFonts w:ascii="Times New Roman" w:hAnsi="Times New Roman"/>
          <w:color w:val="auto"/>
          <w:szCs w:val="32"/>
        </w:rPr>
        <w:t>.</w:t>
      </w:r>
      <w:r>
        <w:rPr>
          <w:rFonts w:hint="eastAsia" w:ascii="Times New Roman" w:hAnsi="Times New Roman"/>
          <w:color w:val="auto"/>
          <w:szCs w:val="32"/>
          <w:lang w:val="en-US" w:eastAsia="zh-CN"/>
        </w:rPr>
        <w:t>4生态环境保护及补偿措施</w:t>
      </w:r>
      <w:r>
        <w:rPr>
          <w:color w:val="auto"/>
        </w:rPr>
        <w:tab/>
      </w:r>
      <w:r>
        <w:rPr>
          <w:color w:val="auto"/>
        </w:rPr>
        <w:fldChar w:fldCharType="begin"/>
      </w:r>
      <w:r>
        <w:rPr>
          <w:color w:val="auto"/>
        </w:rPr>
        <w:instrText xml:space="preserve"> PAGEREF _Toc25927 \h </w:instrText>
      </w:r>
      <w:r>
        <w:rPr>
          <w:color w:val="auto"/>
        </w:rPr>
        <w:fldChar w:fldCharType="separate"/>
      </w:r>
      <w:r>
        <w:rPr>
          <w:color w:val="auto"/>
        </w:rPr>
        <w:t>216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_Toc14258 </w:instrText>
      </w:r>
      <w:r>
        <w:rPr>
          <w:color w:val="auto"/>
          <w:szCs w:val="24"/>
        </w:rPr>
        <w:fldChar w:fldCharType="separate"/>
      </w:r>
      <w:r>
        <w:rPr>
          <w:rFonts w:hint="eastAsia" w:eastAsia="黑体"/>
          <w:color w:val="auto"/>
          <w:lang w:val="en-US" w:eastAsia="zh-CN"/>
        </w:rPr>
        <w:t>6.4.1繁殖期避让措施</w:t>
      </w:r>
      <w:r>
        <w:rPr>
          <w:color w:val="auto"/>
        </w:rPr>
        <w:tab/>
      </w:r>
      <w:r>
        <w:rPr>
          <w:color w:val="auto"/>
        </w:rPr>
        <w:fldChar w:fldCharType="begin"/>
      </w:r>
      <w:r>
        <w:rPr>
          <w:color w:val="auto"/>
        </w:rPr>
        <w:instrText xml:space="preserve"> PAGEREF _Toc14258 \h </w:instrText>
      </w:r>
      <w:r>
        <w:rPr>
          <w:color w:val="auto"/>
        </w:rPr>
        <w:fldChar w:fldCharType="separate"/>
      </w:r>
      <w:r>
        <w:rPr>
          <w:color w:val="auto"/>
        </w:rPr>
        <w:t>216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_Toc28814 </w:instrText>
      </w:r>
      <w:r>
        <w:rPr>
          <w:color w:val="auto"/>
          <w:szCs w:val="24"/>
        </w:rPr>
        <w:fldChar w:fldCharType="separate"/>
      </w:r>
      <w:r>
        <w:rPr>
          <w:rFonts w:hint="eastAsia" w:eastAsia="黑体"/>
          <w:color w:val="auto"/>
          <w:lang w:val="en-US" w:eastAsia="zh-CN"/>
        </w:rPr>
        <w:t>6.4.2保护区管理能力提升</w:t>
      </w:r>
      <w:r>
        <w:rPr>
          <w:color w:val="auto"/>
        </w:rPr>
        <w:tab/>
      </w:r>
      <w:r>
        <w:rPr>
          <w:color w:val="auto"/>
        </w:rPr>
        <w:fldChar w:fldCharType="begin"/>
      </w:r>
      <w:r>
        <w:rPr>
          <w:color w:val="auto"/>
        </w:rPr>
        <w:instrText xml:space="preserve"> PAGEREF _Toc28814 \h </w:instrText>
      </w:r>
      <w:r>
        <w:rPr>
          <w:color w:val="auto"/>
        </w:rPr>
        <w:fldChar w:fldCharType="separate"/>
      </w:r>
      <w:r>
        <w:rPr>
          <w:color w:val="auto"/>
        </w:rPr>
        <w:t>217</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_Toc8979 </w:instrText>
      </w:r>
      <w:r>
        <w:rPr>
          <w:color w:val="auto"/>
          <w:szCs w:val="24"/>
        </w:rPr>
        <w:fldChar w:fldCharType="separate"/>
      </w:r>
      <w:r>
        <w:rPr>
          <w:rFonts w:hint="eastAsia" w:eastAsia="黑体"/>
          <w:color w:val="auto"/>
          <w:lang w:val="en-US" w:eastAsia="zh-CN"/>
        </w:rPr>
        <w:t>6.4.3栖息地修复措施</w:t>
      </w:r>
      <w:r>
        <w:rPr>
          <w:color w:val="auto"/>
        </w:rPr>
        <w:tab/>
      </w:r>
      <w:r>
        <w:rPr>
          <w:color w:val="auto"/>
        </w:rPr>
        <w:fldChar w:fldCharType="begin"/>
      </w:r>
      <w:r>
        <w:rPr>
          <w:color w:val="auto"/>
        </w:rPr>
        <w:instrText xml:space="preserve"> PAGEREF _Toc8979 \h </w:instrText>
      </w:r>
      <w:r>
        <w:rPr>
          <w:color w:val="auto"/>
        </w:rPr>
        <w:fldChar w:fldCharType="separate"/>
      </w:r>
      <w:r>
        <w:rPr>
          <w:color w:val="auto"/>
        </w:rPr>
        <w:t>218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_Toc27621 </w:instrText>
      </w:r>
      <w:r>
        <w:rPr>
          <w:color w:val="auto"/>
          <w:szCs w:val="24"/>
        </w:rPr>
        <w:fldChar w:fldCharType="separate"/>
      </w:r>
      <w:r>
        <w:rPr>
          <w:rFonts w:hint="eastAsia" w:eastAsia="黑体"/>
          <w:color w:val="auto"/>
          <w:lang w:val="en-US" w:eastAsia="zh-CN"/>
        </w:rPr>
        <w:t>6.4.4增殖放流</w:t>
      </w:r>
      <w:r>
        <w:rPr>
          <w:color w:val="auto"/>
        </w:rPr>
        <w:tab/>
      </w:r>
      <w:r>
        <w:rPr>
          <w:color w:val="auto"/>
        </w:rPr>
        <w:fldChar w:fldCharType="begin"/>
      </w:r>
      <w:r>
        <w:rPr>
          <w:color w:val="auto"/>
        </w:rPr>
        <w:instrText xml:space="preserve"> PAGEREF _Toc27621 \h </w:instrText>
      </w:r>
      <w:r>
        <w:rPr>
          <w:color w:val="auto"/>
        </w:rPr>
        <w:fldChar w:fldCharType="separate"/>
      </w:r>
      <w:r>
        <w:rPr>
          <w:color w:val="auto"/>
        </w:rPr>
        <w:t>219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_Toc18748 </w:instrText>
      </w:r>
      <w:r>
        <w:rPr>
          <w:color w:val="auto"/>
          <w:szCs w:val="24"/>
        </w:rPr>
        <w:fldChar w:fldCharType="separate"/>
      </w:r>
      <w:r>
        <w:rPr>
          <w:rFonts w:hint="eastAsia" w:eastAsia="黑体"/>
          <w:color w:val="auto"/>
          <w:lang w:val="en-US" w:eastAsia="zh-CN"/>
        </w:rPr>
        <w:t>6.4.5补偿总经费估算</w:t>
      </w:r>
      <w:r>
        <w:rPr>
          <w:color w:val="auto"/>
        </w:rPr>
        <w:tab/>
      </w:r>
      <w:r>
        <w:rPr>
          <w:color w:val="auto"/>
        </w:rPr>
        <w:fldChar w:fldCharType="begin"/>
      </w:r>
      <w:r>
        <w:rPr>
          <w:color w:val="auto"/>
        </w:rPr>
        <w:instrText xml:space="preserve"> PAGEREF _Toc18748 \h </w:instrText>
      </w:r>
      <w:r>
        <w:rPr>
          <w:color w:val="auto"/>
        </w:rPr>
        <w:fldChar w:fldCharType="separate"/>
      </w:r>
      <w:r>
        <w:rPr>
          <w:color w:val="auto"/>
        </w:rPr>
        <w:t>221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_Toc16132 </w:instrText>
      </w:r>
      <w:r>
        <w:rPr>
          <w:color w:val="auto"/>
          <w:szCs w:val="24"/>
        </w:rPr>
        <w:fldChar w:fldCharType="separate"/>
      </w:r>
      <w:r>
        <w:rPr>
          <w:rFonts w:hint="eastAsia" w:ascii="Times New Roman" w:hAnsi="Times New Roman"/>
          <w:color w:val="auto"/>
          <w:szCs w:val="32"/>
          <w:lang w:val="en-US" w:eastAsia="zh-CN"/>
        </w:rPr>
        <w:t>6</w:t>
      </w:r>
      <w:r>
        <w:rPr>
          <w:rFonts w:ascii="Times New Roman" w:hAnsi="Times New Roman"/>
          <w:color w:val="auto"/>
          <w:szCs w:val="32"/>
        </w:rPr>
        <w:t>.</w:t>
      </w:r>
      <w:r>
        <w:rPr>
          <w:rFonts w:hint="eastAsia" w:ascii="Times New Roman" w:hAnsi="Times New Roman"/>
          <w:color w:val="auto"/>
          <w:szCs w:val="32"/>
          <w:lang w:val="en-US" w:eastAsia="zh-CN"/>
        </w:rPr>
        <w:t>5拟建工程综合评价与可行性分析</w:t>
      </w:r>
      <w:r>
        <w:rPr>
          <w:color w:val="auto"/>
        </w:rPr>
        <w:tab/>
      </w:r>
      <w:r>
        <w:rPr>
          <w:color w:val="auto"/>
        </w:rPr>
        <w:fldChar w:fldCharType="begin"/>
      </w:r>
      <w:r>
        <w:rPr>
          <w:color w:val="auto"/>
        </w:rPr>
        <w:instrText xml:space="preserve"> PAGEREF _Toc16132 \h </w:instrText>
      </w:r>
      <w:r>
        <w:rPr>
          <w:color w:val="auto"/>
        </w:rPr>
        <w:fldChar w:fldCharType="separate"/>
      </w:r>
      <w:r>
        <w:rPr>
          <w:color w:val="auto"/>
        </w:rPr>
        <w:t>221</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_Toc21683 </w:instrText>
      </w:r>
      <w:r>
        <w:rPr>
          <w:color w:val="auto"/>
          <w:szCs w:val="24"/>
        </w:rPr>
        <w:fldChar w:fldCharType="separate"/>
      </w:r>
      <w:r>
        <w:rPr>
          <w:rFonts w:hint="eastAsia" w:eastAsia="黑体"/>
          <w:color w:val="auto"/>
          <w:szCs w:val="44"/>
          <w:lang w:val="en-US" w:eastAsia="zh-CN"/>
        </w:rPr>
        <w:t>7</w:t>
      </w:r>
      <w:r>
        <w:rPr>
          <w:rFonts w:eastAsia="黑体"/>
          <w:color w:val="auto"/>
          <w:szCs w:val="44"/>
        </w:rPr>
        <w:t>环境风险评价</w:t>
      </w:r>
      <w:r>
        <w:rPr>
          <w:color w:val="auto"/>
        </w:rPr>
        <w:tab/>
      </w:r>
      <w:r>
        <w:rPr>
          <w:color w:val="auto"/>
        </w:rPr>
        <w:fldChar w:fldCharType="begin"/>
      </w:r>
      <w:r>
        <w:rPr>
          <w:color w:val="auto"/>
        </w:rPr>
        <w:instrText xml:space="preserve"> PAGEREF _Toc21683 \h </w:instrText>
      </w:r>
      <w:r>
        <w:rPr>
          <w:color w:val="auto"/>
        </w:rPr>
        <w:fldChar w:fldCharType="separate"/>
      </w:r>
      <w:r>
        <w:rPr>
          <w:color w:val="auto"/>
        </w:rPr>
        <w:t>222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_Toc3391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.1环境风险评价的目的</w:t>
      </w:r>
      <w:r>
        <w:rPr>
          <w:color w:val="auto"/>
        </w:rPr>
        <w:tab/>
      </w:r>
      <w:r>
        <w:rPr>
          <w:color w:val="auto"/>
        </w:rPr>
        <w:fldChar w:fldCharType="begin"/>
      </w:r>
      <w:r>
        <w:rPr>
          <w:color w:val="auto"/>
        </w:rPr>
        <w:instrText xml:space="preserve"> PAGEREF _Toc3391 \h </w:instrText>
      </w:r>
      <w:r>
        <w:rPr>
          <w:color w:val="auto"/>
        </w:rPr>
        <w:fldChar w:fldCharType="separate"/>
      </w:r>
      <w:r>
        <w:rPr>
          <w:color w:val="auto"/>
        </w:rPr>
        <w:t>222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_Toc6850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rPr>
        <w:t>2环境风险潜势初判</w:t>
      </w:r>
      <w:r>
        <w:rPr>
          <w:color w:val="auto"/>
        </w:rPr>
        <w:tab/>
      </w:r>
      <w:r>
        <w:rPr>
          <w:color w:val="auto"/>
        </w:rPr>
        <w:fldChar w:fldCharType="begin"/>
      </w:r>
      <w:r>
        <w:rPr>
          <w:color w:val="auto"/>
        </w:rPr>
        <w:instrText xml:space="preserve"> PAGEREF _Toc6850 \h </w:instrText>
      </w:r>
      <w:r>
        <w:rPr>
          <w:color w:val="auto"/>
        </w:rPr>
        <w:fldChar w:fldCharType="separate"/>
      </w:r>
      <w:r>
        <w:rPr>
          <w:color w:val="auto"/>
        </w:rPr>
        <w:t>222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_Toc8436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rPr>
        <w:t>3评价工作等级与评价范围</w:t>
      </w:r>
      <w:r>
        <w:rPr>
          <w:color w:val="auto"/>
        </w:rPr>
        <w:tab/>
      </w:r>
      <w:r>
        <w:rPr>
          <w:color w:val="auto"/>
        </w:rPr>
        <w:fldChar w:fldCharType="begin"/>
      </w:r>
      <w:r>
        <w:rPr>
          <w:color w:val="auto"/>
        </w:rPr>
        <w:instrText xml:space="preserve"> PAGEREF _Toc8436 \h </w:instrText>
      </w:r>
      <w:r>
        <w:rPr>
          <w:color w:val="auto"/>
        </w:rPr>
        <w:fldChar w:fldCharType="separate"/>
      </w:r>
      <w:r>
        <w:rPr>
          <w:color w:val="auto"/>
        </w:rPr>
        <w:t>223</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_Toc17824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rPr>
        <w:t>4</w:t>
      </w:r>
      <w:r>
        <w:rPr>
          <w:rFonts w:hint="eastAsia" w:ascii="Times New Roman" w:hAnsi="Times New Roman"/>
          <w:color w:val="auto"/>
          <w:szCs w:val="32"/>
          <w:lang w:val="en-US" w:eastAsia="zh-CN"/>
        </w:rPr>
        <w:t>环境</w:t>
      </w:r>
      <w:r>
        <w:rPr>
          <w:rFonts w:ascii="Times New Roman" w:hAnsi="Times New Roman"/>
          <w:color w:val="auto"/>
          <w:szCs w:val="32"/>
        </w:rPr>
        <w:t>风险识别</w:t>
      </w:r>
      <w:r>
        <w:rPr>
          <w:color w:val="auto"/>
        </w:rPr>
        <w:tab/>
      </w:r>
      <w:r>
        <w:rPr>
          <w:color w:val="auto"/>
        </w:rPr>
        <w:fldChar w:fldCharType="begin"/>
      </w:r>
      <w:r>
        <w:rPr>
          <w:color w:val="auto"/>
        </w:rPr>
        <w:instrText xml:space="preserve"> PAGEREF _Toc17824 \h </w:instrText>
      </w:r>
      <w:r>
        <w:rPr>
          <w:color w:val="auto"/>
        </w:rPr>
        <w:fldChar w:fldCharType="separate"/>
      </w:r>
      <w:r>
        <w:rPr>
          <w:color w:val="auto"/>
        </w:rPr>
        <w:t>223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_Toc10117 </w:instrText>
      </w:r>
      <w:r>
        <w:rPr>
          <w:color w:val="auto"/>
          <w:szCs w:val="24"/>
        </w:rPr>
        <w:fldChar w:fldCharType="separate"/>
      </w:r>
      <w:r>
        <w:rPr>
          <w:rFonts w:hint="eastAsia" w:eastAsia="黑体"/>
          <w:color w:val="auto"/>
          <w:lang w:val="en-US" w:eastAsia="zh-CN"/>
        </w:rPr>
        <w:t>7</w:t>
      </w:r>
      <w:r>
        <w:rPr>
          <w:rFonts w:hint="eastAsia" w:eastAsia="黑体"/>
          <w:color w:val="auto"/>
        </w:rPr>
        <w:t>.4.1</w:t>
      </w:r>
      <w:r>
        <w:rPr>
          <w:rFonts w:hint="eastAsia" w:eastAsia="黑体"/>
          <w:color w:val="auto"/>
          <w:lang w:val="en-US" w:eastAsia="zh-CN"/>
        </w:rPr>
        <w:t>风险识别内容</w:t>
      </w:r>
      <w:r>
        <w:rPr>
          <w:color w:val="auto"/>
        </w:rPr>
        <w:tab/>
      </w:r>
      <w:r>
        <w:rPr>
          <w:color w:val="auto"/>
        </w:rPr>
        <w:fldChar w:fldCharType="begin"/>
      </w:r>
      <w:r>
        <w:rPr>
          <w:color w:val="auto"/>
        </w:rPr>
        <w:instrText xml:space="preserve"> PAGEREF _Toc10117 \h </w:instrText>
      </w:r>
      <w:r>
        <w:rPr>
          <w:color w:val="auto"/>
        </w:rPr>
        <w:fldChar w:fldCharType="separate"/>
      </w:r>
      <w:r>
        <w:rPr>
          <w:color w:val="auto"/>
        </w:rPr>
        <w:t>223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_Toc28933 </w:instrText>
      </w:r>
      <w:r>
        <w:rPr>
          <w:color w:val="auto"/>
          <w:szCs w:val="24"/>
        </w:rPr>
        <w:fldChar w:fldCharType="separate"/>
      </w:r>
      <w:r>
        <w:rPr>
          <w:rFonts w:hint="eastAsia" w:eastAsia="黑体"/>
          <w:color w:val="auto"/>
          <w:lang w:val="en-US" w:eastAsia="zh-CN"/>
        </w:rPr>
        <w:t>7</w:t>
      </w:r>
      <w:r>
        <w:rPr>
          <w:rFonts w:hint="eastAsia" w:eastAsia="黑体"/>
          <w:color w:val="auto"/>
        </w:rPr>
        <w:t>.4.</w:t>
      </w:r>
      <w:r>
        <w:rPr>
          <w:rFonts w:hint="eastAsia" w:eastAsia="黑体"/>
          <w:color w:val="auto"/>
          <w:lang w:val="en-US" w:eastAsia="zh-CN"/>
        </w:rPr>
        <w:t>2物资危险性识别</w:t>
      </w:r>
      <w:r>
        <w:rPr>
          <w:color w:val="auto"/>
        </w:rPr>
        <w:tab/>
      </w:r>
      <w:r>
        <w:rPr>
          <w:color w:val="auto"/>
        </w:rPr>
        <w:fldChar w:fldCharType="begin"/>
      </w:r>
      <w:r>
        <w:rPr>
          <w:color w:val="auto"/>
        </w:rPr>
        <w:instrText xml:space="preserve"> PAGEREF _Toc28933 \h </w:instrText>
      </w:r>
      <w:r>
        <w:rPr>
          <w:color w:val="auto"/>
        </w:rPr>
        <w:fldChar w:fldCharType="separate"/>
      </w:r>
      <w:r>
        <w:rPr>
          <w:color w:val="auto"/>
        </w:rPr>
        <w:t>224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_Toc27176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lang w:val="en-US" w:eastAsia="zh-CN"/>
        </w:rPr>
        <w:t>5事故风险概率分析</w:t>
      </w:r>
      <w:r>
        <w:rPr>
          <w:color w:val="auto"/>
        </w:rPr>
        <w:tab/>
      </w:r>
      <w:r>
        <w:rPr>
          <w:color w:val="auto"/>
        </w:rPr>
        <w:fldChar w:fldCharType="begin"/>
      </w:r>
      <w:r>
        <w:rPr>
          <w:color w:val="auto"/>
        </w:rPr>
        <w:instrText xml:space="preserve"> PAGEREF _Toc27176 \h </w:instrText>
      </w:r>
      <w:r>
        <w:rPr>
          <w:color w:val="auto"/>
        </w:rPr>
        <w:fldChar w:fldCharType="separate"/>
      </w:r>
      <w:r>
        <w:rPr>
          <w:color w:val="auto"/>
        </w:rPr>
        <w:t>225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_Toc21575 </w:instrText>
      </w:r>
      <w:r>
        <w:rPr>
          <w:color w:val="auto"/>
          <w:szCs w:val="24"/>
        </w:rPr>
        <w:fldChar w:fldCharType="separate"/>
      </w:r>
      <w:r>
        <w:rPr>
          <w:rFonts w:hint="eastAsia" w:eastAsia="黑体"/>
          <w:color w:val="auto"/>
          <w:lang w:val="en-US" w:eastAsia="zh-CN"/>
        </w:rPr>
        <w:t>7.5.1长江海事局对所辖区段船舶事故的统计</w:t>
      </w:r>
      <w:r>
        <w:rPr>
          <w:color w:val="auto"/>
        </w:rPr>
        <w:tab/>
      </w:r>
      <w:r>
        <w:rPr>
          <w:color w:val="auto"/>
        </w:rPr>
        <w:fldChar w:fldCharType="begin"/>
      </w:r>
      <w:r>
        <w:rPr>
          <w:color w:val="auto"/>
        </w:rPr>
        <w:instrText xml:space="preserve"> PAGEREF _Toc21575 \h </w:instrText>
      </w:r>
      <w:r>
        <w:rPr>
          <w:color w:val="auto"/>
        </w:rPr>
        <w:fldChar w:fldCharType="separate"/>
      </w:r>
      <w:r>
        <w:rPr>
          <w:color w:val="auto"/>
        </w:rPr>
        <w:t>225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_Toc20997 </w:instrText>
      </w:r>
      <w:r>
        <w:rPr>
          <w:color w:val="auto"/>
          <w:szCs w:val="24"/>
        </w:rPr>
        <w:fldChar w:fldCharType="separate"/>
      </w:r>
      <w:r>
        <w:rPr>
          <w:rFonts w:hint="eastAsia" w:eastAsia="黑体"/>
          <w:color w:val="auto"/>
          <w:lang w:val="en-US" w:eastAsia="zh-CN"/>
        </w:rPr>
        <w:t>7.5.2长江宜昌段历年风险事故统计</w:t>
      </w:r>
      <w:r>
        <w:rPr>
          <w:color w:val="auto"/>
        </w:rPr>
        <w:tab/>
      </w:r>
      <w:r>
        <w:rPr>
          <w:color w:val="auto"/>
        </w:rPr>
        <w:fldChar w:fldCharType="begin"/>
      </w:r>
      <w:r>
        <w:rPr>
          <w:color w:val="auto"/>
        </w:rPr>
        <w:instrText xml:space="preserve"> PAGEREF _Toc20997 \h </w:instrText>
      </w:r>
      <w:r>
        <w:rPr>
          <w:color w:val="auto"/>
        </w:rPr>
        <w:fldChar w:fldCharType="separate"/>
      </w:r>
      <w:r>
        <w:rPr>
          <w:color w:val="auto"/>
        </w:rPr>
        <w:t>227</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_Toc11884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lang w:val="en-US" w:eastAsia="zh-CN"/>
        </w:rPr>
        <w:t>6事故风险源强分析</w:t>
      </w:r>
      <w:r>
        <w:rPr>
          <w:color w:val="auto"/>
        </w:rPr>
        <w:tab/>
      </w:r>
      <w:r>
        <w:rPr>
          <w:color w:val="auto"/>
        </w:rPr>
        <w:fldChar w:fldCharType="begin"/>
      </w:r>
      <w:r>
        <w:rPr>
          <w:color w:val="auto"/>
        </w:rPr>
        <w:instrText xml:space="preserve"> PAGEREF _Toc11884 \h </w:instrText>
      </w:r>
      <w:r>
        <w:rPr>
          <w:color w:val="auto"/>
        </w:rPr>
        <w:fldChar w:fldCharType="separate"/>
      </w:r>
      <w:r>
        <w:rPr>
          <w:color w:val="auto"/>
        </w:rPr>
        <w:t>230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_Toc14975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lang w:val="en-US" w:eastAsia="zh-CN"/>
        </w:rPr>
        <w:t>7事故风险准则确定</w:t>
      </w:r>
      <w:r>
        <w:rPr>
          <w:color w:val="auto"/>
        </w:rPr>
        <w:tab/>
      </w:r>
      <w:r>
        <w:rPr>
          <w:color w:val="auto"/>
        </w:rPr>
        <w:fldChar w:fldCharType="begin"/>
      </w:r>
      <w:r>
        <w:rPr>
          <w:color w:val="auto"/>
        </w:rPr>
        <w:instrText xml:space="preserve"> PAGEREF _Toc14975 \h </w:instrText>
      </w:r>
      <w:r>
        <w:rPr>
          <w:color w:val="auto"/>
        </w:rPr>
        <w:fldChar w:fldCharType="separate"/>
      </w:r>
      <w:r>
        <w:rPr>
          <w:color w:val="auto"/>
        </w:rPr>
        <w:t>231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_Toc3041 </w:instrText>
      </w:r>
      <w:r>
        <w:rPr>
          <w:color w:val="auto"/>
          <w:szCs w:val="24"/>
        </w:rPr>
        <w:fldChar w:fldCharType="separate"/>
      </w:r>
      <w:r>
        <w:rPr>
          <w:rFonts w:hint="eastAsia" w:eastAsia="黑体"/>
          <w:color w:val="auto"/>
          <w:lang w:val="en-US" w:eastAsia="zh-CN"/>
        </w:rPr>
        <w:t>7.7.1水上溢油事故概率等级</w:t>
      </w:r>
      <w:r>
        <w:rPr>
          <w:color w:val="auto"/>
        </w:rPr>
        <w:tab/>
      </w:r>
      <w:r>
        <w:rPr>
          <w:color w:val="auto"/>
        </w:rPr>
        <w:fldChar w:fldCharType="begin"/>
      </w:r>
      <w:r>
        <w:rPr>
          <w:color w:val="auto"/>
        </w:rPr>
        <w:instrText xml:space="preserve"> PAGEREF _Toc3041 \h </w:instrText>
      </w:r>
      <w:r>
        <w:rPr>
          <w:color w:val="auto"/>
        </w:rPr>
        <w:fldChar w:fldCharType="separate"/>
      </w:r>
      <w:r>
        <w:rPr>
          <w:color w:val="auto"/>
        </w:rPr>
        <w:t>231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_Toc27295 </w:instrText>
      </w:r>
      <w:r>
        <w:rPr>
          <w:color w:val="auto"/>
          <w:szCs w:val="24"/>
        </w:rPr>
        <w:fldChar w:fldCharType="separate"/>
      </w:r>
      <w:r>
        <w:rPr>
          <w:rFonts w:hint="eastAsia" w:eastAsia="黑体"/>
          <w:color w:val="auto"/>
          <w:lang w:val="en-US" w:eastAsia="zh-CN"/>
        </w:rPr>
        <w:t>7.7.2水上溢油事故危害后果</w:t>
      </w:r>
      <w:r>
        <w:rPr>
          <w:color w:val="auto"/>
        </w:rPr>
        <w:tab/>
      </w:r>
      <w:r>
        <w:rPr>
          <w:color w:val="auto"/>
        </w:rPr>
        <w:fldChar w:fldCharType="begin"/>
      </w:r>
      <w:r>
        <w:rPr>
          <w:color w:val="auto"/>
        </w:rPr>
        <w:instrText xml:space="preserve"> PAGEREF _Toc27295 \h </w:instrText>
      </w:r>
      <w:r>
        <w:rPr>
          <w:color w:val="auto"/>
        </w:rPr>
        <w:fldChar w:fldCharType="separate"/>
      </w:r>
      <w:r>
        <w:rPr>
          <w:color w:val="auto"/>
        </w:rPr>
        <w:t>231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_Toc31399 </w:instrText>
      </w:r>
      <w:r>
        <w:rPr>
          <w:color w:val="auto"/>
          <w:szCs w:val="24"/>
        </w:rPr>
        <w:fldChar w:fldCharType="separate"/>
      </w:r>
      <w:r>
        <w:rPr>
          <w:rFonts w:hint="eastAsia" w:eastAsia="黑体"/>
          <w:color w:val="auto"/>
          <w:lang w:val="en-US" w:eastAsia="zh-CN"/>
        </w:rPr>
        <w:t>7.7.3风险准则矩阵</w:t>
      </w:r>
      <w:r>
        <w:rPr>
          <w:color w:val="auto"/>
        </w:rPr>
        <w:tab/>
      </w:r>
      <w:r>
        <w:rPr>
          <w:color w:val="auto"/>
        </w:rPr>
        <w:fldChar w:fldCharType="begin"/>
      </w:r>
      <w:r>
        <w:rPr>
          <w:color w:val="auto"/>
        </w:rPr>
        <w:instrText xml:space="preserve"> PAGEREF _Toc31399 \h </w:instrText>
      </w:r>
      <w:r>
        <w:rPr>
          <w:color w:val="auto"/>
        </w:rPr>
        <w:fldChar w:fldCharType="separate"/>
      </w:r>
      <w:r>
        <w:rPr>
          <w:color w:val="auto"/>
        </w:rPr>
        <w:t>231</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_Toc5880 </w:instrText>
      </w:r>
      <w:r>
        <w:rPr>
          <w:color w:val="auto"/>
          <w:szCs w:val="24"/>
        </w:rPr>
        <w:fldChar w:fldCharType="separate"/>
      </w:r>
      <w:r>
        <w:rPr>
          <w:rFonts w:hint="eastAsia" w:ascii="Times New Roman" w:hAnsi="Times New Roman"/>
          <w:color w:val="auto"/>
          <w:szCs w:val="32"/>
          <w:lang w:val="en-US" w:eastAsia="zh-CN"/>
        </w:rPr>
        <w:t>7</w:t>
      </w:r>
      <w:r>
        <w:rPr>
          <w:rFonts w:ascii="Times New Roman" w:hAnsi="Times New Roman"/>
          <w:color w:val="auto"/>
          <w:szCs w:val="32"/>
        </w:rPr>
        <w:t>.</w:t>
      </w:r>
      <w:r>
        <w:rPr>
          <w:rFonts w:hint="eastAsia" w:ascii="Times New Roman" w:hAnsi="Times New Roman"/>
          <w:color w:val="auto"/>
          <w:szCs w:val="32"/>
          <w:lang w:val="en-US" w:eastAsia="zh-CN"/>
        </w:rPr>
        <w:t>8事故风险预测与评价</w:t>
      </w:r>
      <w:r>
        <w:rPr>
          <w:color w:val="auto"/>
        </w:rPr>
        <w:tab/>
      </w:r>
      <w:r>
        <w:rPr>
          <w:color w:val="auto"/>
        </w:rPr>
        <w:fldChar w:fldCharType="begin"/>
      </w:r>
      <w:r>
        <w:rPr>
          <w:color w:val="auto"/>
        </w:rPr>
        <w:instrText xml:space="preserve"> PAGEREF _Toc5880 \h </w:instrText>
      </w:r>
      <w:r>
        <w:rPr>
          <w:color w:val="auto"/>
        </w:rPr>
        <w:fldChar w:fldCharType="separate"/>
      </w:r>
      <w:r>
        <w:rPr>
          <w:color w:val="auto"/>
        </w:rPr>
        <w:t>232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_Toc10556 </w:instrText>
      </w:r>
      <w:r>
        <w:rPr>
          <w:color w:val="auto"/>
          <w:szCs w:val="24"/>
        </w:rPr>
        <w:fldChar w:fldCharType="separate"/>
      </w:r>
      <w:r>
        <w:rPr>
          <w:rFonts w:hint="eastAsia" w:eastAsia="黑体"/>
          <w:color w:val="auto"/>
          <w:lang w:val="en-US" w:eastAsia="zh-CN"/>
        </w:rPr>
        <w:t>7.8.1风险事故情形设定</w:t>
      </w:r>
      <w:r>
        <w:rPr>
          <w:color w:val="auto"/>
        </w:rPr>
        <w:tab/>
      </w:r>
      <w:r>
        <w:rPr>
          <w:color w:val="auto"/>
        </w:rPr>
        <w:fldChar w:fldCharType="begin"/>
      </w:r>
      <w:r>
        <w:rPr>
          <w:color w:val="auto"/>
        </w:rPr>
        <w:instrText xml:space="preserve"> PAGEREF _Toc10556 \h </w:instrText>
      </w:r>
      <w:r>
        <w:rPr>
          <w:color w:val="auto"/>
        </w:rPr>
        <w:fldChar w:fldCharType="separate"/>
      </w:r>
      <w:r>
        <w:rPr>
          <w:color w:val="auto"/>
        </w:rPr>
        <w:t>232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_Toc6009 </w:instrText>
      </w:r>
      <w:r>
        <w:rPr>
          <w:color w:val="auto"/>
          <w:szCs w:val="24"/>
        </w:rPr>
        <w:fldChar w:fldCharType="separate"/>
      </w:r>
      <w:r>
        <w:rPr>
          <w:rFonts w:hint="eastAsia" w:eastAsia="黑体"/>
          <w:color w:val="auto"/>
          <w:lang w:val="en-US" w:eastAsia="zh-CN"/>
        </w:rPr>
        <w:t>7.8.2水文条件</w:t>
      </w:r>
      <w:r>
        <w:rPr>
          <w:color w:val="auto"/>
        </w:rPr>
        <w:tab/>
      </w:r>
      <w:r>
        <w:rPr>
          <w:color w:val="auto"/>
        </w:rPr>
        <w:fldChar w:fldCharType="begin"/>
      </w:r>
      <w:r>
        <w:rPr>
          <w:color w:val="auto"/>
        </w:rPr>
        <w:instrText xml:space="preserve"> PAGEREF _Toc6009 \h </w:instrText>
      </w:r>
      <w:r>
        <w:rPr>
          <w:color w:val="auto"/>
        </w:rPr>
        <w:fldChar w:fldCharType="separate"/>
      </w:r>
      <w:r>
        <w:rPr>
          <w:color w:val="auto"/>
        </w:rPr>
        <w:t>233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_Toc3474 </w:instrText>
      </w:r>
      <w:r>
        <w:rPr>
          <w:color w:val="auto"/>
          <w:szCs w:val="24"/>
        </w:rPr>
        <w:fldChar w:fldCharType="separate"/>
      </w:r>
      <w:r>
        <w:rPr>
          <w:rFonts w:hint="eastAsia" w:eastAsia="黑体"/>
          <w:color w:val="auto"/>
          <w:lang w:val="en-US" w:eastAsia="zh-CN"/>
        </w:rPr>
        <w:t>7.8.3溢油预测模型</w:t>
      </w:r>
      <w:r>
        <w:rPr>
          <w:color w:val="auto"/>
        </w:rPr>
        <w:tab/>
      </w:r>
      <w:r>
        <w:rPr>
          <w:color w:val="auto"/>
        </w:rPr>
        <w:fldChar w:fldCharType="begin"/>
      </w:r>
      <w:r>
        <w:rPr>
          <w:color w:val="auto"/>
        </w:rPr>
        <w:instrText xml:space="preserve"> PAGEREF _Toc3474 \h </w:instrText>
      </w:r>
      <w:r>
        <w:rPr>
          <w:color w:val="auto"/>
        </w:rPr>
        <w:fldChar w:fldCharType="separate"/>
      </w:r>
      <w:r>
        <w:rPr>
          <w:color w:val="auto"/>
        </w:rPr>
        <w:t>233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_Toc6412 </w:instrText>
      </w:r>
      <w:r>
        <w:rPr>
          <w:color w:val="auto"/>
          <w:szCs w:val="24"/>
        </w:rPr>
        <w:fldChar w:fldCharType="separate"/>
      </w:r>
      <w:r>
        <w:rPr>
          <w:rFonts w:hint="eastAsia" w:eastAsia="黑体"/>
          <w:color w:val="auto"/>
          <w:lang w:val="en-US" w:eastAsia="zh-CN"/>
        </w:rPr>
        <w:t>7.8.3预测参数</w:t>
      </w:r>
      <w:r>
        <w:rPr>
          <w:color w:val="auto"/>
        </w:rPr>
        <w:tab/>
      </w:r>
      <w:r>
        <w:rPr>
          <w:color w:val="auto"/>
        </w:rPr>
        <w:fldChar w:fldCharType="begin"/>
      </w:r>
      <w:r>
        <w:rPr>
          <w:color w:val="auto"/>
        </w:rPr>
        <w:instrText xml:space="preserve"> PAGEREF _Toc6412 \h </w:instrText>
      </w:r>
      <w:r>
        <w:rPr>
          <w:color w:val="auto"/>
        </w:rPr>
        <w:fldChar w:fldCharType="separate"/>
      </w:r>
      <w:r>
        <w:rPr>
          <w:color w:val="auto"/>
        </w:rPr>
        <w:t>235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_Toc23743 </w:instrText>
      </w:r>
      <w:r>
        <w:rPr>
          <w:color w:val="auto"/>
          <w:szCs w:val="24"/>
        </w:rPr>
        <w:fldChar w:fldCharType="separate"/>
      </w:r>
      <w:r>
        <w:rPr>
          <w:rFonts w:hint="eastAsia" w:eastAsia="黑体"/>
          <w:color w:val="auto"/>
          <w:lang w:val="en-US" w:eastAsia="zh-CN"/>
        </w:rPr>
        <w:t>7.8.4预测结果及分析</w:t>
      </w:r>
      <w:r>
        <w:rPr>
          <w:color w:val="auto"/>
        </w:rPr>
        <w:tab/>
      </w:r>
      <w:r>
        <w:rPr>
          <w:color w:val="auto"/>
        </w:rPr>
        <w:fldChar w:fldCharType="begin"/>
      </w:r>
      <w:r>
        <w:rPr>
          <w:color w:val="auto"/>
        </w:rPr>
        <w:instrText xml:space="preserve"> PAGEREF _Toc23743 \h </w:instrText>
      </w:r>
      <w:r>
        <w:rPr>
          <w:color w:val="auto"/>
        </w:rPr>
        <w:fldChar w:fldCharType="separate"/>
      </w:r>
      <w:r>
        <w:rPr>
          <w:color w:val="auto"/>
        </w:rPr>
        <w:t>236</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_Toc4340 </w:instrText>
      </w:r>
      <w:r>
        <w:rPr>
          <w:color w:val="auto"/>
          <w:szCs w:val="24"/>
        </w:rPr>
        <w:fldChar w:fldCharType="separate"/>
      </w:r>
      <w:r>
        <w:rPr>
          <w:rFonts w:hint="eastAsia" w:ascii="Times New Roman" w:hAnsi="Times New Roman"/>
          <w:color w:val="auto"/>
          <w:szCs w:val="32"/>
          <w:lang w:val="en-US" w:eastAsia="zh-CN"/>
        </w:rPr>
        <w:t>7.9溢油污染事故对水生生态的影响</w:t>
      </w:r>
      <w:r>
        <w:rPr>
          <w:color w:val="auto"/>
        </w:rPr>
        <w:tab/>
      </w:r>
      <w:r>
        <w:rPr>
          <w:color w:val="auto"/>
        </w:rPr>
        <w:fldChar w:fldCharType="begin"/>
      </w:r>
      <w:r>
        <w:rPr>
          <w:color w:val="auto"/>
        </w:rPr>
        <w:instrText xml:space="preserve"> PAGEREF _Toc4340 \h </w:instrText>
      </w:r>
      <w:r>
        <w:rPr>
          <w:color w:val="auto"/>
        </w:rPr>
        <w:fldChar w:fldCharType="separate"/>
      </w:r>
      <w:r>
        <w:rPr>
          <w:color w:val="auto"/>
        </w:rPr>
        <w:t>242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_Toc8540 </w:instrText>
      </w:r>
      <w:r>
        <w:rPr>
          <w:color w:val="auto"/>
          <w:szCs w:val="24"/>
        </w:rPr>
        <w:fldChar w:fldCharType="separate"/>
      </w:r>
      <w:r>
        <w:rPr>
          <w:rFonts w:hint="eastAsia" w:eastAsia="黑体"/>
          <w:color w:val="auto"/>
          <w:lang w:val="en-US" w:eastAsia="zh-CN"/>
        </w:rPr>
        <w:t>7.9.1急性中毒效应</w:t>
      </w:r>
      <w:r>
        <w:rPr>
          <w:color w:val="auto"/>
        </w:rPr>
        <w:tab/>
      </w:r>
      <w:r>
        <w:rPr>
          <w:color w:val="auto"/>
        </w:rPr>
        <w:fldChar w:fldCharType="begin"/>
      </w:r>
      <w:r>
        <w:rPr>
          <w:color w:val="auto"/>
        </w:rPr>
        <w:instrText xml:space="preserve"> PAGEREF _Toc8540 \h </w:instrText>
      </w:r>
      <w:r>
        <w:rPr>
          <w:color w:val="auto"/>
        </w:rPr>
        <w:fldChar w:fldCharType="separate"/>
      </w:r>
      <w:r>
        <w:rPr>
          <w:color w:val="auto"/>
        </w:rPr>
        <w:t>242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_Toc10305 </w:instrText>
      </w:r>
      <w:r>
        <w:rPr>
          <w:color w:val="auto"/>
          <w:szCs w:val="24"/>
        </w:rPr>
        <w:fldChar w:fldCharType="separate"/>
      </w:r>
      <w:r>
        <w:rPr>
          <w:rFonts w:hint="eastAsia" w:eastAsia="黑体"/>
          <w:color w:val="auto"/>
          <w:lang w:val="en-US" w:eastAsia="zh-CN"/>
        </w:rPr>
        <w:t>7.9.2对鱼类的影响分析</w:t>
      </w:r>
      <w:r>
        <w:rPr>
          <w:color w:val="auto"/>
        </w:rPr>
        <w:tab/>
      </w:r>
      <w:r>
        <w:rPr>
          <w:color w:val="auto"/>
        </w:rPr>
        <w:fldChar w:fldCharType="begin"/>
      </w:r>
      <w:r>
        <w:rPr>
          <w:color w:val="auto"/>
        </w:rPr>
        <w:instrText xml:space="preserve"> PAGEREF _Toc10305 \h </w:instrText>
      </w:r>
      <w:r>
        <w:rPr>
          <w:color w:val="auto"/>
        </w:rPr>
        <w:fldChar w:fldCharType="separate"/>
      </w:r>
      <w:r>
        <w:rPr>
          <w:color w:val="auto"/>
        </w:rPr>
        <w:t>242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_Toc28073 </w:instrText>
      </w:r>
      <w:r>
        <w:rPr>
          <w:color w:val="auto"/>
          <w:szCs w:val="24"/>
        </w:rPr>
        <w:fldChar w:fldCharType="separate"/>
      </w:r>
      <w:r>
        <w:rPr>
          <w:rFonts w:hint="eastAsia" w:eastAsia="黑体"/>
          <w:color w:val="auto"/>
          <w:lang w:val="en-US" w:eastAsia="zh-CN"/>
        </w:rPr>
        <w:t>7.9.3对浮游植物的影响分析</w:t>
      </w:r>
      <w:r>
        <w:rPr>
          <w:color w:val="auto"/>
        </w:rPr>
        <w:tab/>
      </w:r>
      <w:r>
        <w:rPr>
          <w:color w:val="auto"/>
        </w:rPr>
        <w:fldChar w:fldCharType="begin"/>
      </w:r>
      <w:r>
        <w:rPr>
          <w:color w:val="auto"/>
        </w:rPr>
        <w:instrText xml:space="preserve"> PAGEREF _Toc28073 \h </w:instrText>
      </w:r>
      <w:r>
        <w:rPr>
          <w:color w:val="auto"/>
        </w:rPr>
        <w:fldChar w:fldCharType="separate"/>
      </w:r>
      <w:r>
        <w:rPr>
          <w:color w:val="auto"/>
        </w:rPr>
        <w:t>242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_Toc18398 </w:instrText>
      </w:r>
      <w:r>
        <w:rPr>
          <w:color w:val="auto"/>
          <w:szCs w:val="24"/>
        </w:rPr>
        <w:fldChar w:fldCharType="separate"/>
      </w:r>
      <w:r>
        <w:rPr>
          <w:rFonts w:hint="eastAsia" w:eastAsia="黑体"/>
          <w:color w:val="auto"/>
          <w:lang w:val="en-US" w:eastAsia="zh-CN"/>
        </w:rPr>
        <w:t>7.9.4对浮游动物的影响分析</w:t>
      </w:r>
      <w:r>
        <w:rPr>
          <w:color w:val="auto"/>
        </w:rPr>
        <w:tab/>
      </w:r>
      <w:r>
        <w:rPr>
          <w:color w:val="auto"/>
        </w:rPr>
        <w:fldChar w:fldCharType="begin"/>
      </w:r>
      <w:r>
        <w:rPr>
          <w:color w:val="auto"/>
        </w:rPr>
        <w:instrText xml:space="preserve"> PAGEREF _Toc18398 \h </w:instrText>
      </w:r>
      <w:r>
        <w:rPr>
          <w:color w:val="auto"/>
        </w:rPr>
        <w:fldChar w:fldCharType="separate"/>
      </w:r>
      <w:r>
        <w:rPr>
          <w:color w:val="auto"/>
        </w:rPr>
        <w:t>243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_Toc20456 </w:instrText>
      </w:r>
      <w:r>
        <w:rPr>
          <w:color w:val="auto"/>
          <w:szCs w:val="24"/>
        </w:rPr>
        <w:fldChar w:fldCharType="separate"/>
      </w:r>
      <w:r>
        <w:rPr>
          <w:rFonts w:hint="eastAsia" w:eastAsia="黑体"/>
          <w:color w:val="auto"/>
          <w:lang w:val="en-US" w:eastAsia="zh-CN"/>
        </w:rPr>
        <w:t>7.9.5对底栖生物的影响分析</w:t>
      </w:r>
      <w:r>
        <w:rPr>
          <w:color w:val="auto"/>
        </w:rPr>
        <w:tab/>
      </w:r>
      <w:r>
        <w:rPr>
          <w:color w:val="auto"/>
        </w:rPr>
        <w:fldChar w:fldCharType="begin"/>
      </w:r>
      <w:r>
        <w:rPr>
          <w:color w:val="auto"/>
        </w:rPr>
        <w:instrText xml:space="preserve"> PAGEREF _Toc20456 \h </w:instrText>
      </w:r>
      <w:r>
        <w:rPr>
          <w:color w:val="auto"/>
        </w:rPr>
        <w:fldChar w:fldCharType="separate"/>
      </w:r>
      <w:r>
        <w:rPr>
          <w:color w:val="auto"/>
        </w:rPr>
        <w:t>243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_Toc29180 </w:instrText>
      </w:r>
      <w:r>
        <w:rPr>
          <w:color w:val="auto"/>
          <w:szCs w:val="24"/>
        </w:rPr>
        <w:fldChar w:fldCharType="separate"/>
      </w:r>
      <w:r>
        <w:rPr>
          <w:rFonts w:hint="eastAsia" w:eastAsia="黑体"/>
          <w:color w:val="auto"/>
          <w:lang w:val="en-US" w:eastAsia="zh-CN"/>
        </w:rPr>
        <w:t>7.9.6溢油事故对长江中华鲟、江豚的影响分析</w:t>
      </w:r>
      <w:r>
        <w:rPr>
          <w:color w:val="auto"/>
        </w:rPr>
        <w:tab/>
      </w:r>
      <w:r>
        <w:rPr>
          <w:color w:val="auto"/>
        </w:rPr>
        <w:fldChar w:fldCharType="begin"/>
      </w:r>
      <w:r>
        <w:rPr>
          <w:color w:val="auto"/>
        </w:rPr>
        <w:instrText xml:space="preserve"> PAGEREF _Toc29180 \h </w:instrText>
      </w:r>
      <w:r>
        <w:rPr>
          <w:color w:val="auto"/>
        </w:rPr>
        <w:fldChar w:fldCharType="separate"/>
      </w:r>
      <w:r>
        <w:rPr>
          <w:color w:val="auto"/>
        </w:rPr>
        <w:t>243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_Toc8857 </w:instrText>
      </w:r>
      <w:r>
        <w:rPr>
          <w:color w:val="auto"/>
          <w:szCs w:val="24"/>
        </w:rPr>
        <w:fldChar w:fldCharType="separate"/>
      </w:r>
      <w:r>
        <w:rPr>
          <w:rFonts w:hint="eastAsia" w:eastAsia="黑体"/>
          <w:color w:val="auto"/>
          <w:lang w:val="en-US" w:eastAsia="zh-CN"/>
        </w:rPr>
        <w:t>7.9.7溢油事故对长江湖北宜昌中华鲟自然保护区外围保护地带风险影响分析</w:t>
      </w:r>
      <w:r>
        <w:rPr>
          <w:color w:val="auto"/>
        </w:rPr>
        <w:tab/>
      </w:r>
      <w:r>
        <w:rPr>
          <w:color w:val="auto"/>
        </w:rPr>
        <w:fldChar w:fldCharType="begin"/>
      </w:r>
      <w:r>
        <w:rPr>
          <w:color w:val="auto"/>
        </w:rPr>
        <w:instrText xml:space="preserve"> PAGEREF _Toc8857 \h </w:instrText>
      </w:r>
      <w:r>
        <w:rPr>
          <w:color w:val="auto"/>
        </w:rPr>
        <w:fldChar w:fldCharType="separate"/>
      </w:r>
      <w:r>
        <w:rPr>
          <w:color w:val="auto"/>
        </w:rPr>
        <w:t>243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_Toc15337 </w:instrText>
      </w:r>
      <w:r>
        <w:rPr>
          <w:color w:val="auto"/>
          <w:szCs w:val="24"/>
        </w:rPr>
        <w:fldChar w:fldCharType="separate"/>
      </w:r>
      <w:r>
        <w:rPr>
          <w:rFonts w:hint="eastAsia" w:eastAsia="黑体"/>
          <w:color w:val="auto"/>
          <w:lang w:val="en-US" w:eastAsia="zh-CN"/>
        </w:rPr>
        <w:t>7.9.8小结</w:t>
      </w:r>
      <w:r>
        <w:rPr>
          <w:color w:val="auto"/>
        </w:rPr>
        <w:tab/>
      </w:r>
      <w:r>
        <w:rPr>
          <w:color w:val="auto"/>
        </w:rPr>
        <w:fldChar w:fldCharType="begin"/>
      </w:r>
      <w:r>
        <w:rPr>
          <w:color w:val="auto"/>
        </w:rPr>
        <w:instrText xml:space="preserve"> PAGEREF _Toc15337 \h </w:instrText>
      </w:r>
      <w:r>
        <w:rPr>
          <w:color w:val="auto"/>
        </w:rPr>
        <w:fldChar w:fldCharType="separate"/>
      </w:r>
      <w:r>
        <w:rPr>
          <w:color w:val="auto"/>
        </w:rPr>
        <w:t>244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_Toc24435 </w:instrText>
      </w:r>
      <w:r>
        <w:rPr>
          <w:color w:val="auto"/>
          <w:szCs w:val="24"/>
        </w:rPr>
        <w:fldChar w:fldCharType="separate"/>
      </w:r>
      <w:r>
        <w:rPr>
          <w:rFonts w:hint="eastAsia" w:ascii="Times New Roman" w:hAnsi="Times New Roman"/>
          <w:color w:val="auto"/>
          <w:szCs w:val="32"/>
          <w:lang w:val="en-US" w:eastAsia="zh-CN"/>
        </w:rPr>
        <w:t>7.10事故风险预防措施与应急计划</w:t>
      </w:r>
      <w:r>
        <w:rPr>
          <w:color w:val="auto"/>
        </w:rPr>
        <w:tab/>
      </w:r>
      <w:r>
        <w:rPr>
          <w:color w:val="auto"/>
        </w:rPr>
        <w:fldChar w:fldCharType="begin"/>
      </w:r>
      <w:r>
        <w:rPr>
          <w:color w:val="auto"/>
        </w:rPr>
        <w:instrText xml:space="preserve"> PAGEREF _Toc24435 \h </w:instrText>
      </w:r>
      <w:r>
        <w:rPr>
          <w:color w:val="auto"/>
        </w:rPr>
        <w:fldChar w:fldCharType="separate"/>
      </w:r>
      <w:r>
        <w:rPr>
          <w:color w:val="auto"/>
        </w:rPr>
        <w:t>244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_Toc4947 </w:instrText>
      </w:r>
      <w:r>
        <w:rPr>
          <w:color w:val="auto"/>
          <w:szCs w:val="24"/>
        </w:rPr>
        <w:fldChar w:fldCharType="separate"/>
      </w:r>
      <w:r>
        <w:rPr>
          <w:rFonts w:hint="eastAsia" w:eastAsia="黑体"/>
          <w:color w:val="auto"/>
          <w:lang w:val="en-US" w:eastAsia="zh-CN"/>
        </w:rPr>
        <w:t>7.10.1事故风险防范措施</w:t>
      </w:r>
      <w:r>
        <w:rPr>
          <w:color w:val="auto"/>
        </w:rPr>
        <w:tab/>
      </w:r>
      <w:r>
        <w:rPr>
          <w:color w:val="auto"/>
        </w:rPr>
        <w:fldChar w:fldCharType="begin"/>
      </w:r>
      <w:r>
        <w:rPr>
          <w:color w:val="auto"/>
        </w:rPr>
        <w:instrText xml:space="preserve"> PAGEREF _Toc4947 \h </w:instrText>
      </w:r>
      <w:r>
        <w:rPr>
          <w:color w:val="auto"/>
        </w:rPr>
        <w:fldChar w:fldCharType="separate"/>
      </w:r>
      <w:r>
        <w:rPr>
          <w:color w:val="auto"/>
        </w:rPr>
        <w:t>244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_Toc5723 </w:instrText>
      </w:r>
      <w:r>
        <w:rPr>
          <w:color w:val="auto"/>
          <w:szCs w:val="24"/>
        </w:rPr>
        <w:fldChar w:fldCharType="separate"/>
      </w:r>
      <w:r>
        <w:rPr>
          <w:rFonts w:hint="eastAsia" w:eastAsia="黑体"/>
          <w:color w:val="auto"/>
          <w:lang w:val="en-US" w:eastAsia="zh-CN"/>
        </w:rPr>
        <w:t>7.10.2事故风险预防措施</w:t>
      </w:r>
      <w:r>
        <w:rPr>
          <w:color w:val="auto"/>
        </w:rPr>
        <w:tab/>
      </w:r>
      <w:r>
        <w:rPr>
          <w:color w:val="auto"/>
        </w:rPr>
        <w:fldChar w:fldCharType="begin"/>
      </w:r>
      <w:r>
        <w:rPr>
          <w:color w:val="auto"/>
        </w:rPr>
        <w:instrText xml:space="preserve"> PAGEREF _Toc5723 \h </w:instrText>
      </w:r>
      <w:r>
        <w:rPr>
          <w:color w:val="auto"/>
        </w:rPr>
        <w:fldChar w:fldCharType="separate"/>
      </w:r>
      <w:r>
        <w:rPr>
          <w:color w:val="auto"/>
        </w:rPr>
        <w:t>245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_Toc17016 </w:instrText>
      </w:r>
      <w:r>
        <w:rPr>
          <w:color w:val="auto"/>
          <w:szCs w:val="24"/>
        </w:rPr>
        <w:fldChar w:fldCharType="separate"/>
      </w:r>
      <w:r>
        <w:rPr>
          <w:rFonts w:hint="eastAsia" w:eastAsia="黑体"/>
          <w:color w:val="auto"/>
          <w:lang w:val="en-US" w:eastAsia="zh-CN"/>
        </w:rPr>
        <w:t>7.10.3事故风险应急预案</w:t>
      </w:r>
      <w:r>
        <w:rPr>
          <w:color w:val="auto"/>
        </w:rPr>
        <w:tab/>
      </w:r>
      <w:r>
        <w:rPr>
          <w:color w:val="auto"/>
        </w:rPr>
        <w:fldChar w:fldCharType="begin"/>
      </w:r>
      <w:r>
        <w:rPr>
          <w:color w:val="auto"/>
        </w:rPr>
        <w:instrText xml:space="preserve"> PAGEREF _Toc17016 \h </w:instrText>
      </w:r>
      <w:r>
        <w:rPr>
          <w:color w:val="auto"/>
        </w:rPr>
        <w:fldChar w:fldCharType="separate"/>
      </w:r>
      <w:r>
        <w:rPr>
          <w:color w:val="auto"/>
        </w:rPr>
        <w:t>246</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_Toc10931 </w:instrText>
      </w:r>
      <w:r>
        <w:rPr>
          <w:color w:val="auto"/>
          <w:szCs w:val="24"/>
        </w:rPr>
        <w:fldChar w:fldCharType="separate"/>
      </w:r>
      <w:r>
        <w:rPr>
          <w:rFonts w:hint="eastAsia" w:eastAsia="黑体"/>
          <w:color w:val="auto"/>
          <w:szCs w:val="44"/>
          <w:lang w:val="en-US" w:eastAsia="zh-CN"/>
        </w:rPr>
        <w:t>8</w:t>
      </w:r>
      <w:r>
        <w:rPr>
          <w:rFonts w:hint="eastAsia" w:eastAsia="黑体"/>
          <w:color w:val="auto"/>
          <w:szCs w:val="44"/>
        </w:rPr>
        <w:t>环境</w:t>
      </w:r>
      <w:r>
        <w:rPr>
          <w:rFonts w:hint="eastAsia" w:eastAsia="黑体"/>
          <w:color w:val="auto"/>
          <w:szCs w:val="44"/>
          <w:lang w:val="en-US" w:eastAsia="zh-CN"/>
        </w:rPr>
        <w:t>保护措施及其可行性论证</w:t>
      </w:r>
      <w:r>
        <w:rPr>
          <w:color w:val="auto"/>
        </w:rPr>
        <w:tab/>
      </w:r>
      <w:r>
        <w:rPr>
          <w:color w:val="auto"/>
        </w:rPr>
        <w:fldChar w:fldCharType="begin"/>
      </w:r>
      <w:r>
        <w:rPr>
          <w:color w:val="auto"/>
        </w:rPr>
        <w:instrText xml:space="preserve"> PAGEREF _Toc10931 \h </w:instrText>
      </w:r>
      <w:r>
        <w:rPr>
          <w:color w:val="auto"/>
        </w:rPr>
        <w:fldChar w:fldCharType="separate"/>
      </w:r>
      <w:r>
        <w:rPr>
          <w:color w:val="auto"/>
        </w:rPr>
        <w:t>252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_Toc18369 </w:instrText>
      </w:r>
      <w:r>
        <w:rPr>
          <w:color w:val="auto"/>
          <w:szCs w:val="24"/>
        </w:rPr>
        <w:fldChar w:fldCharType="separate"/>
      </w:r>
      <w:r>
        <w:rPr>
          <w:rFonts w:hint="eastAsia" w:ascii="Times New Roman" w:hAnsi="Times New Roman"/>
          <w:color w:val="auto"/>
          <w:szCs w:val="32"/>
          <w:lang w:val="en-US" w:eastAsia="zh-CN"/>
        </w:rPr>
        <w:t>8</w:t>
      </w:r>
      <w:r>
        <w:rPr>
          <w:rFonts w:ascii="Times New Roman" w:hAnsi="Times New Roman"/>
          <w:color w:val="auto"/>
          <w:szCs w:val="32"/>
        </w:rPr>
        <w:t>.1</w:t>
      </w:r>
      <w:r>
        <w:rPr>
          <w:rFonts w:hint="eastAsia" w:ascii="Times New Roman" w:hAnsi="Times New Roman"/>
          <w:color w:val="auto"/>
          <w:szCs w:val="32"/>
          <w:lang w:val="en-US" w:eastAsia="zh-CN"/>
        </w:rPr>
        <w:t>施工期环境保护措施</w:t>
      </w:r>
      <w:r>
        <w:rPr>
          <w:color w:val="auto"/>
        </w:rPr>
        <w:tab/>
      </w:r>
      <w:r>
        <w:rPr>
          <w:color w:val="auto"/>
        </w:rPr>
        <w:fldChar w:fldCharType="begin"/>
      </w:r>
      <w:r>
        <w:rPr>
          <w:color w:val="auto"/>
        </w:rPr>
        <w:instrText xml:space="preserve"> PAGEREF _Toc18369 \h </w:instrText>
      </w:r>
      <w:r>
        <w:rPr>
          <w:color w:val="auto"/>
        </w:rPr>
        <w:fldChar w:fldCharType="separate"/>
      </w:r>
      <w:r>
        <w:rPr>
          <w:color w:val="auto"/>
        </w:rPr>
        <w:t>252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_Toc23816 </w:instrText>
      </w:r>
      <w:r>
        <w:rPr>
          <w:color w:val="auto"/>
          <w:szCs w:val="24"/>
        </w:rPr>
        <w:fldChar w:fldCharType="separate"/>
      </w:r>
      <w:r>
        <w:rPr>
          <w:rFonts w:hint="eastAsia" w:eastAsia="黑体"/>
          <w:color w:val="auto"/>
          <w:lang w:val="en-US" w:eastAsia="zh-CN"/>
        </w:rPr>
        <w:t>8.</w:t>
      </w:r>
      <w:r>
        <w:rPr>
          <w:rFonts w:eastAsia="黑体"/>
          <w:color w:val="auto"/>
        </w:rPr>
        <w:t>1.1</w:t>
      </w:r>
      <w:r>
        <w:rPr>
          <w:rFonts w:hint="eastAsia" w:eastAsia="黑体"/>
          <w:color w:val="auto"/>
          <w:lang w:val="en-US" w:eastAsia="zh-CN"/>
        </w:rPr>
        <w:t>施工期大气污染防治</w:t>
      </w:r>
      <w:r>
        <w:rPr>
          <w:rFonts w:eastAsia="黑体"/>
          <w:color w:val="auto"/>
        </w:rPr>
        <w:t>措施</w:t>
      </w:r>
      <w:r>
        <w:rPr>
          <w:color w:val="auto"/>
        </w:rPr>
        <w:tab/>
      </w:r>
      <w:r>
        <w:rPr>
          <w:color w:val="auto"/>
        </w:rPr>
        <w:fldChar w:fldCharType="begin"/>
      </w:r>
      <w:r>
        <w:rPr>
          <w:color w:val="auto"/>
        </w:rPr>
        <w:instrText xml:space="preserve"> PAGEREF _Toc23816 \h </w:instrText>
      </w:r>
      <w:r>
        <w:rPr>
          <w:color w:val="auto"/>
        </w:rPr>
        <w:fldChar w:fldCharType="separate"/>
      </w:r>
      <w:r>
        <w:rPr>
          <w:color w:val="auto"/>
        </w:rPr>
        <w:t>252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_Toc20176 </w:instrText>
      </w:r>
      <w:r>
        <w:rPr>
          <w:color w:val="auto"/>
          <w:szCs w:val="24"/>
        </w:rPr>
        <w:fldChar w:fldCharType="separate"/>
      </w:r>
      <w:r>
        <w:rPr>
          <w:rFonts w:hint="eastAsia" w:eastAsia="黑体"/>
          <w:color w:val="auto"/>
          <w:lang w:val="en-US" w:eastAsia="zh-CN"/>
        </w:rPr>
        <w:t>8.</w:t>
      </w:r>
      <w:r>
        <w:rPr>
          <w:rFonts w:eastAsia="黑体"/>
          <w:color w:val="auto"/>
        </w:rPr>
        <w:t>1.</w:t>
      </w:r>
      <w:r>
        <w:rPr>
          <w:rFonts w:hint="eastAsia" w:eastAsia="黑体"/>
          <w:color w:val="auto"/>
          <w:lang w:val="en-US" w:eastAsia="zh-CN"/>
        </w:rPr>
        <w:t>2施工期废水污染防治</w:t>
      </w:r>
      <w:r>
        <w:rPr>
          <w:rFonts w:eastAsia="黑体"/>
          <w:color w:val="auto"/>
        </w:rPr>
        <w:t>措施</w:t>
      </w:r>
      <w:r>
        <w:rPr>
          <w:color w:val="auto"/>
        </w:rPr>
        <w:tab/>
      </w:r>
      <w:r>
        <w:rPr>
          <w:color w:val="auto"/>
        </w:rPr>
        <w:fldChar w:fldCharType="begin"/>
      </w:r>
      <w:r>
        <w:rPr>
          <w:color w:val="auto"/>
        </w:rPr>
        <w:instrText xml:space="preserve"> PAGEREF _Toc20176 \h </w:instrText>
      </w:r>
      <w:r>
        <w:rPr>
          <w:color w:val="auto"/>
        </w:rPr>
        <w:fldChar w:fldCharType="separate"/>
      </w:r>
      <w:r>
        <w:rPr>
          <w:color w:val="auto"/>
        </w:rPr>
        <w:t>252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_Toc16335 </w:instrText>
      </w:r>
      <w:r>
        <w:rPr>
          <w:color w:val="auto"/>
          <w:szCs w:val="24"/>
        </w:rPr>
        <w:fldChar w:fldCharType="separate"/>
      </w:r>
      <w:r>
        <w:rPr>
          <w:rFonts w:hint="eastAsia" w:eastAsia="黑体"/>
          <w:color w:val="auto"/>
          <w:lang w:val="en-US" w:eastAsia="zh-CN"/>
        </w:rPr>
        <w:t>8.1.3施工期声环境污染防治措施</w:t>
      </w:r>
      <w:r>
        <w:rPr>
          <w:color w:val="auto"/>
        </w:rPr>
        <w:tab/>
      </w:r>
      <w:r>
        <w:rPr>
          <w:color w:val="auto"/>
        </w:rPr>
        <w:fldChar w:fldCharType="begin"/>
      </w:r>
      <w:r>
        <w:rPr>
          <w:color w:val="auto"/>
        </w:rPr>
        <w:instrText xml:space="preserve"> PAGEREF _Toc16335 \h </w:instrText>
      </w:r>
      <w:r>
        <w:rPr>
          <w:color w:val="auto"/>
        </w:rPr>
        <w:fldChar w:fldCharType="separate"/>
      </w:r>
      <w:r>
        <w:rPr>
          <w:color w:val="auto"/>
        </w:rPr>
        <w:t>253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_Toc18488 </w:instrText>
      </w:r>
      <w:r>
        <w:rPr>
          <w:color w:val="auto"/>
          <w:szCs w:val="24"/>
        </w:rPr>
        <w:fldChar w:fldCharType="separate"/>
      </w:r>
      <w:r>
        <w:rPr>
          <w:rFonts w:hint="eastAsia" w:eastAsia="黑体"/>
          <w:color w:val="auto"/>
          <w:lang w:val="en-US" w:eastAsia="zh-CN"/>
        </w:rPr>
        <w:t>8.1.4施工期固体废物污染防治措施</w:t>
      </w:r>
      <w:r>
        <w:rPr>
          <w:color w:val="auto"/>
        </w:rPr>
        <w:tab/>
      </w:r>
      <w:r>
        <w:rPr>
          <w:color w:val="auto"/>
        </w:rPr>
        <w:fldChar w:fldCharType="begin"/>
      </w:r>
      <w:r>
        <w:rPr>
          <w:color w:val="auto"/>
        </w:rPr>
        <w:instrText xml:space="preserve"> PAGEREF _Toc18488 \h </w:instrText>
      </w:r>
      <w:r>
        <w:rPr>
          <w:color w:val="auto"/>
        </w:rPr>
        <w:fldChar w:fldCharType="separate"/>
      </w:r>
      <w:r>
        <w:rPr>
          <w:color w:val="auto"/>
        </w:rPr>
        <w:t>254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_Toc20861 </w:instrText>
      </w:r>
      <w:r>
        <w:rPr>
          <w:color w:val="auto"/>
          <w:szCs w:val="24"/>
        </w:rPr>
        <w:fldChar w:fldCharType="separate"/>
      </w:r>
      <w:r>
        <w:rPr>
          <w:rFonts w:hint="eastAsia" w:eastAsia="黑体"/>
          <w:color w:val="auto"/>
          <w:lang w:val="en-US" w:eastAsia="zh-CN"/>
        </w:rPr>
        <w:t>8.1.5施工期生态环境保护措施</w:t>
      </w:r>
      <w:r>
        <w:rPr>
          <w:color w:val="auto"/>
        </w:rPr>
        <w:tab/>
      </w:r>
      <w:r>
        <w:rPr>
          <w:color w:val="auto"/>
        </w:rPr>
        <w:fldChar w:fldCharType="begin"/>
      </w:r>
      <w:r>
        <w:rPr>
          <w:color w:val="auto"/>
        </w:rPr>
        <w:instrText xml:space="preserve"> PAGEREF _Toc20861 \h </w:instrText>
      </w:r>
      <w:r>
        <w:rPr>
          <w:color w:val="auto"/>
        </w:rPr>
        <w:fldChar w:fldCharType="separate"/>
      </w:r>
      <w:r>
        <w:rPr>
          <w:color w:val="auto"/>
        </w:rPr>
        <w:t>254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_Toc28702 </w:instrText>
      </w:r>
      <w:r>
        <w:rPr>
          <w:color w:val="auto"/>
          <w:szCs w:val="24"/>
        </w:rPr>
        <w:fldChar w:fldCharType="separate"/>
      </w:r>
      <w:r>
        <w:rPr>
          <w:rFonts w:hint="eastAsia" w:ascii="Times New Roman" w:hAnsi="Times New Roman"/>
          <w:color w:val="auto"/>
          <w:szCs w:val="32"/>
          <w:lang w:val="en-US" w:eastAsia="zh-CN"/>
        </w:rPr>
        <w:t>8</w:t>
      </w:r>
      <w:r>
        <w:rPr>
          <w:rFonts w:ascii="Times New Roman" w:hAnsi="Times New Roman"/>
          <w:color w:val="auto"/>
          <w:szCs w:val="32"/>
        </w:rPr>
        <w:t>.2</w:t>
      </w:r>
      <w:r>
        <w:rPr>
          <w:rFonts w:hint="eastAsia" w:ascii="Times New Roman" w:hAnsi="Times New Roman"/>
          <w:color w:val="auto"/>
          <w:szCs w:val="32"/>
          <w:lang w:val="en-US" w:eastAsia="zh-CN"/>
        </w:rPr>
        <w:t>运营期</w:t>
      </w:r>
      <w:r>
        <w:rPr>
          <w:rFonts w:ascii="Times New Roman" w:hAnsi="Times New Roman"/>
          <w:color w:val="auto"/>
          <w:szCs w:val="32"/>
        </w:rPr>
        <w:t>污染防治措施</w:t>
      </w:r>
      <w:r>
        <w:rPr>
          <w:color w:val="auto"/>
        </w:rPr>
        <w:tab/>
      </w:r>
      <w:r>
        <w:rPr>
          <w:color w:val="auto"/>
        </w:rPr>
        <w:fldChar w:fldCharType="begin"/>
      </w:r>
      <w:r>
        <w:rPr>
          <w:color w:val="auto"/>
        </w:rPr>
        <w:instrText xml:space="preserve"> PAGEREF _Toc28702 \h </w:instrText>
      </w:r>
      <w:r>
        <w:rPr>
          <w:color w:val="auto"/>
        </w:rPr>
        <w:fldChar w:fldCharType="separate"/>
      </w:r>
      <w:r>
        <w:rPr>
          <w:color w:val="auto"/>
        </w:rPr>
        <w:t>258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_Toc16154 </w:instrText>
      </w:r>
      <w:r>
        <w:rPr>
          <w:color w:val="auto"/>
          <w:szCs w:val="24"/>
        </w:rPr>
        <w:fldChar w:fldCharType="separate"/>
      </w:r>
      <w:r>
        <w:rPr>
          <w:rFonts w:hint="eastAsia" w:eastAsia="黑体"/>
          <w:color w:val="auto"/>
          <w:lang w:val="en-US" w:eastAsia="zh-CN"/>
        </w:rPr>
        <w:t>8</w:t>
      </w:r>
      <w:r>
        <w:rPr>
          <w:rFonts w:eastAsia="黑体"/>
          <w:color w:val="auto"/>
        </w:rPr>
        <w:t>.2.1</w:t>
      </w:r>
      <w:r>
        <w:rPr>
          <w:rFonts w:hint="eastAsia" w:eastAsia="黑体"/>
          <w:color w:val="auto"/>
          <w:lang w:val="en-US" w:eastAsia="zh-CN"/>
        </w:rPr>
        <w:t>运营期废气污染防治措施</w:t>
      </w:r>
      <w:r>
        <w:rPr>
          <w:color w:val="auto"/>
        </w:rPr>
        <w:tab/>
      </w:r>
      <w:r>
        <w:rPr>
          <w:color w:val="auto"/>
        </w:rPr>
        <w:fldChar w:fldCharType="begin"/>
      </w:r>
      <w:r>
        <w:rPr>
          <w:color w:val="auto"/>
        </w:rPr>
        <w:instrText xml:space="preserve"> PAGEREF _Toc16154 \h </w:instrText>
      </w:r>
      <w:r>
        <w:rPr>
          <w:color w:val="auto"/>
        </w:rPr>
        <w:fldChar w:fldCharType="separate"/>
      </w:r>
      <w:r>
        <w:rPr>
          <w:color w:val="auto"/>
        </w:rPr>
        <w:t>258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_Toc765 </w:instrText>
      </w:r>
      <w:r>
        <w:rPr>
          <w:color w:val="auto"/>
          <w:szCs w:val="24"/>
        </w:rPr>
        <w:fldChar w:fldCharType="separate"/>
      </w:r>
      <w:r>
        <w:rPr>
          <w:rFonts w:hint="eastAsia" w:eastAsia="黑体"/>
          <w:color w:val="auto"/>
          <w:lang w:val="en-US" w:eastAsia="zh-CN"/>
        </w:rPr>
        <w:t>8</w:t>
      </w:r>
      <w:r>
        <w:rPr>
          <w:rFonts w:eastAsia="黑体"/>
          <w:color w:val="auto"/>
        </w:rPr>
        <w:t>.2.</w:t>
      </w:r>
      <w:r>
        <w:rPr>
          <w:rFonts w:hint="eastAsia" w:eastAsia="黑体"/>
          <w:color w:val="auto"/>
          <w:lang w:val="en-US" w:eastAsia="zh-CN"/>
        </w:rPr>
        <w:t>2运营期废水污染防治措施</w:t>
      </w:r>
      <w:r>
        <w:rPr>
          <w:color w:val="auto"/>
        </w:rPr>
        <w:tab/>
      </w:r>
      <w:r>
        <w:rPr>
          <w:color w:val="auto"/>
        </w:rPr>
        <w:fldChar w:fldCharType="begin"/>
      </w:r>
      <w:r>
        <w:rPr>
          <w:color w:val="auto"/>
        </w:rPr>
        <w:instrText xml:space="preserve"> PAGEREF _Toc765 \h </w:instrText>
      </w:r>
      <w:r>
        <w:rPr>
          <w:color w:val="auto"/>
        </w:rPr>
        <w:fldChar w:fldCharType="separate"/>
      </w:r>
      <w:r>
        <w:rPr>
          <w:color w:val="auto"/>
        </w:rPr>
        <w:t>261</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_Toc20607 </w:instrText>
      </w:r>
      <w:r>
        <w:rPr>
          <w:color w:val="auto"/>
          <w:szCs w:val="24"/>
        </w:rPr>
        <w:fldChar w:fldCharType="separate"/>
      </w:r>
      <w:r>
        <w:rPr>
          <w:rFonts w:hint="eastAsia" w:eastAsia="黑体"/>
          <w:color w:val="auto"/>
          <w:lang w:val="en-US" w:eastAsia="zh-CN"/>
        </w:rPr>
        <w:t>8</w:t>
      </w:r>
      <w:r>
        <w:rPr>
          <w:rFonts w:eastAsia="黑体"/>
          <w:color w:val="auto"/>
        </w:rPr>
        <w:t>.</w:t>
      </w:r>
      <w:r>
        <w:rPr>
          <w:rFonts w:hint="eastAsia" w:eastAsia="黑体"/>
          <w:color w:val="auto"/>
          <w:lang w:val="en-US" w:eastAsia="zh-CN"/>
        </w:rPr>
        <w:t>2</w:t>
      </w:r>
      <w:r>
        <w:rPr>
          <w:rFonts w:hint="eastAsia" w:eastAsia="黑体"/>
          <w:color w:val="auto"/>
        </w:rPr>
        <w:t>.3</w:t>
      </w:r>
      <w:r>
        <w:rPr>
          <w:rFonts w:hint="eastAsia" w:eastAsia="黑体"/>
          <w:color w:val="auto"/>
          <w:lang w:eastAsia="zh-CN"/>
        </w:rPr>
        <w:t>运营期</w:t>
      </w:r>
      <w:r>
        <w:rPr>
          <w:rFonts w:hint="eastAsia" w:eastAsia="黑体"/>
          <w:color w:val="auto"/>
        </w:rPr>
        <w:t>声环境保护措施</w:t>
      </w:r>
      <w:r>
        <w:rPr>
          <w:color w:val="auto"/>
        </w:rPr>
        <w:tab/>
      </w:r>
      <w:r>
        <w:rPr>
          <w:color w:val="auto"/>
        </w:rPr>
        <w:fldChar w:fldCharType="begin"/>
      </w:r>
      <w:r>
        <w:rPr>
          <w:color w:val="auto"/>
        </w:rPr>
        <w:instrText xml:space="preserve"> PAGEREF _Toc20607 \h </w:instrText>
      </w:r>
      <w:r>
        <w:rPr>
          <w:color w:val="auto"/>
        </w:rPr>
        <w:fldChar w:fldCharType="separate"/>
      </w:r>
      <w:r>
        <w:rPr>
          <w:color w:val="auto"/>
        </w:rPr>
        <w:t>262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_Toc22890 </w:instrText>
      </w:r>
      <w:r>
        <w:rPr>
          <w:color w:val="auto"/>
          <w:szCs w:val="24"/>
        </w:rPr>
        <w:fldChar w:fldCharType="separate"/>
      </w:r>
      <w:r>
        <w:rPr>
          <w:rFonts w:hint="eastAsia" w:eastAsia="黑体"/>
          <w:color w:val="auto"/>
          <w:lang w:val="en-US" w:eastAsia="zh-CN"/>
        </w:rPr>
        <w:t>8</w:t>
      </w:r>
      <w:r>
        <w:rPr>
          <w:rFonts w:eastAsia="黑体"/>
          <w:color w:val="auto"/>
        </w:rPr>
        <w:t>.</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4</w:t>
      </w:r>
      <w:r>
        <w:rPr>
          <w:rFonts w:hint="eastAsia" w:eastAsia="黑体"/>
          <w:color w:val="auto"/>
          <w:lang w:eastAsia="zh-CN"/>
        </w:rPr>
        <w:t>运营期</w:t>
      </w:r>
      <w:r>
        <w:rPr>
          <w:rFonts w:hint="eastAsia" w:eastAsia="黑体"/>
          <w:color w:val="auto"/>
          <w:lang w:val="en-US" w:eastAsia="zh-CN"/>
        </w:rPr>
        <w:t>固体废物</w:t>
      </w:r>
      <w:r>
        <w:rPr>
          <w:rFonts w:hint="eastAsia" w:eastAsia="黑体"/>
          <w:color w:val="auto"/>
        </w:rPr>
        <w:t>环境保护措施</w:t>
      </w:r>
      <w:r>
        <w:rPr>
          <w:color w:val="auto"/>
        </w:rPr>
        <w:tab/>
      </w:r>
      <w:r>
        <w:rPr>
          <w:color w:val="auto"/>
        </w:rPr>
        <w:fldChar w:fldCharType="begin"/>
      </w:r>
      <w:r>
        <w:rPr>
          <w:color w:val="auto"/>
        </w:rPr>
        <w:instrText xml:space="preserve"> PAGEREF _Toc22890 \h </w:instrText>
      </w:r>
      <w:r>
        <w:rPr>
          <w:color w:val="auto"/>
        </w:rPr>
        <w:fldChar w:fldCharType="separate"/>
      </w:r>
      <w:r>
        <w:rPr>
          <w:color w:val="auto"/>
        </w:rPr>
        <w:t>262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_Toc29574 </w:instrText>
      </w:r>
      <w:r>
        <w:rPr>
          <w:color w:val="auto"/>
          <w:szCs w:val="24"/>
        </w:rPr>
        <w:fldChar w:fldCharType="separate"/>
      </w:r>
      <w:r>
        <w:rPr>
          <w:rFonts w:hint="eastAsia" w:eastAsia="黑体"/>
          <w:color w:val="auto"/>
          <w:lang w:val="en-US" w:eastAsia="zh-CN"/>
        </w:rPr>
        <w:t>8</w:t>
      </w:r>
      <w:r>
        <w:rPr>
          <w:rFonts w:eastAsia="黑体"/>
          <w:color w:val="auto"/>
        </w:rPr>
        <w:t>.</w:t>
      </w:r>
      <w:r>
        <w:rPr>
          <w:rFonts w:hint="eastAsia" w:eastAsia="黑体"/>
          <w:color w:val="auto"/>
          <w:lang w:val="en-US" w:eastAsia="zh-CN"/>
        </w:rPr>
        <w:t>2</w:t>
      </w:r>
      <w:r>
        <w:rPr>
          <w:rFonts w:hint="eastAsia" w:eastAsia="黑体"/>
          <w:color w:val="auto"/>
        </w:rPr>
        <w:t>.</w:t>
      </w:r>
      <w:r>
        <w:rPr>
          <w:rFonts w:hint="eastAsia" w:eastAsia="黑体"/>
          <w:color w:val="auto"/>
          <w:lang w:val="en-US" w:eastAsia="zh-CN"/>
        </w:rPr>
        <w:t>5</w:t>
      </w:r>
      <w:r>
        <w:rPr>
          <w:rFonts w:hint="eastAsia" w:eastAsia="黑体"/>
          <w:color w:val="auto"/>
          <w:lang w:eastAsia="zh-CN"/>
        </w:rPr>
        <w:t>运营期</w:t>
      </w:r>
      <w:r>
        <w:rPr>
          <w:rFonts w:hint="eastAsia" w:eastAsia="黑体"/>
          <w:color w:val="auto"/>
          <w:lang w:val="en-US" w:eastAsia="zh-CN"/>
        </w:rPr>
        <w:t>生态环境</w:t>
      </w:r>
      <w:r>
        <w:rPr>
          <w:rFonts w:hint="eastAsia" w:eastAsia="黑体"/>
          <w:color w:val="auto"/>
        </w:rPr>
        <w:t>保护措施</w:t>
      </w:r>
      <w:r>
        <w:rPr>
          <w:color w:val="auto"/>
        </w:rPr>
        <w:tab/>
      </w:r>
      <w:r>
        <w:rPr>
          <w:color w:val="auto"/>
        </w:rPr>
        <w:fldChar w:fldCharType="begin"/>
      </w:r>
      <w:r>
        <w:rPr>
          <w:color w:val="auto"/>
        </w:rPr>
        <w:instrText xml:space="preserve"> PAGEREF _Toc29574 \h </w:instrText>
      </w:r>
      <w:r>
        <w:rPr>
          <w:color w:val="auto"/>
        </w:rPr>
        <w:fldChar w:fldCharType="separate"/>
      </w:r>
      <w:r>
        <w:rPr>
          <w:color w:val="auto"/>
        </w:rPr>
        <w:t>263</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_Toc11016 </w:instrText>
      </w:r>
      <w:r>
        <w:rPr>
          <w:color w:val="auto"/>
          <w:szCs w:val="24"/>
        </w:rPr>
        <w:fldChar w:fldCharType="separate"/>
      </w:r>
      <w:r>
        <w:rPr>
          <w:rFonts w:hint="eastAsia" w:ascii="Times New Roman" w:hAnsi="Times New Roman"/>
          <w:color w:val="auto"/>
          <w:szCs w:val="32"/>
          <w:lang w:val="en-US" w:eastAsia="zh-CN"/>
        </w:rPr>
        <w:t>8</w:t>
      </w:r>
      <w:r>
        <w:rPr>
          <w:rFonts w:ascii="Times New Roman" w:hAnsi="Times New Roman"/>
          <w:color w:val="auto"/>
          <w:szCs w:val="32"/>
        </w:rPr>
        <w:t>.</w:t>
      </w:r>
      <w:r>
        <w:rPr>
          <w:rFonts w:hint="eastAsia" w:ascii="Times New Roman" w:hAnsi="Times New Roman"/>
          <w:color w:val="auto"/>
          <w:szCs w:val="32"/>
          <w:lang w:val="en-US" w:eastAsia="zh-CN"/>
        </w:rPr>
        <w:t>3</w:t>
      </w:r>
      <w:r>
        <w:rPr>
          <w:rFonts w:ascii="Times New Roman" w:hAnsi="Times New Roman"/>
          <w:color w:val="auto"/>
          <w:szCs w:val="32"/>
        </w:rPr>
        <w:t>非正常排放防范措施建议</w:t>
      </w:r>
      <w:r>
        <w:rPr>
          <w:color w:val="auto"/>
        </w:rPr>
        <w:tab/>
      </w:r>
      <w:r>
        <w:rPr>
          <w:color w:val="auto"/>
        </w:rPr>
        <w:fldChar w:fldCharType="begin"/>
      </w:r>
      <w:r>
        <w:rPr>
          <w:color w:val="auto"/>
        </w:rPr>
        <w:instrText xml:space="preserve"> PAGEREF _Toc11016 \h </w:instrText>
      </w:r>
      <w:r>
        <w:rPr>
          <w:color w:val="auto"/>
        </w:rPr>
        <w:fldChar w:fldCharType="separate"/>
      </w:r>
      <w:r>
        <w:rPr>
          <w:color w:val="auto"/>
        </w:rPr>
        <w:t>263</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_Toc17844 </w:instrText>
      </w:r>
      <w:r>
        <w:rPr>
          <w:color w:val="auto"/>
          <w:szCs w:val="24"/>
        </w:rPr>
        <w:fldChar w:fldCharType="separate"/>
      </w:r>
      <w:r>
        <w:rPr>
          <w:rFonts w:hint="eastAsia" w:eastAsia="黑体"/>
          <w:color w:val="auto"/>
          <w:szCs w:val="44"/>
          <w:lang w:val="en-US" w:eastAsia="zh-CN"/>
        </w:rPr>
        <w:t>9</w:t>
      </w:r>
      <w:r>
        <w:rPr>
          <w:rFonts w:eastAsia="黑体"/>
          <w:color w:val="auto"/>
          <w:szCs w:val="44"/>
        </w:rPr>
        <w:t>环境</w:t>
      </w:r>
      <w:r>
        <w:rPr>
          <w:rFonts w:hint="eastAsia" w:eastAsia="黑体"/>
          <w:color w:val="auto"/>
          <w:szCs w:val="44"/>
          <w:lang w:val="en-US" w:eastAsia="zh-CN"/>
        </w:rPr>
        <w:t>影响</w:t>
      </w:r>
      <w:r>
        <w:rPr>
          <w:rFonts w:eastAsia="黑体"/>
          <w:color w:val="auto"/>
          <w:szCs w:val="44"/>
        </w:rPr>
        <w:t>经济损益分析</w:t>
      </w:r>
      <w:r>
        <w:rPr>
          <w:color w:val="auto"/>
        </w:rPr>
        <w:tab/>
      </w:r>
      <w:r>
        <w:rPr>
          <w:color w:val="auto"/>
        </w:rPr>
        <w:fldChar w:fldCharType="begin"/>
      </w:r>
      <w:r>
        <w:rPr>
          <w:color w:val="auto"/>
        </w:rPr>
        <w:instrText xml:space="preserve"> PAGEREF _Toc17844 \h </w:instrText>
      </w:r>
      <w:r>
        <w:rPr>
          <w:color w:val="auto"/>
        </w:rPr>
        <w:fldChar w:fldCharType="separate"/>
      </w:r>
      <w:r>
        <w:rPr>
          <w:color w:val="auto"/>
        </w:rPr>
        <w:t>264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_Toc31244 </w:instrText>
      </w:r>
      <w:r>
        <w:rPr>
          <w:color w:val="auto"/>
          <w:szCs w:val="24"/>
        </w:rPr>
        <w:fldChar w:fldCharType="separate"/>
      </w:r>
      <w:r>
        <w:rPr>
          <w:rFonts w:hint="eastAsia" w:ascii="Times New Roman" w:hAnsi="Times New Roman"/>
          <w:color w:val="auto"/>
          <w:szCs w:val="32"/>
          <w:lang w:val="en-US" w:eastAsia="zh-CN"/>
        </w:rPr>
        <w:t>9</w:t>
      </w:r>
      <w:r>
        <w:rPr>
          <w:rFonts w:ascii="Times New Roman" w:hAnsi="Times New Roman"/>
          <w:color w:val="auto"/>
          <w:szCs w:val="32"/>
        </w:rPr>
        <w:t>.1</w:t>
      </w:r>
      <w:r>
        <w:rPr>
          <w:rFonts w:hint="eastAsia" w:ascii="Times New Roman" w:hAnsi="Times New Roman"/>
          <w:color w:val="auto"/>
          <w:szCs w:val="32"/>
          <w:lang w:val="en-US" w:eastAsia="zh-CN"/>
        </w:rPr>
        <w:t>项目带来的经济损失</w:t>
      </w:r>
      <w:r>
        <w:rPr>
          <w:color w:val="auto"/>
        </w:rPr>
        <w:tab/>
      </w:r>
      <w:r>
        <w:rPr>
          <w:color w:val="auto"/>
        </w:rPr>
        <w:fldChar w:fldCharType="begin"/>
      </w:r>
      <w:r>
        <w:rPr>
          <w:color w:val="auto"/>
        </w:rPr>
        <w:instrText xml:space="preserve"> PAGEREF _Toc31244 \h </w:instrText>
      </w:r>
      <w:r>
        <w:rPr>
          <w:color w:val="auto"/>
        </w:rPr>
        <w:fldChar w:fldCharType="separate"/>
      </w:r>
      <w:r>
        <w:rPr>
          <w:color w:val="auto"/>
        </w:rPr>
        <w:t>264</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_Toc14366 </w:instrText>
      </w:r>
      <w:r>
        <w:rPr>
          <w:color w:val="auto"/>
          <w:szCs w:val="24"/>
        </w:rPr>
        <w:fldChar w:fldCharType="separate"/>
      </w:r>
      <w:r>
        <w:rPr>
          <w:rFonts w:hint="eastAsia" w:ascii="Times New Roman" w:hAnsi="Times New Roman"/>
          <w:color w:val="auto"/>
          <w:szCs w:val="32"/>
          <w:lang w:val="en-US" w:eastAsia="zh-CN"/>
        </w:rPr>
        <w:t>9</w:t>
      </w:r>
      <w:r>
        <w:rPr>
          <w:rFonts w:ascii="Times New Roman" w:hAnsi="Times New Roman"/>
          <w:color w:val="auto"/>
          <w:szCs w:val="32"/>
        </w:rPr>
        <w:t>.2</w:t>
      </w:r>
      <w:r>
        <w:rPr>
          <w:rFonts w:hint="eastAsia" w:ascii="Times New Roman" w:hAnsi="Times New Roman"/>
          <w:color w:val="auto"/>
          <w:szCs w:val="32"/>
          <w:lang w:val="en-US" w:eastAsia="zh-CN"/>
        </w:rPr>
        <w:t>项目产生的</w:t>
      </w:r>
      <w:r>
        <w:rPr>
          <w:rFonts w:ascii="Times New Roman" w:hAnsi="Times New Roman"/>
          <w:color w:val="auto"/>
          <w:szCs w:val="32"/>
        </w:rPr>
        <w:t>效益分析</w:t>
      </w:r>
      <w:r>
        <w:rPr>
          <w:color w:val="auto"/>
        </w:rPr>
        <w:tab/>
      </w:r>
      <w:r>
        <w:rPr>
          <w:color w:val="auto"/>
        </w:rPr>
        <w:fldChar w:fldCharType="begin"/>
      </w:r>
      <w:r>
        <w:rPr>
          <w:color w:val="auto"/>
        </w:rPr>
        <w:instrText xml:space="preserve"> PAGEREF _Toc14366 \h </w:instrText>
      </w:r>
      <w:r>
        <w:rPr>
          <w:color w:val="auto"/>
        </w:rPr>
        <w:fldChar w:fldCharType="separate"/>
      </w:r>
      <w:r>
        <w:rPr>
          <w:color w:val="auto"/>
        </w:rPr>
        <w:t>264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_Toc29703 </w:instrText>
      </w:r>
      <w:r>
        <w:rPr>
          <w:color w:val="auto"/>
          <w:szCs w:val="24"/>
        </w:rPr>
        <w:fldChar w:fldCharType="separate"/>
      </w:r>
      <w:r>
        <w:rPr>
          <w:rFonts w:hint="eastAsia" w:eastAsia="黑体"/>
          <w:color w:val="auto"/>
          <w:lang w:val="en-US" w:eastAsia="zh-CN"/>
        </w:rPr>
        <w:t>9.</w:t>
      </w:r>
      <w:r>
        <w:rPr>
          <w:rFonts w:eastAsia="黑体"/>
          <w:color w:val="auto"/>
        </w:rPr>
        <w:t>2.1</w:t>
      </w:r>
      <w:r>
        <w:rPr>
          <w:rFonts w:hint="eastAsia" w:eastAsia="黑体"/>
          <w:color w:val="auto"/>
          <w:lang w:val="en-US" w:eastAsia="zh-CN"/>
        </w:rPr>
        <w:t>社会</w:t>
      </w:r>
      <w:r>
        <w:rPr>
          <w:rFonts w:eastAsia="黑体"/>
          <w:color w:val="auto"/>
        </w:rPr>
        <w:t>经济效益</w:t>
      </w:r>
      <w:r>
        <w:rPr>
          <w:color w:val="auto"/>
        </w:rPr>
        <w:tab/>
      </w:r>
      <w:r>
        <w:rPr>
          <w:color w:val="auto"/>
        </w:rPr>
        <w:fldChar w:fldCharType="begin"/>
      </w:r>
      <w:r>
        <w:rPr>
          <w:color w:val="auto"/>
        </w:rPr>
        <w:instrText xml:space="preserve"> PAGEREF _Toc29703 \h </w:instrText>
      </w:r>
      <w:r>
        <w:rPr>
          <w:color w:val="auto"/>
        </w:rPr>
        <w:fldChar w:fldCharType="separate"/>
      </w:r>
      <w:r>
        <w:rPr>
          <w:color w:val="auto"/>
        </w:rPr>
        <w:t>264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_Toc1951 </w:instrText>
      </w:r>
      <w:r>
        <w:rPr>
          <w:color w:val="auto"/>
          <w:szCs w:val="24"/>
        </w:rPr>
        <w:fldChar w:fldCharType="separate"/>
      </w:r>
      <w:r>
        <w:rPr>
          <w:rFonts w:hint="eastAsia" w:eastAsia="黑体"/>
          <w:color w:val="auto"/>
          <w:lang w:val="en-US" w:eastAsia="zh-CN"/>
        </w:rPr>
        <w:t>9</w:t>
      </w:r>
      <w:r>
        <w:rPr>
          <w:rFonts w:eastAsia="黑体"/>
          <w:color w:val="auto"/>
        </w:rPr>
        <w:t>.</w:t>
      </w:r>
      <w:r>
        <w:rPr>
          <w:rFonts w:hint="eastAsia" w:eastAsia="黑体"/>
          <w:color w:val="auto"/>
          <w:lang w:val="en-US" w:eastAsia="zh-CN"/>
        </w:rPr>
        <w:t>2.2环境经济效</w:t>
      </w:r>
      <w:r>
        <w:rPr>
          <w:rFonts w:eastAsia="黑体"/>
          <w:color w:val="auto"/>
        </w:rPr>
        <w:t>益</w:t>
      </w:r>
      <w:r>
        <w:rPr>
          <w:color w:val="auto"/>
        </w:rPr>
        <w:tab/>
      </w:r>
      <w:r>
        <w:rPr>
          <w:color w:val="auto"/>
        </w:rPr>
        <w:fldChar w:fldCharType="begin"/>
      </w:r>
      <w:r>
        <w:rPr>
          <w:color w:val="auto"/>
        </w:rPr>
        <w:instrText xml:space="preserve"> PAGEREF _Toc1951 \h </w:instrText>
      </w:r>
      <w:r>
        <w:rPr>
          <w:color w:val="auto"/>
        </w:rPr>
        <w:fldChar w:fldCharType="separate"/>
      </w:r>
      <w:r>
        <w:rPr>
          <w:color w:val="auto"/>
        </w:rPr>
        <w:t>265</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_Toc14796 </w:instrText>
      </w:r>
      <w:r>
        <w:rPr>
          <w:color w:val="auto"/>
          <w:szCs w:val="24"/>
        </w:rPr>
        <w:fldChar w:fldCharType="separate"/>
      </w:r>
      <w:r>
        <w:rPr>
          <w:rFonts w:hint="eastAsia" w:eastAsia="黑体"/>
          <w:color w:val="auto"/>
          <w:lang w:val="en-US" w:eastAsia="zh-CN"/>
        </w:rPr>
        <w:t>9</w:t>
      </w:r>
      <w:r>
        <w:rPr>
          <w:rFonts w:eastAsia="黑体"/>
          <w:color w:val="auto"/>
        </w:rPr>
        <w:t>.</w:t>
      </w:r>
      <w:r>
        <w:rPr>
          <w:rFonts w:hint="eastAsia" w:eastAsia="黑体"/>
          <w:color w:val="auto"/>
          <w:lang w:val="en-US" w:eastAsia="zh-CN"/>
        </w:rPr>
        <w:t>2</w:t>
      </w:r>
      <w:r>
        <w:rPr>
          <w:rFonts w:eastAsia="黑体"/>
          <w:color w:val="auto"/>
        </w:rPr>
        <w:t>.3环境影响损益分析</w:t>
      </w:r>
      <w:r>
        <w:rPr>
          <w:color w:val="auto"/>
        </w:rPr>
        <w:tab/>
      </w:r>
      <w:r>
        <w:rPr>
          <w:color w:val="auto"/>
        </w:rPr>
        <w:fldChar w:fldCharType="begin"/>
      </w:r>
      <w:r>
        <w:rPr>
          <w:color w:val="auto"/>
        </w:rPr>
        <w:instrText xml:space="preserve"> PAGEREF _Toc14796 \h </w:instrText>
      </w:r>
      <w:r>
        <w:rPr>
          <w:color w:val="auto"/>
        </w:rPr>
        <w:fldChar w:fldCharType="separate"/>
      </w:r>
      <w:r>
        <w:rPr>
          <w:color w:val="auto"/>
        </w:rPr>
        <w:t>265</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_Toc21401 </w:instrText>
      </w:r>
      <w:r>
        <w:rPr>
          <w:color w:val="auto"/>
          <w:szCs w:val="24"/>
        </w:rPr>
        <w:fldChar w:fldCharType="separate"/>
      </w:r>
      <w:r>
        <w:rPr>
          <w:rFonts w:eastAsia="黑体"/>
          <w:color w:val="auto"/>
          <w:szCs w:val="44"/>
        </w:rPr>
        <w:t>1</w:t>
      </w:r>
      <w:r>
        <w:rPr>
          <w:rFonts w:hint="eastAsia" w:eastAsia="黑体"/>
          <w:color w:val="auto"/>
          <w:szCs w:val="44"/>
          <w:lang w:val="en-US" w:eastAsia="zh-CN"/>
        </w:rPr>
        <w:t>0</w:t>
      </w:r>
      <w:r>
        <w:rPr>
          <w:rFonts w:eastAsia="黑体"/>
          <w:color w:val="auto"/>
          <w:szCs w:val="44"/>
        </w:rPr>
        <w:t>环境管理与监测计划</w:t>
      </w:r>
      <w:r>
        <w:rPr>
          <w:color w:val="auto"/>
        </w:rPr>
        <w:tab/>
      </w:r>
      <w:r>
        <w:rPr>
          <w:color w:val="auto"/>
        </w:rPr>
        <w:fldChar w:fldCharType="begin"/>
      </w:r>
      <w:r>
        <w:rPr>
          <w:color w:val="auto"/>
        </w:rPr>
        <w:instrText xml:space="preserve"> PAGEREF _Toc21401 \h </w:instrText>
      </w:r>
      <w:r>
        <w:rPr>
          <w:color w:val="auto"/>
        </w:rPr>
        <w:fldChar w:fldCharType="separate"/>
      </w:r>
      <w:r>
        <w:rPr>
          <w:color w:val="auto"/>
        </w:rPr>
        <w:t>266</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_Toc20390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0</w:t>
      </w:r>
      <w:r>
        <w:rPr>
          <w:rFonts w:ascii="Times New Roman" w:hAnsi="Times New Roman"/>
          <w:color w:val="auto"/>
          <w:szCs w:val="32"/>
        </w:rPr>
        <w:t>.1环境</w:t>
      </w:r>
      <w:r>
        <w:rPr>
          <w:rFonts w:hint="eastAsia" w:ascii="Times New Roman" w:hAnsi="Times New Roman"/>
          <w:color w:val="auto"/>
          <w:szCs w:val="32"/>
          <w:lang w:val="en-US" w:eastAsia="zh-CN"/>
        </w:rPr>
        <w:t>保护</w:t>
      </w:r>
      <w:r>
        <w:rPr>
          <w:rFonts w:ascii="Times New Roman" w:hAnsi="Times New Roman"/>
          <w:color w:val="auto"/>
          <w:szCs w:val="32"/>
        </w:rPr>
        <w:t>管理计划</w:t>
      </w:r>
      <w:r>
        <w:rPr>
          <w:color w:val="auto"/>
        </w:rPr>
        <w:tab/>
      </w:r>
      <w:r>
        <w:rPr>
          <w:color w:val="auto"/>
        </w:rPr>
        <w:fldChar w:fldCharType="begin"/>
      </w:r>
      <w:r>
        <w:rPr>
          <w:color w:val="auto"/>
        </w:rPr>
        <w:instrText xml:space="preserve"> PAGEREF _Toc20390 \h </w:instrText>
      </w:r>
      <w:r>
        <w:rPr>
          <w:color w:val="auto"/>
        </w:rPr>
        <w:fldChar w:fldCharType="separate"/>
      </w:r>
      <w:r>
        <w:rPr>
          <w:color w:val="auto"/>
        </w:rPr>
        <w:t>266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_Toc12242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.1.1环境</w:t>
      </w:r>
      <w:r>
        <w:rPr>
          <w:rFonts w:hint="eastAsia" w:eastAsia="黑体"/>
          <w:color w:val="auto"/>
          <w:lang w:val="en-US" w:eastAsia="zh-CN"/>
        </w:rPr>
        <w:t>保护管理体系</w:t>
      </w:r>
      <w:r>
        <w:rPr>
          <w:color w:val="auto"/>
        </w:rPr>
        <w:tab/>
      </w:r>
      <w:r>
        <w:rPr>
          <w:color w:val="auto"/>
        </w:rPr>
        <w:fldChar w:fldCharType="begin"/>
      </w:r>
      <w:r>
        <w:rPr>
          <w:color w:val="auto"/>
        </w:rPr>
        <w:instrText xml:space="preserve"> PAGEREF _Toc12242 \h </w:instrText>
      </w:r>
      <w:r>
        <w:rPr>
          <w:color w:val="auto"/>
        </w:rPr>
        <w:fldChar w:fldCharType="separate"/>
      </w:r>
      <w:r>
        <w:rPr>
          <w:color w:val="auto"/>
        </w:rPr>
        <w:t>266</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_Toc16455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1.</w:t>
      </w:r>
      <w:r>
        <w:rPr>
          <w:rFonts w:hint="eastAsia" w:eastAsia="黑体"/>
          <w:color w:val="auto"/>
          <w:lang w:val="en-US" w:eastAsia="zh-CN"/>
        </w:rPr>
        <w:t>2</w:t>
      </w:r>
      <w:r>
        <w:rPr>
          <w:rFonts w:eastAsia="黑体"/>
          <w:color w:val="auto"/>
        </w:rPr>
        <w:t>环境管理</w:t>
      </w:r>
      <w:r>
        <w:rPr>
          <w:rFonts w:hint="eastAsia" w:eastAsia="黑体"/>
          <w:color w:val="auto"/>
          <w:lang w:val="en-US" w:eastAsia="zh-CN"/>
        </w:rPr>
        <w:t>计划</w:t>
      </w:r>
      <w:r>
        <w:rPr>
          <w:color w:val="auto"/>
        </w:rPr>
        <w:tab/>
      </w:r>
      <w:r>
        <w:rPr>
          <w:color w:val="auto"/>
        </w:rPr>
        <w:fldChar w:fldCharType="begin"/>
      </w:r>
      <w:r>
        <w:rPr>
          <w:color w:val="auto"/>
        </w:rPr>
        <w:instrText xml:space="preserve"> PAGEREF _Toc16455 \h </w:instrText>
      </w:r>
      <w:r>
        <w:rPr>
          <w:color w:val="auto"/>
        </w:rPr>
        <w:fldChar w:fldCharType="separate"/>
      </w:r>
      <w:r>
        <w:rPr>
          <w:color w:val="auto"/>
        </w:rPr>
        <w:t>267</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_Toc12847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0</w:t>
      </w:r>
      <w:r>
        <w:rPr>
          <w:rFonts w:ascii="Times New Roman" w:hAnsi="Times New Roman"/>
          <w:color w:val="auto"/>
          <w:szCs w:val="32"/>
        </w:rPr>
        <w:t>.2环境监测计划</w:t>
      </w:r>
      <w:r>
        <w:rPr>
          <w:color w:val="auto"/>
        </w:rPr>
        <w:tab/>
      </w:r>
      <w:r>
        <w:rPr>
          <w:color w:val="auto"/>
        </w:rPr>
        <w:fldChar w:fldCharType="begin"/>
      </w:r>
      <w:r>
        <w:rPr>
          <w:color w:val="auto"/>
        </w:rPr>
        <w:instrText xml:space="preserve"> PAGEREF _Toc12847 \h </w:instrText>
      </w:r>
      <w:r>
        <w:rPr>
          <w:color w:val="auto"/>
        </w:rPr>
        <w:fldChar w:fldCharType="separate"/>
      </w:r>
      <w:r>
        <w:rPr>
          <w:color w:val="auto"/>
        </w:rPr>
        <w:t>268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_Toc4110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.2.1</w:t>
      </w:r>
      <w:r>
        <w:rPr>
          <w:rFonts w:hint="eastAsia" w:eastAsia="黑体"/>
          <w:color w:val="auto"/>
          <w:lang w:val="en-US" w:eastAsia="zh-CN"/>
        </w:rPr>
        <w:t>环境监测的目的</w:t>
      </w:r>
      <w:r>
        <w:rPr>
          <w:color w:val="auto"/>
        </w:rPr>
        <w:tab/>
      </w:r>
      <w:r>
        <w:rPr>
          <w:color w:val="auto"/>
        </w:rPr>
        <w:fldChar w:fldCharType="begin"/>
      </w:r>
      <w:r>
        <w:rPr>
          <w:color w:val="auto"/>
        </w:rPr>
        <w:instrText xml:space="preserve"> PAGEREF _Toc4110 \h </w:instrText>
      </w:r>
      <w:r>
        <w:rPr>
          <w:color w:val="auto"/>
        </w:rPr>
        <w:fldChar w:fldCharType="separate"/>
      </w:r>
      <w:r>
        <w:rPr>
          <w:color w:val="auto"/>
        </w:rPr>
        <w:t>268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_Toc17246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.2.</w:t>
      </w:r>
      <w:r>
        <w:rPr>
          <w:rFonts w:hint="eastAsia" w:eastAsia="黑体"/>
          <w:color w:val="auto"/>
          <w:lang w:val="en-US" w:eastAsia="zh-CN"/>
        </w:rPr>
        <w:t>2监测机构</w:t>
      </w:r>
      <w:r>
        <w:rPr>
          <w:color w:val="auto"/>
        </w:rPr>
        <w:tab/>
      </w:r>
      <w:r>
        <w:rPr>
          <w:color w:val="auto"/>
        </w:rPr>
        <w:fldChar w:fldCharType="begin"/>
      </w:r>
      <w:r>
        <w:rPr>
          <w:color w:val="auto"/>
        </w:rPr>
        <w:instrText xml:space="preserve"> PAGEREF _Toc17246 \h </w:instrText>
      </w:r>
      <w:r>
        <w:rPr>
          <w:color w:val="auto"/>
        </w:rPr>
        <w:fldChar w:fldCharType="separate"/>
      </w:r>
      <w:r>
        <w:rPr>
          <w:color w:val="auto"/>
        </w:rPr>
        <w:t>268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_Toc19349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.2.</w:t>
      </w:r>
      <w:r>
        <w:rPr>
          <w:rFonts w:hint="eastAsia" w:eastAsia="黑体"/>
          <w:color w:val="auto"/>
          <w:lang w:val="en-US" w:eastAsia="zh-CN"/>
        </w:rPr>
        <w:t>3监测计划</w:t>
      </w:r>
      <w:r>
        <w:rPr>
          <w:color w:val="auto"/>
        </w:rPr>
        <w:tab/>
      </w:r>
      <w:r>
        <w:rPr>
          <w:color w:val="auto"/>
        </w:rPr>
        <w:fldChar w:fldCharType="begin"/>
      </w:r>
      <w:r>
        <w:rPr>
          <w:color w:val="auto"/>
        </w:rPr>
        <w:instrText xml:space="preserve"> PAGEREF _Toc19349 \h </w:instrText>
      </w:r>
      <w:r>
        <w:rPr>
          <w:color w:val="auto"/>
        </w:rPr>
        <w:fldChar w:fldCharType="separate"/>
      </w:r>
      <w:r>
        <w:rPr>
          <w:color w:val="auto"/>
        </w:rPr>
        <w:t>268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_Toc29099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.2.</w:t>
      </w:r>
      <w:r>
        <w:rPr>
          <w:rFonts w:hint="eastAsia" w:eastAsia="黑体"/>
          <w:color w:val="auto"/>
          <w:lang w:val="en-US" w:eastAsia="zh-CN"/>
        </w:rPr>
        <w:t>4监测设备及费用</w:t>
      </w:r>
      <w:r>
        <w:rPr>
          <w:color w:val="auto"/>
        </w:rPr>
        <w:tab/>
      </w:r>
      <w:r>
        <w:rPr>
          <w:color w:val="auto"/>
        </w:rPr>
        <w:fldChar w:fldCharType="begin"/>
      </w:r>
      <w:r>
        <w:rPr>
          <w:color w:val="auto"/>
        </w:rPr>
        <w:instrText xml:space="preserve"> PAGEREF _Toc29099 \h </w:instrText>
      </w:r>
      <w:r>
        <w:rPr>
          <w:color w:val="auto"/>
        </w:rPr>
        <w:fldChar w:fldCharType="separate"/>
      </w:r>
      <w:r>
        <w:rPr>
          <w:color w:val="auto"/>
        </w:rPr>
        <w:t>269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_Toc5035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0</w:t>
      </w:r>
      <w:r>
        <w:rPr>
          <w:rFonts w:ascii="Times New Roman" w:hAnsi="Times New Roman"/>
          <w:color w:val="auto"/>
          <w:szCs w:val="32"/>
        </w:rPr>
        <w:t>.3</w:t>
      </w:r>
      <w:r>
        <w:rPr>
          <w:rFonts w:hint="eastAsia" w:ascii="Times New Roman" w:hAnsi="Times New Roman"/>
          <w:color w:val="auto"/>
          <w:szCs w:val="32"/>
          <w:lang w:val="en-US" w:eastAsia="zh-CN"/>
        </w:rPr>
        <w:t>环境监理</w:t>
      </w:r>
      <w:r>
        <w:rPr>
          <w:color w:val="auto"/>
        </w:rPr>
        <w:tab/>
      </w:r>
      <w:r>
        <w:rPr>
          <w:color w:val="auto"/>
        </w:rPr>
        <w:fldChar w:fldCharType="begin"/>
      </w:r>
      <w:r>
        <w:rPr>
          <w:color w:val="auto"/>
        </w:rPr>
        <w:instrText xml:space="preserve"> PAGEREF _Toc5035 \h </w:instrText>
      </w:r>
      <w:r>
        <w:rPr>
          <w:color w:val="auto"/>
        </w:rPr>
        <w:fldChar w:fldCharType="separate"/>
      </w:r>
      <w:r>
        <w:rPr>
          <w:color w:val="auto"/>
        </w:rPr>
        <w:t>270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_Toc16271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.3.1</w:t>
      </w:r>
      <w:r>
        <w:rPr>
          <w:rFonts w:hint="eastAsia" w:eastAsia="黑体"/>
          <w:color w:val="auto"/>
          <w:lang w:val="en-US" w:eastAsia="zh-CN"/>
        </w:rPr>
        <w:t>实施环境监理的原则</w:t>
      </w:r>
      <w:r>
        <w:rPr>
          <w:color w:val="auto"/>
        </w:rPr>
        <w:tab/>
      </w:r>
      <w:r>
        <w:rPr>
          <w:color w:val="auto"/>
        </w:rPr>
        <w:fldChar w:fldCharType="begin"/>
      </w:r>
      <w:r>
        <w:rPr>
          <w:color w:val="auto"/>
        </w:rPr>
        <w:instrText xml:space="preserve"> PAGEREF _Toc16271 \h </w:instrText>
      </w:r>
      <w:r>
        <w:rPr>
          <w:color w:val="auto"/>
        </w:rPr>
        <w:fldChar w:fldCharType="separate"/>
      </w:r>
      <w:r>
        <w:rPr>
          <w:color w:val="auto"/>
        </w:rPr>
        <w:t>270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_Toc23080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.3.2</w:t>
      </w:r>
      <w:r>
        <w:rPr>
          <w:rFonts w:hint="eastAsia" w:eastAsia="黑体"/>
          <w:color w:val="auto"/>
          <w:lang w:val="en-US" w:eastAsia="zh-CN"/>
        </w:rPr>
        <w:t>环境监理的主要工作内容</w:t>
      </w:r>
      <w:r>
        <w:rPr>
          <w:color w:val="auto"/>
        </w:rPr>
        <w:tab/>
      </w:r>
      <w:r>
        <w:rPr>
          <w:color w:val="auto"/>
        </w:rPr>
        <w:fldChar w:fldCharType="begin"/>
      </w:r>
      <w:r>
        <w:rPr>
          <w:color w:val="auto"/>
        </w:rPr>
        <w:instrText xml:space="preserve"> PAGEREF _Toc23080 \h </w:instrText>
      </w:r>
      <w:r>
        <w:rPr>
          <w:color w:val="auto"/>
        </w:rPr>
        <w:fldChar w:fldCharType="separate"/>
      </w:r>
      <w:r>
        <w:rPr>
          <w:color w:val="auto"/>
        </w:rPr>
        <w:t>270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_Toc29634 </w:instrText>
      </w:r>
      <w:r>
        <w:rPr>
          <w:color w:val="auto"/>
          <w:szCs w:val="24"/>
        </w:rPr>
        <w:fldChar w:fldCharType="separate"/>
      </w:r>
      <w:r>
        <w:rPr>
          <w:rFonts w:hint="eastAsia" w:eastAsia="黑体"/>
          <w:color w:val="auto"/>
          <w:lang w:val="en-US" w:eastAsia="zh-CN"/>
        </w:rPr>
        <w:t>10</w:t>
      </w:r>
      <w:r>
        <w:rPr>
          <w:rFonts w:eastAsia="黑体"/>
          <w:color w:val="auto"/>
        </w:rPr>
        <w:t>.</w:t>
      </w:r>
      <w:r>
        <w:rPr>
          <w:rFonts w:hint="eastAsia" w:eastAsia="黑体"/>
          <w:color w:val="auto"/>
          <w:lang w:val="en-US" w:eastAsia="zh-CN"/>
        </w:rPr>
        <w:t>3.3环境监理要点</w:t>
      </w:r>
      <w:r>
        <w:rPr>
          <w:color w:val="auto"/>
        </w:rPr>
        <w:tab/>
      </w:r>
      <w:r>
        <w:rPr>
          <w:color w:val="auto"/>
        </w:rPr>
        <w:fldChar w:fldCharType="begin"/>
      </w:r>
      <w:r>
        <w:rPr>
          <w:color w:val="auto"/>
        </w:rPr>
        <w:instrText xml:space="preserve"> PAGEREF _Toc29634 \h </w:instrText>
      </w:r>
      <w:r>
        <w:rPr>
          <w:color w:val="auto"/>
        </w:rPr>
        <w:fldChar w:fldCharType="separate"/>
      </w:r>
      <w:r>
        <w:rPr>
          <w:color w:val="auto"/>
        </w:rPr>
        <w:t>272</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_Toc24115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0</w:t>
      </w:r>
      <w:r>
        <w:rPr>
          <w:rFonts w:ascii="Times New Roman" w:hAnsi="Times New Roman"/>
          <w:color w:val="auto"/>
          <w:szCs w:val="32"/>
        </w:rPr>
        <w:t>.</w:t>
      </w:r>
      <w:r>
        <w:rPr>
          <w:rFonts w:hint="eastAsia" w:ascii="Times New Roman" w:hAnsi="Times New Roman"/>
          <w:color w:val="auto"/>
          <w:szCs w:val="32"/>
          <w:lang w:val="en-US" w:eastAsia="zh-CN"/>
        </w:rPr>
        <w:t>4环境保护规章制度</w:t>
      </w:r>
      <w:r>
        <w:rPr>
          <w:color w:val="auto"/>
        </w:rPr>
        <w:tab/>
      </w:r>
      <w:r>
        <w:rPr>
          <w:color w:val="auto"/>
        </w:rPr>
        <w:fldChar w:fldCharType="begin"/>
      </w:r>
      <w:r>
        <w:rPr>
          <w:color w:val="auto"/>
        </w:rPr>
        <w:instrText xml:space="preserve"> PAGEREF _Toc24115 \h </w:instrText>
      </w:r>
      <w:r>
        <w:rPr>
          <w:color w:val="auto"/>
        </w:rPr>
        <w:fldChar w:fldCharType="separate"/>
      </w:r>
      <w:r>
        <w:rPr>
          <w:color w:val="auto"/>
        </w:rPr>
        <w:t>272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_Toc24278 </w:instrText>
      </w:r>
      <w:r>
        <w:rPr>
          <w:color w:val="auto"/>
          <w:szCs w:val="24"/>
        </w:rPr>
        <w:fldChar w:fldCharType="separate"/>
      </w:r>
      <w:r>
        <w:rPr>
          <w:rFonts w:eastAsia="黑体"/>
          <w:color w:val="auto"/>
        </w:rPr>
        <w:t>1</w:t>
      </w:r>
      <w:r>
        <w:rPr>
          <w:rFonts w:hint="eastAsia" w:eastAsia="黑体"/>
          <w:color w:val="auto"/>
          <w:lang w:val="en-US" w:eastAsia="zh-CN"/>
        </w:rPr>
        <w:t>0</w:t>
      </w:r>
      <w:r>
        <w:rPr>
          <w:rFonts w:eastAsia="黑体"/>
          <w:color w:val="auto"/>
        </w:rPr>
        <w:t>.</w:t>
      </w:r>
      <w:r>
        <w:rPr>
          <w:rFonts w:hint="eastAsia" w:eastAsia="黑体"/>
          <w:color w:val="auto"/>
          <w:lang w:val="en-US" w:eastAsia="zh-CN"/>
        </w:rPr>
        <w:t>4.1环境管理机构</w:t>
      </w:r>
      <w:r>
        <w:rPr>
          <w:color w:val="auto"/>
        </w:rPr>
        <w:tab/>
      </w:r>
      <w:r>
        <w:rPr>
          <w:color w:val="auto"/>
        </w:rPr>
        <w:fldChar w:fldCharType="begin"/>
      </w:r>
      <w:r>
        <w:rPr>
          <w:color w:val="auto"/>
        </w:rPr>
        <w:instrText xml:space="preserve"> PAGEREF _Toc24278 \h </w:instrText>
      </w:r>
      <w:r>
        <w:rPr>
          <w:color w:val="auto"/>
        </w:rPr>
        <w:fldChar w:fldCharType="separate"/>
      </w:r>
      <w:r>
        <w:rPr>
          <w:color w:val="auto"/>
        </w:rPr>
        <w:t>272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_Toc11255 </w:instrText>
      </w:r>
      <w:r>
        <w:rPr>
          <w:color w:val="auto"/>
          <w:szCs w:val="24"/>
        </w:rPr>
        <w:fldChar w:fldCharType="separate"/>
      </w:r>
      <w:r>
        <w:rPr>
          <w:rFonts w:hint="eastAsia" w:eastAsia="黑体"/>
          <w:color w:val="auto"/>
          <w:lang w:val="en-US" w:eastAsia="zh-CN"/>
        </w:rPr>
        <w:t>10</w:t>
      </w:r>
      <w:r>
        <w:rPr>
          <w:rFonts w:eastAsia="黑体"/>
          <w:color w:val="auto"/>
        </w:rPr>
        <w:t>.</w:t>
      </w:r>
      <w:r>
        <w:rPr>
          <w:rFonts w:hint="eastAsia" w:eastAsia="黑体"/>
          <w:color w:val="auto"/>
          <w:lang w:val="en-US" w:eastAsia="zh-CN"/>
        </w:rPr>
        <w:t>4.2环境管理职责</w:t>
      </w:r>
      <w:r>
        <w:rPr>
          <w:color w:val="auto"/>
        </w:rPr>
        <w:tab/>
      </w:r>
      <w:r>
        <w:rPr>
          <w:color w:val="auto"/>
        </w:rPr>
        <w:fldChar w:fldCharType="begin"/>
      </w:r>
      <w:r>
        <w:rPr>
          <w:color w:val="auto"/>
        </w:rPr>
        <w:instrText xml:space="preserve"> PAGEREF _Toc11255 \h </w:instrText>
      </w:r>
      <w:r>
        <w:rPr>
          <w:color w:val="auto"/>
        </w:rPr>
        <w:fldChar w:fldCharType="separate"/>
      </w:r>
      <w:r>
        <w:rPr>
          <w:color w:val="auto"/>
        </w:rPr>
        <w:t>273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_Toc27299 </w:instrText>
      </w:r>
      <w:r>
        <w:rPr>
          <w:color w:val="auto"/>
          <w:szCs w:val="24"/>
        </w:rPr>
        <w:fldChar w:fldCharType="separate"/>
      </w:r>
      <w:r>
        <w:rPr>
          <w:rFonts w:eastAsia="黑体"/>
          <w:color w:val="auto"/>
        </w:rPr>
        <w:t>1</w:t>
      </w:r>
      <w:r>
        <w:rPr>
          <w:rFonts w:hint="eastAsia" w:eastAsia="黑体"/>
          <w:color w:val="auto"/>
          <w:lang w:val="en-US" w:eastAsia="zh-CN"/>
        </w:rPr>
        <w:t>0.4.3环境管理措施</w:t>
      </w:r>
      <w:r>
        <w:rPr>
          <w:color w:val="auto"/>
        </w:rPr>
        <w:tab/>
      </w:r>
      <w:r>
        <w:rPr>
          <w:color w:val="auto"/>
        </w:rPr>
        <w:fldChar w:fldCharType="begin"/>
      </w:r>
      <w:r>
        <w:rPr>
          <w:color w:val="auto"/>
        </w:rPr>
        <w:instrText xml:space="preserve"> PAGEREF _Toc27299 \h </w:instrText>
      </w:r>
      <w:r>
        <w:rPr>
          <w:color w:val="auto"/>
        </w:rPr>
        <w:fldChar w:fldCharType="separate"/>
      </w:r>
      <w:r>
        <w:rPr>
          <w:color w:val="auto"/>
        </w:rPr>
        <w:t>273</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_Toc17124 </w:instrText>
      </w:r>
      <w:r>
        <w:rPr>
          <w:color w:val="auto"/>
          <w:szCs w:val="24"/>
        </w:rPr>
        <w:fldChar w:fldCharType="separate"/>
      </w:r>
      <w:r>
        <w:rPr>
          <w:rFonts w:hint="eastAsia" w:ascii="Times New Roman" w:hAnsi="Times New Roman"/>
          <w:color w:val="auto"/>
          <w:szCs w:val="32"/>
          <w:lang w:val="en-US" w:eastAsia="zh-CN"/>
        </w:rPr>
        <w:t>10.5</w:t>
      </w:r>
      <w:r>
        <w:rPr>
          <w:rFonts w:hint="eastAsia" w:ascii="Times New Roman" w:hAnsi="Times New Roman"/>
          <w:color w:val="auto"/>
          <w:szCs w:val="32"/>
        </w:rPr>
        <w:t>排污许可及污染物排放清单</w:t>
      </w:r>
      <w:r>
        <w:rPr>
          <w:color w:val="auto"/>
        </w:rPr>
        <w:tab/>
      </w:r>
      <w:r>
        <w:rPr>
          <w:color w:val="auto"/>
        </w:rPr>
        <w:fldChar w:fldCharType="begin"/>
      </w:r>
      <w:r>
        <w:rPr>
          <w:color w:val="auto"/>
        </w:rPr>
        <w:instrText xml:space="preserve"> PAGEREF _Toc17124 \h </w:instrText>
      </w:r>
      <w:r>
        <w:rPr>
          <w:color w:val="auto"/>
        </w:rPr>
        <w:fldChar w:fldCharType="separate"/>
      </w:r>
      <w:r>
        <w:rPr>
          <w:color w:val="auto"/>
        </w:rPr>
        <w:t>273</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_Toc10759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0</w:t>
      </w:r>
      <w:r>
        <w:rPr>
          <w:rFonts w:ascii="Times New Roman" w:hAnsi="Times New Roman"/>
          <w:color w:val="auto"/>
          <w:szCs w:val="32"/>
        </w:rPr>
        <w:t>.</w:t>
      </w:r>
      <w:r>
        <w:rPr>
          <w:rFonts w:hint="eastAsia" w:ascii="Times New Roman" w:hAnsi="Times New Roman"/>
          <w:color w:val="auto"/>
          <w:szCs w:val="32"/>
          <w:lang w:val="en-US" w:eastAsia="zh-CN"/>
        </w:rPr>
        <w:t>6</w:t>
      </w:r>
      <w:r>
        <w:rPr>
          <w:rFonts w:ascii="Times New Roman" w:hAnsi="Times New Roman"/>
          <w:color w:val="auto"/>
          <w:szCs w:val="32"/>
        </w:rPr>
        <w:t>环保</w:t>
      </w:r>
      <w:r>
        <w:rPr>
          <w:rFonts w:hint="eastAsia" w:ascii="Times New Roman" w:hAnsi="Times New Roman"/>
          <w:color w:val="auto"/>
          <w:szCs w:val="32"/>
          <w:lang w:val="en-US" w:eastAsia="zh-CN"/>
        </w:rPr>
        <w:t>措施及</w:t>
      </w:r>
      <w:r>
        <w:rPr>
          <w:rFonts w:ascii="Times New Roman" w:hAnsi="Times New Roman"/>
          <w:color w:val="auto"/>
          <w:szCs w:val="32"/>
        </w:rPr>
        <w:t>验收“三同时”验收清单</w:t>
      </w:r>
      <w:r>
        <w:rPr>
          <w:color w:val="auto"/>
        </w:rPr>
        <w:tab/>
      </w:r>
      <w:r>
        <w:rPr>
          <w:color w:val="auto"/>
        </w:rPr>
        <w:fldChar w:fldCharType="begin"/>
      </w:r>
      <w:r>
        <w:rPr>
          <w:color w:val="auto"/>
        </w:rPr>
        <w:instrText xml:space="preserve"> PAGEREF _Toc10759 \h </w:instrText>
      </w:r>
      <w:r>
        <w:rPr>
          <w:color w:val="auto"/>
        </w:rPr>
        <w:fldChar w:fldCharType="separate"/>
      </w:r>
      <w:r>
        <w:rPr>
          <w:color w:val="auto"/>
        </w:rPr>
        <w:t>275</w:t>
      </w:r>
      <w:r>
        <w:rPr>
          <w:color w:val="auto"/>
        </w:rPr>
        <w:fldChar w:fldCharType="end"/>
      </w:r>
      <w:r>
        <w:rPr>
          <w:color w:val="auto"/>
          <w:szCs w:val="24"/>
        </w:rPr>
        <w:fldChar w:fldCharType="end"/>
      </w:r>
    </w:p>
    <w:p>
      <w:pPr>
        <w:pStyle w:val="65"/>
        <w:tabs>
          <w:tab w:val="right" w:leader="dot" w:pos="8300"/>
          <w:tab w:val="clear" w:pos="8296"/>
        </w:tabs>
        <w:rPr>
          <w:color w:val="auto"/>
        </w:rPr>
      </w:pPr>
      <w:r>
        <w:rPr>
          <w:color w:val="auto"/>
          <w:szCs w:val="24"/>
        </w:rPr>
        <w:fldChar w:fldCharType="begin"/>
      </w:r>
      <w:r>
        <w:rPr>
          <w:color w:val="auto"/>
          <w:szCs w:val="24"/>
        </w:rPr>
        <w:instrText xml:space="preserve"> HYPERLINK \l _Toc24284 </w:instrText>
      </w:r>
      <w:r>
        <w:rPr>
          <w:color w:val="auto"/>
          <w:szCs w:val="24"/>
        </w:rPr>
        <w:fldChar w:fldCharType="separate"/>
      </w:r>
      <w:r>
        <w:rPr>
          <w:rFonts w:hint="eastAsia" w:eastAsia="黑体"/>
          <w:color w:val="auto"/>
          <w:szCs w:val="44"/>
          <w:lang w:val="en-US" w:eastAsia="zh-CN"/>
        </w:rPr>
        <w:t>11环境影响评价</w:t>
      </w:r>
      <w:r>
        <w:rPr>
          <w:rFonts w:eastAsia="黑体"/>
          <w:color w:val="auto"/>
          <w:szCs w:val="44"/>
        </w:rPr>
        <w:t>结论</w:t>
      </w:r>
      <w:r>
        <w:rPr>
          <w:color w:val="auto"/>
        </w:rPr>
        <w:tab/>
      </w:r>
      <w:r>
        <w:rPr>
          <w:color w:val="auto"/>
        </w:rPr>
        <w:fldChar w:fldCharType="begin"/>
      </w:r>
      <w:r>
        <w:rPr>
          <w:color w:val="auto"/>
        </w:rPr>
        <w:instrText xml:space="preserve"> PAGEREF _Toc24284 \h </w:instrText>
      </w:r>
      <w:r>
        <w:rPr>
          <w:color w:val="auto"/>
        </w:rPr>
        <w:fldChar w:fldCharType="separate"/>
      </w:r>
      <w:r>
        <w:rPr>
          <w:color w:val="auto"/>
        </w:rPr>
        <w:t>278</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_Toc5071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.1基本情况</w:t>
      </w:r>
      <w:r>
        <w:rPr>
          <w:color w:val="auto"/>
        </w:rPr>
        <w:tab/>
      </w:r>
      <w:r>
        <w:rPr>
          <w:color w:val="auto"/>
        </w:rPr>
        <w:fldChar w:fldCharType="begin"/>
      </w:r>
      <w:r>
        <w:rPr>
          <w:color w:val="auto"/>
        </w:rPr>
        <w:instrText xml:space="preserve"> PAGEREF _Toc5071 \h </w:instrText>
      </w:r>
      <w:r>
        <w:rPr>
          <w:color w:val="auto"/>
        </w:rPr>
        <w:fldChar w:fldCharType="separate"/>
      </w:r>
      <w:r>
        <w:rPr>
          <w:color w:val="auto"/>
        </w:rPr>
        <w:t>278</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_Toc1037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.2项目建设环境可行性</w:t>
      </w:r>
      <w:r>
        <w:rPr>
          <w:color w:val="auto"/>
        </w:rPr>
        <w:tab/>
      </w:r>
      <w:r>
        <w:rPr>
          <w:color w:val="auto"/>
        </w:rPr>
        <w:fldChar w:fldCharType="begin"/>
      </w:r>
      <w:r>
        <w:rPr>
          <w:color w:val="auto"/>
        </w:rPr>
        <w:instrText xml:space="preserve"> PAGEREF _Toc1037 \h </w:instrText>
      </w:r>
      <w:r>
        <w:rPr>
          <w:color w:val="auto"/>
        </w:rPr>
        <w:fldChar w:fldCharType="separate"/>
      </w:r>
      <w:r>
        <w:rPr>
          <w:color w:val="auto"/>
        </w:rPr>
        <w:t>278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_Toc10692 </w:instrText>
      </w:r>
      <w:r>
        <w:rPr>
          <w:color w:val="auto"/>
          <w:szCs w:val="24"/>
        </w:rPr>
        <w:fldChar w:fldCharType="separate"/>
      </w:r>
      <w:r>
        <w:rPr>
          <w:rFonts w:eastAsia="黑体"/>
          <w:color w:val="auto"/>
        </w:rPr>
        <w:t>1</w:t>
      </w:r>
      <w:r>
        <w:rPr>
          <w:rFonts w:hint="eastAsia" w:eastAsia="黑体"/>
          <w:color w:val="auto"/>
          <w:lang w:val="en-US" w:eastAsia="zh-CN"/>
        </w:rPr>
        <w:t>1</w:t>
      </w:r>
      <w:r>
        <w:rPr>
          <w:rFonts w:eastAsia="黑体"/>
          <w:color w:val="auto"/>
        </w:rPr>
        <w:t>.2.1建设项目产业政策相符性</w:t>
      </w:r>
      <w:r>
        <w:rPr>
          <w:color w:val="auto"/>
        </w:rPr>
        <w:tab/>
      </w:r>
      <w:r>
        <w:rPr>
          <w:color w:val="auto"/>
        </w:rPr>
        <w:fldChar w:fldCharType="begin"/>
      </w:r>
      <w:r>
        <w:rPr>
          <w:color w:val="auto"/>
        </w:rPr>
        <w:instrText xml:space="preserve"> PAGEREF _Toc10692 \h </w:instrText>
      </w:r>
      <w:r>
        <w:rPr>
          <w:color w:val="auto"/>
        </w:rPr>
        <w:fldChar w:fldCharType="separate"/>
      </w:r>
      <w:r>
        <w:rPr>
          <w:color w:val="auto"/>
        </w:rPr>
        <w:t>278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_Toc10811 </w:instrText>
      </w:r>
      <w:r>
        <w:rPr>
          <w:color w:val="auto"/>
          <w:szCs w:val="24"/>
        </w:rPr>
        <w:fldChar w:fldCharType="separate"/>
      </w:r>
      <w:r>
        <w:rPr>
          <w:rFonts w:eastAsia="黑体"/>
          <w:color w:val="auto"/>
        </w:rPr>
        <w:t>1</w:t>
      </w:r>
      <w:r>
        <w:rPr>
          <w:rFonts w:hint="eastAsia" w:eastAsia="黑体"/>
          <w:color w:val="auto"/>
          <w:lang w:val="en-US" w:eastAsia="zh-CN"/>
        </w:rPr>
        <w:t>1</w:t>
      </w:r>
      <w:r>
        <w:rPr>
          <w:rFonts w:eastAsia="黑体"/>
          <w:color w:val="auto"/>
        </w:rPr>
        <w:t>.2.2建设地点规划相符性</w:t>
      </w:r>
      <w:r>
        <w:rPr>
          <w:color w:val="auto"/>
        </w:rPr>
        <w:tab/>
      </w:r>
      <w:r>
        <w:rPr>
          <w:color w:val="auto"/>
        </w:rPr>
        <w:fldChar w:fldCharType="begin"/>
      </w:r>
      <w:r>
        <w:rPr>
          <w:color w:val="auto"/>
        </w:rPr>
        <w:instrText xml:space="preserve"> PAGEREF _Toc10811 \h </w:instrText>
      </w:r>
      <w:r>
        <w:rPr>
          <w:color w:val="auto"/>
        </w:rPr>
        <w:fldChar w:fldCharType="separate"/>
      </w:r>
      <w:r>
        <w:rPr>
          <w:color w:val="auto"/>
        </w:rPr>
        <w:t>278</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_Toc5419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.3环境质量现状</w:t>
      </w:r>
      <w:r>
        <w:rPr>
          <w:color w:val="auto"/>
        </w:rPr>
        <w:tab/>
      </w:r>
      <w:r>
        <w:rPr>
          <w:color w:val="auto"/>
        </w:rPr>
        <w:fldChar w:fldCharType="begin"/>
      </w:r>
      <w:r>
        <w:rPr>
          <w:color w:val="auto"/>
        </w:rPr>
        <w:instrText xml:space="preserve"> PAGEREF _Toc5419 \h </w:instrText>
      </w:r>
      <w:r>
        <w:rPr>
          <w:color w:val="auto"/>
        </w:rPr>
        <w:fldChar w:fldCharType="separate"/>
      </w:r>
      <w:r>
        <w:rPr>
          <w:color w:val="auto"/>
        </w:rPr>
        <w:t>279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_Toc3023 </w:instrText>
      </w:r>
      <w:r>
        <w:rPr>
          <w:color w:val="auto"/>
          <w:szCs w:val="24"/>
        </w:rPr>
        <w:fldChar w:fldCharType="separate"/>
      </w:r>
      <w:r>
        <w:rPr>
          <w:rFonts w:hint="eastAsia" w:eastAsia="黑体"/>
          <w:color w:val="auto"/>
          <w:lang w:val="en-US" w:eastAsia="zh-CN"/>
        </w:rPr>
        <w:t>11.3.1大气环境质量现状</w:t>
      </w:r>
      <w:r>
        <w:rPr>
          <w:color w:val="auto"/>
        </w:rPr>
        <w:tab/>
      </w:r>
      <w:r>
        <w:rPr>
          <w:color w:val="auto"/>
        </w:rPr>
        <w:fldChar w:fldCharType="begin"/>
      </w:r>
      <w:r>
        <w:rPr>
          <w:color w:val="auto"/>
        </w:rPr>
        <w:instrText xml:space="preserve"> PAGEREF _Toc3023 \h </w:instrText>
      </w:r>
      <w:r>
        <w:rPr>
          <w:color w:val="auto"/>
        </w:rPr>
        <w:fldChar w:fldCharType="separate"/>
      </w:r>
      <w:r>
        <w:rPr>
          <w:color w:val="auto"/>
        </w:rPr>
        <w:t>279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_Toc19513 </w:instrText>
      </w:r>
      <w:r>
        <w:rPr>
          <w:color w:val="auto"/>
          <w:szCs w:val="24"/>
        </w:rPr>
        <w:fldChar w:fldCharType="separate"/>
      </w:r>
      <w:r>
        <w:rPr>
          <w:rFonts w:hint="eastAsia" w:eastAsia="黑体"/>
          <w:color w:val="auto"/>
          <w:lang w:val="en-US" w:eastAsia="zh-CN"/>
        </w:rPr>
        <w:t>11.3.2地表水环境质量现状</w:t>
      </w:r>
      <w:r>
        <w:rPr>
          <w:color w:val="auto"/>
        </w:rPr>
        <w:tab/>
      </w:r>
      <w:r>
        <w:rPr>
          <w:color w:val="auto"/>
        </w:rPr>
        <w:fldChar w:fldCharType="begin"/>
      </w:r>
      <w:r>
        <w:rPr>
          <w:color w:val="auto"/>
        </w:rPr>
        <w:instrText xml:space="preserve"> PAGEREF _Toc19513 \h </w:instrText>
      </w:r>
      <w:r>
        <w:rPr>
          <w:color w:val="auto"/>
        </w:rPr>
        <w:fldChar w:fldCharType="separate"/>
      </w:r>
      <w:r>
        <w:rPr>
          <w:color w:val="auto"/>
        </w:rPr>
        <w:t>279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_Toc32229 </w:instrText>
      </w:r>
      <w:r>
        <w:rPr>
          <w:color w:val="auto"/>
          <w:szCs w:val="24"/>
        </w:rPr>
        <w:fldChar w:fldCharType="separate"/>
      </w:r>
      <w:r>
        <w:rPr>
          <w:rFonts w:hint="eastAsia" w:eastAsia="黑体"/>
          <w:color w:val="auto"/>
          <w:lang w:val="en-US" w:eastAsia="zh-CN"/>
        </w:rPr>
        <w:t>11.3.3声环境质量现状</w:t>
      </w:r>
      <w:r>
        <w:rPr>
          <w:color w:val="auto"/>
        </w:rPr>
        <w:tab/>
      </w:r>
      <w:r>
        <w:rPr>
          <w:color w:val="auto"/>
        </w:rPr>
        <w:fldChar w:fldCharType="begin"/>
      </w:r>
      <w:r>
        <w:rPr>
          <w:color w:val="auto"/>
        </w:rPr>
        <w:instrText xml:space="preserve"> PAGEREF _Toc32229 \h </w:instrText>
      </w:r>
      <w:r>
        <w:rPr>
          <w:color w:val="auto"/>
        </w:rPr>
        <w:fldChar w:fldCharType="separate"/>
      </w:r>
      <w:r>
        <w:rPr>
          <w:color w:val="auto"/>
        </w:rPr>
        <w:t>279</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_Toc12371 </w:instrText>
      </w:r>
      <w:r>
        <w:rPr>
          <w:color w:val="auto"/>
          <w:szCs w:val="24"/>
        </w:rPr>
        <w:fldChar w:fldCharType="separate"/>
      </w:r>
      <w:r>
        <w:rPr>
          <w:rFonts w:hint="eastAsia" w:eastAsia="黑体"/>
          <w:color w:val="auto"/>
          <w:lang w:val="en-US" w:eastAsia="zh-CN"/>
        </w:rPr>
        <w:t>11.3.4生态环境境质量现状</w:t>
      </w:r>
      <w:r>
        <w:rPr>
          <w:color w:val="auto"/>
        </w:rPr>
        <w:tab/>
      </w:r>
      <w:r>
        <w:rPr>
          <w:color w:val="auto"/>
        </w:rPr>
        <w:fldChar w:fldCharType="begin"/>
      </w:r>
      <w:r>
        <w:rPr>
          <w:color w:val="auto"/>
        </w:rPr>
        <w:instrText xml:space="preserve"> PAGEREF _Toc12371 \h </w:instrText>
      </w:r>
      <w:r>
        <w:rPr>
          <w:color w:val="auto"/>
        </w:rPr>
        <w:fldChar w:fldCharType="separate"/>
      </w:r>
      <w:r>
        <w:rPr>
          <w:color w:val="auto"/>
        </w:rPr>
        <w:t>279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_Toc8741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.4</w:t>
      </w:r>
      <w:r>
        <w:rPr>
          <w:rFonts w:hint="eastAsia" w:ascii="Times New Roman" w:hAnsi="Times New Roman"/>
          <w:color w:val="auto"/>
          <w:szCs w:val="32"/>
          <w:lang w:val="en-US" w:eastAsia="zh-CN"/>
        </w:rPr>
        <w:t>环境影响评价结论及环保措施</w:t>
      </w:r>
      <w:r>
        <w:rPr>
          <w:color w:val="auto"/>
        </w:rPr>
        <w:tab/>
      </w:r>
      <w:r>
        <w:rPr>
          <w:color w:val="auto"/>
        </w:rPr>
        <w:fldChar w:fldCharType="begin"/>
      </w:r>
      <w:r>
        <w:rPr>
          <w:color w:val="auto"/>
        </w:rPr>
        <w:instrText xml:space="preserve"> PAGEREF _Toc8741 \h </w:instrText>
      </w:r>
      <w:r>
        <w:rPr>
          <w:color w:val="auto"/>
        </w:rPr>
        <w:fldChar w:fldCharType="separate"/>
      </w:r>
      <w:r>
        <w:rPr>
          <w:color w:val="auto"/>
        </w:rPr>
        <w:t>280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_Toc21259 </w:instrText>
      </w:r>
      <w:r>
        <w:rPr>
          <w:color w:val="auto"/>
          <w:szCs w:val="24"/>
        </w:rPr>
        <w:fldChar w:fldCharType="separate"/>
      </w:r>
      <w:r>
        <w:rPr>
          <w:rFonts w:hint="eastAsia" w:eastAsia="黑体"/>
          <w:color w:val="auto"/>
          <w:lang w:val="en-US" w:eastAsia="zh-CN"/>
        </w:rPr>
        <w:t>11.4.1地表水环境影响评价及环保措施</w:t>
      </w:r>
      <w:r>
        <w:rPr>
          <w:color w:val="auto"/>
        </w:rPr>
        <w:tab/>
      </w:r>
      <w:r>
        <w:rPr>
          <w:color w:val="auto"/>
        </w:rPr>
        <w:fldChar w:fldCharType="begin"/>
      </w:r>
      <w:r>
        <w:rPr>
          <w:color w:val="auto"/>
        </w:rPr>
        <w:instrText xml:space="preserve"> PAGEREF _Toc21259 \h </w:instrText>
      </w:r>
      <w:r>
        <w:rPr>
          <w:color w:val="auto"/>
        </w:rPr>
        <w:fldChar w:fldCharType="separate"/>
      </w:r>
      <w:r>
        <w:rPr>
          <w:color w:val="auto"/>
        </w:rPr>
        <w:t>280</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_Toc2108 </w:instrText>
      </w:r>
      <w:r>
        <w:rPr>
          <w:color w:val="auto"/>
          <w:szCs w:val="24"/>
        </w:rPr>
        <w:fldChar w:fldCharType="separate"/>
      </w:r>
      <w:r>
        <w:rPr>
          <w:rFonts w:hint="eastAsia" w:eastAsia="黑体"/>
          <w:color w:val="auto"/>
          <w:lang w:val="en-US" w:eastAsia="zh-CN"/>
        </w:rPr>
        <w:t>11.4.2大气环境影响评价及环保措施</w:t>
      </w:r>
      <w:r>
        <w:rPr>
          <w:color w:val="auto"/>
        </w:rPr>
        <w:tab/>
      </w:r>
      <w:r>
        <w:rPr>
          <w:color w:val="auto"/>
        </w:rPr>
        <w:fldChar w:fldCharType="begin"/>
      </w:r>
      <w:r>
        <w:rPr>
          <w:color w:val="auto"/>
        </w:rPr>
        <w:instrText xml:space="preserve"> PAGEREF _Toc2108 \h </w:instrText>
      </w:r>
      <w:r>
        <w:rPr>
          <w:color w:val="auto"/>
        </w:rPr>
        <w:fldChar w:fldCharType="separate"/>
      </w:r>
      <w:r>
        <w:rPr>
          <w:color w:val="auto"/>
        </w:rPr>
        <w:t>282</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_Toc16434 </w:instrText>
      </w:r>
      <w:r>
        <w:rPr>
          <w:color w:val="auto"/>
          <w:szCs w:val="24"/>
        </w:rPr>
        <w:fldChar w:fldCharType="separate"/>
      </w:r>
      <w:r>
        <w:rPr>
          <w:rFonts w:hint="eastAsia" w:eastAsia="黑体"/>
          <w:color w:val="auto"/>
          <w:lang w:val="en-US" w:eastAsia="zh-CN"/>
        </w:rPr>
        <w:t>11.4.3声环境影响评价及环保措施</w:t>
      </w:r>
      <w:r>
        <w:rPr>
          <w:color w:val="auto"/>
        </w:rPr>
        <w:tab/>
      </w:r>
      <w:r>
        <w:rPr>
          <w:color w:val="auto"/>
        </w:rPr>
        <w:fldChar w:fldCharType="begin"/>
      </w:r>
      <w:r>
        <w:rPr>
          <w:color w:val="auto"/>
        </w:rPr>
        <w:instrText xml:space="preserve"> PAGEREF _Toc16434 \h </w:instrText>
      </w:r>
      <w:r>
        <w:rPr>
          <w:color w:val="auto"/>
        </w:rPr>
        <w:fldChar w:fldCharType="separate"/>
      </w:r>
      <w:r>
        <w:rPr>
          <w:color w:val="auto"/>
        </w:rPr>
        <w:t>283</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_Toc17442 </w:instrText>
      </w:r>
      <w:r>
        <w:rPr>
          <w:color w:val="auto"/>
          <w:szCs w:val="24"/>
        </w:rPr>
        <w:fldChar w:fldCharType="separate"/>
      </w:r>
      <w:r>
        <w:rPr>
          <w:rFonts w:hint="eastAsia" w:eastAsia="黑体"/>
          <w:color w:val="auto"/>
          <w:lang w:val="en-US" w:eastAsia="zh-CN"/>
        </w:rPr>
        <w:t>11.2.4生态环境影响评价及环保措施</w:t>
      </w:r>
      <w:r>
        <w:rPr>
          <w:color w:val="auto"/>
        </w:rPr>
        <w:tab/>
      </w:r>
      <w:r>
        <w:rPr>
          <w:color w:val="auto"/>
        </w:rPr>
        <w:fldChar w:fldCharType="begin"/>
      </w:r>
      <w:r>
        <w:rPr>
          <w:color w:val="auto"/>
        </w:rPr>
        <w:instrText xml:space="preserve"> PAGEREF _Toc17442 \h </w:instrText>
      </w:r>
      <w:r>
        <w:rPr>
          <w:color w:val="auto"/>
        </w:rPr>
        <w:fldChar w:fldCharType="separate"/>
      </w:r>
      <w:r>
        <w:rPr>
          <w:color w:val="auto"/>
        </w:rPr>
        <w:t>284</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_Toc23946 </w:instrText>
      </w:r>
      <w:r>
        <w:rPr>
          <w:color w:val="auto"/>
          <w:szCs w:val="24"/>
        </w:rPr>
        <w:fldChar w:fldCharType="separate"/>
      </w:r>
      <w:r>
        <w:rPr>
          <w:rFonts w:hint="eastAsia" w:eastAsia="黑体"/>
          <w:color w:val="auto"/>
          <w:lang w:val="en-US" w:eastAsia="zh-CN"/>
        </w:rPr>
        <w:t>11.4.5固体废物影响评价及环保措施</w:t>
      </w:r>
      <w:r>
        <w:rPr>
          <w:color w:val="auto"/>
        </w:rPr>
        <w:tab/>
      </w:r>
      <w:r>
        <w:rPr>
          <w:color w:val="auto"/>
        </w:rPr>
        <w:fldChar w:fldCharType="begin"/>
      </w:r>
      <w:r>
        <w:rPr>
          <w:color w:val="auto"/>
        </w:rPr>
        <w:instrText xml:space="preserve"> PAGEREF _Toc23946 \h </w:instrText>
      </w:r>
      <w:r>
        <w:rPr>
          <w:color w:val="auto"/>
        </w:rPr>
        <w:fldChar w:fldCharType="separate"/>
      </w:r>
      <w:r>
        <w:rPr>
          <w:color w:val="auto"/>
        </w:rPr>
        <w:t>288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_Toc26519 </w:instrText>
      </w:r>
      <w:r>
        <w:rPr>
          <w:color w:val="auto"/>
          <w:szCs w:val="24"/>
        </w:rPr>
        <w:fldChar w:fldCharType="separate"/>
      </w:r>
      <w:r>
        <w:rPr>
          <w:rFonts w:hint="eastAsia" w:eastAsia="黑体"/>
          <w:color w:val="auto"/>
          <w:lang w:val="en-US" w:eastAsia="zh-CN"/>
        </w:rPr>
        <w:t>11.4.6事故风险影响评价</w:t>
      </w:r>
      <w:r>
        <w:rPr>
          <w:color w:val="auto"/>
        </w:rPr>
        <w:tab/>
      </w:r>
      <w:r>
        <w:rPr>
          <w:color w:val="auto"/>
        </w:rPr>
        <w:fldChar w:fldCharType="begin"/>
      </w:r>
      <w:r>
        <w:rPr>
          <w:color w:val="auto"/>
        </w:rPr>
        <w:instrText xml:space="preserve"> PAGEREF _Toc26519 \h </w:instrText>
      </w:r>
      <w:r>
        <w:rPr>
          <w:color w:val="auto"/>
        </w:rPr>
        <w:fldChar w:fldCharType="separate"/>
      </w:r>
      <w:r>
        <w:rPr>
          <w:color w:val="auto"/>
        </w:rPr>
        <w:t>288</w:t>
      </w:r>
      <w:r>
        <w:rPr>
          <w:color w:val="auto"/>
        </w:rPr>
        <w:fldChar w:fldCharType="end"/>
      </w:r>
      <w:r>
        <w:rPr>
          <w:color w:val="auto"/>
          <w:szCs w:val="24"/>
        </w:rPr>
        <w:fldChar w:fldCharType="end"/>
      </w:r>
    </w:p>
    <w:p>
      <w:pPr>
        <w:pStyle w:val="52"/>
        <w:tabs>
          <w:tab w:val="right" w:leader="dot" w:pos="8300"/>
        </w:tabs>
        <w:rPr>
          <w:color w:val="auto"/>
        </w:rPr>
      </w:pPr>
      <w:r>
        <w:rPr>
          <w:color w:val="auto"/>
          <w:szCs w:val="24"/>
        </w:rPr>
        <w:fldChar w:fldCharType="begin"/>
      </w:r>
      <w:r>
        <w:rPr>
          <w:color w:val="auto"/>
          <w:szCs w:val="24"/>
        </w:rPr>
        <w:instrText xml:space="preserve"> HYPERLINK \l _Toc13520 </w:instrText>
      </w:r>
      <w:r>
        <w:rPr>
          <w:color w:val="auto"/>
          <w:szCs w:val="24"/>
        </w:rPr>
        <w:fldChar w:fldCharType="separate"/>
      </w:r>
      <w:r>
        <w:rPr>
          <w:rFonts w:hint="eastAsia" w:eastAsia="黑体"/>
          <w:color w:val="auto"/>
          <w:lang w:val="en-US" w:eastAsia="zh-CN"/>
        </w:rPr>
        <w:t>11.4.7非正常排放防范措施建议</w:t>
      </w:r>
      <w:r>
        <w:rPr>
          <w:color w:val="auto"/>
        </w:rPr>
        <w:tab/>
      </w:r>
      <w:r>
        <w:rPr>
          <w:color w:val="auto"/>
        </w:rPr>
        <w:fldChar w:fldCharType="begin"/>
      </w:r>
      <w:r>
        <w:rPr>
          <w:color w:val="auto"/>
        </w:rPr>
        <w:instrText xml:space="preserve"> PAGEREF _Toc13520 \h </w:instrText>
      </w:r>
      <w:r>
        <w:rPr>
          <w:color w:val="auto"/>
        </w:rPr>
        <w:fldChar w:fldCharType="separate"/>
      </w:r>
      <w:r>
        <w:rPr>
          <w:color w:val="auto"/>
        </w:rPr>
        <w:t>289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_Toc122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w:t>
      </w:r>
      <w:r>
        <w:rPr>
          <w:rFonts w:hint="eastAsia" w:ascii="Times New Roman" w:hAnsi="Times New Roman"/>
          <w:color w:val="auto"/>
          <w:szCs w:val="32"/>
          <w:lang w:val="en-US" w:eastAsia="zh-CN"/>
        </w:rPr>
        <w:t>5</w:t>
      </w:r>
      <w:r>
        <w:rPr>
          <w:rFonts w:ascii="Times New Roman" w:hAnsi="Times New Roman"/>
          <w:color w:val="auto"/>
          <w:szCs w:val="32"/>
        </w:rPr>
        <w:t>环境风险评价</w:t>
      </w:r>
      <w:r>
        <w:rPr>
          <w:color w:val="auto"/>
        </w:rPr>
        <w:tab/>
      </w:r>
      <w:r>
        <w:rPr>
          <w:color w:val="auto"/>
        </w:rPr>
        <w:fldChar w:fldCharType="begin"/>
      </w:r>
      <w:r>
        <w:rPr>
          <w:color w:val="auto"/>
        </w:rPr>
        <w:instrText xml:space="preserve"> PAGEREF _Toc122 \h </w:instrText>
      </w:r>
      <w:r>
        <w:rPr>
          <w:color w:val="auto"/>
        </w:rPr>
        <w:fldChar w:fldCharType="separate"/>
      </w:r>
      <w:r>
        <w:rPr>
          <w:color w:val="auto"/>
        </w:rPr>
        <w:t>289</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_Toc25390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w:t>
      </w:r>
      <w:r>
        <w:rPr>
          <w:rFonts w:hint="eastAsia" w:ascii="Times New Roman" w:hAnsi="Times New Roman"/>
          <w:color w:val="auto"/>
          <w:szCs w:val="32"/>
          <w:lang w:val="en-US" w:eastAsia="zh-CN"/>
        </w:rPr>
        <w:t>6公众参与</w:t>
      </w:r>
      <w:r>
        <w:rPr>
          <w:color w:val="auto"/>
        </w:rPr>
        <w:tab/>
      </w:r>
      <w:r>
        <w:rPr>
          <w:color w:val="auto"/>
        </w:rPr>
        <w:fldChar w:fldCharType="begin"/>
      </w:r>
      <w:r>
        <w:rPr>
          <w:color w:val="auto"/>
        </w:rPr>
        <w:instrText xml:space="preserve"> PAGEREF _Toc25390 \h </w:instrText>
      </w:r>
      <w:r>
        <w:rPr>
          <w:color w:val="auto"/>
        </w:rPr>
        <w:fldChar w:fldCharType="separate"/>
      </w:r>
      <w:r>
        <w:rPr>
          <w:color w:val="auto"/>
        </w:rPr>
        <w:t>290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_Toc2792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w:t>
      </w:r>
      <w:r>
        <w:rPr>
          <w:rFonts w:hint="eastAsia" w:ascii="Times New Roman" w:hAnsi="Times New Roman"/>
          <w:color w:val="auto"/>
          <w:szCs w:val="32"/>
          <w:lang w:val="en-US" w:eastAsia="zh-CN"/>
        </w:rPr>
        <w:t>7</w:t>
      </w:r>
      <w:r>
        <w:rPr>
          <w:rFonts w:hint="eastAsia" w:ascii="Times New Roman" w:hAnsi="Times New Roman"/>
          <w:color w:val="auto"/>
          <w:szCs w:val="32"/>
        </w:rPr>
        <w:t>总量控制</w:t>
      </w:r>
      <w:r>
        <w:rPr>
          <w:color w:val="auto"/>
        </w:rPr>
        <w:tab/>
      </w:r>
      <w:r>
        <w:rPr>
          <w:color w:val="auto"/>
        </w:rPr>
        <w:fldChar w:fldCharType="begin"/>
      </w:r>
      <w:r>
        <w:rPr>
          <w:color w:val="auto"/>
        </w:rPr>
        <w:instrText xml:space="preserve"> PAGEREF _Toc2792 \h </w:instrText>
      </w:r>
      <w:r>
        <w:rPr>
          <w:color w:val="auto"/>
        </w:rPr>
        <w:fldChar w:fldCharType="separate"/>
      </w:r>
      <w:r>
        <w:rPr>
          <w:color w:val="auto"/>
        </w:rPr>
        <w:t>290</w:t>
      </w:r>
      <w:r>
        <w:rPr>
          <w:color w:val="auto"/>
        </w:rPr>
        <w:fldChar w:fldCharType="end"/>
      </w:r>
      <w:r>
        <w:rPr>
          <w:color w:val="auto"/>
          <w:szCs w:val="24"/>
        </w:rPr>
        <w:fldChar w:fldCharType="end"/>
      </w:r>
    </w:p>
    <w:p>
      <w:pPr>
        <w:pStyle w:val="79"/>
        <w:tabs>
          <w:tab w:val="right" w:leader="dot" w:pos="8300"/>
        </w:tabs>
        <w:rPr>
          <w:color w:val="auto"/>
        </w:rPr>
      </w:pPr>
      <w:r>
        <w:rPr>
          <w:color w:val="auto"/>
          <w:szCs w:val="24"/>
        </w:rPr>
        <w:fldChar w:fldCharType="begin"/>
      </w:r>
      <w:r>
        <w:rPr>
          <w:color w:val="auto"/>
          <w:szCs w:val="24"/>
        </w:rPr>
        <w:instrText xml:space="preserve"> HYPERLINK \l _Toc362 </w:instrText>
      </w:r>
      <w:r>
        <w:rPr>
          <w:color w:val="auto"/>
          <w:szCs w:val="24"/>
        </w:rPr>
        <w:fldChar w:fldCharType="separate"/>
      </w:r>
      <w:r>
        <w:rPr>
          <w:rFonts w:ascii="Times New Roman" w:hAnsi="Times New Roman"/>
          <w:color w:val="auto"/>
          <w:szCs w:val="32"/>
        </w:rPr>
        <w:t>1</w:t>
      </w:r>
      <w:r>
        <w:rPr>
          <w:rFonts w:hint="eastAsia" w:ascii="Times New Roman" w:hAnsi="Times New Roman"/>
          <w:color w:val="auto"/>
          <w:szCs w:val="32"/>
          <w:lang w:val="en-US" w:eastAsia="zh-CN"/>
        </w:rPr>
        <w:t>1</w:t>
      </w:r>
      <w:r>
        <w:rPr>
          <w:rFonts w:ascii="Times New Roman" w:hAnsi="Times New Roman"/>
          <w:color w:val="auto"/>
          <w:szCs w:val="32"/>
        </w:rPr>
        <w:t>.</w:t>
      </w:r>
      <w:r>
        <w:rPr>
          <w:rFonts w:hint="eastAsia" w:ascii="Times New Roman" w:hAnsi="Times New Roman"/>
          <w:color w:val="auto"/>
          <w:szCs w:val="32"/>
          <w:lang w:val="en-US" w:eastAsia="zh-CN"/>
        </w:rPr>
        <w:t>8</w:t>
      </w:r>
      <w:r>
        <w:rPr>
          <w:rFonts w:ascii="Times New Roman" w:hAnsi="Times New Roman"/>
          <w:color w:val="auto"/>
          <w:szCs w:val="32"/>
        </w:rPr>
        <w:t>总结论</w:t>
      </w:r>
      <w:r>
        <w:rPr>
          <w:color w:val="auto"/>
        </w:rPr>
        <w:tab/>
      </w:r>
      <w:r>
        <w:rPr>
          <w:color w:val="auto"/>
        </w:rPr>
        <w:fldChar w:fldCharType="begin"/>
      </w:r>
      <w:r>
        <w:rPr>
          <w:color w:val="auto"/>
        </w:rPr>
        <w:instrText xml:space="preserve"> PAGEREF _Toc362 \h </w:instrText>
      </w:r>
      <w:r>
        <w:rPr>
          <w:color w:val="auto"/>
        </w:rPr>
        <w:fldChar w:fldCharType="separate"/>
      </w:r>
      <w:r>
        <w:rPr>
          <w:color w:val="auto"/>
        </w:rPr>
        <w:t>291</w:t>
      </w:r>
      <w:r>
        <w:rPr>
          <w:color w:val="auto"/>
        </w:rPr>
        <w:fldChar w:fldCharType="end"/>
      </w:r>
      <w:r>
        <w:rPr>
          <w:color w:val="auto"/>
          <w:szCs w:val="24"/>
        </w:rPr>
        <w:fldChar w:fldCharType="end"/>
      </w:r>
    </w:p>
    <w:p>
      <w:pPr>
        <w:widowControl w:val="0"/>
        <w:spacing w:line="312" w:lineRule="auto"/>
        <w:rPr>
          <w:color w:val="auto"/>
          <w:sz w:val="24"/>
          <w:szCs w:val="24"/>
        </w:rPr>
      </w:pPr>
      <w:r>
        <w:rPr>
          <w:color w:val="auto"/>
          <w:szCs w:val="24"/>
        </w:rPr>
        <w:fldChar w:fldCharType="end"/>
      </w:r>
    </w:p>
    <w:p>
      <w:pPr>
        <w:pStyle w:val="558"/>
        <w:keepNext w:val="0"/>
        <w:keepLines w:val="0"/>
        <w:pageBreakBefore w:val="0"/>
        <w:widowControl w:val="0"/>
        <w:kinsoku/>
        <w:wordWrap/>
        <w:overflowPunct/>
        <w:topLinePunct w:val="0"/>
        <w:autoSpaceDE/>
        <w:autoSpaceDN/>
        <w:bidi w:val="0"/>
        <w:adjustRightInd/>
        <w:snapToGrid/>
        <w:spacing w:after="157" w:afterLines="50" w:line="360" w:lineRule="auto"/>
        <w:ind w:firstLine="482"/>
        <w:textAlignment w:val="auto"/>
        <w:outlineLvl w:val="0"/>
        <w:rPr>
          <w:rFonts w:hint="eastAsia"/>
          <w:b/>
          <w:bCs/>
          <w:snapToGrid w:val="0"/>
          <w:color w:val="auto"/>
          <w:kern w:val="0"/>
        </w:rPr>
        <w:sectPr>
          <w:headerReference r:id="rId7" w:type="default"/>
          <w:footerReference r:id="rId8"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0" w:num="1"/>
          <w:rtlGutter w:val="0"/>
          <w:docGrid w:type="lines" w:linePitch="312" w:charSpace="0"/>
        </w:sectPr>
      </w:pPr>
      <w:bookmarkStart w:id="60" w:name="_Toc26987"/>
      <w:bookmarkStart w:id="61" w:name="_Toc41303729"/>
      <w:bookmarkStart w:id="62" w:name="_Toc29294"/>
      <w:bookmarkStart w:id="63" w:name="_Toc41155987"/>
      <w:bookmarkStart w:id="64" w:name="_Toc24914"/>
      <w:bookmarkStart w:id="65" w:name="_Toc3565284"/>
      <w:bookmarkStart w:id="66" w:name="_Toc8690"/>
      <w:bookmarkStart w:id="67" w:name="_Toc3455379"/>
      <w:bookmarkStart w:id="68" w:name="_Toc8139210"/>
      <w:bookmarkStart w:id="69" w:name="_Toc17350"/>
      <w:bookmarkStart w:id="70" w:name="_Toc41075072"/>
      <w:bookmarkStart w:id="71" w:name="_Toc28769"/>
      <w:bookmarkStart w:id="72" w:name="_Toc28594147"/>
      <w:bookmarkStart w:id="73" w:name="_Toc18620"/>
      <w:bookmarkStart w:id="74" w:name="_Toc3317466"/>
    </w:p>
    <w:p>
      <w:pPr>
        <w:pStyle w:val="558"/>
        <w:keepNext w:val="0"/>
        <w:keepLines w:val="0"/>
        <w:pageBreakBefore w:val="0"/>
        <w:widowControl w:val="0"/>
        <w:kinsoku/>
        <w:wordWrap/>
        <w:overflowPunct/>
        <w:topLinePunct w:val="0"/>
        <w:autoSpaceDE/>
        <w:autoSpaceDN/>
        <w:bidi w:val="0"/>
        <w:adjustRightInd/>
        <w:snapToGrid/>
        <w:spacing w:after="157" w:afterLines="50" w:line="360" w:lineRule="auto"/>
        <w:ind w:firstLine="482"/>
        <w:textAlignment w:val="auto"/>
        <w:outlineLvl w:val="0"/>
        <w:rPr>
          <w:rFonts w:eastAsia="黑体"/>
          <w:b/>
          <w:bCs/>
          <w:snapToGrid w:val="0"/>
          <w:color w:val="auto"/>
          <w:kern w:val="0"/>
        </w:rPr>
      </w:pPr>
      <w:bookmarkStart w:id="75" w:name="_Toc23761"/>
      <w:r>
        <w:rPr>
          <w:rFonts w:hint="eastAsia"/>
          <w:b/>
          <w:bCs/>
          <w:snapToGrid w:val="0"/>
          <w:color w:val="auto"/>
          <w:kern w:val="0"/>
        </w:rPr>
        <w:t>一、</w:t>
      </w:r>
      <w:r>
        <w:rPr>
          <w:rFonts w:eastAsia="黑体"/>
          <w:b/>
          <w:bCs/>
          <w:snapToGrid w:val="0"/>
          <w:color w:val="auto"/>
          <w:kern w:val="0"/>
        </w:rPr>
        <w:t>附图</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pPr>
        <w:widowControl w:val="0"/>
        <w:spacing w:line="336" w:lineRule="auto"/>
        <w:ind w:firstLine="480" w:firstLineChars="200"/>
        <w:rPr>
          <w:color w:val="auto"/>
          <w:sz w:val="24"/>
        </w:rPr>
      </w:pPr>
      <w:r>
        <w:rPr>
          <w:color w:val="auto"/>
          <w:sz w:val="24"/>
        </w:rPr>
        <w:t>附图一：项目地理位置图</w:t>
      </w:r>
    </w:p>
    <w:p>
      <w:pPr>
        <w:widowControl w:val="0"/>
        <w:spacing w:line="336" w:lineRule="auto"/>
        <w:ind w:firstLine="480" w:firstLineChars="200"/>
        <w:rPr>
          <w:color w:val="auto"/>
          <w:sz w:val="24"/>
        </w:rPr>
      </w:pPr>
      <w:r>
        <w:rPr>
          <w:color w:val="auto"/>
          <w:sz w:val="24"/>
        </w:rPr>
        <w:t>附图二：项目</w:t>
      </w:r>
      <w:r>
        <w:rPr>
          <w:rFonts w:hint="eastAsia"/>
          <w:color w:val="auto"/>
          <w:sz w:val="24"/>
          <w:lang w:val="en-US" w:eastAsia="zh-CN"/>
        </w:rPr>
        <w:t>周边环境敏感目标分布图</w:t>
      </w:r>
    </w:p>
    <w:p>
      <w:pPr>
        <w:widowControl w:val="0"/>
        <w:spacing w:line="336" w:lineRule="auto"/>
        <w:ind w:firstLine="480" w:firstLineChars="200"/>
        <w:rPr>
          <w:color w:val="auto"/>
          <w:sz w:val="24"/>
        </w:rPr>
      </w:pPr>
      <w:r>
        <w:rPr>
          <w:color w:val="auto"/>
          <w:sz w:val="24"/>
        </w:rPr>
        <w:t>附图三：项目</w:t>
      </w:r>
      <w:r>
        <w:rPr>
          <w:rFonts w:hint="eastAsia"/>
          <w:color w:val="auto"/>
          <w:sz w:val="24"/>
          <w:lang w:val="en-US" w:eastAsia="zh-CN"/>
        </w:rPr>
        <w:t>大气、噪声评价范围示意</w:t>
      </w:r>
      <w:r>
        <w:rPr>
          <w:color w:val="auto"/>
          <w:sz w:val="24"/>
        </w:rPr>
        <w:t>图</w:t>
      </w:r>
    </w:p>
    <w:p>
      <w:pPr>
        <w:widowControl w:val="0"/>
        <w:spacing w:line="336" w:lineRule="auto"/>
        <w:ind w:firstLine="480" w:firstLineChars="200"/>
        <w:rPr>
          <w:rFonts w:hint="default" w:eastAsia="宋体"/>
          <w:color w:val="auto"/>
          <w:sz w:val="24"/>
          <w:lang w:val="en-US" w:eastAsia="zh-CN"/>
        </w:rPr>
      </w:pPr>
      <w:r>
        <w:rPr>
          <w:rFonts w:hint="eastAsia"/>
          <w:color w:val="auto"/>
          <w:sz w:val="24"/>
          <w:lang w:val="en-US" w:eastAsia="zh-CN"/>
        </w:rPr>
        <w:t>附图四：项目周边取水口水源地保护区及地表水评价范围示意图</w:t>
      </w:r>
    </w:p>
    <w:p>
      <w:pPr>
        <w:widowControl w:val="0"/>
        <w:spacing w:line="336" w:lineRule="auto"/>
        <w:ind w:firstLine="480" w:firstLineChars="200"/>
        <w:rPr>
          <w:rFonts w:hint="eastAsia"/>
          <w:color w:val="auto"/>
          <w:sz w:val="24"/>
        </w:rPr>
      </w:pPr>
      <w:r>
        <w:rPr>
          <w:color w:val="auto"/>
          <w:sz w:val="24"/>
        </w:rPr>
        <w:t>附图</w:t>
      </w:r>
      <w:r>
        <w:rPr>
          <w:rFonts w:hint="eastAsia" w:ascii="Times New Roman" w:hAnsi="Times New Roman" w:eastAsia="宋体" w:cs="Times New Roman"/>
          <w:color w:val="auto"/>
          <w:sz w:val="24"/>
          <w:lang w:val="en-US" w:eastAsia="zh-CN"/>
        </w:rPr>
        <w:t>五：</w:t>
      </w:r>
      <w:r>
        <w:rPr>
          <w:color w:val="auto"/>
          <w:sz w:val="24"/>
        </w:rPr>
        <w:t>项目</w:t>
      </w:r>
      <w:r>
        <w:rPr>
          <w:rFonts w:hint="eastAsia"/>
          <w:color w:val="auto"/>
          <w:sz w:val="24"/>
          <w:lang w:val="en-US" w:eastAsia="zh-CN"/>
        </w:rPr>
        <w:t>总平面布置</w:t>
      </w:r>
      <w:r>
        <w:rPr>
          <w:color w:val="auto"/>
          <w:sz w:val="24"/>
        </w:rPr>
        <w:t>图</w:t>
      </w:r>
    </w:p>
    <w:p>
      <w:pPr>
        <w:widowControl w:val="0"/>
        <w:spacing w:line="33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附图</w:t>
      </w:r>
      <w:r>
        <w:rPr>
          <w:rFonts w:hint="eastAsia" w:ascii="Times New Roman" w:hAnsi="Times New Roman" w:eastAsia="宋体" w:cs="Times New Roman"/>
          <w:color w:val="auto"/>
          <w:sz w:val="24"/>
          <w:lang w:val="en-US" w:eastAsia="zh-CN"/>
        </w:rPr>
        <w:t>六：</w:t>
      </w:r>
      <w:r>
        <w:rPr>
          <w:rFonts w:hint="default" w:ascii="Times New Roman" w:hAnsi="Times New Roman" w:eastAsia="宋体" w:cs="Times New Roman"/>
          <w:color w:val="auto"/>
          <w:sz w:val="24"/>
        </w:rPr>
        <w:t>项目利用岸线与</w:t>
      </w:r>
      <w:r>
        <w:rPr>
          <w:rFonts w:hint="eastAsia" w:ascii="Times New Roman" w:hAnsi="Times New Roman" w:eastAsia="宋体" w:cs="Times New Roman"/>
          <w:color w:val="auto"/>
          <w:sz w:val="24"/>
          <w:lang w:val="en-US" w:eastAsia="zh-CN"/>
        </w:rPr>
        <w:t>宜昌港（长江）港口利用规划关系</w:t>
      </w:r>
      <w:r>
        <w:rPr>
          <w:rFonts w:hint="default" w:ascii="Times New Roman" w:hAnsi="Times New Roman" w:eastAsia="宋体" w:cs="Times New Roman"/>
          <w:color w:val="auto"/>
          <w:sz w:val="24"/>
        </w:rPr>
        <w:t>示意图</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七</w:t>
      </w:r>
      <w:r>
        <w:rPr>
          <w:color w:val="auto"/>
          <w:sz w:val="24"/>
        </w:rPr>
        <w:t>：</w:t>
      </w:r>
      <w:r>
        <w:rPr>
          <w:rFonts w:hint="eastAsia"/>
          <w:color w:val="auto"/>
          <w:sz w:val="24"/>
          <w:lang w:val="en-US" w:eastAsia="zh-CN"/>
        </w:rPr>
        <w:t>项目</w:t>
      </w:r>
      <w:r>
        <w:rPr>
          <w:rFonts w:hint="default" w:ascii="Times New Roman" w:hAnsi="Times New Roman" w:eastAsia="宋体" w:cs="Times New Roman"/>
          <w:color w:val="auto"/>
          <w:sz w:val="24"/>
        </w:rPr>
        <w:t>利用岸线</w:t>
      </w:r>
      <w:r>
        <w:rPr>
          <w:rFonts w:hint="eastAsia"/>
          <w:color w:val="auto"/>
          <w:sz w:val="24"/>
          <w:lang w:val="en-US" w:eastAsia="zh-CN"/>
        </w:rPr>
        <w:t>与</w:t>
      </w:r>
      <w:r>
        <w:rPr>
          <w:rFonts w:hint="eastAsia" w:ascii="Times New Roman" w:hAnsi="Times New Roman" w:eastAsia="宋体" w:cs="Times New Roman"/>
          <w:color w:val="auto"/>
          <w:sz w:val="24"/>
          <w:lang w:val="en-US" w:eastAsia="zh-CN"/>
        </w:rPr>
        <w:t>宜昌港（长江）</w:t>
      </w:r>
      <w:r>
        <w:rPr>
          <w:rFonts w:hint="eastAsia"/>
          <w:color w:val="auto"/>
          <w:sz w:val="24"/>
          <w:lang w:val="en-US" w:eastAsia="zh-CN"/>
        </w:rPr>
        <w:t>港口利用现状位置关系示意</w:t>
      </w:r>
      <w:r>
        <w:rPr>
          <w:color w:val="auto"/>
          <w:sz w:val="24"/>
        </w:rPr>
        <w:t>图</w:t>
      </w:r>
    </w:p>
    <w:p>
      <w:pPr>
        <w:widowControl w:val="0"/>
        <w:spacing w:line="33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附图</w:t>
      </w:r>
      <w:r>
        <w:rPr>
          <w:rFonts w:hint="eastAsia" w:ascii="Times New Roman" w:hAnsi="Times New Roman" w:eastAsia="宋体" w:cs="Times New Roman"/>
          <w:color w:val="auto"/>
          <w:sz w:val="24"/>
          <w:lang w:val="en-US" w:eastAsia="zh-CN"/>
        </w:rPr>
        <w:t>八：</w:t>
      </w:r>
      <w:r>
        <w:rPr>
          <w:rFonts w:hint="default" w:ascii="Times New Roman" w:hAnsi="Times New Roman" w:eastAsia="宋体" w:cs="Times New Roman"/>
          <w:color w:val="auto"/>
          <w:sz w:val="24"/>
        </w:rPr>
        <w:t>项目与宜昌市生态环境分区管控位置关系示意图</w:t>
      </w:r>
    </w:p>
    <w:p>
      <w:pPr>
        <w:widowControl w:val="0"/>
        <w:spacing w:line="33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附图</w:t>
      </w:r>
      <w:r>
        <w:rPr>
          <w:rFonts w:hint="eastAsia" w:ascii="Times New Roman" w:hAnsi="Times New Roman" w:eastAsia="宋体" w:cs="Times New Roman"/>
          <w:color w:val="auto"/>
          <w:sz w:val="24"/>
          <w:lang w:val="en-US" w:eastAsia="zh-CN"/>
        </w:rPr>
        <w:t>九：</w:t>
      </w:r>
      <w:r>
        <w:rPr>
          <w:rFonts w:hint="default" w:ascii="Times New Roman" w:hAnsi="Times New Roman" w:eastAsia="宋体" w:cs="Times New Roman"/>
          <w:color w:val="auto"/>
          <w:sz w:val="24"/>
        </w:rPr>
        <w:t>项目与宜昌市生态保护红线位置关系示意图</w:t>
      </w:r>
    </w:p>
    <w:p>
      <w:pPr>
        <w:widowControl w:val="0"/>
        <w:spacing w:line="33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附图</w:t>
      </w:r>
      <w:r>
        <w:rPr>
          <w:rFonts w:hint="eastAsia"/>
          <w:color w:val="auto"/>
          <w:sz w:val="24"/>
        </w:rPr>
        <w:t>十</w:t>
      </w:r>
      <w:r>
        <w:rPr>
          <w:color w:val="auto"/>
          <w:sz w:val="24"/>
        </w:rPr>
        <w:t>：</w:t>
      </w:r>
      <w:r>
        <w:rPr>
          <w:rFonts w:hint="default" w:ascii="Times New Roman" w:hAnsi="Times New Roman" w:eastAsia="宋体" w:cs="Times New Roman"/>
          <w:color w:val="auto"/>
          <w:sz w:val="24"/>
        </w:rPr>
        <w:t>项目与长江湖北宜昌中华鲟自然保护区位置关系示意图</w:t>
      </w:r>
    </w:p>
    <w:p>
      <w:pPr>
        <w:widowControl w:val="0"/>
        <w:spacing w:line="33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附图</w:t>
      </w:r>
      <w:r>
        <w:rPr>
          <w:color w:val="auto"/>
          <w:sz w:val="24"/>
        </w:rPr>
        <w:t>十一：</w:t>
      </w:r>
      <w:r>
        <w:rPr>
          <w:rFonts w:hint="default" w:ascii="Times New Roman" w:hAnsi="Times New Roman" w:eastAsia="宋体" w:cs="Times New Roman"/>
          <w:color w:val="auto"/>
          <w:sz w:val="24"/>
        </w:rPr>
        <w:t>项目所在地水系图</w:t>
      </w:r>
    </w:p>
    <w:p>
      <w:pPr>
        <w:widowControl w:val="0"/>
        <w:spacing w:line="336" w:lineRule="auto"/>
        <w:ind w:firstLine="480" w:firstLineChars="200"/>
        <w:rPr>
          <w:rFonts w:hint="eastAsia"/>
          <w:color w:val="auto"/>
          <w:sz w:val="24"/>
        </w:rPr>
      </w:pPr>
      <w:r>
        <w:rPr>
          <w:color w:val="auto"/>
          <w:sz w:val="24"/>
        </w:rPr>
        <w:t>附图</w:t>
      </w:r>
      <w:r>
        <w:rPr>
          <w:rFonts w:hint="eastAsia"/>
          <w:color w:val="auto"/>
          <w:sz w:val="24"/>
        </w:rPr>
        <w:t>十</w:t>
      </w:r>
      <w:r>
        <w:rPr>
          <w:rFonts w:hint="eastAsia"/>
          <w:color w:val="auto"/>
          <w:sz w:val="24"/>
          <w:lang w:val="en-US" w:eastAsia="zh-CN"/>
        </w:rPr>
        <w:t>二</w:t>
      </w:r>
      <w:r>
        <w:rPr>
          <w:color w:val="auto"/>
          <w:sz w:val="24"/>
        </w:rPr>
        <w:t>：项目</w:t>
      </w:r>
      <w:r>
        <w:rPr>
          <w:rFonts w:hint="eastAsia"/>
          <w:color w:val="auto"/>
          <w:sz w:val="24"/>
          <w:lang w:val="en-US" w:eastAsia="zh-CN"/>
        </w:rPr>
        <w:t>施工组织和环保设施示意</w:t>
      </w:r>
      <w:r>
        <w:rPr>
          <w:color w:val="auto"/>
          <w:sz w:val="24"/>
        </w:rPr>
        <w:t>图</w:t>
      </w:r>
    </w:p>
    <w:p>
      <w:pPr>
        <w:widowControl w:val="0"/>
        <w:spacing w:line="336" w:lineRule="auto"/>
        <w:ind w:firstLine="480" w:firstLineChars="200"/>
        <w:rPr>
          <w:rFonts w:hint="eastAsia"/>
          <w:color w:val="auto"/>
          <w:sz w:val="24"/>
        </w:rPr>
      </w:pPr>
      <w:r>
        <w:rPr>
          <w:color w:val="auto"/>
          <w:sz w:val="24"/>
        </w:rPr>
        <w:t>附图</w:t>
      </w:r>
      <w:r>
        <w:rPr>
          <w:rFonts w:hint="eastAsia"/>
          <w:color w:val="auto"/>
          <w:sz w:val="24"/>
        </w:rPr>
        <w:t>十</w:t>
      </w:r>
      <w:r>
        <w:rPr>
          <w:rFonts w:hint="eastAsia"/>
          <w:color w:val="auto"/>
          <w:sz w:val="24"/>
          <w:lang w:val="en-US" w:eastAsia="zh-CN"/>
        </w:rPr>
        <w:t>三</w:t>
      </w:r>
      <w:r>
        <w:rPr>
          <w:color w:val="auto"/>
          <w:sz w:val="24"/>
        </w:rPr>
        <w:t>：项目</w:t>
      </w:r>
      <w:r>
        <w:rPr>
          <w:rFonts w:hint="eastAsia"/>
          <w:color w:val="auto"/>
          <w:sz w:val="24"/>
          <w:lang w:val="en-US" w:eastAsia="zh-CN"/>
        </w:rPr>
        <w:t>大气、地表示及噪声现状监测布点示意图</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十四</w:t>
      </w:r>
      <w:r>
        <w:rPr>
          <w:color w:val="auto"/>
          <w:sz w:val="24"/>
        </w:rPr>
        <w:t>：项目</w:t>
      </w:r>
      <w:r>
        <w:rPr>
          <w:rFonts w:hint="eastAsia"/>
          <w:color w:val="auto"/>
          <w:sz w:val="24"/>
          <w:lang w:val="en-US" w:eastAsia="zh-CN"/>
        </w:rPr>
        <w:t>工艺平面布置</w:t>
      </w:r>
      <w:r>
        <w:rPr>
          <w:color w:val="auto"/>
          <w:sz w:val="24"/>
        </w:rPr>
        <w:t>图</w:t>
      </w:r>
    </w:p>
    <w:p>
      <w:pPr>
        <w:widowControl w:val="0"/>
        <w:spacing w:line="336" w:lineRule="auto"/>
        <w:ind w:firstLine="480" w:firstLineChars="200"/>
        <w:rPr>
          <w:rFonts w:hint="eastAsia" w:eastAsia="宋体"/>
          <w:color w:val="auto"/>
          <w:sz w:val="24"/>
          <w:lang w:eastAsia="zh-CN"/>
        </w:rPr>
      </w:pPr>
      <w:r>
        <w:rPr>
          <w:color w:val="auto"/>
          <w:sz w:val="24"/>
        </w:rPr>
        <w:t>附图</w:t>
      </w:r>
      <w:r>
        <w:rPr>
          <w:rFonts w:hint="eastAsia"/>
          <w:color w:val="auto"/>
          <w:sz w:val="24"/>
          <w:lang w:val="en-US" w:eastAsia="zh-CN"/>
        </w:rPr>
        <w:t>十五</w:t>
      </w:r>
      <w:r>
        <w:rPr>
          <w:color w:val="auto"/>
          <w:sz w:val="24"/>
        </w:rPr>
        <w:t>：项目</w:t>
      </w:r>
      <w:r>
        <w:rPr>
          <w:rFonts w:hint="eastAsia"/>
          <w:color w:val="auto"/>
          <w:sz w:val="24"/>
          <w:lang w:val="en-US" w:eastAsia="zh-CN"/>
        </w:rPr>
        <w:t>工艺断面</w:t>
      </w:r>
      <w:r>
        <w:rPr>
          <w:color w:val="auto"/>
          <w:sz w:val="24"/>
        </w:rPr>
        <w:t>图</w:t>
      </w:r>
      <w:r>
        <w:rPr>
          <w:rFonts w:hint="eastAsia"/>
          <w:color w:val="auto"/>
          <w:sz w:val="24"/>
          <w:lang w:eastAsia="zh-CN"/>
        </w:rPr>
        <w:t>（</w:t>
      </w:r>
      <w:r>
        <w:rPr>
          <w:rFonts w:hint="eastAsia"/>
          <w:color w:val="auto"/>
          <w:sz w:val="24"/>
          <w:lang w:val="en-US" w:eastAsia="zh-CN"/>
        </w:rPr>
        <w:t>一</w:t>
      </w:r>
      <w:r>
        <w:rPr>
          <w:rFonts w:hint="eastAsia"/>
          <w:color w:val="auto"/>
          <w:sz w:val="24"/>
          <w:lang w:eastAsia="zh-CN"/>
        </w:rPr>
        <w:t>）</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十六</w:t>
      </w:r>
      <w:r>
        <w:rPr>
          <w:color w:val="auto"/>
          <w:sz w:val="24"/>
        </w:rPr>
        <w:t>：项目</w:t>
      </w:r>
      <w:r>
        <w:rPr>
          <w:rFonts w:hint="eastAsia"/>
          <w:color w:val="auto"/>
          <w:sz w:val="24"/>
          <w:lang w:val="en-US" w:eastAsia="zh-CN"/>
        </w:rPr>
        <w:t>工艺断面</w:t>
      </w:r>
      <w:r>
        <w:rPr>
          <w:color w:val="auto"/>
          <w:sz w:val="24"/>
        </w:rPr>
        <w:t>图</w:t>
      </w:r>
      <w:r>
        <w:rPr>
          <w:rFonts w:hint="eastAsia"/>
          <w:color w:val="auto"/>
          <w:sz w:val="24"/>
          <w:lang w:eastAsia="zh-CN"/>
        </w:rPr>
        <w:t>（</w:t>
      </w:r>
      <w:r>
        <w:rPr>
          <w:rFonts w:hint="eastAsia"/>
          <w:color w:val="auto"/>
          <w:sz w:val="24"/>
          <w:lang w:val="en-US" w:eastAsia="zh-CN"/>
        </w:rPr>
        <w:t>二</w:t>
      </w:r>
      <w:r>
        <w:rPr>
          <w:rFonts w:hint="eastAsia"/>
          <w:color w:val="auto"/>
          <w:sz w:val="24"/>
          <w:lang w:eastAsia="zh-CN"/>
        </w:rPr>
        <w:t>）</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十七</w:t>
      </w:r>
      <w:r>
        <w:rPr>
          <w:color w:val="auto"/>
          <w:sz w:val="24"/>
        </w:rPr>
        <w:t>：</w:t>
      </w:r>
      <w:r>
        <w:rPr>
          <w:rFonts w:hint="eastAsia"/>
          <w:color w:val="auto"/>
          <w:sz w:val="24"/>
          <w:lang w:val="en-US" w:eastAsia="zh-CN"/>
        </w:rPr>
        <w:t>项目与宜昌市生态功能红线位置关系示意</w:t>
      </w:r>
      <w:r>
        <w:rPr>
          <w:color w:val="auto"/>
          <w:sz w:val="24"/>
        </w:rPr>
        <w:t>图</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十</w:t>
      </w:r>
      <w:r>
        <w:rPr>
          <w:rFonts w:hint="eastAsia" w:ascii="Times New Roman" w:hAnsi="Times New Roman" w:eastAsia="宋体" w:cs="Times New Roman"/>
          <w:color w:val="auto"/>
          <w:sz w:val="24"/>
          <w:lang w:val="en-US" w:eastAsia="zh-CN"/>
        </w:rPr>
        <w:t>八</w:t>
      </w:r>
      <w:r>
        <w:rPr>
          <w:color w:val="auto"/>
          <w:sz w:val="24"/>
        </w:rPr>
        <w:t>：</w:t>
      </w:r>
      <w:r>
        <w:rPr>
          <w:rFonts w:hint="eastAsia"/>
          <w:color w:val="auto"/>
          <w:sz w:val="24"/>
          <w:lang w:val="en-US" w:eastAsia="zh-CN"/>
        </w:rPr>
        <w:t>项目与宜昌市水环境质量红线位置关系示意</w:t>
      </w:r>
      <w:r>
        <w:rPr>
          <w:color w:val="auto"/>
          <w:sz w:val="24"/>
        </w:rPr>
        <w:t>图</w:t>
      </w:r>
    </w:p>
    <w:p>
      <w:pPr>
        <w:widowControl w:val="0"/>
        <w:spacing w:line="336" w:lineRule="auto"/>
        <w:ind w:firstLine="480" w:firstLineChars="200"/>
        <w:rPr>
          <w:color w:val="auto"/>
          <w:sz w:val="24"/>
        </w:rPr>
      </w:pPr>
      <w:r>
        <w:rPr>
          <w:rFonts w:hint="eastAsia"/>
          <w:color w:val="auto"/>
          <w:sz w:val="24"/>
        </w:rPr>
        <w:t>附图</w:t>
      </w:r>
      <w:r>
        <w:rPr>
          <w:rFonts w:hint="eastAsia"/>
          <w:color w:val="auto"/>
          <w:sz w:val="24"/>
          <w:lang w:val="en-US" w:eastAsia="zh-CN"/>
        </w:rPr>
        <w:t>十九</w:t>
      </w:r>
      <w:r>
        <w:rPr>
          <w:rFonts w:hint="eastAsia"/>
          <w:color w:val="auto"/>
          <w:sz w:val="24"/>
        </w:rPr>
        <w:t>：</w:t>
      </w:r>
      <w:r>
        <w:rPr>
          <w:rFonts w:hint="eastAsia"/>
          <w:color w:val="auto"/>
          <w:sz w:val="24"/>
          <w:lang w:val="en-US" w:eastAsia="zh-CN"/>
        </w:rPr>
        <w:t>项目与宜昌市大气环境质量红线位置关系示意</w:t>
      </w:r>
      <w:r>
        <w:rPr>
          <w:color w:val="auto"/>
          <w:sz w:val="24"/>
        </w:rPr>
        <w:t>图</w:t>
      </w:r>
    </w:p>
    <w:p>
      <w:pPr>
        <w:widowControl w:val="0"/>
        <w:spacing w:line="336" w:lineRule="auto"/>
        <w:ind w:firstLine="480" w:firstLineChars="200"/>
        <w:rPr>
          <w:color w:val="auto"/>
          <w:sz w:val="24"/>
        </w:rPr>
      </w:pPr>
      <w:r>
        <w:rPr>
          <w:color w:val="auto"/>
          <w:sz w:val="24"/>
        </w:rPr>
        <w:t>附图</w:t>
      </w:r>
      <w:r>
        <w:rPr>
          <w:rFonts w:hint="eastAsia"/>
          <w:color w:val="auto"/>
          <w:sz w:val="24"/>
          <w:lang w:val="en-US" w:eastAsia="zh-CN"/>
        </w:rPr>
        <w:t>二十</w:t>
      </w:r>
      <w:r>
        <w:rPr>
          <w:color w:val="auto"/>
          <w:sz w:val="24"/>
        </w:rPr>
        <w:t>：</w:t>
      </w:r>
      <w:r>
        <w:rPr>
          <w:rFonts w:hint="eastAsia"/>
          <w:color w:val="auto"/>
          <w:sz w:val="24"/>
          <w:lang w:val="en-US" w:eastAsia="zh-CN"/>
        </w:rPr>
        <w:t>项目与长江岸线保护和开发利用总体规划位置关系示意</w:t>
      </w:r>
      <w:r>
        <w:rPr>
          <w:color w:val="auto"/>
          <w:sz w:val="24"/>
        </w:rPr>
        <w:t>图</w:t>
      </w:r>
    </w:p>
    <w:p>
      <w:pPr>
        <w:widowControl w:val="0"/>
        <w:spacing w:line="336" w:lineRule="auto"/>
        <w:ind w:firstLine="480" w:firstLineChars="200"/>
        <w:rPr>
          <w:rFonts w:hint="eastAsia"/>
          <w:color w:val="auto"/>
          <w:sz w:val="24"/>
        </w:rPr>
      </w:pPr>
    </w:p>
    <w:p>
      <w:pPr>
        <w:widowControl w:val="0"/>
        <w:spacing w:line="336" w:lineRule="auto"/>
        <w:rPr>
          <w:rFonts w:eastAsia="仿宋_GB2312"/>
          <w:color w:val="auto"/>
          <w:sz w:val="24"/>
        </w:rPr>
      </w:pPr>
    </w:p>
    <w:p>
      <w:pPr>
        <w:pStyle w:val="558"/>
        <w:keepNext w:val="0"/>
        <w:keepLines w:val="0"/>
        <w:pageBreakBefore w:val="0"/>
        <w:widowControl w:val="0"/>
        <w:kinsoku/>
        <w:wordWrap/>
        <w:overflowPunct/>
        <w:topLinePunct w:val="0"/>
        <w:autoSpaceDE/>
        <w:autoSpaceDN/>
        <w:bidi w:val="0"/>
        <w:adjustRightInd/>
        <w:snapToGrid/>
        <w:spacing w:after="157" w:afterLines="50" w:line="360" w:lineRule="auto"/>
        <w:ind w:firstLine="482"/>
        <w:textAlignment w:val="auto"/>
        <w:outlineLvl w:val="0"/>
        <w:rPr>
          <w:rFonts w:hint="eastAsia" w:ascii="黑体" w:hAnsi="黑体" w:eastAsia="黑体" w:cs="黑体"/>
          <w:b/>
          <w:bCs/>
          <w:snapToGrid w:val="0"/>
          <w:color w:val="auto"/>
          <w:kern w:val="0"/>
        </w:rPr>
      </w:pPr>
      <w:bookmarkStart w:id="76" w:name="_Toc41075073"/>
      <w:bookmarkStart w:id="77" w:name="_Toc3565285"/>
      <w:bookmarkStart w:id="78" w:name="_Toc27578"/>
      <w:bookmarkStart w:id="79" w:name="_Toc22924"/>
      <w:bookmarkStart w:id="80" w:name="_Toc3317467"/>
      <w:bookmarkStart w:id="81" w:name="_Toc22943"/>
      <w:bookmarkStart w:id="82" w:name="_Toc20198"/>
      <w:bookmarkStart w:id="83" w:name="_Toc28594148"/>
      <w:bookmarkStart w:id="84" w:name="_Toc6197"/>
      <w:bookmarkStart w:id="85" w:name="_Toc3455380"/>
      <w:bookmarkStart w:id="86" w:name="_Toc41303730"/>
      <w:bookmarkStart w:id="87" w:name="_Toc29361"/>
      <w:bookmarkStart w:id="88" w:name="_Toc41155988"/>
      <w:bookmarkStart w:id="89" w:name="_Toc8559"/>
      <w:bookmarkStart w:id="90" w:name="_Toc8139211"/>
      <w:bookmarkStart w:id="91" w:name="_Toc9805"/>
      <w:r>
        <w:rPr>
          <w:rFonts w:hint="eastAsia" w:ascii="黑体" w:hAnsi="黑体" w:eastAsia="黑体" w:cs="黑体"/>
          <w:b/>
          <w:bCs/>
          <w:snapToGrid w:val="0"/>
          <w:color w:val="auto"/>
          <w:kern w:val="0"/>
        </w:rPr>
        <w:t>二、附件</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pPr>
        <w:widowControl w:val="0"/>
        <w:spacing w:line="336" w:lineRule="auto"/>
        <w:ind w:firstLine="480" w:firstLineChars="200"/>
        <w:rPr>
          <w:color w:val="auto"/>
          <w:sz w:val="24"/>
        </w:rPr>
      </w:pPr>
      <w:r>
        <w:rPr>
          <w:color w:val="auto"/>
          <w:sz w:val="24"/>
        </w:rPr>
        <w:t>附件1：环评委托书</w:t>
      </w:r>
    </w:p>
    <w:p>
      <w:pPr>
        <w:widowControl w:val="0"/>
        <w:spacing w:line="336" w:lineRule="auto"/>
        <w:ind w:firstLine="480" w:firstLineChars="200"/>
        <w:rPr>
          <w:rFonts w:hint="default" w:eastAsia="宋体"/>
          <w:color w:val="auto"/>
          <w:sz w:val="24"/>
          <w:lang w:val="en-US" w:eastAsia="zh-CN"/>
        </w:rPr>
      </w:pPr>
      <w:r>
        <w:rPr>
          <w:rFonts w:hint="eastAsia"/>
          <w:color w:val="auto"/>
          <w:sz w:val="24"/>
          <w:lang w:val="en-US" w:eastAsia="zh-CN"/>
        </w:rPr>
        <w:t>附件2：宜都市飞强物流有限公司委托湖北楚新矿业有限公司负责开展《湖北楚新矿业有限公司皮带输送廊道及综合物流码头建设项目（综合物流码头部分）》的所有前期工作的函</w:t>
      </w:r>
    </w:p>
    <w:p>
      <w:pPr>
        <w:widowControl w:val="0"/>
        <w:spacing w:line="336" w:lineRule="auto"/>
        <w:ind w:firstLine="480" w:firstLineChars="200"/>
        <w:rPr>
          <w:rFonts w:hint="default" w:eastAsia="宋体"/>
          <w:color w:val="auto"/>
          <w:sz w:val="24"/>
          <w:lang w:val="en-US" w:eastAsia="zh-CN"/>
        </w:rPr>
      </w:pPr>
      <w:r>
        <w:rPr>
          <w:color w:val="auto"/>
          <w:sz w:val="24"/>
        </w:rPr>
        <w:t>附件</w:t>
      </w:r>
      <w:r>
        <w:rPr>
          <w:rFonts w:hint="eastAsia"/>
          <w:color w:val="auto"/>
          <w:sz w:val="24"/>
          <w:lang w:val="en-US" w:eastAsia="zh-CN"/>
        </w:rPr>
        <w:t>3</w:t>
      </w:r>
      <w:r>
        <w:rPr>
          <w:color w:val="auto"/>
          <w:sz w:val="24"/>
        </w:rPr>
        <w:t>：</w:t>
      </w:r>
      <w:r>
        <w:rPr>
          <w:rFonts w:hint="eastAsia"/>
          <w:color w:val="auto"/>
          <w:sz w:val="24"/>
          <w:lang w:val="en-US" w:eastAsia="zh-CN"/>
        </w:rPr>
        <w:t>关于项目名称说明的函</w:t>
      </w:r>
    </w:p>
    <w:p>
      <w:pPr>
        <w:widowControl w:val="0"/>
        <w:spacing w:line="336" w:lineRule="auto"/>
        <w:ind w:firstLine="480" w:firstLineChars="200"/>
        <w:rPr>
          <w:color w:val="auto"/>
          <w:sz w:val="24"/>
        </w:rPr>
      </w:pPr>
      <w:r>
        <w:rPr>
          <w:color w:val="auto"/>
          <w:sz w:val="24"/>
        </w:rPr>
        <w:t>附件</w:t>
      </w:r>
      <w:r>
        <w:rPr>
          <w:rFonts w:hint="eastAsia"/>
          <w:color w:val="auto"/>
          <w:sz w:val="24"/>
          <w:lang w:val="en-US" w:eastAsia="zh-CN"/>
        </w:rPr>
        <w:t>4</w:t>
      </w:r>
      <w:r>
        <w:rPr>
          <w:color w:val="auto"/>
          <w:sz w:val="24"/>
        </w:rPr>
        <w:t>：项目备案证</w:t>
      </w:r>
    </w:p>
    <w:p>
      <w:pPr>
        <w:widowControl w:val="0"/>
        <w:spacing w:line="336" w:lineRule="auto"/>
        <w:ind w:firstLine="480" w:firstLineChars="200"/>
        <w:rPr>
          <w:rFonts w:hint="eastAsia" w:eastAsia="宋体"/>
          <w:color w:val="auto"/>
          <w:sz w:val="24"/>
          <w:lang w:eastAsia="zh-CN"/>
        </w:rPr>
      </w:pPr>
      <w:r>
        <w:rPr>
          <w:color w:val="auto"/>
          <w:sz w:val="24"/>
        </w:rPr>
        <w:t>附件</w:t>
      </w:r>
      <w:r>
        <w:rPr>
          <w:rFonts w:hint="eastAsia"/>
          <w:color w:val="auto"/>
          <w:sz w:val="24"/>
          <w:lang w:val="en-US" w:eastAsia="zh-CN"/>
        </w:rPr>
        <w:t>5</w:t>
      </w:r>
      <w:r>
        <w:rPr>
          <w:color w:val="auto"/>
          <w:sz w:val="24"/>
        </w:rPr>
        <w:t>：项目</w:t>
      </w:r>
      <w:r>
        <w:rPr>
          <w:rFonts w:hint="eastAsia"/>
          <w:color w:val="auto"/>
          <w:sz w:val="24"/>
          <w:lang w:val="en-US" w:eastAsia="zh-CN"/>
        </w:rPr>
        <w:t>营业执照</w:t>
      </w:r>
    </w:p>
    <w:p>
      <w:pPr>
        <w:widowControl w:val="0"/>
        <w:spacing w:line="336" w:lineRule="auto"/>
        <w:ind w:firstLine="480" w:firstLineChars="200"/>
        <w:rPr>
          <w:rFonts w:hint="default"/>
          <w:color w:val="auto"/>
          <w:sz w:val="24"/>
          <w:lang w:val="en-US" w:eastAsia="zh-CN"/>
        </w:rPr>
      </w:pPr>
      <w:r>
        <w:rPr>
          <w:color w:val="auto"/>
          <w:sz w:val="24"/>
        </w:rPr>
        <w:t>附件</w:t>
      </w:r>
      <w:r>
        <w:rPr>
          <w:rFonts w:hint="eastAsia"/>
          <w:color w:val="auto"/>
          <w:sz w:val="24"/>
          <w:lang w:val="en-US" w:eastAsia="zh-CN"/>
        </w:rPr>
        <w:t>6</w:t>
      </w:r>
      <w:r>
        <w:rPr>
          <w:color w:val="auto"/>
          <w:sz w:val="24"/>
        </w:rPr>
        <w:t>：</w:t>
      </w:r>
      <w:r>
        <w:rPr>
          <w:rFonts w:hint="eastAsia"/>
          <w:color w:val="auto"/>
          <w:sz w:val="24"/>
          <w:lang w:val="en-US" w:eastAsia="zh-CN"/>
        </w:rPr>
        <w:t>宜都市交通运输局，都交审批[2023]9号，《关于启动飞强物流港口码头设施设备技术改造工作》的批复</w:t>
      </w:r>
    </w:p>
    <w:p>
      <w:pPr>
        <w:widowControl w:val="0"/>
        <w:spacing w:line="336" w:lineRule="auto"/>
        <w:ind w:firstLine="480" w:firstLineChars="200"/>
        <w:jc w:val="both"/>
        <w:rPr>
          <w:rFonts w:hint="default" w:eastAsia="宋体"/>
          <w:color w:val="auto"/>
          <w:sz w:val="24"/>
          <w:lang w:val="en-US" w:eastAsia="zh-CN"/>
        </w:rPr>
      </w:pPr>
      <w:r>
        <w:rPr>
          <w:color w:val="auto"/>
          <w:sz w:val="24"/>
        </w:rPr>
        <w:t>附件</w:t>
      </w:r>
      <w:r>
        <w:rPr>
          <w:rFonts w:hint="eastAsia"/>
          <w:color w:val="auto"/>
          <w:sz w:val="24"/>
          <w:lang w:val="en-US" w:eastAsia="zh-CN"/>
        </w:rPr>
        <w:t>7</w:t>
      </w:r>
      <w:r>
        <w:rPr>
          <w:color w:val="auto"/>
          <w:sz w:val="24"/>
        </w:rPr>
        <w:t>：</w:t>
      </w:r>
      <w:r>
        <w:rPr>
          <w:rFonts w:hint="eastAsia"/>
          <w:color w:val="auto"/>
          <w:sz w:val="24"/>
          <w:lang w:val="en-US" w:eastAsia="zh-CN"/>
        </w:rPr>
        <w:t>交通运输部，交规划函[2020]276号，关于《宜昌港总体规划（2035年）》的批复</w:t>
      </w:r>
    </w:p>
    <w:p>
      <w:pPr>
        <w:widowControl w:val="0"/>
        <w:spacing w:line="336" w:lineRule="auto"/>
        <w:ind w:firstLine="480" w:firstLineChars="200"/>
        <w:jc w:val="both"/>
        <w:rPr>
          <w:rFonts w:hint="default" w:eastAsia="宋体"/>
          <w:color w:val="auto"/>
          <w:sz w:val="24"/>
          <w:lang w:val="en-US" w:eastAsia="zh-CN"/>
        </w:rPr>
      </w:pPr>
      <w:r>
        <w:rPr>
          <w:color w:val="auto"/>
          <w:sz w:val="24"/>
        </w:rPr>
        <w:t>附件</w:t>
      </w:r>
      <w:r>
        <w:rPr>
          <w:rFonts w:hint="eastAsia"/>
          <w:color w:val="auto"/>
          <w:sz w:val="24"/>
          <w:lang w:val="en-US" w:eastAsia="zh-CN"/>
        </w:rPr>
        <w:t>8</w:t>
      </w:r>
      <w:r>
        <w:rPr>
          <w:color w:val="auto"/>
          <w:sz w:val="24"/>
        </w:rPr>
        <w:t>：</w:t>
      </w:r>
      <w:r>
        <w:rPr>
          <w:rFonts w:hint="eastAsia"/>
          <w:color w:val="auto"/>
          <w:sz w:val="24"/>
          <w:lang w:val="en-US" w:eastAsia="zh-CN"/>
        </w:rPr>
        <w:t>生态环境部，环审[2019]122号，关于《宜昌港总体规划修订》（2018-2035年）环境影响报告书》的审查意见</w:t>
      </w:r>
    </w:p>
    <w:p>
      <w:pPr>
        <w:widowControl w:val="0"/>
        <w:spacing w:line="336" w:lineRule="auto"/>
        <w:ind w:firstLine="480" w:firstLineChars="200"/>
        <w:rPr>
          <w:color w:val="auto"/>
          <w:sz w:val="24"/>
        </w:rPr>
      </w:pPr>
      <w:r>
        <w:rPr>
          <w:color w:val="auto"/>
          <w:sz w:val="24"/>
        </w:rPr>
        <w:t>附件</w:t>
      </w:r>
      <w:r>
        <w:rPr>
          <w:rFonts w:hint="eastAsia"/>
          <w:color w:val="auto"/>
          <w:sz w:val="24"/>
          <w:lang w:val="en-US" w:eastAsia="zh-CN"/>
        </w:rPr>
        <w:t>9</w:t>
      </w:r>
      <w:r>
        <w:rPr>
          <w:color w:val="auto"/>
          <w:sz w:val="24"/>
        </w:rPr>
        <w:t>：</w:t>
      </w:r>
      <w:r>
        <w:rPr>
          <w:rFonts w:hint="eastAsia"/>
          <w:color w:val="auto"/>
          <w:sz w:val="24"/>
          <w:lang w:val="en-US" w:eastAsia="zh-CN"/>
        </w:rPr>
        <w:t>原环评批复</w:t>
      </w:r>
    </w:p>
    <w:p>
      <w:pPr>
        <w:widowControl w:val="0"/>
        <w:spacing w:line="336" w:lineRule="auto"/>
        <w:ind w:firstLine="480" w:firstLineChars="200"/>
        <w:rPr>
          <w:rFonts w:hint="default" w:eastAsia="宋体"/>
          <w:color w:val="auto"/>
          <w:sz w:val="24"/>
          <w:lang w:val="en-US" w:eastAsia="zh-CN"/>
        </w:rPr>
      </w:pPr>
      <w:r>
        <w:rPr>
          <w:rFonts w:hint="eastAsia"/>
          <w:color w:val="auto"/>
          <w:sz w:val="24"/>
          <w:lang w:val="en-US" w:eastAsia="zh-CN"/>
        </w:rPr>
        <w:t>附件10：宜都市交通运输局，都交审批[2023]22号，《关于宜昌港宜都港区枝城作业区飞强物流码头技改工程初步设计》的批复</w:t>
      </w:r>
    </w:p>
    <w:p>
      <w:pPr>
        <w:widowControl w:val="0"/>
        <w:spacing w:line="336" w:lineRule="auto"/>
        <w:ind w:firstLine="480" w:firstLineChars="200"/>
        <w:rPr>
          <w:rFonts w:hint="eastAsia"/>
          <w:color w:val="auto"/>
          <w:sz w:val="24"/>
        </w:rPr>
      </w:pPr>
      <w:r>
        <w:rPr>
          <w:color w:val="auto"/>
          <w:sz w:val="24"/>
        </w:rPr>
        <w:t>附件</w:t>
      </w:r>
      <w:r>
        <w:rPr>
          <w:rFonts w:hint="eastAsia"/>
          <w:color w:val="auto"/>
          <w:sz w:val="24"/>
          <w:lang w:val="en-US" w:eastAsia="zh-CN"/>
        </w:rPr>
        <w:t>11</w:t>
      </w:r>
      <w:r>
        <w:rPr>
          <w:color w:val="auto"/>
          <w:sz w:val="24"/>
        </w:rPr>
        <w:t>：</w:t>
      </w:r>
      <w:r>
        <w:rPr>
          <w:rFonts w:hint="eastAsia"/>
          <w:color w:val="auto"/>
          <w:sz w:val="24"/>
          <w:lang w:val="en-US" w:eastAsia="zh-CN"/>
        </w:rPr>
        <w:t>大气、</w:t>
      </w:r>
      <w:r>
        <w:rPr>
          <w:rFonts w:hint="eastAsia"/>
          <w:color w:val="auto"/>
          <w:sz w:val="24"/>
        </w:rPr>
        <w:t>地表水、</w:t>
      </w:r>
      <w:r>
        <w:rPr>
          <w:color w:val="auto"/>
          <w:sz w:val="24"/>
        </w:rPr>
        <w:t>噪声环境质量现状监测报告</w:t>
      </w:r>
    </w:p>
    <w:p>
      <w:pPr>
        <w:widowControl w:val="0"/>
        <w:spacing w:line="336" w:lineRule="auto"/>
        <w:rPr>
          <w:rFonts w:eastAsia="仿宋_GB2312"/>
          <w:color w:val="auto"/>
          <w:sz w:val="24"/>
        </w:rPr>
      </w:pPr>
    </w:p>
    <w:p>
      <w:pPr>
        <w:pStyle w:val="558"/>
        <w:keepNext w:val="0"/>
        <w:keepLines w:val="0"/>
        <w:pageBreakBefore w:val="0"/>
        <w:widowControl w:val="0"/>
        <w:kinsoku/>
        <w:wordWrap/>
        <w:overflowPunct/>
        <w:topLinePunct w:val="0"/>
        <w:autoSpaceDE/>
        <w:autoSpaceDN/>
        <w:bidi w:val="0"/>
        <w:adjustRightInd/>
        <w:snapToGrid/>
        <w:spacing w:after="157" w:afterLines="50" w:line="360" w:lineRule="auto"/>
        <w:ind w:firstLine="482"/>
        <w:textAlignment w:val="auto"/>
        <w:outlineLvl w:val="0"/>
        <w:rPr>
          <w:rFonts w:hint="eastAsia" w:ascii="黑体" w:hAnsi="黑体" w:eastAsia="黑体" w:cs="黑体"/>
          <w:b/>
          <w:bCs/>
          <w:snapToGrid w:val="0"/>
          <w:color w:val="auto"/>
          <w:kern w:val="0"/>
        </w:rPr>
      </w:pPr>
      <w:bookmarkStart w:id="92" w:name="_Toc10166"/>
      <w:bookmarkStart w:id="93" w:name="_Toc3565286"/>
      <w:bookmarkStart w:id="94" w:name="_Toc3317468"/>
      <w:bookmarkStart w:id="95" w:name="_Toc8805"/>
      <w:bookmarkStart w:id="96" w:name="_Toc3455381"/>
      <w:bookmarkStart w:id="97" w:name="_Toc41155989"/>
      <w:bookmarkStart w:id="98" w:name="_Toc8139212"/>
      <w:bookmarkStart w:id="99" w:name="_Toc23145"/>
      <w:bookmarkStart w:id="100" w:name="_Toc26693"/>
      <w:bookmarkStart w:id="101" w:name="_Toc41303731"/>
      <w:bookmarkStart w:id="102" w:name="_Toc17595"/>
      <w:bookmarkStart w:id="103" w:name="_Toc41075074"/>
      <w:bookmarkStart w:id="104" w:name="_Toc2751"/>
      <w:bookmarkStart w:id="105" w:name="_Toc13312"/>
      <w:bookmarkStart w:id="106" w:name="_Toc28594149"/>
      <w:bookmarkStart w:id="107" w:name="_Toc7269"/>
      <w:r>
        <w:rPr>
          <w:rFonts w:hint="eastAsia" w:ascii="黑体" w:hAnsi="黑体" w:eastAsia="黑体" w:cs="黑体"/>
          <w:b/>
          <w:bCs/>
          <w:snapToGrid w:val="0"/>
          <w:color w:val="auto"/>
          <w:kern w:val="0"/>
        </w:rPr>
        <w:t>三、附表</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pPr>
        <w:widowControl w:val="0"/>
        <w:spacing w:line="336" w:lineRule="auto"/>
        <w:ind w:firstLine="480" w:firstLineChars="200"/>
        <w:rPr>
          <w:rFonts w:hint="eastAsia"/>
          <w:color w:val="auto"/>
          <w:sz w:val="24"/>
        </w:rPr>
      </w:pPr>
      <w:r>
        <w:rPr>
          <w:rFonts w:hint="eastAsia"/>
          <w:color w:val="auto"/>
          <w:sz w:val="24"/>
        </w:rPr>
        <w:t>附表1</w:t>
      </w:r>
      <w:r>
        <w:rPr>
          <w:color w:val="auto"/>
          <w:sz w:val="24"/>
        </w:rPr>
        <w:t>：</w:t>
      </w:r>
      <w:r>
        <w:rPr>
          <w:rFonts w:hint="eastAsia"/>
          <w:color w:val="auto"/>
          <w:sz w:val="24"/>
        </w:rPr>
        <w:t>大气环境影响评价自查表</w:t>
      </w:r>
    </w:p>
    <w:p>
      <w:pPr>
        <w:widowControl w:val="0"/>
        <w:spacing w:line="336" w:lineRule="auto"/>
        <w:ind w:firstLine="480" w:firstLineChars="200"/>
        <w:rPr>
          <w:rFonts w:hint="eastAsia"/>
          <w:color w:val="auto"/>
          <w:sz w:val="24"/>
        </w:rPr>
      </w:pPr>
      <w:r>
        <w:rPr>
          <w:rFonts w:hint="eastAsia"/>
          <w:color w:val="auto"/>
          <w:sz w:val="24"/>
        </w:rPr>
        <w:t>附表2</w:t>
      </w:r>
      <w:r>
        <w:rPr>
          <w:color w:val="auto"/>
          <w:sz w:val="24"/>
        </w:rPr>
        <w:t>：</w:t>
      </w:r>
      <w:r>
        <w:rPr>
          <w:rFonts w:hint="eastAsia"/>
          <w:color w:val="auto"/>
          <w:sz w:val="24"/>
        </w:rPr>
        <w:t>地表水环境影响评价自查表</w:t>
      </w:r>
    </w:p>
    <w:p>
      <w:pPr>
        <w:widowControl w:val="0"/>
        <w:spacing w:line="336" w:lineRule="auto"/>
        <w:ind w:firstLine="480" w:firstLineChars="200"/>
        <w:rPr>
          <w:rFonts w:hint="default" w:eastAsia="宋体"/>
          <w:color w:val="auto"/>
          <w:sz w:val="24"/>
          <w:lang w:val="en-US" w:eastAsia="zh-CN"/>
        </w:rPr>
      </w:pPr>
      <w:r>
        <w:rPr>
          <w:rFonts w:hint="eastAsia"/>
          <w:color w:val="auto"/>
          <w:sz w:val="24"/>
          <w:lang w:val="en-US" w:eastAsia="zh-CN"/>
        </w:rPr>
        <w:t>附表3：声</w:t>
      </w:r>
      <w:r>
        <w:rPr>
          <w:rFonts w:hint="eastAsia"/>
          <w:color w:val="auto"/>
          <w:sz w:val="24"/>
        </w:rPr>
        <w:t>环境影响评价自查表</w:t>
      </w:r>
    </w:p>
    <w:p>
      <w:pPr>
        <w:widowControl w:val="0"/>
        <w:spacing w:line="336" w:lineRule="auto"/>
        <w:ind w:firstLine="480" w:firstLineChars="200"/>
        <w:rPr>
          <w:rFonts w:hint="eastAsia"/>
          <w:color w:val="auto"/>
          <w:sz w:val="24"/>
        </w:rPr>
      </w:pPr>
      <w:r>
        <w:rPr>
          <w:rFonts w:hint="eastAsia"/>
          <w:color w:val="auto"/>
          <w:sz w:val="24"/>
        </w:rPr>
        <w:t>附表</w:t>
      </w:r>
      <w:r>
        <w:rPr>
          <w:rFonts w:hint="eastAsia"/>
          <w:color w:val="auto"/>
          <w:sz w:val="24"/>
          <w:lang w:val="en-US" w:eastAsia="zh-CN"/>
        </w:rPr>
        <w:t>4</w:t>
      </w:r>
      <w:r>
        <w:rPr>
          <w:color w:val="auto"/>
          <w:sz w:val="24"/>
        </w:rPr>
        <w:t>：</w:t>
      </w:r>
      <w:r>
        <w:rPr>
          <w:rFonts w:hint="eastAsia"/>
          <w:color w:val="auto"/>
          <w:sz w:val="24"/>
        </w:rPr>
        <w:t>环境风险简单分析内容表</w:t>
      </w:r>
    </w:p>
    <w:p>
      <w:pPr>
        <w:widowControl w:val="0"/>
        <w:spacing w:line="336"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附表5：生态环境影响评价自查表</w:t>
      </w:r>
    </w:p>
    <w:p>
      <w:pPr>
        <w:widowControl w:val="0"/>
        <w:spacing w:line="336" w:lineRule="auto"/>
        <w:ind w:firstLine="480" w:firstLineChars="200"/>
        <w:rPr>
          <w:rFonts w:hint="eastAsia"/>
          <w:color w:val="auto"/>
          <w:sz w:val="24"/>
        </w:rPr>
      </w:pPr>
      <w:r>
        <w:rPr>
          <w:rFonts w:hint="eastAsia"/>
          <w:color w:val="auto"/>
          <w:sz w:val="24"/>
        </w:rPr>
        <w:t>附表</w:t>
      </w:r>
      <w:r>
        <w:rPr>
          <w:rFonts w:hint="eastAsia"/>
          <w:color w:val="auto"/>
          <w:sz w:val="24"/>
          <w:lang w:val="en-US" w:eastAsia="zh-CN"/>
        </w:rPr>
        <w:t>:6</w:t>
      </w:r>
      <w:r>
        <w:rPr>
          <w:color w:val="auto"/>
          <w:sz w:val="24"/>
        </w:rPr>
        <w:t>：</w:t>
      </w:r>
      <w:r>
        <w:rPr>
          <w:rFonts w:hint="eastAsia"/>
          <w:color w:val="auto"/>
          <w:sz w:val="24"/>
        </w:rPr>
        <w:t>建设项目</w:t>
      </w:r>
      <w:r>
        <w:rPr>
          <w:rFonts w:hint="eastAsia"/>
          <w:color w:val="auto"/>
          <w:sz w:val="24"/>
          <w:lang w:val="en-US" w:eastAsia="zh-CN"/>
        </w:rPr>
        <w:t>环境影响报告书</w:t>
      </w:r>
      <w:r>
        <w:rPr>
          <w:rFonts w:hint="eastAsia"/>
          <w:color w:val="auto"/>
          <w:sz w:val="24"/>
        </w:rPr>
        <w:t>审批基础信息表</w:t>
      </w:r>
    </w:p>
    <w:p>
      <w:pPr>
        <w:widowControl w:val="0"/>
        <w:spacing w:line="360" w:lineRule="auto"/>
        <w:rPr>
          <w:color w:val="auto"/>
          <w:sz w:val="28"/>
        </w:rPr>
        <w:sectPr>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pPr>
        <w:widowControl w:val="0"/>
        <w:spacing w:before="240" w:after="240" w:line="360" w:lineRule="auto"/>
        <w:jc w:val="center"/>
        <w:outlineLvl w:val="0"/>
        <w:rPr>
          <w:rFonts w:eastAsia="黑体"/>
          <w:color w:val="auto"/>
          <w:sz w:val="44"/>
          <w:szCs w:val="44"/>
        </w:rPr>
      </w:pPr>
      <w:bookmarkStart w:id="108" w:name="_Toc12331"/>
      <w:r>
        <w:rPr>
          <w:rFonts w:eastAsia="黑体"/>
          <w:color w:val="auto"/>
          <w:sz w:val="44"/>
          <w:szCs w:val="44"/>
        </w:rPr>
        <w:t>概  述</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108"/>
    </w:p>
    <w:p>
      <w:pPr>
        <w:widowControl w:val="0"/>
        <w:spacing w:line="360" w:lineRule="auto"/>
        <w:ind w:firstLine="482" w:firstLineChars="200"/>
        <w:jc w:val="both"/>
        <w:outlineLvl w:val="1"/>
        <w:rPr>
          <w:rFonts w:eastAsia="仿宋_GB2312"/>
          <w:b/>
          <w:color w:val="auto"/>
          <w:sz w:val="24"/>
          <w:u w:val="single"/>
        </w:rPr>
      </w:pPr>
      <w:bookmarkStart w:id="109" w:name="_Toc3455372"/>
      <w:bookmarkStart w:id="110" w:name="_Toc243"/>
      <w:bookmarkStart w:id="111" w:name="_Toc531189381"/>
      <w:bookmarkStart w:id="112" w:name="_Toc41155981"/>
      <w:bookmarkStart w:id="113" w:name="_Toc16297"/>
      <w:bookmarkStart w:id="114" w:name="_Toc41303723"/>
      <w:bookmarkStart w:id="115" w:name="_Toc4492"/>
      <w:bookmarkStart w:id="116" w:name="_Toc28594141"/>
      <w:bookmarkStart w:id="117" w:name="_Toc3317459"/>
      <w:bookmarkStart w:id="118" w:name="_Toc41075066"/>
      <w:bookmarkStart w:id="119" w:name="_Toc3565277"/>
      <w:bookmarkStart w:id="120" w:name="_Toc8139203"/>
      <w:bookmarkStart w:id="121" w:name="_Toc2032"/>
      <w:bookmarkStart w:id="122" w:name="_Toc15840"/>
      <w:bookmarkStart w:id="123" w:name="_Toc15378"/>
      <w:r>
        <w:rPr>
          <w:rFonts w:hint="eastAsia" w:ascii="Times New Roman" w:hAnsi="Times New Roman" w:eastAsia="仿宋_GB2312" w:cs="Times New Roman"/>
          <w:b/>
          <w:color w:val="auto"/>
          <w:sz w:val="24"/>
          <w:u w:val="single"/>
        </w:rPr>
        <w:t>一</w:t>
      </w:r>
      <w:r>
        <w:rPr>
          <w:rFonts w:hint="eastAsia" w:ascii="宋体" w:hAnsi="宋体" w:cs="宋体"/>
          <w:b/>
          <w:color w:val="auto"/>
          <w:sz w:val="24"/>
          <w:u w:val="single"/>
        </w:rPr>
        <w:t>、</w:t>
      </w:r>
      <w:r>
        <w:rPr>
          <w:rFonts w:eastAsia="仿宋_GB2312"/>
          <w:b/>
          <w:color w:val="auto"/>
          <w:sz w:val="24"/>
          <w:u w:val="single"/>
        </w:rPr>
        <w:t>工程建设背景</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本次技改</w:t>
      </w:r>
      <w:r>
        <w:rPr>
          <w:rFonts w:hint="eastAsia" w:eastAsia="仿宋_GB2312"/>
          <w:color w:val="auto"/>
          <w:sz w:val="24"/>
        </w:rPr>
        <w:t>码头位于宜昌市宜昌港宜都港区枝城作业区</w:t>
      </w:r>
      <w:r>
        <w:rPr>
          <w:rFonts w:hint="eastAsia" w:eastAsia="仿宋_GB2312"/>
          <w:color w:val="auto"/>
          <w:sz w:val="24"/>
          <w:lang w:val="en-US" w:eastAsia="zh-CN"/>
        </w:rPr>
        <w:t>关洲水道右岸</w:t>
      </w:r>
      <w:r>
        <w:rPr>
          <w:rFonts w:hint="eastAsia" w:eastAsia="仿宋_GB2312"/>
          <w:color w:val="auto"/>
          <w:sz w:val="24"/>
        </w:rPr>
        <w:t>，</w:t>
      </w:r>
      <w:r>
        <w:rPr>
          <w:rFonts w:hint="eastAsia" w:eastAsia="仿宋_GB2312"/>
          <w:color w:val="auto"/>
          <w:sz w:val="24"/>
          <w:lang w:val="en-US" w:eastAsia="zh-CN"/>
        </w:rPr>
        <w:t>距离</w:t>
      </w:r>
      <w:r>
        <w:rPr>
          <w:rFonts w:hint="eastAsia" w:eastAsia="仿宋_GB2312"/>
          <w:color w:val="auto"/>
          <w:sz w:val="24"/>
        </w:rPr>
        <w:t>枝城长江大桥下游约</w:t>
      </w:r>
      <w:r>
        <w:rPr>
          <w:rFonts w:hint="eastAsia" w:eastAsia="仿宋_GB2312"/>
          <w:color w:val="auto"/>
          <w:sz w:val="24"/>
          <w:lang w:val="en-US" w:eastAsia="zh-CN"/>
        </w:rPr>
        <w:t>5</w:t>
      </w:r>
      <w:r>
        <w:rPr>
          <w:rFonts w:hint="eastAsia" w:eastAsia="仿宋_GB2312"/>
          <w:color w:val="auto"/>
          <w:sz w:val="24"/>
        </w:rPr>
        <w:t>km，</w:t>
      </w:r>
      <w:r>
        <w:rPr>
          <w:rFonts w:hint="eastAsia" w:eastAsia="仿宋_GB2312"/>
          <w:color w:val="auto"/>
          <w:sz w:val="24"/>
          <w:lang w:val="en-US" w:eastAsia="zh-CN"/>
        </w:rPr>
        <w:t>宜都城区上游约15km，</w:t>
      </w:r>
      <w:r>
        <w:rPr>
          <w:rFonts w:hint="eastAsia" w:eastAsia="仿宋_GB2312"/>
          <w:color w:val="auto"/>
          <w:sz w:val="24"/>
        </w:rPr>
        <w:t>码头中心位于长江中游航道里程约</w:t>
      </w:r>
      <w:r>
        <w:rPr>
          <w:rFonts w:hint="eastAsia" w:eastAsia="仿宋_GB2312"/>
          <w:color w:val="auto"/>
          <w:sz w:val="24"/>
          <w:lang w:val="en-US" w:eastAsia="zh-CN"/>
        </w:rPr>
        <w:t>562.9</w:t>
      </w:r>
      <w:r>
        <w:rPr>
          <w:rFonts w:hint="eastAsia" w:eastAsia="仿宋_GB2312"/>
          <w:color w:val="auto"/>
          <w:sz w:val="24"/>
        </w:rPr>
        <w:t>km处。码头占用水域岸线长</w:t>
      </w:r>
      <w:r>
        <w:rPr>
          <w:rFonts w:hint="eastAsia" w:eastAsia="仿宋_GB2312"/>
          <w:color w:val="auto"/>
          <w:sz w:val="24"/>
          <w:lang w:val="en-US" w:eastAsia="zh-CN"/>
        </w:rPr>
        <w:t>248</w:t>
      </w:r>
      <w:r>
        <w:rPr>
          <w:rFonts w:hint="eastAsia" w:ascii="Times New Roman" w:hAnsi="Times New Roman" w:eastAsia="仿宋_GB2312" w:cs="Times New Roman"/>
          <w:color w:val="auto"/>
          <w:sz w:val="24"/>
        </w:rPr>
        <w:t>m，其上下游分别与</w:t>
      </w:r>
      <w:r>
        <w:rPr>
          <w:rFonts w:hint="eastAsia" w:ascii="Times New Roman" w:hAnsi="Times New Roman" w:eastAsia="仿宋_GB2312" w:cs="Times New Roman"/>
          <w:color w:val="auto"/>
          <w:sz w:val="24"/>
          <w:lang w:val="en-US" w:eastAsia="zh-CN"/>
        </w:rPr>
        <w:t>石柱垃圾企业专用泊位</w:t>
      </w:r>
      <w:r>
        <w:rPr>
          <w:rFonts w:hint="eastAsia" w:ascii="Times New Roman" w:hAnsi="Times New Roman" w:eastAsia="仿宋_GB2312" w:cs="Times New Roman"/>
          <w:color w:val="auto"/>
          <w:sz w:val="24"/>
        </w:rPr>
        <w:t>和</w:t>
      </w:r>
      <w:r>
        <w:rPr>
          <w:rFonts w:hint="eastAsia" w:ascii="Times New Roman" w:hAnsi="Times New Roman" w:eastAsia="仿宋_GB2312" w:cs="Times New Roman"/>
          <w:color w:val="auto"/>
          <w:sz w:val="24"/>
          <w:lang w:val="en-US" w:eastAsia="zh-CN"/>
        </w:rPr>
        <w:t>湖北储备物资管理局九三五处</w:t>
      </w:r>
      <w:r>
        <w:rPr>
          <w:rFonts w:hint="eastAsia" w:ascii="Times New Roman" w:hAnsi="Times New Roman" w:eastAsia="仿宋_GB2312" w:cs="Times New Roman"/>
          <w:color w:val="auto"/>
          <w:sz w:val="24"/>
        </w:rPr>
        <w:t>码头相邻，间距分别为</w:t>
      </w:r>
      <w:r>
        <w:rPr>
          <w:rFonts w:hint="eastAsia" w:ascii="Times New Roman" w:hAnsi="Times New Roman" w:eastAsia="仿宋_GB2312" w:cs="Times New Roman"/>
          <w:color w:val="auto"/>
          <w:sz w:val="24"/>
          <w:lang w:val="en-US" w:eastAsia="zh-CN"/>
        </w:rPr>
        <w:t>496</w:t>
      </w:r>
      <w:r>
        <w:rPr>
          <w:rFonts w:hint="eastAsia" w:ascii="Times New Roman" w:hAnsi="Times New Roman" w:eastAsia="仿宋_GB2312" w:cs="Times New Roman"/>
          <w:color w:val="auto"/>
          <w:sz w:val="24"/>
        </w:rPr>
        <w:t>m和</w:t>
      </w:r>
      <w:r>
        <w:rPr>
          <w:rFonts w:hint="eastAsia" w:ascii="Times New Roman" w:hAnsi="Times New Roman" w:eastAsia="仿宋_GB2312" w:cs="Times New Roman"/>
          <w:color w:val="auto"/>
          <w:sz w:val="24"/>
          <w:lang w:val="en-US" w:eastAsia="zh-CN"/>
        </w:rPr>
        <w:t>470</w:t>
      </w:r>
      <w:r>
        <w:rPr>
          <w:rFonts w:hint="eastAsia" w:ascii="Times New Roman" w:hAnsi="Times New Roman" w:eastAsia="仿宋_GB2312" w:cs="Times New Roman"/>
          <w:color w:val="auto"/>
          <w:sz w:val="24"/>
        </w:rPr>
        <w:t>m。</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为贯彻落实我国推动长江经济带高质量发展的要求，深刻领会习近平总书记提出“共抓大保护、不搞大开发”等关于长江经济带建设的一系列重要指示和讲话的精神，湖北省委、省政府高度重视长江岸线的保护工作，先后颁布多项文件，加强岸线资源的管理和控制，维护长江生态安全。</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val="en-US" w:eastAsia="zh-CN"/>
        </w:rPr>
        <w:t>原</w:t>
      </w:r>
      <w:r>
        <w:rPr>
          <w:rFonts w:hint="eastAsia" w:eastAsia="仿宋_GB2312"/>
          <w:color w:val="auto"/>
          <w:sz w:val="24"/>
        </w:rPr>
        <w:t>宜都市飞强物流</w:t>
      </w:r>
      <w:r>
        <w:rPr>
          <w:rFonts w:hint="eastAsia" w:eastAsia="仿宋_GB2312"/>
          <w:color w:val="auto"/>
          <w:sz w:val="24"/>
          <w:lang w:val="en-US" w:eastAsia="zh-CN"/>
        </w:rPr>
        <w:t>有限公司</w:t>
      </w:r>
      <w:r>
        <w:rPr>
          <w:rFonts w:hint="eastAsia" w:eastAsia="仿宋_GB2312"/>
          <w:color w:val="auto"/>
          <w:sz w:val="24"/>
        </w:rPr>
        <w:t>于2017年</w:t>
      </w:r>
      <w:r>
        <w:rPr>
          <w:rFonts w:hint="eastAsia" w:eastAsia="仿宋_GB2312"/>
          <w:color w:val="auto"/>
          <w:sz w:val="24"/>
          <w:lang w:val="en-US" w:eastAsia="zh-CN"/>
        </w:rPr>
        <w:t>委托中环国评（北京）科技有限公司对《宜都市飞强物流码头项目》</w:t>
      </w:r>
      <w:r>
        <w:rPr>
          <w:rFonts w:hint="eastAsia" w:eastAsia="仿宋_GB2312"/>
          <w:color w:val="auto"/>
          <w:sz w:val="24"/>
        </w:rPr>
        <w:t>已进行过环境影响</w:t>
      </w:r>
      <w:r>
        <w:rPr>
          <w:rFonts w:hint="eastAsia" w:eastAsia="仿宋_GB2312"/>
          <w:color w:val="auto"/>
          <w:sz w:val="24"/>
          <w:lang w:val="en-US" w:eastAsia="zh-CN"/>
        </w:rPr>
        <w:t>报告表的</w:t>
      </w:r>
      <w:r>
        <w:rPr>
          <w:rFonts w:hint="eastAsia" w:eastAsia="仿宋_GB2312"/>
          <w:color w:val="auto"/>
          <w:sz w:val="24"/>
        </w:rPr>
        <w:t>现状评价，并获得原宜都市环境保护局关于本项目环境影响报告表的备案意见，文号为都环保函</w:t>
      </w:r>
      <w:r>
        <w:rPr>
          <w:rFonts w:hint="eastAsia" w:eastAsia="仿宋_GB2312"/>
          <w:color w:val="auto"/>
          <w:sz w:val="24"/>
          <w:lang w:eastAsia="zh-CN"/>
        </w:rPr>
        <w:t>【</w:t>
      </w:r>
      <w:r>
        <w:rPr>
          <w:rFonts w:hint="eastAsia" w:eastAsia="仿宋_GB2312"/>
          <w:color w:val="auto"/>
          <w:sz w:val="24"/>
        </w:rPr>
        <w:t>2017</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92号，项目建设2个泊位，每个泊位吨级数为800吨，设计吞吐量为</w:t>
      </w:r>
      <w:r>
        <w:rPr>
          <w:rFonts w:hint="eastAsia" w:ascii="Times New Roman" w:hAnsi="Times New Roman" w:eastAsia="仿宋_GB2312" w:cs="Times New Roman"/>
          <w:color w:val="auto"/>
          <w:sz w:val="24"/>
          <w:lang w:val="en-US" w:eastAsia="zh-CN"/>
        </w:rPr>
        <w:t>10</w:t>
      </w:r>
      <w:r>
        <w:rPr>
          <w:rFonts w:hint="eastAsia" w:ascii="Times New Roman" w:hAnsi="Times New Roman" w:eastAsia="仿宋_GB2312" w:cs="Times New Roman"/>
          <w:color w:val="auto"/>
          <w:sz w:val="24"/>
        </w:rPr>
        <w:t>万吨</w:t>
      </w:r>
      <w:r>
        <w:rPr>
          <w:rFonts w:hint="eastAsia" w:ascii="Times New Roman" w:hAnsi="Times New Roman" w:eastAsia="仿宋_GB2312" w:cs="Times New Roman"/>
          <w:color w:val="auto"/>
          <w:sz w:val="24"/>
          <w:lang w:val="en-US" w:eastAsia="zh-CN"/>
        </w:rPr>
        <w:t>/年</w:t>
      </w:r>
      <w:r>
        <w:rPr>
          <w:rFonts w:hint="eastAsia" w:ascii="Times New Roman" w:hAnsi="Times New Roman" w:eastAsia="仿宋_GB2312" w:cs="Times New Roman"/>
          <w:color w:val="auto"/>
          <w:sz w:val="24"/>
        </w:rPr>
        <w:t>。取得</w:t>
      </w:r>
      <w:r>
        <w:rPr>
          <w:rFonts w:hint="eastAsia" w:eastAsia="仿宋_GB2312" w:cs="Times New Roman"/>
          <w:color w:val="auto"/>
          <w:sz w:val="24"/>
          <w:lang w:val="en-US" w:eastAsia="zh-CN"/>
        </w:rPr>
        <w:t>备案</w:t>
      </w:r>
      <w:r>
        <w:rPr>
          <w:rFonts w:hint="eastAsia" w:ascii="Times New Roman" w:hAnsi="Times New Roman" w:eastAsia="仿宋_GB2312" w:cs="Times New Roman"/>
          <w:color w:val="auto"/>
          <w:sz w:val="24"/>
        </w:rPr>
        <w:t>后，由于宜都市飞强物流有限公司经营不善，并未落实环评批复中提出的环保措施要求</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且</w:t>
      </w:r>
      <w:r>
        <w:rPr>
          <w:rFonts w:hint="eastAsia" w:ascii="Times New Roman" w:hAnsi="Times New Roman" w:eastAsia="仿宋_GB2312" w:cs="Times New Roman"/>
          <w:color w:val="auto"/>
          <w:sz w:val="24"/>
        </w:rPr>
        <w:t>码头设施较为简易，装卸能力较低，安全环保条件较弱，不满足安全环保要求，码头近年一直处于停产状态。</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根据《宜昌港总体规划（2035年）》（报批稿）中内容，飞强物流码头现有靠泊能力为2个3000吨级普货泊位，中华人民共和国生态环境部于2019年9月11日出具关于《宜昌港总体规划修订（2018-2035年）环境影响报告书》的审查意见。</w:t>
      </w:r>
    </w:p>
    <w:p>
      <w:pPr>
        <w:widowControl w:val="0"/>
        <w:spacing w:line="360" w:lineRule="auto"/>
        <w:ind w:firstLine="480" w:firstLineChars="200"/>
        <w:jc w:val="both"/>
        <w:rPr>
          <w:rFonts w:hint="default" w:eastAsia="仿宋_GB2312" w:cs="Times New Roman"/>
          <w:color w:val="auto"/>
          <w:sz w:val="24"/>
          <w:lang w:val="en-US" w:eastAsia="zh-CN"/>
        </w:rPr>
      </w:pPr>
      <w:r>
        <w:rPr>
          <w:rFonts w:hint="eastAsia" w:eastAsia="仿宋_GB2312"/>
          <w:color w:val="auto"/>
          <w:sz w:val="24"/>
        </w:rPr>
        <w:t>近年来，随着社会经济的发展，码头作用逐渐体现，建设单位决定自现在起重新启动码头运输工作，但由于水运运输量增加，宜都市飞强物流码头原有的</w:t>
      </w:r>
      <w:r>
        <w:rPr>
          <w:rFonts w:hint="eastAsia" w:eastAsia="仿宋_GB2312"/>
          <w:color w:val="auto"/>
          <w:sz w:val="24"/>
          <w:lang w:val="en-US" w:eastAsia="zh-CN"/>
        </w:rPr>
        <w:t>10万</w:t>
      </w:r>
      <w:r>
        <w:rPr>
          <w:rFonts w:hint="eastAsia" w:eastAsia="仿宋_GB2312"/>
          <w:color w:val="auto"/>
          <w:sz w:val="24"/>
        </w:rPr>
        <w:t>吨级泊位已不能满足日益扩大的货物中转需求</w:t>
      </w:r>
      <w:r>
        <w:rPr>
          <w:rFonts w:hint="eastAsia" w:eastAsia="仿宋_GB2312"/>
          <w:color w:val="auto"/>
          <w:sz w:val="24"/>
          <w:lang w:eastAsia="zh-CN"/>
        </w:rPr>
        <w:t>。</w:t>
      </w:r>
      <w:r>
        <w:rPr>
          <w:rFonts w:hint="eastAsia" w:eastAsia="仿宋_GB2312"/>
          <w:color w:val="auto"/>
          <w:sz w:val="24"/>
        </w:rPr>
        <w:t>在此形势下，宜都市飞强物流</w:t>
      </w:r>
      <w:r>
        <w:rPr>
          <w:rFonts w:hint="eastAsia" w:eastAsia="仿宋_GB2312"/>
          <w:color w:val="auto"/>
          <w:sz w:val="24"/>
          <w:lang w:val="en-US" w:eastAsia="zh-CN"/>
        </w:rPr>
        <w:t>有限公司委托</w:t>
      </w:r>
      <w:r>
        <w:rPr>
          <w:rFonts w:hint="eastAsia" w:eastAsia="仿宋_GB2312"/>
          <w:color w:val="auto"/>
          <w:sz w:val="24"/>
        </w:rPr>
        <w:t>湖北楚新矿业有限公司</w:t>
      </w:r>
      <w:r>
        <w:rPr>
          <w:rFonts w:hint="eastAsia" w:eastAsia="仿宋_GB2312"/>
          <w:color w:val="auto"/>
          <w:sz w:val="24"/>
          <w:lang w:val="en-US" w:eastAsia="zh-CN"/>
        </w:rPr>
        <w:t>负责</w:t>
      </w:r>
      <w:r>
        <w:rPr>
          <w:rFonts w:hint="eastAsia" w:eastAsia="仿宋_GB2312"/>
          <w:color w:val="auto"/>
          <w:sz w:val="24"/>
        </w:rPr>
        <w:t>开展《</w:t>
      </w:r>
      <w:r>
        <w:rPr>
          <w:rFonts w:hint="eastAsia" w:eastAsia="仿宋_GB2312"/>
          <w:color w:val="auto"/>
          <w:sz w:val="24"/>
          <w:lang w:eastAsia="zh-CN"/>
        </w:rPr>
        <w:t>湖北楚新矿业有限公司皮带输送廊道及综合物流码头建设项目（综合物流码头部分）</w:t>
      </w:r>
      <w:r>
        <w:rPr>
          <w:rFonts w:hint="eastAsia" w:eastAsia="仿宋_GB2312"/>
          <w:color w:val="auto"/>
          <w:sz w:val="24"/>
        </w:rPr>
        <w:t>》</w:t>
      </w:r>
      <w:r>
        <w:rPr>
          <w:rFonts w:hint="eastAsia" w:eastAsia="仿宋_GB2312"/>
          <w:color w:val="auto"/>
          <w:sz w:val="24"/>
          <w:lang w:eastAsia="zh-CN"/>
        </w:rPr>
        <w:t>的</w:t>
      </w:r>
      <w:r>
        <w:rPr>
          <w:rFonts w:hint="eastAsia" w:eastAsia="仿宋_GB2312"/>
          <w:color w:val="auto"/>
          <w:sz w:val="24"/>
          <w:lang w:val="en-US" w:eastAsia="zh-CN"/>
        </w:rPr>
        <w:t>所有前期工作</w:t>
      </w: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包括项目相关文件的编制、项目报审报批等事务处理。待取得环评批复、各类专题报告备案（批复）文件，同时码头施工建设、验收完备后，</w:t>
      </w:r>
      <w:r>
        <w:rPr>
          <w:rFonts w:hint="eastAsia" w:eastAsia="仿宋_GB2312"/>
          <w:color w:val="auto"/>
          <w:sz w:val="24"/>
        </w:rPr>
        <w:t>湖北楚新矿业有限公司</w:t>
      </w:r>
      <w:r>
        <w:rPr>
          <w:rFonts w:hint="eastAsia" w:eastAsia="仿宋_GB2312"/>
          <w:color w:val="auto"/>
          <w:sz w:val="24"/>
          <w:lang w:val="en-US" w:eastAsia="zh-CN"/>
        </w:rPr>
        <w:t>向</w:t>
      </w:r>
      <w:r>
        <w:rPr>
          <w:rFonts w:hint="eastAsia" w:eastAsia="仿宋_GB2312"/>
          <w:color w:val="auto"/>
          <w:sz w:val="24"/>
        </w:rPr>
        <w:t>宜都市飞强物流</w:t>
      </w:r>
      <w:r>
        <w:rPr>
          <w:rFonts w:hint="eastAsia" w:eastAsia="仿宋_GB2312"/>
          <w:color w:val="auto"/>
          <w:sz w:val="24"/>
          <w:lang w:val="en-US" w:eastAsia="zh-CN"/>
        </w:rPr>
        <w:t>有限公司交付本项目，后期本项目运营主体为</w:t>
      </w:r>
      <w:r>
        <w:rPr>
          <w:rFonts w:hint="eastAsia" w:eastAsia="仿宋_GB2312"/>
          <w:color w:val="auto"/>
          <w:sz w:val="24"/>
        </w:rPr>
        <w:t>宜都市飞强物流</w:t>
      </w:r>
      <w:r>
        <w:rPr>
          <w:rFonts w:hint="eastAsia" w:eastAsia="仿宋_GB2312"/>
          <w:color w:val="auto"/>
          <w:sz w:val="24"/>
          <w:lang w:val="en-US" w:eastAsia="zh-CN"/>
        </w:rPr>
        <w:t>有限公司全权负责。</w:t>
      </w:r>
    </w:p>
    <w:p>
      <w:pPr>
        <w:widowControl w:val="0"/>
        <w:spacing w:line="360" w:lineRule="auto"/>
        <w:ind w:firstLine="480" w:firstLineChars="200"/>
        <w:jc w:val="both"/>
        <w:rPr>
          <w:rFonts w:hint="eastAsia" w:eastAsia="仿宋_GB2312"/>
          <w:color w:val="auto"/>
          <w:sz w:val="24"/>
        </w:rPr>
      </w:pPr>
      <w:r>
        <w:rPr>
          <w:rFonts w:hint="eastAsia" w:ascii="Times New Roman" w:hAnsi="Times New Roman" w:eastAsia="仿宋_GB2312" w:cs="Times New Roman"/>
          <w:color w:val="auto"/>
          <w:sz w:val="24"/>
        </w:rPr>
        <w:t>本次技改保留码头规模不变，</w:t>
      </w:r>
      <w:r>
        <w:rPr>
          <w:rFonts w:hint="eastAsia" w:eastAsia="仿宋_GB2312" w:cs="Times New Roman"/>
          <w:color w:val="auto"/>
          <w:sz w:val="24"/>
          <w:lang w:val="en-US" w:eastAsia="zh-CN"/>
        </w:rPr>
        <w:t>占用岸线长度不发生改变。技改</w:t>
      </w:r>
      <w:r>
        <w:rPr>
          <w:rFonts w:hint="eastAsia" w:ascii="Times New Roman" w:hAnsi="Times New Roman" w:eastAsia="仿宋_GB2312" w:cs="Times New Roman"/>
          <w:color w:val="auto"/>
          <w:sz w:val="24"/>
        </w:rPr>
        <w:t>后为2个</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rPr>
        <w:t>000吨级散货泊位，</w:t>
      </w:r>
      <w:r>
        <w:rPr>
          <w:rFonts w:hint="eastAsia" w:eastAsia="仿宋_GB2312" w:cs="Times New Roman"/>
          <w:color w:val="auto"/>
          <w:sz w:val="24"/>
          <w:lang w:val="en-US" w:eastAsia="zh-CN"/>
        </w:rPr>
        <w:t>设计吞吐</w:t>
      </w:r>
      <w:r>
        <w:rPr>
          <w:rFonts w:hint="eastAsia" w:ascii="Times New Roman" w:hAnsi="Times New Roman" w:eastAsia="仿宋_GB2312" w:cs="Times New Roman"/>
          <w:color w:val="auto"/>
          <w:sz w:val="24"/>
        </w:rPr>
        <w:t>量为</w:t>
      </w:r>
      <w:r>
        <w:rPr>
          <w:rFonts w:hint="eastAsia" w:eastAsia="仿宋_GB2312" w:cs="Times New Roman"/>
          <w:color w:val="auto"/>
          <w:sz w:val="24"/>
          <w:lang w:val="en-US" w:eastAsia="zh-CN"/>
        </w:rPr>
        <w:t>400</w:t>
      </w:r>
      <w:r>
        <w:rPr>
          <w:rFonts w:hint="eastAsia" w:ascii="Times New Roman" w:hAnsi="Times New Roman" w:eastAsia="仿宋_GB2312" w:cs="Times New Roman"/>
          <w:color w:val="auto"/>
          <w:sz w:val="24"/>
        </w:rPr>
        <w:t>万吨</w:t>
      </w:r>
      <w:r>
        <w:rPr>
          <w:rFonts w:hint="eastAsia" w:eastAsia="仿宋_GB2312" w:cs="Times New Roman"/>
          <w:color w:val="auto"/>
          <w:sz w:val="24"/>
          <w:lang w:val="en-US" w:eastAsia="zh-CN"/>
        </w:rPr>
        <w:t>/年</w:t>
      </w:r>
      <w:r>
        <w:rPr>
          <w:rFonts w:hint="eastAsia" w:ascii="Times New Roman" w:hAnsi="Times New Roman" w:eastAsia="仿宋_GB2312" w:cs="Times New Roman"/>
          <w:color w:val="auto"/>
          <w:sz w:val="24"/>
        </w:rPr>
        <w:t>，</w:t>
      </w:r>
      <w:r>
        <w:rPr>
          <w:rFonts w:hint="eastAsia" w:eastAsia="仿宋_GB2312"/>
          <w:color w:val="auto"/>
          <w:sz w:val="24"/>
          <w:lang w:val="en-US" w:eastAsia="zh-CN"/>
        </w:rPr>
        <w:t>占用岸线248m，</w:t>
      </w:r>
      <w:r>
        <w:rPr>
          <w:rFonts w:hint="eastAsia" w:eastAsia="仿宋_GB2312"/>
          <w:color w:val="auto"/>
          <w:sz w:val="24"/>
        </w:rPr>
        <w:t>并</w:t>
      </w:r>
      <w:r>
        <w:rPr>
          <w:rFonts w:hint="eastAsia" w:ascii="Times New Roman" w:hAnsi="Times New Roman" w:eastAsia="仿宋_GB2312" w:cs="Times New Roman"/>
          <w:color w:val="auto"/>
          <w:sz w:val="24"/>
        </w:rPr>
        <w:t>对原厂区规模进行扩建，以满足公司日益增加的散杂货运需求，并通过对现有的水工、工艺、环保等设施的改进从而达到</w:t>
      </w:r>
      <w:r>
        <w:rPr>
          <w:rFonts w:hint="eastAsia" w:eastAsia="仿宋_GB2312" w:cs="Times New Roman"/>
          <w:color w:val="auto"/>
          <w:sz w:val="24"/>
          <w:lang w:val="en-US" w:eastAsia="zh-CN"/>
        </w:rPr>
        <w:t>安</w:t>
      </w:r>
      <w:r>
        <w:rPr>
          <w:rFonts w:hint="eastAsia" w:ascii="Times New Roman" w:hAnsi="Times New Roman" w:eastAsia="仿宋_GB2312" w:cs="Times New Roman"/>
          <w:color w:val="auto"/>
          <w:sz w:val="24"/>
        </w:rPr>
        <w:t>全、环保、防洪要求。宜都市交</w:t>
      </w:r>
      <w:r>
        <w:rPr>
          <w:rFonts w:hint="eastAsia" w:eastAsia="仿宋_GB2312"/>
          <w:color w:val="auto"/>
          <w:sz w:val="24"/>
        </w:rPr>
        <w:t>通运输局于2023年2月21日出具《关于启动飞强物流港口码头设施设备技术改造工作的批复》</w:t>
      </w:r>
      <w:r>
        <w:rPr>
          <w:rFonts w:hint="eastAsia" w:eastAsia="仿宋_GB2312"/>
          <w:color w:val="auto"/>
          <w:sz w:val="24"/>
          <w:lang w:eastAsia="zh-CN"/>
        </w:rPr>
        <w:t>（</w:t>
      </w:r>
      <w:r>
        <w:rPr>
          <w:rFonts w:hint="eastAsia" w:eastAsia="仿宋_GB2312"/>
          <w:color w:val="auto"/>
          <w:sz w:val="24"/>
          <w:lang w:val="en-US" w:eastAsia="zh-CN"/>
        </w:rPr>
        <w:t>实际内容与本项目为同一项目，仅文字描述不一致，项目名</w:t>
      </w:r>
      <w:r>
        <w:rPr>
          <w:rFonts w:hint="eastAsia" w:ascii="Times New Roman" w:hAnsi="Times New Roman" w:eastAsia="仿宋_GB2312" w:cs="Times New Roman"/>
          <w:color w:val="auto"/>
          <w:sz w:val="24"/>
          <w:lang w:val="en-US" w:eastAsia="zh-CN"/>
        </w:rPr>
        <w:t>称说明见附件2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，原</w:t>
      </w:r>
      <w:r>
        <w:rPr>
          <w:rFonts w:hint="eastAsia" w:eastAsia="仿宋_GB2312"/>
          <w:color w:val="auto"/>
          <w:sz w:val="24"/>
        </w:rPr>
        <w:t>则同意湖北楚新矿业有限公司对飞强物流码头设施设备进行技术改造。但在改造过程中，需维持港口码头原貌，不得突破核批岸线长度、水域等，不得擅自建造水工长久固定设施。</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工程方案总</w:t>
      </w:r>
      <w:r>
        <w:rPr>
          <w:rFonts w:hint="eastAsia" w:ascii="Times New Roman" w:hAnsi="Times New Roman" w:eastAsia="仿宋_GB2312" w:cs="Times New Roman"/>
          <w:color w:val="auto"/>
          <w:sz w:val="24"/>
        </w:rPr>
        <w:t>投资</w:t>
      </w:r>
      <w:r>
        <w:rPr>
          <w:rFonts w:hint="eastAsia" w:eastAsia="仿宋_GB2312"/>
          <w:color w:val="auto"/>
          <w:sz w:val="24"/>
          <w:lang w:val="en-US" w:eastAsia="zh-CN"/>
        </w:rPr>
        <w:t>11708.16万</w:t>
      </w:r>
      <w:r>
        <w:rPr>
          <w:rFonts w:hint="eastAsia" w:eastAsia="仿宋_GB2312"/>
          <w:color w:val="auto"/>
          <w:sz w:val="24"/>
        </w:rPr>
        <w:t>元</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施工期约12个月，是</w:t>
      </w:r>
      <w:r>
        <w:rPr>
          <w:rFonts w:hint="eastAsia" w:eastAsia="仿宋_GB2312" w:cs="Times New Roman"/>
          <w:color w:val="auto"/>
          <w:sz w:val="24"/>
          <w:lang w:val="en-US" w:eastAsia="zh-CN"/>
        </w:rPr>
        <w:t>对</w:t>
      </w:r>
      <w:r>
        <w:rPr>
          <w:rFonts w:hint="eastAsia" w:ascii="Times New Roman" w:hAnsi="Times New Roman" w:eastAsia="仿宋_GB2312" w:cs="Times New Roman"/>
          <w:color w:val="auto"/>
          <w:sz w:val="24"/>
          <w:lang w:val="en-US" w:eastAsia="zh-CN"/>
        </w:rPr>
        <w:t>现状2个</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lang w:val="en-US" w:eastAsia="zh-CN"/>
        </w:rPr>
        <w:t>000吨级散货泊位进行安全环保设施改造，包括码头水工、生产及辅助建筑物、工艺设备、供电照明与控制、给排水及消防等</w:t>
      </w:r>
      <w:r>
        <w:rPr>
          <w:rFonts w:hint="eastAsia" w:eastAsia="仿宋_GB2312" w:cs="Times New Roman"/>
          <w:color w:val="auto"/>
          <w:sz w:val="24"/>
          <w:lang w:val="en-US" w:eastAsia="zh-CN"/>
        </w:rPr>
        <w:t>，不涉及陆域</w:t>
      </w:r>
      <w:r>
        <w:rPr>
          <w:rFonts w:hint="eastAsia" w:ascii="Times New Roman" w:hAnsi="Times New Roman" w:eastAsia="仿宋_GB2312" w:cs="Times New Roman"/>
          <w:color w:val="auto"/>
          <w:sz w:val="24"/>
        </w:rPr>
        <w:t>。</w:t>
      </w:r>
    </w:p>
    <w:p>
      <w:pPr>
        <w:widowControl w:val="0"/>
        <w:spacing w:line="360" w:lineRule="auto"/>
        <w:ind w:firstLine="482" w:firstLineChars="200"/>
        <w:jc w:val="both"/>
        <w:outlineLvl w:val="1"/>
        <w:rPr>
          <w:rFonts w:eastAsia="仿宋_GB2312"/>
          <w:b/>
          <w:color w:val="auto"/>
          <w:sz w:val="24"/>
          <w:u w:val="single"/>
        </w:rPr>
      </w:pPr>
      <w:bookmarkStart w:id="124" w:name="_Toc23721"/>
      <w:bookmarkStart w:id="125" w:name="_Toc41303726"/>
      <w:bookmarkStart w:id="126" w:name="_Toc29877"/>
      <w:bookmarkStart w:id="127" w:name="_Toc3455376"/>
      <w:bookmarkStart w:id="128" w:name="_Toc19984"/>
      <w:bookmarkStart w:id="129" w:name="_Toc8139207"/>
      <w:bookmarkStart w:id="130" w:name="_Toc13930"/>
      <w:bookmarkStart w:id="131" w:name="_Toc3317463"/>
      <w:bookmarkStart w:id="132" w:name="_Toc531189385"/>
      <w:bookmarkStart w:id="133" w:name="_Toc10675"/>
      <w:bookmarkStart w:id="134" w:name="_Toc17007"/>
      <w:bookmarkStart w:id="135" w:name="_Toc28594144"/>
      <w:bookmarkStart w:id="136" w:name="_Toc41155984"/>
      <w:bookmarkStart w:id="137" w:name="_Toc41075069"/>
      <w:bookmarkStart w:id="138" w:name="_Toc3565281"/>
      <w:r>
        <w:rPr>
          <w:rFonts w:hint="eastAsia" w:eastAsia="仿宋_GB2312"/>
          <w:b/>
          <w:color w:val="auto"/>
          <w:sz w:val="24"/>
          <w:u w:val="single"/>
          <w:lang w:val="en-US" w:eastAsia="zh-CN"/>
        </w:rPr>
        <w:t>二</w:t>
      </w:r>
      <w:r>
        <w:rPr>
          <w:rFonts w:hint="eastAsia" w:eastAsia="仿宋_GB2312"/>
          <w:b/>
          <w:color w:val="auto"/>
          <w:sz w:val="24"/>
          <w:u w:val="single"/>
        </w:rPr>
        <w:t>、</w:t>
      </w:r>
      <w:r>
        <w:rPr>
          <w:rFonts w:eastAsia="仿宋_GB2312"/>
          <w:b/>
          <w:color w:val="auto"/>
          <w:sz w:val="24"/>
          <w:u w:val="single"/>
        </w:rPr>
        <w:t>环境影响评价工作过程</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pPr>
        <w:widowControl w:val="0"/>
        <w:spacing w:line="360" w:lineRule="auto"/>
        <w:ind w:firstLine="480" w:firstLineChars="200"/>
        <w:jc w:val="both"/>
        <w:rPr>
          <w:rFonts w:eastAsia="仿宋_GB2312"/>
          <w:color w:val="auto"/>
          <w:sz w:val="24"/>
          <w:szCs w:val="24"/>
        </w:rPr>
      </w:pPr>
      <w:r>
        <w:rPr>
          <w:rFonts w:eastAsia="仿宋_GB2312"/>
          <w:color w:val="auto"/>
          <w:sz w:val="24"/>
          <w:szCs w:val="24"/>
        </w:rPr>
        <w:t>（1）根据《中华人民共和国环境影响评价法》、国务院第682号《建设项目环境保护管理条例》等有关文件的要求，</w:t>
      </w:r>
      <w:r>
        <w:rPr>
          <w:rFonts w:hint="eastAsia" w:eastAsia="仿宋_GB2312"/>
          <w:color w:val="auto"/>
          <w:sz w:val="24"/>
          <w:lang w:eastAsia="zh-CN"/>
        </w:rPr>
        <w:t>湖北楚新矿业有限公司</w:t>
      </w:r>
      <w:r>
        <w:rPr>
          <w:rFonts w:eastAsia="仿宋_GB2312"/>
          <w:color w:val="auto"/>
          <w:sz w:val="24"/>
          <w:szCs w:val="24"/>
        </w:rPr>
        <w:t>于20</w:t>
      </w:r>
      <w:r>
        <w:rPr>
          <w:rFonts w:hint="eastAsia" w:eastAsia="仿宋_GB2312"/>
          <w:color w:val="auto"/>
          <w:sz w:val="24"/>
          <w:szCs w:val="24"/>
          <w:lang w:val="en-US" w:eastAsia="zh-CN"/>
        </w:rPr>
        <w:t>23</w:t>
      </w:r>
      <w:r>
        <w:rPr>
          <w:rFonts w:eastAsia="仿宋_GB2312"/>
          <w:color w:val="auto"/>
          <w:sz w:val="24"/>
          <w:szCs w:val="24"/>
        </w:rPr>
        <w:t>年</w:t>
      </w:r>
      <w:r>
        <w:rPr>
          <w:rFonts w:hint="eastAsia" w:eastAsia="仿宋_GB2312"/>
          <w:color w:val="auto"/>
          <w:sz w:val="24"/>
          <w:szCs w:val="24"/>
          <w:lang w:val="en-US" w:eastAsia="zh-CN"/>
        </w:rPr>
        <w:t>3</w:t>
      </w:r>
      <w:r>
        <w:rPr>
          <w:rFonts w:eastAsia="仿宋_GB2312"/>
          <w:color w:val="auto"/>
          <w:sz w:val="24"/>
          <w:szCs w:val="24"/>
        </w:rPr>
        <w:t>月委托</w:t>
      </w:r>
      <w:r>
        <w:rPr>
          <w:rFonts w:hint="eastAsia" w:eastAsia="仿宋_GB2312"/>
          <w:color w:val="auto"/>
          <w:sz w:val="24"/>
          <w:szCs w:val="24"/>
          <w:lang w:val="en-US" w:eastAsia="zh-CN"/>
        </w:rPr>
        <w:t>湖北汉环环境工程有限公司</w:t>
      </w:r>
      <w:r>
        <w:rPr>
          <w:rFonts w:eastAsia="仿宋_GB2312"/>
          <w:color w:val="auto"/>
          <w:sz w:val="24"/>
          <w:szCs w:val="24"/>
        </w:rPr>
        <w:t>承担</w:t>
      </w:r>
      <w:r>
        <w:rPr>
          <w:rFonts w:hint="eastAsia" w:eastAsia="仿宋_GB2312"/>
          <w:color w:val="auto"/>
          <w:sz w:val="24"/>
          <w:szCs w:val="24"/>
          <w:lang w:eastAsia="zh-CN"/>
        </w:rPr>
        <w:t>“</w:t>
      </w:r>
      <w:r>
        <w:rPr>
          <w:rFonts w:hint="eastAsia" w:eastAsia="仿宋_GB2312"/>
          <w:color w:val="auto"/>
          <w:sz w:val="24"/>
          <w:lang w:eastAsia="zh-CN"/>
        </w:rPr>
        <w:t>湖北楚新矿业有限公司皮带输送廊道及综合物流码头建设项目（综合物流码头部分）</w:t>
      </w:r>
      <w:r>
        <w:rPr>
          <w:rFonts w:hint="eastAsia" w:eastAsia="仿宋_GB2312"/>
          <w:color w:val="auto"/>
          <w:sz w:val="24"/>
          <w:szCs w:val="24"/>
          <w:lang w:eastAsia="zh-CN"/>
        </w:rPr>
        <w:t>”</w:t>
      </w:r>
      <w:r>
        <w:rPr>
          <w:rFonts w:eastAsia="仿宋_GB2312"/>
          <w:color w:val="auto"/>
          <w:sz w:val="24"/>
          <w:szCs w:val="24"/>
        </w:rPr>
        <w:t>的环境影响评价工作。根据《建设项目环境影响评价分类管理名录》，</w:t>
      </w:r>
      <w:r>
        <w:rPr>
          <w:rFonts w:hint="eastAsia" w:eastAsia="仿宋_GB2312"/>
          <w:color w:val="auto"/>
          <w:sz w:val="24"/>
          <w:szCs w:val="24"/>
        </w:rPr>
        <w:t>本项目为</w:t>
      </w:r>
      <w:r>
        <w:rPr>
          <w:rFonts w:hint="eastAsia" w:eastAsia="仿宋_GB2312"/>
          <w:color w:val="auto"/>
          <w:sz w:val="24"/>
          <w:szCs w:val="24"/>
          <w:lang w:val="en-US" w:eastAsia="zh-CN"/>
        </w:rPr>
        <w:t>技改2</w:t>
      </w:r>
      <w:r>
        <w:rPr>
          <w:rFonts w:hint="eastAsia" w:eastAsia="仿宋_GB2312"/>
          <w:color w:val="auto"/>
          <w:sz w:val="24"/>
          <w:szCs w:val="24"/>
        </w:rPr>
        <w:t>个</w:t>
      </w:r>
      <w:r>
        <w:rPr>
          <w:rFonts w:hint="eastAsia" w:eastAsia="仿宋_GB2312"/>
          <w:color w:val="auto"/>
          <w:sz w:val="24"/>
          <w:szCs w:val="24"/>
          <w:lang w:val="en-US" w:eastAsia="zh-CN"/>
        </w:rPr>
        <w:t>3</w:t>
      </w:r>
      <w:r>
        <w:rPr>
          <w:rFonts w:hint="eastAsia" w:eastAsia="仿宋_GB2312"/>
          <w:color w:val="auto"/>
          <w:sz w:val="24"/>
          <w:szCs w:val="24"/>
        </w:rPr>
        <w:t>000吨级散货泊位，属于“五十二、交通运输业、管道运输业，139干散货（含煤碳、矿石）、件杂、多用途、通用码头”中“单个泊位1000吨级及以上的内河港口”的项目，应编制环境影响报告书。</w:t>
      </w:r>
    </w:p>
    <w:p>
      <w:pPr>
        <w:pStyle w:val="316"/>
        <w:widowControl w:val="0"/>
        <w:rPr>
          <w:rFonts w:eastAsia="仿宋_GB2312"/>
          <w:color w:val="auto"/>
        </w:rPr>
      </w:pPr>
      <w:r>
        <w:rPr>
          <w:rFonts w:eastAsia="仿宋_GB2312"/>
          <w:color w:val="auto"/>
        </w:rPr>
        <w:t>（2）我公司接受委托以后，进行了现场踏勘，研究了有关资料和文件，开展了项目地区的</w:t>
      </w:r>
      <w:r>
        <w:rPr>
          <w:rFonts w:hint="eastAsia" w:eastAsia="仿宋_GB2312"/>
          <w:color w:val="auto"/>
        </w:rPr>
        <w:t>各要素</w:t>
      </w:r>
      <w:r>
        <w:rPr>
          <w:rFonts w:eastAsia="仿宋_GB2312"/>
          <w:color w:val="auto"/>
        </w:rPr>
        <w:t>环境质量现状调查及相关监测资料的收集。</w:t>
      </w:r>
    </w:p>
    <w:p>
      <w:pPr>
        <w:pStyle w:val="316"/>
        <w:widowControl w:val="0"/>
        <w:rPr>
          <w:rFonts w:eastAsia="仿宋_GB2312"/>
          <w:color w:val="auto"/>
        </w:rPr>
      </w:pPr>
      <w:r>
        <w:rPr>
          <w:rFonts w:eastAsia="仿宋_GB2312"/>
          <w:color w:val="auto"/>
        </w:rPr>
        <w:t>（3）建设单位根据生态环境部令第4号《环境影响评价公众参与办法》的要求，于2</w:t>
      </w:r>
      <w:r>
        <w:rPr>
          <w:rFonts w:hint="eastAsia" w:eastAsia="仿宋_GB2312"/>
          <w:color w:val="auto"/>
          <w:lang w:val="en-US" w:eastAsia="zh-CN"/>
        </w:rPr>
        <w:t>023</w:t>
      </w:r>
      <w:r>
        <w:rPr>
          <w:rFonts w:eastAsia="仿宋_GB2312"/>
          <w:color w:val="auto"/>
        </w:rPr>
        <w:t>年</w:t>
      </w:r>
      <w:r>
        <w:rPr>
          <w:rFonts w:hint="eastAsia" w:eastAsia="仿宋_GB2312"/>
          <w:color w:val="auto"/>
          <w:lang w:val="en-US" w:eastAsia="zh-CN"/>
        </w:rPr>
        <w:t>3</w:t>
      </w:r>
      <w:r>
        <w:rPr>
          <w:rFonts w:eastAsia="仿宋_GB2312"/>
          <w:color w:val="auto"/>
        </w:rPr>
        <w:t>月1</w:t>
      </w:r>
      <w:r>
        <w:rPr>
          <w:rFonts w:hint="eastAsia" w:eastAsia="仿宋_GB2312"/>
          <w:color w:val="auto"/>
          <w:lang w:val="en-US" w:eastAsia="zh-CN"/>
        </w:rPr>
        <w:t>5</w:t>
      </w:r>
      <w:r>
        <w:rPr>
          <w:rFonts w:eastAsia="仿宋_GB2312"/>
          <w:color w:val="auto"/>
        </w:rPr>
        <w:t>日在</w:t>
      </w:r>
      <w:r>
        <w:rPr>
          <w:rFonts w:hint="eastAsia" w:eastAsia="仿宋_GB2312"/>
          <w:color w:val="auto"/>
          <w:lang w:val="en-US" w:eastAsia="zh-CN"/>
        </w:rPr>
        <w:t>宜昌市生态环境局网站</w:t>
      </w:r>
      <w:r>
        <w:rPr>
          <w:rFonts w:eastAsia="仿宋_GB2312"/>
          <w:color w:val="auto"/>
        </w:rPr>
        <w:t>对项目进行了第一次环境影响公示。</w:t>
      </w:r>
    </w:p>
    <w:p>
      <w:pPr>
        <w:pStyle w:val="316"/>
        <w:rPr>
          <w:rFonts w:eastAsia="仿宋_GB2312"/>
          <w:color w:val="auto"/>
        </w:rPr>
      </w:pPr>
      <w:r>
        <w:rPr>
          <w:rFonts w:eastAsia="仿宋_GB2312"/>
          <w:color w:val="auto"/>
        </w:rPr>
        <w:t>（4）课题组根据国家环境保护法律、法规、《环境影响评价技术导则》的有关要求，编制完成了《</w:t>
      </w:r>
      <w:r>
        <w:rPr>
          <w:rFonts w:hint="eastAsia" w:eastAsia="仿宋_GB2312"/>
          <w:color w:val="auto"/>
          <w:lang w:eastAsia="zh-CN"/>
        </w:rPr>
        <w:t>湖北楚新矿业有限公司皮带输送廊道及综合物流码头建设项目（综合物流码头部分）</w:t>
      </w:r>
      <w:r>
        <w:rPr>
          <w:rFonts w:eastAsia="仿宋_GB2312"/>
          <w:color w:val="auto"/>
        </w:rPr>
        <w:t>环境影响报告书（</w:t>
      </w:r>
      <w:r>
        <w:rPr>
          <w:rFonts w:hint="eastAsia" w:eastAsia="仿宋_GB2312"/>
          <w:color w:val="auto"/>
        </w:rPr>
        <w:t>送审稿</w:t>
      </w:r>
      <w:r>
        <w:rPr>
          <w:rFonts w:eastAsia="仿宋_GB2312"/>
          <w:color w:val="auto"/>
        </w:rPr>
        <w:t>）》，提交建设单位报</w:t>
      </w:r>
      <w:r>
        <w:rPr>
          <w:rFonts w:hint="eastAsia" w:eastAsia="仿宋_GB2312"/>
          <w:color w:val="auto"/>
          <w:lang w:eastAsia="zh-CN"/>
        </w:rPr>
        <w:t>宜昌市</w:t>
      </w:r>
      <w:r>
        <w:rPr>
          <w:rFonts w:hint="eastAsia" w:eastAsia="仿宋_GB2312"/>
          <w:color w:val="auto"/>
        </w:rPr>
        <w:t>生态</w:t>
      </w:r>
      <w:r>
        <w:rPr>
          <w:rFonts w:eastAsia="仿宋_GB2312"/>
          <w:color w:val="auto"/>
        </w:rPr>
        <w:t>环境行政主管部门进行</w:t>
      </w:r>
      <w:r>
        <w:rPr>
          <w:rFonts w:hint="eastAsia" w:eastAsia="仿宋_GB2312"/>
          <w:color w:val="auto"/>
        </w:rPr>
        <w:t>审批</w:t>
      </w:r>
      <w:r>
        <w:rPr>
          <w:rFonts w:eastAsia="仿宋_GB2312"/>
          <w:color w:val="auto"/>
        </w:rPr>
        <w:t>。</w:t>
      </w:r>
    </w:p>
    <w:p>
      <w:pPr>
        <w:pStyle w:val="316"/>
        <w:widowControl w:val="0"/>
        <w:rPr>
          <w:rFonts w:eastAsia="仿宋_GB2312"/>
          <w:color w:val="auto"/>
        </w:rPr>
      </w:pPr>
      <w:r>
        <w:rPr>
          <w:rFonts w:eastAsia="仿宋_GB2312"/>
          <w:color w:val="auto"/>
        </w:rPr>
        <w:t>课题组在整个环评工作过程中，不断和建设单位保持密切的交流、讨论和</w:t>
      </w:r>
      <w:r>
        <w:rPr>
          <w:rFonts w:hint="eastAsia" w:eastAsia="仿宋_GB2312"/>
          <w:color w:val="auto"/>
          <w:lang w:val="en-US" w:eastAsia="zh-CN"/>
        </w:rPr>
        <w:t>沟</w:t>
      </w:r>
      <w:r>
        <w:rPr>
          <w:rFonts w:eastAsia="仿宋_GB2312"/>
          <w:color w:val="auto"/>
        </w:rPr>
        <w:t>通。本报告书由环评单位和建设单位共同定稿，本报告书对项目环境保护的主要建议均已得到建设单位的确认和采纳。</w:t>
      </w:r>
    </w:p>
    <w:p>
      <w:pPr>
        <w:widowControl w:val="0"/>
        <w:spacing w:line="360" w:lineRule="auto"/>
        <w:ind w:firstLine="482" w:firstLineChars="200"/>
        <w:outlineLvl w:val="1"/>
        <w:rPr>
          <w:rFonts w:hint="default" w:eastAsia="仿宋_GB2312"/>
          <w:b/>
          <w:color w:val="auto"/>
          <w:sz w:val="24"/>
          <w:u w:val="single"/>
          <w:lang w:val="en-US" w:eastAsia="zh-CN"/>
        </w:rPr>
      </w:pPr>
      <w:bookmarkStart w:id="139" w:name="_Toc3317460"/>
      <w:bookmarkStart w:id="140" w:name="_Toc531189382"/>
      <w:bookmarkStart w:id="141" w:name="_Toc3455373"/>
      <w:bookmarkStart w:id="142" w:name="_Toc41075067"/>
      <w:bookmarkStart w:id="143" w:name="_Toc3565278"/>
      <w:bookmarkStart w:id="144" w:name="_Toc41303724"/>
      <w:bookmarkStart w:id="145" w:name="_Toc28594142"/>
      <w:bookmarkStart w:id="146" w:name="_Toc41155982"/>
      <w:bookmarkStart w:id="147" w:name="_Toc8139204"/>
      <w:bookmarkStart w:id="148" w:name="_Toc16413"/>
      <w:bookmarkStart w:id="149" w:name="_Toc32263"/>
      <w:bookmarkStart w:id="150" w:name="_Toc28870"/>
      <w:bookmarkStart w:id="151" w:name="_Toc3266"/>
      <w:bookmarkStart w:id="152" w:name="_Toc20376"/>
      <w:bookmarkStart w:id="153" w:name="_Toc4484"/>
      <w:bookmarkStart w:id="154" w:name="_Toc3455377"/>
      <w:bookmarkStart w:id="155" w:name="_Toc28594145"/>
      <w:bookmarkStart w:id="156" w:name="_Toc41075070"/>
      <w:bookmarkStart w:id="157" w:name="_Toc41155985"/>
      <w:bookmarkStart w:id="158" w:name="_Toc531189386"/>
      <w:bookmarkStart w:id="159" w:name="_Toc3317464"/>
      <w:bookmarkStart w:id="160" w:name="_Toc3565282"/>
      <w:bookmarkStart w:id="161" w:name="_Toc41303727"/>
      <w:bookmarkStart w:id="162" w:name="_Toc8139208"/>
      <w:r>
        <w:rPr>
          <w:rFonts w:hint="eastAsia" w:eastAsia="仿宋_GB2312"/>
          <w:b/>
          <w:color w:val="auto"/>
          <w:sz w:val="24"/>
          <w:u w:val="single"/>
          <w:lang w:val="en-US" w:eastAsia="zh-CN"/>
        </w:rPr>
        <w:t>三</w:t>
      </w:r>
      <w:r>
        <w:rPr>
          <w:rFonts w:hint="eastAsia" w:eastAsia="仿宋_GB2312"/>
          <w:b/>
          <w:color w:val="auto"/>
          <w:sz w:val="24"/>
          <w:u w:val="single"/>
        </w:rPr>
        <w:t>、</w:t>
      </w:r>
      <w:bookmarkEnd w:id="139"/>
      <w:bookmarkEnd w:id="140"/>
      <w:bookmarkEnd w:id="141"/>
      <w:bookmarkEnd w:id="142"/>
      <w:bookmarkEnd w:id="143"/>
      <w:bookmarkEnd w:id="144"/>
      <w:bookmarkEnd w:id="145"/>
      <w:bookmarkEnd w:id="146"/>
      <w:bookmarkEnd w:id="147"/>
      <w:r>
        <w:rPr>
          <w:rFonts w:hint="eastAsia" w:eastAsia="仿宋_GB2312"/>
          <w:b/>
          <w:color w:val="auto"/>
          <w:sz w:val="24"/>
          <w:u w:val="single"/>
          <w:lang w:val="en-US" w:eastAsia="zh-CN"/>
        </w:rPr>
        <w:t>分析判定相关情况</w:t>
      </w:r>
      <w:bookmarkEnd w:id="148"/>
      <w:bookmarkEnd w:id="149"/>
      <w:bookmarkEnd w:id="150"/>
      <w:bookmarkEnd w:id="151"/>
      <w:bookmarkEnd w:id="152"/>
      <w:bookmarkEnd w:id="153"/>
    </w:p>
    <w:p>
      <w:pPr>
        <w:pStyle w:val="9"/>
        <w:widowControl w:val="0"/>
        <w:spacing w:before="120" w:after="120" w:line="360" w:lineRule="auto"/>
        <w:rPr>
          <w:rFonts w:eastAsia="黑体"/>
          <w:b w:val="0"/>
          <w:color w:val="auto"/>
          <w:sz w:val="24"/>
        </w:rPr>
      </w:pPr>
      <w:bookmarkStart w:id="163" w:name="_Toc246326670"/>
      <w:bookmarkStart w:id="164" w:name="_Toc161484178"/>
      <w:bookmarkStart w:id="165" w:name="_Toc343702931"/>
      <w:bookmarkStart w:id="166" w:name="_Toc6549"/>
      <w:r>
        <w:rPr>
          <w:rFonts w:hint="eastAsia" w:eastAsia="黑体"/>
          <w:b w:val="0"/>
          <w:color w:val="auto"/>
          <w:sz w:val="24"/>
          <w:lang w:val="en-US" w:eastAsia="zh-CN"/>
        </w:rPr>
        <w:t>1、</w:t>
      </w:r>
      <w:r>
        <w:rPr>
          <w:rFonts w:eastAsia="黑体"/>
          <w:b w:val="0"/>
          <w:color w:val="auto"/>
          <w:sz w:val="24"/>
        </w:rPr>
        <w:t>产业政策</w:t>
      </w:r>
      <w:bookmarkEnd w:id="163"/>
      <w:bookmarkEnd w:id="164"/>
      <w:r>
        <w:rPr>
          <w:rFonts w:hint="eastAsia" w:eastAsia="黑体"/>
          <w:b w:val="0"/>
          <w:color w:val="auto"/>
          <w:sz w:val="24"/>
          <w:lang w:val="en-US" w:eastAsia="zh-CN"/>
        </w:rPr>
        <w:t>符合</w:t>
      </w:r>
      <w:r>
        <w:rPr>
          <w:rFonts w:eastAsia="黑体"/>
          <w:b w:val="0"/>
          <w:color w:val="auto"/>
          <w:sz w:val="24"/>
        </w:rPr>
        <w:t>性分析</w:t>
      </w:r>
      <w:bookmarkEnd w:id="165"/>
      <w:bookmarkEnd w:id="166"/>
    </w:p>
    <w:p>
      <w:pPr>
        <w:widowControl w:val="0"/>
        <w:spacing w:line="360" w:lineRule="auto"/>
        <w:ind w:firstLine="480" w:firstLineChars="200"/>
        <w:jc w:val="both"/>
        <w:rPr>
          <w:rFonts w:hint="eastAsia" w:eastAsia="仿宋_GB2312"/>
          <w:color w:val="auto"/>
          <w:sz w:val="24"/>
        </w:rPr>
      </w:pPr>
      <w:r>
        <w:rPr>
          <w:rFonts w:hint="eastAsia" w:eastAsia="仿宋_GB2312"/>
          <w:color w:val="auto"/>
          <w:kern w:val="0"/>
          <w:sz w:val="24"/>
          <w:szCs w:val="24"/>
          <w:lang w:val="en-US" w:eastAsia="zh-CN"/>
        </w:rPr>
        <w:t>本次技改工程建设</w:t>
      </w:r>
      <w:r>
        <w:rPr>
          <w:rFonts w:hint="eastAsia" w:eastAsia="仿宋_GB2312"/>
          <w:color w:val="auto"/>
          <w:sz w:val="24"/>
          <w:szCs w:val="24"/>
          <w:lang w:val="en-US" w:eastAsia="zh-CN"/>
        </w:rPr>
        <w:t>2</w:t>
      </w:r>
      <w:r>
        <w:rPr>
          <w:rFonts w:hint="eastAsia" w:eastAsia="仿宋_GB2312"/>
          <w:color w:val="auto"/>
          <w:sz w:val="24"/>
          <w:szCs w:val="24"/>
        </w:rPr>
        <w:t>个</w:t>
      </w:r>
      <w:r>
        <w:rPr>
          <w:rFonts w:hint="eastAsia" w:eastAsia="仿宋_GB2312"/>
          <w:color w:val="auto"/>
          <w:sz w:val="24"/>
          <w:szCs w:val="24"/>
          <w:lang w:val="en-US" w:eastAsia="zh-CN"/>
        </w:rPr>
        <w:t>3</w:t>
      </w:r>
      <w:r>
        <w:rPr>
          <w:rFonts w:hint="eastAsia" w:eastAsia="仿宋_GB2312"/>
          <w:color w:val="auto"/>
          <w:sz w:val="24"/>
          <w:szCs w:val="24"/>
        </w:rPr>
        <w:t>000吨级散货泊位</w:t>
      </w:r>
      <w:r>
        <w:rPr>
          <w:rFonts w:hint="eastAsia" w:eastAsia="仿宋_GB2312"/>
          <w:color w:val="auto"/>
          <w:kern w:val="0"/>
          <w:sz w:val="24"/>
          <w:szCs w:val="24"/>
        </w:rPr>
        <w:t>，</w:t>
      </w:r>
      <w:r>
        <w:rPr>
          <w:rFonts w:eastAsia="仿宋_GB2312"/>
          <w:color w:val="auto"/>
          <w:kern w:val="0"/>
          <w:sz w:val="24"/>
          <w:szCs w:val="24"/>
        </w:rPr>
        <w:t>属于《产业结构调整指导目录（201</w:t>
      </w:r>
      <w:r>
        <w:rPr>
          <w:rFonts w:hint="eastAsia" w:eastAsia="仿宋_GB2312"/>
          <w:color w:val="auto"/>
          <w:kern w:val="0"/>
          <w:sz w:val="24"/>
          <w:szCs w:val="24"/>
        </w:rPr>
        <w:t>9</w:t>
      </w:r>
      <w:r>
        <w:rPr>
          <w:rFonts w:eastAsia="仿宋_GB2312"/>
          <w:color w:val="auto"/>
          <w:kern w:val="0"/>
          <w:sz w:val="24"/>
          <w:szCs w:val="24"/>
        </w:rPr>
        <w:t>年</w:t>
      </w:r>
      <w:r>
        <w:rPr>
          <w:rFonts w:hint="eastAsia" w:eastAsia="仿宋_GB2312"/>
          <w:color w:val="auto"/>
          <w:kern w:val="0"/>
          <w:sz w:val="24"/>
          <w:szCs w:val="24"/>
        </w:rPr>
        <w:t>本</w:t>
      </w:r>
      <w:r>
        <w:rPr>
          <w:rFonts w:eastAsia="仿宋_GB2312"/>
          <w:color w:val="auto"/>
          <w:kern w:val="0"/>
          <w:sz w:val="24"/>
          <w:szCs w:val="24"/>
        </w:rPr>
        <w:t>）》中</w:t>
      </w: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 xml:space="preserve">第一类 </w:t>
      </w:r>
      <w:r>
        <w:rPr>
          <w:rFonts w:eastAsia="仿宋_GB2312"/>
          <w:color w:val="auto"/>
          <w:kern w:val="0"/>
          <w:sz w:val="24"/>
          <w:szCs w:val="24"/>
        </w:rPr>
        <w:t>鼓励类</w:t>
      </w: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中“二十五</w:t>
      </w:r>
      <w:r>
        <w:rPr>
          <w:rFonts w:eastAsia="仿宋_GB2312"/>
          <w:color w:val="auto"/>
          <w:kern w:val="0"/>
          <w:sz w:val="24"/>
          <w:szCs w:val="24"/>
        </w:rPr>
        <w:t xml:space="preserve"> </w:t>
      </w:r>
      <w:r>
        <w:rPr>
          <w:rFonts w:hint="eastAsia" w:eastAsia="仿宋_GB2312"/>
          <w:color w:val="auto"/>
          <w:kern w:val="0"/>
          <w:sz w:val="24"/>
          <w:szCs w:val="24"/>
          <w:lang w:val="en-US" w:eastAsia="zh-CN"/>
        </w:rPr>
        <w:t>水运</w:t>
      </w:r>
      <w:r>
        <w:rPr>
          <w:rFonts w:eastAsia="仿宋_GB2312"/>
          <w:color w:val="auto"/>
          <w:kern w:val="0"/>
          <w:sz w:val="24"/>
          <w:szCs w:val="24"/>
        </w:rPr>
        <w:t xml:space="preserve"> 第</w:t>
      </w:r>
      <w:r>
        <w:rPr>
          <w:rFonts w:hint="eastAsia" w:eastAsia="仿宋_GB2312"/>
          <w:color w:val="auto"/>
          <w:kern w:val="0"/>
          <w:sz w:val="24"/>
          <w:szCs w:val="24"/>
          <w:lang w:val="en-US" w:eastAsia="zh-CN"/>
        </w:rPr>
        <w:t>1</w:t>
      </w:r>
      <w:r>
        <w:rPr>
          <w:rFonts w:eastAsia="仿宋_GB2312"/>
          <w:color w:val="auto"/>
          <w:kern w:val="0"/>
          <w:sz w:val="24"/>
          <w:szCs w:val="24"/>
        </w:rPr>
        <w:t>条</w:t>
      </w:r>
      <w:r>
        <w:rPr>
          <w:rFonts w:hint="eastAsia" w:eastAsia="仿宋_GB2312"/>
          <w:color w:val="auto"/>
          <w:kern w:val="0"/>
          <w:sz w:val="24"/>
          <w:szCs w:val="24"/>
          <w:lang w:val="en-US" w:eastAsia="zh-CN"/>
        </w:rPr>
        <w:t xml:space="preserve"> 深水泊位（沿海万吨级、内河千吨级及以上）建设”</w:t>
      </w:r>
      <w:r>
        <w:rPr>
          <w:rFonts w:eastAsia="仿宋_GB2312"/>
          <w:color w:val="auto"/>
          <w:kern w:val="0"/>
          <w:sz w:val="24"/>
          <w:szCs w:val="24"/>
        </w:rPr>
        <w:t>的范畴，</w:t>
      </w:r>
      <w:r>
        <w:rPr>
          <w:rFonts w:hint="eastAsia" w:eastAsia="仿宋_GB2312"/>
          <w:color w:val="auto"/>
          <w:kern w:val="0"/>
          <w:sz w:val="24"/>
          <w:szCs w:val="24"/>
          <w:lang w:val="en-US" w:eastAsia="zh-CN"/>
        </w:rPr>
        <w:t>宜都市发展和改革局</w:t>
      </w:r>
      <w:r>
        <w:rPr>
          <w:rFonts w:eastAsia="仿宋_GB2312"/>
          <w:color w:val="auto"/>
          <w:kern w:val="0"/>
          <w:sz w:val="24"/>
          <w:szCs w:val="24"/>
        </w:rPr>
        <w:t>于20</w:t>
      </w:r>
      <w:r>
        <w:rPr>
          <w:rFonts w:hint="eastAsia" w:eastAsia="仿宋_GB2312"/>
          <w:color w:val="auto"/>
          <w:kern w:val="0"/>
          <w:sz w:val="24"/>
          <w:szCs w:val="24"/>
          <w:lang w:val="en-US" w:eastAsia="zh-CN"/>
        </w:rPr>
        <w:t>23</w:t>
      </w:r>
      <w:r>
        <w:rPr>
          <w:rFonts w:eastAsia="仿宋_GB2312"/>
          <w:color w:val="auto"/>
          <w:kern w:val="0"/>
          <w:sz w:val="24"/>
          <w:szCs w:val="24"/>
        </w:rPr>
        <w:t>年</w:t>
      </w:r>
      <w:r>
        <w:rPr>
          <w:rFonts w:hint="eastAsia" w:eastAsia="仿宋_GB2312"/>
          <w:color w:val="auto"/>
          <w:kern w:val="0"/>
          <w:sz w:val="24"/>
          <w:szCs w:val="24"/>
          <w:lang w:val="en-US" w:eastAsia="zh-CN"/>
        </w:rPr>
        <w:t>3</w:t>
      </w:r>
      <w:r>
        <w:rPr>
          <w:rFonts w:eastAsia="仿宋_GB2312"/>
          <w:color w:val="auto"/>
          <w:kern w:val="0"/>
          <w:sz w:val="24"/>
          <w:szCs w:val="24"/>
        </w:rPr>
        <w:t>月同意项目备案</w:t>
      </w:r>
      <w:r>
        <w:rPr>
          <w:rFonts w:hint="eastAsia" w:eastAsia="仿宋_GB2312"/>
          <w:color w:val="auto"/>
          <w:kern w:val="0"/>
          <w:sz w:val="24"/>
          <w:szCs w:val="24"/>
        </w:rPr>
        <w:t>（登记</w:t>
      </w:r>
      <w:r>
        <w:rPr>
          <w:rFonts w:eastAsia="仿宋_GB2312"/>
          <w:color w:val="auto"/>
          <w:kern w:val="0"/>
          <w:sz w:val="24"/>
          <w:szCs w:val="24"/>
        </w:rPr>
        <w:t>备案</w:t>
      </w:r>
      <w:r>
        <w:rPr>
          <w:rFonts w:hint="eastAsia" w:eastAsia="仿宋_GB2312"/>
          <w:color w:val="auto"/>
          <w:kern w:val="0"/>
          <w:sz w:val="24"/>
          <w:szCs w:val="24"/>
        </w:rPr>
        <w:t>项目代码</w:t>
      </w:r>
      <w:r>
        <w:rPr>
          <w:rFonts w:eastAsia="仿宋_GB2312"/>
          <w:color w:val="auto"/>
          <w:kern w:val="0"/>
          <w:sz w:val="24"/>
          <w:szCs w:val="24"/>
        </w:rPr>
        <w:t>20</w:t>
      </w:r>
      <w:r>
        <w:rPr>
          <w:rFonts w:hint="eastAsia" w:eastAsia="仿宋_GB2312"/>
          <w:color w:val="auto"/>
          <w:kern w:val="0"/>
          <w:sz w:val="24"/>
          <w:szCs w:val="24"/>
          <w:lang w:val="en-US" w:eastAsia="zh-CN"/>
        </w:rPr>
        <w:t>23</w:t>
      </w:r>
      <w:r>
        <w:rPr>
          <w:rFonts w:eastAsia="仿宋_GB2312"/>
          <w:color w:val="auto"/>
          <w:kern w:val="0"/>
          <w:sz w:val="24"/>
          <w:szCs w:val="24"/>
        </w:rPr>
        <w:t>-420</w:t>
      </w:r>
      <w:r>
        <w:rPr>
          <w:rFonts w:hint="eastAsia" w:eastAsia="仿宋_GB2312"/>
          <w:color w:val="auto"/>
          <w:kern w:val="0"/>
          <w:sz w:val="24"/>
          <w:szCs w:val="24"/>
          <w:lang w:val="en-US" w:eastAsia="zh-CN"/>
        </w:rPr>
        <w:t>581</w:t>
      </w:r>
      <w:r>
        <w:rPr>
          <w:rFonts w:eastAsia="仿宋_GB2312"/>
          <w:color w:val="auto"/>
          <w:kern w:val="0"/>
          <w:sz w:val="24"/>
          <w:szCs w:val="24"/>
        </w:rPr>
        <w:t>-</w:t>
      </w:r>
      <w:r>
        <w:rPr>
          <w:rFonts w:hint="eastAsia" w:eastAsia="仿宋_GB2312"/>
          <w:color w:val="auto"/>
          <w:kern w:val="0"/>
          <w:sz w:val="24"/>
          <w:szCs w:val="24"/>
          <w:lang w:val="en-US" w:eastAsia="zh-CN"/>
        </w:rPr>
        <w:t>04</w:t>
      </w:r>
      <w:r>
        <w:rPr>
          <w:rFonts w:eastAsia="仿宋_GB2312"/>
          <w:color w:val="auto"/>
          <w:kern w:val="0"/>
          <w:sz w:val="24"/>
          <w:szCs w:val="24"/>
        </w:rPr>
        <w:t>-0</w:t>
      </w:r>
      <w:r>
        <w:rPr>
          <w:rFonts w:hint="eastAsia" w:eastAsia="仿宋_GB2312"/>
          <w:color w:val="auto"/>
          <w:kern w:val="0"/>
          <w:sz w:val="24"/>
          <w:szCs w:val="24"/>
          <w:lang w:val="en-US" w:eastAsia="zh-CN"/>
        </w:rPr>
        <w:t>1</w:t>
      </w:r>
      <w:r>
        <w:rPr>
          <w:rFonts w:eastAsia="仿宋_GB2312"/>
          <w:color w:val="auto"/>
          <w:kern w:val="0"/>
          <w:sz w:val="24"/>
          <w:szCs w:val="24"/>
        </w:rPr>
        <w:t>-</w:t>
      </w:r>
      <w:r>
        <w:rPr>
          <w:rFonts w:hint="eastAsia" w:eastAsia="仿宋_GB2312"/>
          <w:color w:val="auto"/>
          <w:kern w:val="0"/>
          <w:sz w:val="24"/>
          <w:szCs w:val="24"/>
          <w:lang w:val="en-US" w:eastAsia="zh-CN"/>
        </w:rPr>
        <w:t>363512</w:t>
      </w:r>
      <w:r>
        <w:rPr>
          <w:rFonts w:hint="eastAsia" w:eastAsia="仿宋_GB2312"/>
          <w:color w:val="auto"/>
          <w:kern w:val="0"/>
          <w:sz w:val="24"/>
          <w:szCs w:val="24"/>
        </w:rPr>
        <w:t>），</w:t>
      </w:r>
      <w:r>
        <w:rPr>
          <w:rFonts w:eastAsia="仿宋_GB2312"/>
          <w:color w:val="auto"/>
          <w:kern w:val="0"/>
          <w:sz w:val="24"/>
          <w:szCs w:val="24"/>
        </w:rPr>
        <w:t>项目建设符合国家产业政策</w:t>
      </w:r>
      <w:r>
        <w:rPr>
          <w:rFonts w:hint="eastAsia" w:eastAsia="仿宋_GB2312"/>
          <w:color w:val="auto"/>
          <w:kern w:val="0"/>
          <w:sz w:val="24"/>
          <w:szCs w:val="24"/>
          <w:lang w:eastAsia="zh-CN"/>
        </w:rPr>
        <w:t>的</w:t>
      </w:r>
      <w:r>
        <w:rPr>
          <w:rFonts w:hint="eastAsia" w:eastAsia="仿宋_GB2312"/>
          <w:color w:val="auto"/>
          <w:kern w:val="0"/>
          <w:sz w:val="24"/>
          <w:szCs w:val="24"/>
          <w:lang w:val="en-US" w:eastAsia="zh-CN"/>
        </w:rPr>
        <w:t>要求</w:t>
      </w:r>
      <w:r>
        <w:rPr>
          <w:rFonts w:eastAsia="仿宋_GB2312"/>
          <w:color w:val="auto"/>
          <w:kern w:val="0"/>
          <w:sz w:val="24"/>
          <w:szCs w:val="24"/>
        </w:rPr>
        <w:t>。</w:t>
      </w:r>
    </w:p>
    <w:p>
      <w:pPr>
        <w:pStyle w:val="9"/>
        <w:widowControl w:val="0"/>
        <w:spacing w:before="120" w:after="120" w:line="360" w:lineRule="auto"/>
        <w:rPr>
          <w:rFonts w:hint="eastAsia" w:eastAsia="黑体"/>
          <w:b w:val="0"/>
          <w:color w:val="auto"/>
          <w:sz w:val="24"/>
          <w:lang w:val="en-US" w:eastAsia="zh-CN"/>
        </w:rPr>
      </w:pPr>
      <w:bookmarkStart w:id="167" w:name="_Toc3095"/>
      <w:bookmarkStart w:id="168" w:name="_Toc509052906"/>
      <w:r>
        <w:rPr>
          <w:rFonts w:hint="eastAsia" w:eastAsia="黑体"/>
          <w:b w:val="0"/>
          <w:color w:val="auto"/>
          <w:sz w:val="24"/>
          <w:lang w:val="en-US" w:eastAsia="zh-CN"/>
        </w:rPr>
        <w:t>2、规划符合性分析</w:t>
      </w:r>
      <w:bookmarkEnd w:id="167"/>
      <w:bookmarkEnd w:id="168"/>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bookmarkStart w:id="169" w:name="_Toc14971371"/>
      <w:r>
        <w:rPr>
          <w:rFonts w:hint="eastAsia" w:ascii="Times New Roman" w:hAnsi="Times New Roman" w:eastAsia="黑体" w:cs="Times New Roman"/>
          <w:b w:val="0"/>
          <w:bCs w:val="0"/>
          <w:color w:val="auto"/>
          <w:kern w:val="0"/>
          <w:sz w:val="24"/>
          <w:szCs w:val="24"/>
          <w:lang w:val="en-US" w:eastAsia="zh-CN"/>
        </w:rPr>
        <w:t>（1）与《宜昌港总体规划修订（2018-2035）》符合性分析</w:t>
      </w:r>
      <w:bookmarkEnd w:id="169"/>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color w:val="auto"/>
          <w:kern w:val="0"/>
          <w:sz w:val="24"/>
          <w:szCs w:val="24"/>
          <w:lang w:val="en-US" w:eastAsia="zh-CN"/>
        </w:rPr>
        <w:t>技改</w:t>
      </w:r>
      <w:r>
        <w:rPr>
          <w:rFonts w:hint="eastAsia" w:eastAsia="仿宋_GB2312"/>
          <w:bCs/>
          <w:snapToGrid w:val="0"/>
          <w:color w:val="auto"/>
          <w:kern w:val="0"/>
          <w:sz w:val="24"/>
        </w:rPr>
        <w:t>码头位于宜都市枝城镇洋溪村，位于《宜昌港总体规划修订（2018-2035年）》中的枝城作业区岸线范围内。</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根据《宜昌港总体规划修订（2018-2035年）》，宜昌港港口性质：全国内河主要港口，是服务长江中上游地区的重要区域性综合运输枢纽、渝东鄂西地区对外物资交换的重要贸易口岸以及适应三峡综合运输体系建设的枢纽性节点。未来宜昌港将通过加快“三城六区一中心”建设，推进港口新城发展，完善翻坝运输体系，全面实现宜昌港转型升级，打造长江三峡航运物流中心。</w:t>
      </w:r>
    </w:p>
    <w:p>
      <w:pPr>
        <w:widowControl w:val="0"/>
        <w:spacing w:line="360" w:lineRule="auto"/>
        <w:ind w:firstLine="482" w:firstLineChars="200"/>
        <w:jc w:val="both"/>
        <w:rPr>
          <w:rFonts w:hint="eastAsia" w:eastAsia="仿宋_GB2312"/>
          <w:bCs/>
          <w:snapToGrid w:val="0"/>
          <w:color w:val="auto"/>
          <w:kern w:val="0"/>
          <w:sz w:val="24"/>
        </w:rPr>
      </w:pPr>
      <w:r>
        <w:rPr>
          <w:rFonts w:hint="eastAsia" w:eastAsia="仿宋_GB2312"/>
          <w:b/>
          <w:bCs w:val="0"/>
          <w:snapToGrid w:val="0"/>
          <w:color w:val="auto"/>
          <w:kern w:val="0"/>
          <w:sz w:val="24"/>
        </w:rPr>
        <w:t>港口功能：</w:t>
      </w:r>
      <w:r>
        <w:rPr>
          <w:rFonts w:hint="eastAsia" w:eastAsia="仿宋_GB2312"/>
          <w:bCs/>
          <w:snapToGrid w:val="0"/>
          <w:color w:val="auto"/>
          <w:kern w:val="0"/>
          <w:sz w:val="24"/>
        </w:rPr>
        <w:t>以“翻坝转运”、“工业输出”、“西部出海”、“三峡旅游”四大功能为核心的现代化综合性枢纽港口。</w:t>
      </w:r>
    </w:p>
    <w:p>
      <w:pPr>
        <w:widowControl w:val="0"/>
        <w:spacing w:line="360" w:lineRule="auto"/>
        <w:ind w:firstLine="482" w:firstLineChars="200"/>
        <w:jc w:val="both"/>
        <w:rPr>
          <w:rFonts w:hint="eastAsia" w:eastAsia="仿宋_GB2312"/>
          <w:bCs/>
          <w:snapToGrid w:val="0"/>
          <w:color w:val="auto"/>
          <w:kern w:val="0"/>
          <w:sz w:val="24"/>
        </w:rPr>
      </w:pPr>
      <w:r>
        <w:rPr>
          <w:rFonts w:hint="eastAsia" w:eastAsia="仿宋_GB2312"/>
          <w:b/>
          <w:bCs w:val="0"/>
          <w:snapToGrid w:val="0"/>
          <w:color w:val="auto"/>
          <w:kern w:val="0"/>
          <w:sz w:val="24"/>
        </w:rPr>
        <w:t>港区划分：</w:t>
      </w:r>
      <w:r>
        <w:rPr>
          <w:rFonts w:hint="eastAsia" w:eastAsia="仿宋_GB2312"/>
          <w:bCs/>
          <w:snapToGrid w:val="0"/>
          <w:color w:val="auto"/>
          <w:kern w:val="0"/>
          <w:sz w:val="24"/>
        </w:rPr>
        <w:t>主城港区、秭归港区、兴山港区、枝江港区、宜都港区以及长阳港区6个港区。</w:t>
      </w:r>
    </w:p>
    <w:p>
      <w:pPr>
        <w:widowControl w:val="0"/>
        <w:spacing w:line="360" w:lineRule="auto"/>
        <w:ind w:firstLine="482" w:firstLineChars="200"/>
        <w:jc w:val="both"/>
        <w:rPr>
          <w:rFonts w:hint="eastAsia" w:eastAsia="仿宋_GB2312"/>
          <w:bCs/>
          <w:snapToGrid w:val="0"/>
          <w:color w:val="auto"/>
          <w:kern w:val="0"/>
          <w:sz w:val="24"/>
        </w:rPr>
      </w:pPr>
      <w:r>
        <w:rPr>
          <w:rFonts w:hint="eastAsia" w:eastAsia="仿宋_GB2312"/>
          <w:b/>
          <w:bCs w:val="0"/>
          <w:snapToGrid w:val="0"/>
          <w:color w:val="auto"/>
          <w:kern w:val="0"/>
          <w:sz w:val="24"/>
        </w:rPr>
        <w:t>港区功能定位：</w:t>
      </w:r>
      <w:r>
        <w:rPr>
          <w:rFonts w:hint="eastAsia" w:eastAsia="仿宋_GB2312"/>
          <w:bCs/>
          <w:snapToGrid w:val="0"/>
          <w:color w:val="auto"/>
          <w:kern w:val="0"/>
          <w:sz w:val="24"/>
        </w:rPr>
        <w:t>宜都港区各作业区均位于长江干线的右岸，主要为宜都及周边地区经济发展服务，为煤炭、非金属矿石等大宗散货中转运输服务，为沿江工业及物流业发展服务。在上轮规划的基础上，本次规划对原港区作业区重新整合归并，本次共划分为3个作业区，分别是：红花套作业区、陆城作业区和枝城作业区。</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枝城作业区整合了上一轮规划中的楼子河作业区、枝城作业区、石鼓作业区、洋溪作业区。枝城作业区未来将依托枝城化工产业园区的建设，发展以危化品</w:t>
      </w:r>
      <w:r>
        <w:rPr>
          <w:rFonts w:hint="eastAsia" w:eastAsia="仿宋_GB2312"/>
          <w:bCs/>
          <w:snapToGrid w:val="0"/>
          <w:color w:val="auto"/>
          <w:kern w:val="0"/>
          <w:sz w:val="24"/>
          <w:lang w:eastAsia="zh-CN"/>
        </w:rPr>
        <w:t>、</w:t>
      </w:r>
      <w:r>
        <w:rPr>
          <w:rFonts w:hint="eastAsia" w:eastAsia="仿宋_GB2312"/>
          <w:bCs/>
          <w:snapToGrid w:val="0"/>
          <w:color w:val="auto"/>
          <w:kern w:val="0"/>
          <w:sz w:val="24"/>
        </w:rPr>
        <w:t>油品、LNG、煤炭、散货等运输为主，兼顾危化品集装箱功能。</w:t>
      </w:r>
    </w:p>
    <w:p>
      <w:pPr>
        <w:widowControl w:val="0"/>
        <w:spacing w:line="360" w:lineRule="auto"/>
        <w:ind w:firstLine="482" w:firstLineChars="200"/>
        <w:jc w:val="both"/>
        <w:rPr>
          <w:rFonts w:hint="eastAsia" w:eastAsia="仿宋_GB2312"/>
          <w:bCs/>
          <w:snapToGrid w:val="0"/>
          <w:color w:val="auto"/>
          <w:kern w:val="0"/>
          <w:sz w:val="24"/>
        </w:rPr>
      </w:pPr>
      <w:r>
        <w:rPr>
          <w:rFonts w:hint="eastAsia" w:eastAsia="仿宋_GB2312"/>
          <w:b/>
          <w:bCs w:val="0"/>
          <w:snapToGrid w:val="0"/>
          <w:color w:val="auto"/>
          <w:kern w:val="0"/>
          <w:sz w:val="24"/>
        </w:rPr>
        <w:t>港区布置规划：</w:t>
      </w:r>
      <w:r>
        <w:rPr>
          <w:rFonts w:hint="eastAsia" w:eastAsia="仿宋_GB2312"/>
          <w:bCs/>
          <w:snapToGrid w:val="0"/>
          <w:color w:val="auto"/>
          <w:kern w:val="0"/>
          <w:sz w:val="24"/>
        </w:rPr>
        <w:t>枝城作业区，位于长江右岸，枝城作业区整合了前规划中的楼子河作业区、枝城作业区、石鼓作业区、洋溪作业区。</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枝城作业区，是宜都港区未来发展的核心作业区，承担散货、件杂货、危化品等运输功能。本次规划的枝城作业区的范围包括原规划的枝城作业区、石鼓业区和洋溪作业区。本次规划的枝城作业区自上游至下游分为三段，分别是：楼子河岸线、枝城岸线、石鼓岸线和洋溪岸线。</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洋溪岸线分为上、下两段，上段岸线为规划岸线，利用岸线1440米，通过对现有零散码头进行搬迁后，重新进行规划建设。具体的规划布置为：上端规划布置散货泊位区，规划5个3000吨级通用泊位；散货泊位区下游规划1个重件泊位；重件泊位下游依次规划1个危化品集装箱泊位和1个普通危化品泊位。洋溪下段岸线全长1300米，保留现有的石柱码头1个泊位，为垃圾回收功能，保留九三五处物资油品1个泊位和1个水上加油泊位，其余岸线目前为散货功能。考虑到未来服务三峡大坝以上油品运输翻坝运输需要，洋溪岸线未来将结合发展实际和建设条件，增加油品、LNG、件杂等其他功能。枝城作业区背依红东公路，港区铁路可接焦柳铁路，集疏运条件良好。结合宜都市城市发展需要，未来红东公路将根据港区发展实际进行调整，港口集疏运条件将进一步提升。</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color w:val="auto"/>
          <w:kern w:val="0"/>
          <w:sz w:val="24"/>
          <w:szCs w:val="24"/>
          <w:lang w:val="en-US" w:eastAsia="zh-CN"/>
        </w:rPr>
        <w:t>技改</w:t>
      </w:r>
      <w:r>
        <w:rPr>
          <w:rFonts w:hint="eastAsia" w:eastAsia="仿宋_GB2312"/>
          <w:bCs/>
          <w:snapToGrid w:val="0"/>
          <w:color w:val="auto"/>
          <w:kern w:val="0"/>
          <w:sz w:val="24"/>
          <w:lang w:val="en-US" w:eastAsia="zh-CN"/>
        </w:rPr>
        <w:t>码头</w:t>
      </w:r>
      <w:r>
        <w:rPr>
          <w:rFonts w:hint="eastAsia" w:eastAsia="仿宋_GB2312"/>
          <w:bCs/>
          <w:snapToGrid w:val="0"/>
          <w:color w:val="auto"/>
          <w:kern w:val="0"/>
          <w:sz w:val="24"/>
        </w:rPr>
        <w:t>位于枝城长江大桥下游</w:t>
      </w:r>
      <w:r>
        <w:rPr>
          <w:rFonts w:hint="eastAsia" w:eastAsia="仿宋_GB2312"/>
          <w:bCs/>
          <w:snapToGrid w:val="0"/>
          <w:color w:val="auto"/>
          <w:kern w:val="0"/>
          <w:sz w:val="24"/>
          <w:lang w:val="en-US" w:eastAsia="zh-CN"/>
        </w:rPr>
        <w:t>约5</w:t>
      </w:r>
      <w:r>
        <w:rPr>
          <w:rFonts w:hint="eastAsia" w:eastAsia="仿宋_GB2312"/>
          <w:bCs/>
          <w:snapToGrid w:val="0"/>
          <w:color w:val="auto"/>
          <w:kern w:val="0"/>
          <w:sz w:val="24"/>
        </w:rPr>
        <w:t>km，属于宜昌港总体规划修订（2018-2035年）中枝城作业区岸线范围内。</w:t>
      </w:r>
      <w:r>
        <w:rPr>
          <w:rFonts w:hint="eastAsia" w:eastAsia="仿宋_GB2312"/>
          <w:bCs/>
          <w:snapToGrid w:val="0"/>
          <w:color w:val="auto"/>
          <w:kern w:val="0"/>
          <w:sz w:val="24"/>
          <w:lang w:val="en-US" w:eastAsia="zh-CN"/>
        </w:rPr>
        <w:t>使用</w:t>
      </w:r>
      <w:r>
        <w:rPr>
          <w:rFonts w:hint="eastAsia" w:eastAsia="仿宋_GB2312"/>
          <w:bCs/>
          <w:snapToGrid w:val="0"/>
          <w:color w:val="auto"/>
          <w:kern w:val="0"/>
          <w:sz w:val="24"/>
        </w:rPr>
        <w:t>岸线长度</w:t>
      </w:r>
      <w:r>
        <w:rPr>
          <w:rFonts w:hint="eastAsia" w:eastAsia="仿宋_GB2312"/>
          <w:bCs/>
          <w:snapToGrid w:val="0"/>
          <w:color w:val="auto"/>
          <w:kern w:val="0"/>
          <w:sz w:val="24"/>
          <w:lang w:val="en-US" w:eastAsia="zh-CN"/>
        </w:rPr>
        <w:t>为248m，利用现有未发生改变</w:t>
      </w:r>
      <w:r>
        <w:rPr>
          <w:rFonts w:hint="eastAsia" w:eastAsia="仿宋_GB2312"/>
          <w:bCs/>
          <w:snapToGrid w:val="0"/>
          <w:color w:val="auto"/>
          <w:kern w:val="0"/>
          <w:sz w:val="24"/>
          <w:lang w:eastAsia="zh-CN"/>
        </w:rPr>
        <w:t>。</w:t>
      </w:r>
      <w:r>
        <w:rPr>
          <w:rFonts w:hint="eastAsia" w:eastAsia="仿宋_GB2312"/>
          <w:bCs/>
          <w:snapToGrid w:val="0"/>
          <w:color w:val="auto"/>
          <w:kern w:val="0"/>
          <w:sz w:val="24"/>
          <w:lang w:val="en-US" w:eastAsia="zh-CN"/>
        </w:rPr>
        <w:t>现有靠泊能力为2</w:t>
      </w:r>
      <w:r>
        <w:rPr>
          <w:rFonts w:hint="eastAsia" w:eastAsia="仿宋_GB2312"/>
          <w:bCs/>
          <w:snapToGrid w:val="0"/>
          <w:color w:val="auto"/>
          <w:kern w:val="0"/>
          <w:sz w:val="24"/>
        </w:rPr>
        <w:t>个</w:t>
      </w:r>
      <w:r>
        <w:rPr>
          <w:rFonts w:hint="eastAsia" w:eastAsia="仿宋_GB2312"/>
          <w:bCs/>
          <w:snapToGrid w:val="0"/>
          <w:color w:val="auto"/>
          <w:kern w:val="0"/>
          <w:sz w:val="24"/>
          <w:lang w:val="en-US" w:eastAsia="zh-CN"/>
        </w:rPr>
        <w:t>3</w:t>
      </w:r>
      <w:r>
        <w:rPr>
          <w:rFonts w:hint="eastAsia" w:eastAsia="仿宋_GB2312"/>
          <w:bCs/>
          <w:snapToGrid w:val="0"/>
          <w:color w:val="auto"/>
          <w:kern w:val="0"/>
          <w:sz w:val="24"/>
        </w:rPr>
        <w:t>000吨级</w:t>
      </w:r>
      <w:r>
        <w:rPr>
          <w:rFonts w:hint="eastAsia" w:eastAsia="仿宋_GB2312"/>
          <w:bCs/>
          <w:snapToGrid w:val="0"/>
          <w:color w:val="auto"/>
          <w:kern w:val="0"/>
          <w:sz w:val="24"/>
          <w:lang w:val="en-US" w:eastAsia="zh-CN"/>
        </w:rPr>
        <w:t>普货泊位，</w:t>
      </w:r>
      <w:r>
        <w:rPr>
          <w:rFonts w:hint="eastAsia" w:eastAsia="仿宋_GB2312"/>
          <w:color w:val="auto"/>
          <w:kern w:val="0"/>
          <w:sz w:val="24"/>
          <w:szCs w:val="24"/>
          <w:lang w:val="en-US" w:eastAsia="zh-CN"/>
        </w:rPr>
        <w:t>技改</w:t>
      </w:r>
      <w:r>
        <w:rPr>
          <w:rFonts w:hint="eastAsia" w:eastAsia="仿宋_GB2312"/>
          <w:bCs/>
          <w:snapToGrid w:val="0"/>
          <w:color w:val="auto"/>
          <w:kern w:val="0"/>
          <w:sz w:val="24"/>
        </w:rPr>
        <w:t>泊位</w:t>
      </w:r>
      <w:r>
        <w:rPr>
          <w:rFonts w:hint="eastAsia" w:eastAsia="仿宋_GB2312"/>
          <w:bCs/>
          <w:snapToGrid w:val="0"/>
          <w:color w:val="auto"/>
          <w:kern w:val="0"/>
          <w:sz w:val="24"/>
          <w:lang w:val="en-US" w:eastAsia="zh-CN"/>
        </w:rPr>
        <w:t>吨级与功能与现有码头一致，</w:t>
      </w:r>
      <w:r>
        <w:rPr>
          <w:rFonts w:hint="eastAsia" w:eastAsia="仿宋_GB2312"/>
          <w:bCs/>
          <w:snapToGrid w:val="0"/>
          <w:color w:val="auto"/>
          <w:kern w:val="0"/>
          <w:sz w:val="24"/>
        </w:rPr>
        <w:t>泊位位于枝城作业区洋溪下段保留已利用1300米岸线内，符合宜昌港总体规划修订（2018-2035年）中的港区功能定位及作业区布置规划。</w:t>
      </w:r>
    </w:p>
    <w:p>
      <w:pPr>
        <w:widowControl w:val="0"/>
        <w:spacing w:line="360" w:lineRule="auto"/>
        <w:ind w:firstLine="480" w:firstLineChars="200"/>
        <w:jc w:val="both"/>
        <w:rPr>
          <w:rFonts w:hint="eastAsia" w:eastAsia="仿宋_GB2312"/>
          <w:bCs/>
          <w:snapToGrid w:val="0"/>
          <w:color w:val="auto"/>
          <w:kern w:val="0"/>
          <w:sz w:val="24"/>
          <w:lang w:val="en-US" w:eastAsia="zh-CN"/>
        </w:rPr>
      </w:pPr>
      <w:r>
        <w:rPr>
          <w:rFonts w:hint="eastAsia" w:eastAsia="仿宋_GB2312"/>
          <w:bCs/>
          <w:snapToGrid w:val="0"/>
          <w:color w:val="auto"/>
          <w:kern w:val="0"/>
          <w:sz w:val="24"/>
        </w:rPr>
        <w:t>综上所述，本项目与《宜昌港总体规划修订》（2018-2035年）相符。</w:t>
      </w:r>
      <w:r>
        <w:rPr>
          <w:rFonts w:hint="eastAsia" w:eastAsia="仿宋_GB2312"/>
          <w:bCs/>
          <w:snapToGrid w:val="0"/>
          <w:color w:val="auto"/>
          <w:kern w:val="0"/>
          <w:sz w:val="24"/>
          <w:lang w:val="en-US" w:eastAsia="zh-CN"/>
        </w:rPr>
        <w:t>宜都市</w:t>
      </w:r>
      <w:r>
        <w:rPr>
          <w:rFonts w:hint="eastAsia" w:eastAsia="仿宋_GB2312"/>
          <w:bCs/>
          <w:snapToGrid w:val="0"/>
          <w:color w:val="auto"/>
          <w:kern w:val="0"/>
          <w:sz w:val="24"/>
        </w:rPr>
        <w:t>交</w:t>
      </w:r>
      <w:r>
        <w:rPr>
          <w:rFonts w:hint="eastAsia" w:ascii="Times New Roman" w:hAnsi="Times New Roman" w:eastAsia="仿宋_GB2312" w:cs="Times New Roman"/>
          <w:bCs/>
          <w:snapToGrid w:val="0"/>
          <w:color w:val="auto"/>
          <w:kern w:val="0"/>
          <w:sz w:val="24"/>
          <w:lang w:val="en-US" w:eastAsia="zh-CN"/>
        </w:rPr>
        <w:t>通运输局《关于启动飞强物流港口码头设施设备技术改造工作的批复》见附件5。</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bookmarkStart w:id="170" w:name="_Toc14971372"/>
      <w:r>
        <w:rPr>
          <w:rFonts w:hint="eastAsia" w:ascii="Times New Roman" w:hAnsi="Times New Roman" w:eastAsia="黑体" w:cs="Times New Roman"/>
          <w:b w:val="0"/>
          <w:bCs w:val="0"/>
          <w:color w:val="auto"/>
          <w:kern w:val="0"/>
          <w:sz w:val="24"/>
          <w:szCs w:val="24"/>
          <w:lang w:val="en-US" w:eastAsia="zh-CN"/>
        </w:rPr>
        <w:t>（2）与《宜昌港总体规划修订（2018-2035）环境影响报告书》符合性分析</w:t>
      </w:r>
      <w:bookmarkEnd w:id="170"/>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根据《宜昌港总体规划修订（2018-2035年）环境影响报告书》和</w:t>
      </w:r>
      <w:r>
        <w:rPr>
          <w:rFonts w:hint="eastAsia" w:eastAsia="仿宋_GB2312"/>
          <w:bCs/>
          <w:snapToGrid w:val="0"/>
          <w:color w:val="auto"/>
          <w:kern w:val="0"/>
          <w:sz w:val="24"/>
          <w:lang w:val="en-US" w:eastAsia="zh-CN"/>
        </w:rPr>
        <w:t>中华人民共和国生态环境部</w:t>
      </w:r>
      <w:r>
        <w:rPr>
          <w:rFonts w:hint="eastAsia" w:eastAsia="仿宋_GB2312"/>
          <w:bCs/>
          <w:snapToGrid w:val="0"/>
          <w:color w:val="auto"/>
          <w:kern w:val="0"/>
          <w:sz w:val="24"/>
        </w:rPr>
        <w:t>关于《宜昌港总体规划修订》（2018-2035年）环境影响报告书》的审查意见</w:t>
      </w:r>
      <w:r>
        <w:rPr>
          <w:rFonts w:hint="eastAsia" w:eastAsia="仿宋_GB2312"/>
          <w:bCs/>
          <w:snapToGrid w:val="0"/>
          <w:color w:val="auto"/>
          <w:kern w:val="0"/>
          <w:sz w:val="24"/>
          <w:lang w:eastAsia="zh-CN"/>
        </w:rPr>
        <w:t>（</w:t>
      </w:r>
      <w:r>
        <w:rPr>
          <w:rFonts w:hint="eastAsia" w:eastAsia="仿宋_GB2312"/>
          <w:bCs/>
          <w:snapToGrid w:val="0"/>
          <w:color w:val="auto"/>
          <w:kern w:val="0"/>
          <w:sz w:val="24"/>
          <w:lang w:val="en-US" w:eastAsia="zh-CN"/>
        </w:rPr>
        <w:t>环审【2019】122号</w:t>
      </w:r>
      <w:r>
        <w:rPr>
          <w:rFonts w:hint="eastAsia" w:eastAsia="仿宋_GB2312"/>
          <w:bCs/>
          <w:snapToGrid w:val="0"/>
          <w:color w:val="auto"/>
          <w:kern w:val="0"/>
          <w:sz w:val="24"/>
          <w:lang w:eastAsia="zh-CN"/>
        </w:rPr>
        <w:t>）</w:t>
      </w:r>
      <w:r>
        <w:rPr>
          <w:rFonts w:hint="eastAsia" w:eastAsia="仿宋_GB2312"/>
          <w:bCs/>
          <w:snapToGrid w:val="0"/>
          <w:color w:val="auto"/>
          <w:kern w:val="0"/>
          <w:sz w:val="24"/>
        </w:rPr>
        <w:t>：</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“在对规划方案进行局部调整和优化、对岸线功能进行适当修正、解决</w:t>
      </w:r>
      <w:r>
        <w:rPr>
          <w:rFonts w:hint="eastAsia" w:eastAsia="仿宋_GB2312"/>
          <w:bCs/>
          <w:snapToGrid w:val="0"/>
          <w:color w:val="auto"/>
          <w:kern w:val="0"/>
          <w:sz w:val="24"/>
          <w:lang w:val="en-US" w:eastAsia="zh-CN"/>
        </w:rPr>
        <w:t>部分</w:t>
      </w:r>
      <w:r>
        <w:rPr>
          <w:rFonts w:hint="eastAsia" w:eastAsia="仿宋_GB2312"/>
          <w:bCs/>
          <w:snapToGrid w:val="0"/>
          <w:color w:val="auto"/>
          <w:kern w:val="0"/>
          <w:sz w:val="24"/>
        </w:rPr>
        <w:t>规划不协调问题、严格落实本次评价提出的各种环境保护措施、提高风险事故应急能力，并有效控制环境污染的基础上，规划的实施不会给城市上下游的环境承载力带来较大压力，生态影响和环境污染能够得到有效控制，从环境保护角度分析，《宜昌港总体规划修订（2018-2035年）》是总体可行的”。</w:t>
      </w:r>
    </w:p>
    <w:p>
      <w:pPr>
        <w:widowControl w:val="0"/>
        <w:spacing w:line="360" w:lineRule="auto"/>
        <w:ind w:firstLine="480" w:firstLineChars="200"/>
        <w:jc w:val="both"/>
        <w:rPr>
          <w:rFonts w:eastAsia="仿宋_GB2312"/>
          <w:bCs/>
          <w:snapToGrid w:val="0"/>
          <w:color w:val="auto"/>
          <w:kern w:val="0"/>
          <w:sz w:val="24"/>
        </w:rPr>
      </w:pPr>
      <w:r>
        <w:rPr>
          <w:rFonts w:hint="eastAsia" w:eastAsia="仿宋_GB2312"/>
          <w:bCs/>
          <w:snapToGrid w:val="0"/>
          <w:color w:val="auto"/>
          <w:kern w:val="0"/>
          <w:sz w:val="24"/>
        </w:rPr>
        <w:t>规划环评及审查意见对《规划》包含的近期建设项目的环境影响评价提出了总体要求，本项目与规划环评及审查意见提出的相关要求落实情况见</w:t>
      </w:r>
      <w:r>
        <w:rPr>
          <w:rFonts w:hint="eastAsia" w:eastAsia="仿宋_GB2312"/>
          <w:bCs/>
          <w:snapToGrid w:val="0"/>
          <w:color w:val="auto"/>
          <w:kern w:val="0"/>
          <w:sz w:val="24"/>
          <w:lang w:val="en-US" w:eastAsia="zh-CN"/>
        </w:rPr>
        <w:t>下</w:t>
      </w:r>
      <w:r>
        <w:rPr>
          <w:rFonts w:hint="eastAsia" w:eastAsia="仿宋_GB2312"/>
          <w:bCs/>
          <w:snapToGrid w:val="0"/>
          <w:color w:val="auto"/>
          <w:kern w:val="0"/>
          <w:sz w:val="24"/>
        </w:rPr>
        <w:t>表</w:t>
      </w:r>
      <w:r>
        <w:rPr>
          <w:rFonts w:eastAsia="仿宋_GB2312"/>
          <w:bCs/>
          <w:snapToGrid w:val="0"/>
          <w:color w:val="auto"/>
          <w:kern w:val="0"/>
          <w:sz w:val="24"/>
        </w:rPr>
        <w:t>。</w:t>
      </w:r>
    </w:p>
    <w:p>
      <w:pPr>
        <w:widowControl w:val="0"/>
        <w:spacing w:line="360" w:lineRule="auto"/>
        <w:ind w:firstLine="422" w:firstLineChars="200"/>
        <w:jc w:val="center"/>
        <w:rPr>
          <w:rFonts w:hint="default" w:eastAsia="黑体"/>
          <w:b/>
          <w:bCs/>
          <w:color w:val="auto"/>
          <w:lang w:val="en-US"/>
        </w:rPr>
      </w:pPr>
      <w:r>
        <w:rPr>
          <w:rFonts w:eastAsia="黑体"/>
          <w:b/>
          <w:bCs/>
          <w:color w:val="auto"/>
        </w:rPr>
        <w:t>表</w:t>
      </w:r>
      <w:r>
        <w:rPr>
          <w:rFonts w:hint="eastAsia" w:eastAsia="黑体"/>
          <w:b/>
          <w:bCs/>
          <w:color w:val="auto"/>
          <w:lang w:val="en-US" w:eastAsia="zh-CN"/>
        </w:rPr>
        <w:t>1</w:t>
      </w:r>
      <w:r>
        <w:rPr>
          <w:rFonts w:eastAsia="黑体"/>
          <w:b/>
          <w:bCs/>
          <w:color w:val="auto"/>
        </w:rPr>
        <w:t xml:space="preserve">  </w:t>
      </w:r>
      <w:r>
        <w:rPr>
          <w:rFonts w:hint="eastAsia" w:eastAsia="黑体"/>
          <w:b/>
          <w:bCs/>
          <w:color w:val="auto"/>
        </w:rPr>
        <w:t>规划环评及审查意见</w:t>
      </w:r>
      <w:r>
        <w:rPr>
          <w:rFonts w:hint="eastAsia" w:eastAsia="黑体"/>
          <w:b/>
          <w:bCs/>
          <w:color w:val="auto"/>
          <w:lang w:val="en-US" w:eastAsia="zh-CN"/>
        </w:rPr>
        <w:t>对项目环评相关总体要求落实情况一览表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4439"/>
        <w:gridCol w:w="2794"/>
        <w:gridCol w:w="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序号</w:t>
            </w:r>
          </w:p>
        </w:tc>
        <w:tc>
          <w:tcPr>
            <w:tcW w:w="2607"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规划环评提出的环境保护的要求和方案</w:t>
            </w:r>
          </w:p>
        </w:tc>
        <w:tc>
          <w:tcPr>
            <w:tcW w:w="1641"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落实情况</w:t>
            </w:r>
          </w:p>
        </w:tc>
        <w:tc>
          <w:tcPr>
            <w:tcW w:w="407"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default"/>
                <w:color w:val="auto"/>
                <w:sz w:val="20"/>
                <w:lang w:val="en-US" w:eastAsia="zh-CN"/>
              </w:rPr>
            </w:pPr>
            <w:r>
              <w:rPr>
                <w:rFonts w:hint="eastAsia"/>
                <w:color w:val="auto"/>
                <w:sz w:val="20"/>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规划环评报告书中提出的环境影响减缓措施要求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1</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1、生态保护方案</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①陆域生态保护</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b/>
                <w:bCs/>
                <w:color w:val="auto"/>
                <w:sz w:val="20"/>
              </w:rPr>
              <w:t>加强陆地生态保护：</w:t>
            </w:r>
            <w:r>
              <w:rPr>
                <w:rFonts w:hint="eastAsia"/>
                <w:color w:val="auto"/>
                <w:sz w:val="20"/>
              </w:rPr>
              <w:t>应根据国家、地方的有关补偿规定，对永久占地、临时用地进行相应的补偿措施，其中临时用地应尽可能恢复利用。</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szCs w:val="20"/>
              </w:rPr>
            </w:pPr>
            <w:r>
              <w:rPr>
                <w:rFonts w:hint="eastAsia"/>
                <w:color w:val="auto"/>
                <w:sz w:val="20"/>
              </w:rPr>
              <w:t>加强“生态港”建设：对照“生态港”的建设要求，在防止规划实施过</w:t>
            </w:r>
            <w:r>
              <w:rPr>
                <w:rFonts w:hint="eastAsia"/>
                <w:color w:val="auto"/>
                <w:sz w:val="20"/>
                <w:szCs w:val="20"/>
              </w:rPr>
              <w:t>程中水土流失的同时，通过港区绿化达到缓解污染影响的目的。</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szCs w:val="20"/>
              </w:rPr>
              <w:t>减少临时占用土地资源：对于临时占用的土地，一旦施工结束，需马上恢复用</w:t>
            </w:r>
            <w:r>
              <w:rPr>
                <w:rFonts w:hint="eastAsia"/>
                <w:color w:val="auto"/>
                <w:sz w:val="20"/>
              </w:rPr>
              <w:t>地原地类。施工开始前，施工单位必须先与当地国土管理部门确定征用土地范围，协调有关施工场地、施工营地和临时施工便道等问题，确保施工活动在征地范围内进行，尽量减少对作业区外土地，尤其是对耕地的破坏。施工单位应加强施工管理，严格遵守在征用土地范围内施工，尽量减少施工临时占地带来的不利影响。</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②水域生态保护</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b/>
                <w:bCs/>
                <w:color w:val="auto"/>
                <w:sz w:val="20"/>
              </w:rPr>
              <w:t>规划科学实施：</w:t>
            </w:r>
            <w:r>
              <w:rPr>
                <w:rFonts w:hint="eastAsia"/>
                <w:color w:val="auto"/>
                <w:sz w:val="20"/>
              </w:rPr>
              <w:t>每年的3-6月份为鱼类产卵期、12-1月是中华鲟降河产卵期，作业区需科学安排施工，避开这段时间的水下作业。</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b/>
                <w:bCs/>
                <w:color w:val="auto"/>
                <w:sz w:val="20"/>
              </w:rPr>
              <w:t>改善施工作业方式：</w:t>
            </w:r>
            <w:r>
              <w:rPr>
                <w:rFonts w:hint="eastAsia"/>
                <w:color w:val="auto"/>
                <w:sz w:val="20"/>
              </w:rPr>
              <w:t>在进行相关河道疏浚作业时，根据水位变化采用分层防护方式，在岸侧构造水下滩地，滩地上种植水生植物形成岸侧生态带，滩地前沿设置永久建筑物以稳固岸线，滩地后方需依据当地生态环境特点，以本地植物物种为基本材料，建设生态防护结构，满足岸坡防护耐久性要求，并使河岸恢复原有生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b/>
                <w:bCs/>
                <w:color w:val="auto"/>
                <w:sz w:val="20"/>
              </w:rPr>
              <w:t>优化工程和施工工艺：</w:t>
            </w:r>
            <w:r>
              <w:rPr>
                <w:rFonts w:hint="eastAsia"/>
                <w:color w:val="auto"/>
                <w:sz w:val="20"/>
              </w:rPr>
              <w:t>建议宜昌港码头建设宜采取趸船、浮码头、高桩梁板式等结构形式为主。为避免施工船舶对江段水生生物造成伤害，规划实施期间各施工单位应优化施工工艺方案，控制施工作业、施工船舶污染物排放。抓紧施工进度，尽量缩短水上作业时间，加强施工区域通航管理工作，严防危险品运输船舶溢油事故。</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①项目施工期涉及陆域及水域施工。陆域用地</w:t>
            </w:r>
            <w:r>
              <w:rPr>
                <w:rFonts w:hint="eastAsia"/>
                <w:color w:val="auto"/>
                <w:sz w:val="20"/>
                <w:lang w:val="en-US" w:eastAsia="zh-CN"/>
              </w:rPr>
              <w:t>为转运楼建设及临时料场，位于现有港区内</w:t>
            </w:r>
            <w:r>
              <w:rPr>
                <w:rFonts w:hint="eastAsia"/>
                <w:color w:val="auto"/>
                <w:sz w:val="20"/>
              </w:rPr>
              <w:t>，施工营地</w:t>
            </w:r>
            <w:r>
              <w:rPr>
                <w:rFonts w:hint="eastAsia"/>
                <w:color w:val="auto"/>
                <w:sz w:val="20"/>
                <w:lang w:val="en-US" w:eastAsia="zh-CN"/>
              </w:rPr>
              <w:t>租用周边民房</w:t>
            </w:r>
            <w:r>
              <w:rPr>
                <w:rFonts w:hint="eastAsia"/>
                <w:color w:val="auto"/>
                <w:sz w:val="20"/>
              </w:rPr>
              <w:t>，无新增临时用地。施工期加强施工管理，严格遵守在征用土地范围内施工。</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②水域施工科学安排施工期，避开鱼类产卵期及中华鲟降河产卵期。</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lang w:val="en-US" w:eastAsia="zh-CN"/>
              </w:rPr>
              <w:t>技改项目不涉及疏浚作业</w:t>
            </w:r>
            <w:r>
              <w:rPr>
                <w:rFonts w:hint="eastAsia"/>
                <w:color w:val="auto"/>
                <w:sz w:val="20"/>
              </w:rPr>
              <w:t>。</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码头采用浮码头结构型式，主要由趸船、</w:t>
            </w:r>
            <w:r>
              <w:rPr>
                <w:rFonts w:hint="eastAsia"/>
                <w:color w:val="auto"/>
                <w:sz w:val="20"/>
                <w:lang w:val="en-US" w:eastAsia="zh-CN"/>
              </w:rPr>
              <w:t>钢撑杆</w:t>
            </w:r>
            <w:r>
              <w:rPr>
                <w:rFonts w:hint="eastAsia"/>
                <w:color w:val="auto"/>
                <w:sz w:val="20"/>
              </w:rPr>
              <w:t>、固定引桥等构成。施工期间严禁施工船舶污染物排入水体。抓紧施工进度，尽量缩短水上作业时间。加强施工船舶管理，严防危险品运输船舶溢油事故。</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运营期，合理安排船舶靠、离港时间及行驶航道，避免发生船舶碰撞事故，防止运输船舶发生溢油事故。</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2</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2、水污染防治方案：</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①对具备接管条件的作业区生产生活废水经作业区污水处理站预处理后进入城区污水处理厂或后方的工业园污水处理厂进一步处理，排放执行《城镇污水处理厂污染物排放标准》一级B标准；不具备接管条件的港区全部作业区必须建设独立的污水收集、处理系统，污水达标后必须充分利用，做到全部回用，严禁污水排放入江（湖）。</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②建设港区雨水统一收集系统：港区的一般雨水经过雨水管道系统收集后就近排放，含油污染物的雨水尤其是初期雨水需要收集处理。应根据港区的功能规划雨水的收集系统，根据雨污水类型进行初级处理。后汇入统一的纳污管道进入依托的污水处理厂，经处理达标后排放；或预处理后汇入自建的污水处理设施统一处理，达《城市污水再生利用城市杂用水水质》(GB/T18920-2002)规定后必须充分利用，做到全部回用，严禁污水排放入江。</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③到港船舶废水：宜昌沿江港口船舶含油污水利用真空式吸油泵和油污水回收船进行接收上岸，将真空式吸油泵的真空储油罐转运至有资质处理油污水的单位；所有港口码头企业配套建设船舶生活污水接收设施，具体包括污水收集箱、污水泵、标准接头的污水管路等，接收完毕后转运至港区的生活污水处理设施，与港区生活污水一并处理。</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eastAsia"/>
                <w:color w:val="auto"/>
                <w:sz w:val="20"/>
                <w:lang w:val="en-US" w:eastAsia="zh-CN"/>
              </w:rPr>
              <w:t>技改项目产生的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到港船舶生活污水及舱底油污水由设在码头的智能化船舶污水收集装置接收暂存，定期由海事部门指定的工作船接收。</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3</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3、大气环境保护措施：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①港口岸电设施建设环境污染控制措施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通过建设和改造港口岸电设施，2020年全市100%港口岸电规范化接入。</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②港口建设项目建设期管理污染控制措施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港口建设单位应当将防治扬尘污染的费用列入工程概算，并在施工承发包合同中明确施工单位防治扬尘污染的责任，防止和减少施工引起的扬尘污染。港口建设项目必须按照有关的法律、法规和规章要求，严格执行环境保护“三同时”管理制度，确保扬尘污染防治措施的落实。</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val="0"/>
                <w:bCs w:val="0"/>
                <w:color w:val="auto"/>
                <w:sz w:val="20"/>
              </w:rPr>
            </w:pPr>
            <w:r>
              <w:rPr>
                <w:rFonts w:hint="eastAsia"/>
                <w:b w:val="0"/>
                <w:bCs w:val="0"/>
                <w:color w:val="auto"/>
                <w:sz w:val="20"/>
              </w:rPr>
              <w:t>①项目到港船舶采用岸电。</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val="0"/>
                <w:bCs w:val="0"/>
                <w:color w:val="auto"/>
                <w:sz w:val="20"/>
              </w:rPr>
            </w:pPr>
            <w:r>
              <w:rPr>
                <w:rFonts w:hint="eastAsia"/>
                <w:b w:val="0"/>
                <w:bCs w:val="0"/>
                <w:color w:val="auto"/>
                <w:sz w:val="20"/>
              </w:rPr>
              <w:t>②</w:t>
            </w:r>
            <w:r>
              <w:rPr>
                <w:rFonts w:hint="eastAsia"/>
                <w:b w:val="0"/>
                <w:bCs w:val="0"/>
                <w:color w:val="auto"/>
                <w:sz w:val="20"/>
                <w:lang w:val="en-US" w:eastAsia="zh-CN"/>
              </w:rPr>
              <w:t>港区内转运楼</w:t>
            </w:r>
            <w:r>
              <w:rPr>
                <w:rFonts w:hint="eastAsia"/>
                <w:b w:val="0"/>
                <w:bCs w:val="0"/>
                <w:color w:val="auto"/>
                <w:sz w:val="20"/>
              </w:rPr>
              <w:t>施工通过采取施工场地四周设置简易围挡、场地适时进行洒水降尘等扬尘污染防治措施，防止和减少施工引起的扬尘污染。</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4</w:t>
            </w:r>
          </w:p>
        </w:tc>
        <w:tc>
          <w:tcPr>
            <w:tcW w:w="2607"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lang w:val="en-US" w:eastAsia="zh-CN"/>
              </w:rPr>
              <w:t>4、</w:t>
            </w:r>
            <w:r>
              <w:rPr>
                <w:rFonts w:hint="eastAsia"/>
                <w:b/>
                <w:bCs/>
                <w:color w:val="auto"/>
                <w:sz w:val="20"/>
              </w:rPr>
              <w:t>环境噪声防治措施：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尽量避免各类装卸机械夜间作业，并采取相应避噪措施。通过合理布局、选用低噪机械、设备以及车辆、合理安排作业时间、加强作业区绿化等措施降低噪声影响。</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施工期</w:t>
            </w:r>
            <w:r>
              <w:rPr>
                <w:rFonts w:hint="eastAsia"/>
                <w:color w:val="auto"/>
                <w:sz w:val="20"/>
                <w:lang w:eastAsia="zh-CN"/>
              </w:rPr>
              <w:t>：</w:t>
            </w:r>
            <w:r>
              <w:rPr>
                <w:rFonts w:hint="eastAsia"/>
                <w:color w:val="auto"/>
                <w:sz w:val="20"/>
              </w:rPr>
              <w:t>尽量减少夜间施工，并合理布置施工设备，远离周边环境敏感点，加强施工设备、车辆等维修保养，以减少对居民点的噪声影响。</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eastAsia="宋体"/>
                <w:color w:val="auto"/>
                <w:sz w:val="20"/>
                <w:lang w:eastAsia="zh-CN"/>
              </w:rPr>
            </w:pPr>
            <w:r>
              <w:rPr>
                <w:rFonts w:hint="eastAsia"/>
                <w:color w:val="auto"/>
                <w:sz w:val="20"/>
              </w:rPr>
              <w:t>运营期</w:t>
            </w:r>
            <w:r>
              <w:rPr>
                <w:rFonts w:hint="eastAsia"/>
                <w:color w:val="auto"/>
                <w:sz w:val="20"/>
                <w:lang w:eastAsia="zh-CN"/>
              </w:rPr>
              <w:t>：</w:t>
            </w:r>
            <w:r>
              <w:rPr>
                <w:rFonts w:hint="eastAsia"/>
                <w:color w:val="auto"/>
                <w:sz w:val="20"/>
              </w:rPr>
              <w:t>尽量避免夜间作业，并通过合理布局、选用低噪机械、设备以及车辆、合理安排作业时间、加强作业区绿化等措施降低噪声影响</w:t>
            </w:r>
            <w:r>
              <w:rPr>
                <w:rFonts w:hint="eastAsia"/>
                <w:color w:val="auto"/>
                <w:sz w:val="20"/>
                <w:lang w:eastAsia="zh-CN"/>
              </w:rPr>
              <w:t>。</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5</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5、固体废物控制措施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码头平台设置垃圾桶，码头作业区及后方陆域港区内的少量生产废物、生活垃圾分别收集后送城市生活垃圾填埋场统一处理。各规划作业区船舶生活垃圾、生产垃圾由作业区或海事局垃圾接收船接收。</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各规划作业区内收集、储存废油、污泥使用含有危险废物标志的专用容器，严禁擅自倾倒、堆放、丢弃、对外销售，设置危险废物临时贮存场地；临时贮存场地按《危险废物贮存污染物控制标准》选址、设计，做好防渗处置。作业区内危险废物收集后送具有相应处理资质的单位处理处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打造船舶污染物接收、转运、处置闭环管理，防止造成二次污染，保护水体环境为目标。</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lang w:val="en-US" w:eastAsia="zh-CN"/>
              </w:rPr>
              <w:t>技改</w:t>
            </w:r>
            <w:r>
              <w:rPr>
                <w:rFonts w:hint="eastAsia"/>
                <w:color w:val="auto"/>
                <w:sz w:val="20"/>
              </w:rPr>
              <w:t>项目产生的到港船舶生活垃圾依托</w:t>
            </w:r>
            <w:r>
              <w:rPr>
                <w:rFonts w:hint="eastAsia"/>
                <w:color w:val="auto"/>
                <w:sz w:val="20"/>
                <w:lang w:val="en-US" w:eastAsia="zh-CN"/>
              </w:rPr>
              <w:t>技改项目</w:t>
            </w:r>
            <w:r>
              <w:rPr>
                <w:rFonts w:hint="eastAsia"/>
                <w:color w:val="auto"/>
                <w:sz w:val="20"/>
              </w:rPr>
              <w:t>生活垃圾接收设施接收，收集上岸后由环卫部门统一清运。</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运营期产生的</w:t>
            </w:r>
            <w:r>
              <w:rPr>
                <w:rFonts w:hint="eastAsia"/>
                <w:color w:val="auto"/>
                <w:sz w:val="20"/>
                <w:lang w:val="en-US" w:eastAsia="zh-CN"/>
              </w:rPr>
              <w:t>码头人员生活垃圾交由</w:t>
            </w:r>
            <w:r>
              <w:rPr>
                <w:rFonts w:hint="eastAsia"/>
                <w:color w:val="auto"/>
                <w:sz w:val="20"/>
              </w:rPr>
              <w:t>环卫部门统一清运</w:t>
            </w:r>
            <w:r>
              <w:rPr>
                <w:rFonts w:hint="eastAsia"/>
                <w:color w:val="auto"/>
                <w:sz w:val="20"/>
                <w:lang w:eastAsia="zh-CN"/>
              </w:rPr>
              <w:t>；</w:t>
            </w:r>
            <w:r>
              <w:rPr>
                <w:rFonts w:hint="eastAsia"/>
                <w:color w:val="auto"/>
                <w:sz w:val="20"/>
              </w:rPr>
              <w:t>危险废物依托</w:t>
            </w:r>
            <w:r>
              <w:rPr>
                <w:rFonts w:hint="eastAsia"/>
                <w:color w:val="auto"/>
                <w:sz w:val="20"/>
                <w:lang w:val="en-US" w:eastAsia="zh-CN"/>
              </w:rPr>
              <w:t>趸船上设置的</w:t>
            </w:r>
            <w:r>
              <w:rPr>
                <w:rFonts w:hint="eastAsia"/>
                <w:color w:val="auto"/>
                <w:sz w:val="20"/>
              </w:rPr>
              <w:t>危废暂存间进行暂存，定期交由资质单位处理处置。</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6</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b/>
                <w:bCs/>
                <w:color w:val="auto"/>
                <w:sz w:val="20"/>
              </w:rPr>
            </w:pPr>
            <w:r>
              <w:rPr>
                <w:rFonts w:hint="eastAsia"/>
                <w:b/>
                <w:bCs/>
                <w:color w:val="auto"/>
                <w:sz w:val="20"/>
              </w:rPr>
              <w:t>6、风险事故防控与应急措施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color w:val="auto"/>
                <w:sz w:val="20"/>
              </w:rPr>
            </w:pPr>
            <w:r>
              <w:rPr>
                <w:rFonts w:hint="eastAsia"/>
                <w:color w:val="auto"/>
                <w:sz w:val="20"/>
              </w:rPr>
              <w:t>①施工船舶和进出各港区的设计代表船型船舶应严格遵守海事局的有关通航安全管理规定。进出各港区的设计代表船型船舶应严格按操作规程进行操作，加强对设备的维护和检修，严防由于管理疏忽、操作违反规程或失误等原因引起的船用油跑、冒、滴、漏等事故；同时严禁向水域排放含油污水和倾倒废弃物。</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color w:val="auto"/>
                <w:sz w:val="20"/>
              </w:rPr>
            </w:pPr>
            <w:r>
              <w:rPr>
                <w:rFonts w:hint="eastAsia"/>
                <w:color w:val="auto"/>
                <w:sz w:val="20"/>
              </w:rPr>
              <w:t>②防止施工船舶相互碰撞发生溢油污染风险事故</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color w:val="auto"/>
                <w:sz w:val="20"/>
              </w:rPr>
            </w:pPr>
            <w:r>
              <w:rPr>
                <w:rFonts w:hint="eastAsia"/>
                <w:color w:val="auto"/>
                <w:sz w:val="20"/>
              </w:rPr>
              <w:t>③运营期码头设置必要的收油、隔油工程设施防止溢油扩散。在油品装卸区周围设置围堰，以阻挡泄漏的油品向四面扩散。</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color w:val="auto"/>
                <w:sz w:val="20"/>
              </w:rPr>
            </w:pPr>
            <w:r>
              <w:rPr>
                <w:rFonts w:hint="eastAsia"/>
                <w:color w:val="auto"/>
                <w:sz w:val="20"/>
              </w:rPr>
              <w:t>④配备必要的导助航等安全保障设施。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color w:val="auto"/>
                <w:sz w:val="20"/>
              </w:rPr>
            </w:pPr>
            <w:r>
              <w:rPr>
                <w:rFonts w:hint="eastAsia"/>
                <w:color w:val="auto"/>
                <w:sz w:val="20"/>
              </w:rPr>
              <w:t>⑤溢油事故应急处置措施：若出现溢油事故，在事故发生的水域及时施放围油栏包围，并投放吸油材料进行人工回收。在采取必要的应急措施的同时，应迅速上报上级应急指挥中心，由应急指挥中心统一指挥，启动相应的环境风险应急预案。迅速通知上下游水厂、上下游节制闸、船闸管理所，争取饮用水源保护的应急处置时间。</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b w:val="0"/>
                <w:bCs w:val="0"/>
                <w:color w:val="auto"/>
                <w:sz w:val="20"/>
              </w:rPr>
            </w:pPr>
            <w:r>
              <w:rPr>
                <w:rFonts w:hint="eastAsia"/>
                <w:b w:val="0"/>
                <w:bCs w:val="0"/>
                <w:color w:val="auto"/>
                <w:sz w:val="20"/>
              </w:rPr>
              <w:t>①运营期进出港船舶严格遵守海事局的有关通航安全管理规定，严格按操作规程进行液货卸船操作，加强对设备的维护和检修，严防由于管理疏忽、操作违反规程或失误等原因引起的船用油跑、冒、滴、漏等事故；严禁向水域排放含油污水和倾倒废弃物。</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b w:val="0"/>
                <w:bCs w:val="0"/>
                <w:color w:val="auto"/>
                <w:sz w:val="20"/>
              </w:rPr>
            </w:pPr>
            <w:r>
              <w:rPr>
                <w:rFonts w:hint="eastAsia"/>
                <w:b w:val="0"/>
                <w:bCs w:val="0"/>
                <w:color w:val="auto"/>
                <w:sz w:val="20"/>
              </w:rPr>
              <w:t>②合理安排进出港船舶，避免发生相互碰撞发生溢油风险事故。③</w:t>
            </w:r>
            <w:r>
              <w:rPr>
                <w:rFonts w:hint="eastAsia"/>
                <w:b w:val="0"/>
                <w:bCs w:val="0"/>
                <w:color w:val="auto"/>
                <w:sz w:val="20"/>
                <w:lang w:val="en-US" w:eastAsia="zh-CN"/>
              </w:rPr>
              <w:t>技改项目应配套</w:t>
            </w:r>
            <w:r>
              <w:rPr>
                <w:rFonts w:hint="eastAsia"/>
                <w:color w:val="auto"/>
                <w:sz w:val="20"/>
              </w:rPr>
              <w:t>设置必要的收油、隔油工程设施防止溢油扩散</w:t>
            </w:r>
            <w:r>
              <w:rPr>
                <w:rFonts w:hint="eastAsia"/>
                <w:b w:val="0"/>
                <w:bCs w:val="0"/>
                <w:color w:val="auto"/>
                <w:sz w:val="20"/>
              </w:rPr>
              <w:t>。</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both"/>
              <w:textAlignment w:val="auto"/>
              <w:rPr>
                <w:rFonts w:hint="eastAsia"/>
                <w:b w:val="0"/>
                <w:bCs w:val="0"/>
                <w:color w:val="auto"/>
                <w:sz w:val="20"/>
              </w:rPr>
            </w:pPr>
            <w:r>
              <w:rPr>
                <w:rFonts w:hint="eastAsia"/>
                <w:b w:val="0"/>
                <w:bCs w:val="0"/>
                <w:color w:val="auto"/>
                <w:sz w:val="20"/>
              </w:rPr>
              <w:t>④配备必要的导助航等安全保障设施。</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规划环评审查意见对项目环评相关的总体要求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1</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firstLine="0" w:firstLineChars="0"/>
              <w:contextualSpacing/>
              <w:jc w:val="center"/>
              <w:textAlignment w:val="auto"/>
              <w:rPr>
                <w:rFonts w:hint="eastAsia"/>
                <w:b w:val="0"/>
                <w:bCs w:val="0"/>
                <w:color w:val="auto"/>
                <w:sz w:val="20"/>
              </w:rPr>
            </w:pPr>
            <w:r>
              <w:rPr>
                <w:rFonts w:hint="eastAsia"/>
                <w:b w:val="0"/>
                <w:bCs w:val="0"/>
                <w:color w:val="auto"/>
                <w:sz w:val="20"/>
              </w:rPr>
              <w:t>严格控制港口开发的总体规模与强度，优先避让环境敏感区，采取严格的生态保护和修复措施，改善区域、流域生态环境质量。节约集约利用岸线、土地等资源，合理安排港口开发建设时序</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rPr>
              <w:t>项目位于宜昌港</w:t>
            </w:r>
            <w:r>
              <w:rPr>
                <w:rFonts w:hint="eastAsia"/>
                <w:color w:val="auto"/>
                <w:sz w:val="20"/>
                <w:lang w:val="en-US" w:eastAsia="zh-CN"/>
              </w:rPr>
              <w:t>宜都</w:t>
            </w:r>
            <w:r>
              <w:rPr>
                <w:rFonts w:hint="eastAsia"/>
                <w:color w:val="auto"/>
                <w:sz w:val="20"/>
              </w:rPr>
              <w:t>港区</w:t>
            </w:r>
            <w:r>
              <w:rPr>
                <w:rFonts w:hint="eastAsia"/>
                <w:color w:val="auto"/>
                <w:sz w:val="20"/>
                <w:lang w:val="en-US" w:eastAsia="zh-CN"/>
              </w:rPr>
              <w:t>洋溪</w:t>
            </w:r>
            <w:r>
              <w:rPr>
                <w:rFonts w:hint="eastAsia"/>
                <w:color w:val="auto"/>
                <w:sz w:val="20"/>
              </w:rPr>
              <w:t>作业区内，项目实施及岸线利用符合</w:t>
            </w:r>
            <w:r>
              <w:rPr>
                <w:rFonts w:hint="default" w:eastAsia="宋体"/>
                <w:color w:val="auto"/>
                <w:sz w:val="20"/>
                <w:lang w:val="en-US" w:eastAsia="zh-CN"/>
              </w:rPr>
              <w:t>《宜昌港总体规划</w:t>
            </w:r>
            <w:r>
              <w:rPr>
                <w:rFonts w:hint="eastAsia"/>
                <w:color w:val="auto"/>
                <w:sz w:val="20"/>
                <w:lang w:val="en-US" w:eastAsia="zh-CN"/>
              </w:rPr>
              <w:t>（</w:t>
            </w:r>
            <w:r>
              <w:rPr>
                <w:rFonts w:hint="default" w:eastAsia="宋体"/>
                <w:color w:val="auto"/>
                <w:sz w:val="20"/>
                <w:lang w:val="en-US" w:eastAsia="zh-CN"/>
              </w:rPr>
              <w:t>2035</w:t>
            </w:r>
            <w:r>
              <w:rPr>
                <w:rFonts w:hint="eastAsia"/>
                <w:color w:val="auto"/>
                <w:sz w:val="20"/>
                <w:lang w:val="en-US" w:eastAsia="zh-CN"/>
              </w:rPr>
              <w:t>）</w:t>
            </w:r>
            <w:r>
              <w:rPr>
                <w:rFonts w:hint="default" w:eastAsia="宋体"/>
                <w:color w:val="auto"/>
                <w:sz w:val="20"/>
                <w:lang w:val="en-US" w:eastAsia="zh-CN"/>
              </w:rPr>
              <w:t>》</w:t>
            </w:r>
            <w:r>
              <w:rPr>
                <w:rFonts w:hint="eastAsia"/>
                <w:color w:val="auto"/>
                <w:sz w:val="20"/>
                <w:lang w:val="en-US" w:eastAsia="zh-CN"/>
              </w:rPr>
              <w:t>。</w:t>
            </w:r>
            <w:r>
              <w:rPr>
                <w:rFonts w:hint="eastAsia"/>
                <w:color w:val="auto"/>
                <w:sz w:val="20"/>
                <w:lang w:eastAsia="zh-CN"/>
              </w:rPr>
              <w:t>。</w:t>
            </w:r>
            <w:r>
              <w:rPr>
                <w:rFonts w:hint="eastAsia"/>
                <w:color w:val="auto"/>
                <w:sz w:val="20"/>
                <w:lang w:val="en-US" w:eastAsia="zh-CN"/>
              </w:rPr>
              <w:t>项目</w:t>
            </w:r>
            <w:r>
              <w:rPr>
                <w:rFonts w:hint="eastAsia"/>
                <w:color w:val="auto"/>
                <w:sz w:val="20"/>
              </w:rPr>
              <w:t>最大程度避让了环境敏感区，不涉及饮用水源保护区、风景名胜区、自然保护区的核心区和缓冲区，仅涉及中华鲟自然保护区的</w:t>
            </w:r>
            <w:r>
              <w:rPr>
                <w:rFonts w:hint="eastAsia"/>
                <w:b/>
                <w:bCs/>
                <w:color w:val="auto"/>
                <w:sz w:val="20"/>
              </w:rPr>
              <w:t>外围保护地带</w:t>
            </w:r>
            <w:r>
              <w:rPr>
                <w:rFonts w:hint="eastAsia"/>
                <w:color w:val="auto"/>
                <w:sz w:val="20"/>
              </w:rPr>
              <w:t>，就其影响方式、范围和程度开展了深入分析和预测，</w:t>
            </w:r>
            <w:r>
              <w:rPr>
                <w:rFonts w:hint="eastAsia" w:ascii="Times New Roman" w:hAnsi="Times New Roman" w:eastAsia="宋体" w:cs="Times New Roman"/>
                <w:color w:val="auto"/>
                <w:sz w:val="20"/>
              </w:rPr>
              <w:t>提出了合理可行的环保对策和生态保护措施</w:t>
            </w:r>
            <w:r>
              <w:rPr>
                <w:rFonts w:hint="eastAsia" w:ascii="Times New Roman" w:hAnsi="Times New Roman" w:eastAsia="宋体" w:cs="Times New Roman"/>
                <w:color w:val="auto"/>
                <w:sz w:val="20"/>
                <w:lang w:eastAsia="zh-CN"/>
              </w:rPr>
              <w:t>（</w:t>
            </w:r>
            <w:r>
              <w:rPr>
                <w:rFonts w:hint="eastAsia" w:ascii="Times New Roman" w:hAnsi="Times New Roman" w:eastAsia="宋体" w:cs="Times New Roman"/>
                <w:color w:val="auto"/>
                <w:sz w:val="20"/>
                <w:lang w:val="en-US" w:eastAsia="zh-CN"/>
              </w:rPr>
              <w:t>见第6章</w:t>
            </w:r>
            <w:r>
              <w:rPr>
                <w:rFonts w:hint="eastAsia" w:ascii="Times New Roman" w:hAnsi="Times New Roman" w:eastAsia="宋体" w:cs="Times New Roman"/>
                <w:color w:val="auto"/>
                <w:sz w:val="20"/>
                <w:lang w:eastAsia="zh-CN"/>
              </w:rPr>
              <w:t>）</w:t>
            </w:r>
            <w:r>
              <w:rPr>
                <w:rFonts w:hint="eastAsia" w:ascii="Times New Roman" w:hAnsi="Times New Roman" w:eastAsia="宋体" w:cs="Times New Roman"/>
                <w:color w:val="auto"/>
                <w:sz w:val="20"/>
              </w:rPr>
              <w:t>，在</w:t>
            </w:r>
            <w:r>
              <w:rPr>
                <w:rFonts w:hint="eastAsia"/>
                <w:color w:val="auto"/>
                <w:sz w:val="20"/>
              </w:rPr>
              <w:t>项目实施前</w:t>
            </w:r>
            <w:r>
              <w:rPr>
                <w:rFonts w:hint="eastAsia"/>
                <w:color w:val="auto"/>
                <w:sz w:val="20"/>
                <w:lang w:val="en-US" w:eastAsia="zh-CN"/>
              </w:rPr>
              <w:t>应</w:t>
            </w:r>
            <w:r>
              <w:rPr>
                <w:rFonts w:hint="eastAsia"/>
                <w:color w:val="auto"/>
                <w:sz w:val="20"/>
              </w:rPr>
              <w:t>征求相关主管部门意见。</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工程合理安排施工时段，鱼类繁殖季节及繁殖活动前后应减小施工活动规模。在鱼类的繁殖季节（4-6月）及中华鲟洄游高峰期应减少涉水施工</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2</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严守区域生态保护红线。将生态保护红线作为保障和维护区域生态安全的底线，依法依规实施强制性保护。新建的码头不得布局在生态保护红线内，尽量避让其他环境敏感区。宜都港区洋溪岸线和枝江港区罗家河岸线位于中华鲟自然保护区外围保护地带，在项目实施前应征求相关主管部门意见，在规划实施过程中应高度重视对自然保护区主要保护对象的影响，采取严格的保护措施</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lang w:val="en-US" w:eastAsia="zh-CN"/>
              </w:rPr>
              <w:t>项目</w:t>
            </w:r>
            <w:r>
              <w:rPr>
                <w:rFonts w:hint="eastAsia"/>
                <w:color w:val="auto"/>
                <w:sz w:val="20"/>
              </w:rPr>
              <w:t>不</w:t>
            </w:r>
            <w:r>
              <w:rPr>
                <w:rFonts w:hint="eastAsia"/>
                <w:color w:val="auto"/>
                <w:sz w:val="20"/>
                <w:lang w:val="en-US" w:eastAsia="zh-CN"/>
              </w:rPr>
              <w:t>在</w:t>
            </w:r>
            <w:r>
              <w:rPr>
                <w:rFonts w:hint="eastAsia"/>
                <w:color w:val="auto"/>
                <w:sz w:val="20"/>
              </w:rPr>
              <w:t>自然保护区核心区、缓冲区及实验区、饮用水源保护区内，不涉及生态保护红线。岸线位于中华鲟自然保护区</w:t>
            </w:r>
            <w:r>
              <w:rPr>
                <w:rFonts w:hint="eastAsia"/>
                <w:b/>
                <w:bCs/>
                <w:color w:val="auto"/>
                <w:sz w:val="20"/>
              </w:rPr>
              <w:t>外围保护地带</w:t>
            </w:r>
            <w:r>
              <w:rPr>
                <w:rFonts w:hint="eastAsia"/>
                <w:color w:val="auto"/>
                <w:sz w:val="20"/>
              </w:rPr>
              <w:t>，在项目实施前</w:t>
            </w:r>
            <w:r>
              <w:rPr>
                <w:rFonts w:hint="eastAsia"/>
                <w:color w:val="auto"/>
                <w:sz w:val="20"/>
                <w:lang w:val="en-US" w:eastAsia="zh-CN"/>
              </w:rPr>
              <w:t>应</w:t>
            </w:r>
            <w:r>
              <w:rPr>
                <w:rFonts w:hint="eastAsia"/>
                <w:color w:val="auto"/>
                <w:sz w:val="20"/>
              </w:rPr>
              <w:t>征求相关主管部门意见。工程建设中采取调整施工时段、优化施工管理和施工工艺、制定严格的作业规程建立应急预案等严格的保护措施，将对自然保护区主要保护对象的影响降至最低</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3</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rPr>
              <w:t>强化环境保护对策措施，严守环境质量底线。优化污水收集处理方案，落实船舶油污水等船舶污染物接收、转运、处置措施，并加强全过程监管，确保船舶污染物充分有效处置。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rPr>
              <w:t>严格控制船舶大气污染物排放，打造绿色、低碳的集输运体系，减轻对区域环境空气质量的不良影响。码头建设应同步配套岸电设施。干散货作业区应优先实现封闭或半封闭装卸堆存，切实防治大气污染。</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强化噪声污染防治，采取有效措施防止对周边居民造成不利影响。提高港口专业化和集约化水平，加强建设期和运营期环境管理</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rPr>
              <w:t>船舶污染物的排放执行《船舶水污染物排放控制标准》（GB3552-2018），</w:t>
            </w:r>
            <w:r>
              <w:rPr>
                <w:rFonts w:hint="eastAsia"/>
                <w:color w:val="auto"/>
                <w:sz w:val="20"/>
                <w:lang w:val="en-US" w:eastAsia="zh-CN"/>
              </w:rPr>
              <w:t>到</w:t>
            </w:r>
            <w:r>
              <w:rPr>
                <w:rFonts w:hint="eastAsia"/>
                <w:color w:val="auto"/>
                <w:sz w:val="20"/>
              </w:rPr>
              <w:t>港船舶污水（舱底油污水和生活污水）利用船载收集装置收集排入接收设施。不得向</w:t>
            </w:r>
            <w:r>
              <w:rPr>
                <w:rFonts w:hint="eastAsia"/>
                <w:color w:val="auto"/>
                <w:sz w:val="20"/>
                <w:lang w:val="en-US" w:eastAsia="zh-CN"/>
              </w:rPr>
              <w:t>长江直排</w:t>
            </w:r>
            <w:r>
              <w:rPr>
                <w:rFonts w:hint="eastAsia"/>
                <w:color w:val="auto"/>
                <w:sz w:val="20"/>
              </w:rPr>
              <w:t>废油、残油等。</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rPr>
              <w:t>码头建设同步配套岸电设施，</w:t>
            </w:r>
            <w:r>
              <w:rPr>
                <w:rFonts w:hint="eastAsia"/>
                <w:color w:val="auto"/>
                <w:sz w:val="20"/>
                <w:lang w:val="en-US" w:eastAsia="zh-CN"/>
              </w:rPr>
              <w:t>输送过程</w:t>
            </w:r>
            <w:r>
              <w:rPr>
                <w:rFonts w:hint="eastAsia"/>
                <w:color w:val="auto"/>
                <w:sz w:val="20"/>
              </w:rPr>
              <w:t>采取全封闭装卸堆存，以减少</w:t>
            </w:r>
            <w:r>
              <w:rPr>
                <w:rFonts w:hint="eastAsia"/>
                <w:color w:val="auto"/>
                <w:sz w:val="20"/>
                <w:lang w:val="en-US" w:eastAsia="zh-CN"/>
              </w:rPr>
              <w:t>大气</w:t>
            </w:r>
            <w:r>
              <w:rPr>
                <w:rFonts w:hint="eastAsia"/>
                <w:color w:val="auto"/>
                <w:sz w:val="20"/>
              </w:rPr>
              <w:t>污染物产生量。</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eastAsia="zh-CN"/>
              </w:rPr>
            </w:pPr>
            <w:r>
              <w:rPr>
                <w:rFonts w:hint="eastAsia"/>
                <w:color w:val="auto"/>
                <w:sz w:val="20"/>
              </w:rPr>
              <w:t>港区机械采用低噪声设备，并加强设备维修保养</w:t>
            </w:r>
            <w:r>
              <w:rPr>
                <w:rFonts w:hint="eastAsia"/>
                <w:color w:val="auto"/>
                <w:sz w:val="20"/>
                <w:lang w:eastAsia="zh-CN"/>
              </w:rPr>
              <w:t>，合理安排作业时间</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4</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加强生态保护和修复。规划实施时，涉水项目应采取严格的水生生物保护措施，实施生态补偿和修复。结合鱼类及其他珍稀保护物种的生态需求，优化规划水域通航管理措施，减轻船舶通行对水生生物的不良影响。港口建设与运营应选用对生态影响较小的结构、材料、装卸工艺和储存方式</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优化施工进度和施工工序，合理安排施工时段，尽量缩短涉水工程时间，涉水工程避开4-6月中华鲟洄游盛期。优化工程水域通航管理措施，严防船舶溢油事故，减轻船舶通行对水生生物的不良影响。本码头采用</w:t>
            </w:r>
            <w:r>
              <w:rPr>
                <w:rFonts w:hint="eastAsia"/>
                <w:color w:val="auto"/>
                <w:sz w:val="20"/>
                <w:lang w:val="en-US" w:eastAsia="zh-CN"/>
              </w:rPr>
              <w:t>浮码头</w:t>
            </w:r>
            <w:r>
              <w:rPr>
                <w:rFonts w:hint="eastAsia"/>
                <w:color w:val="auto"/>
                <w:sz w:val="20"/>
              </w:rPr>
              <w:t>结构形式，不会对该区域生态功能产生显著影响</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5</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加强环境风险防范。落实环境风险防范的主体责任，强化环境风险防范体系建设，提高各港区环境风险应急能力，制定环境污染事故应急预案，按程序报相关部门备案</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加强现场管理，人员培训，严格执行事故防范和应急措施，制定环境风险应急预案，并在码头配备溢油应急设施及火灾应急物资</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6</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建立健全生态环境长期监测体系。建立完善的大气、水、生态等监测监控体系，根据区域、流域生态环境质量变化情况，及时优化港口建设内容和运营管理方案</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对</w:t>
            </w:r>
            <w:r>
              <w:rPr>
                <w:rFonts w:hint="eastAsia"/>
                <w:color w:val="auto"/>
                <w:sz w:val="20"/>
                <w:lang w:val="en-US" w:eastAsia="zh-CN"/>
              </w:rPr>
              <w:t>项目</w:t>
            </w:r>
            <w:r>
              <w:rPr>
                <w:rFonts w:hint="eastAsia"/>
                <w:color w:val="auto"/>
                <w:sz w:val="20"/>
              </w:rPr>
              <w:t>施工期和</w:t>
            </w:r>
            <w:r>
              <w:rPr>
                <w:rFonts w:hint="eastAsia"/>
                <w:color w:val="auto"/>
                <w:sz w:val="20"/>
                <w:lang w:eastAsia="zh-CN"/>
              </w:rPr>
              <w:t>运营期</w:t>
            </w:r>
            <w:r>
              <w:rPr>
                <w:rFonts w:hint="eastAsia"/>
                <w:color w:val="auto"/>
                <w:sz w:val="20"/>
              </w:rPr>
              <w:t>制定长期监测计划，对大气、水、生态定期监测，全面及时地掌握工程施工期和</w:t>
            </w:r>
            <w:r>
              <w:rPr>
                <w:rFonts w:hint="eastAsia"/>
                <w:color w:val="auto"/>
                <w:sz w:val="20"/>
                <w:lang w:eastAsia="zh-CN"/>
              </w:rPr>
              <w:t>运营期</w:t>
            </w:r>
            <w:r>
              <w:rPr>
                <w:rFonts w:hint="eastAsia"/>
                <w:color w:val="auto"/>
                <w:sz w:val="20"/>
              </w:rPr>
              <w:t>环境状况，为制定必要的污染控制措施提供依据。同时根据环境质量变化情况，及时优化建设内容和运营管理方案</w:t>
            </w:r>
          </w:p>
        </w:tc>
        <w:tc>
          <w:tcPr>
            <w:tcW w:w="4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bl>
    <w:p>
      <w:pPr>
        <w:widowControl w:val="0"/>
        <w:spacing w:line="360" w:lineRule="auto"/>
        <w:ind w:firstLine="480" w:firstLineChars="200"/>
        <w:jc w:val="both"/>
        <w:rPr>
          <w:rFonts w:hint="eastAsia" w:eastAsia="仿宋_GB2312"/>
          <w:bCs/>
          <w:snapToGrid w:val="0"/>
          <w:color w:val="auto"/>
          <w:kern w:val="0"/>
          <w:sz w:val="24"/>
          <w:lang w:val="en-US" w:eastAsia="zh-CN"/>
        </w:rPr>
      </w:pPr>
      <w:r>
        <w:rPr>
          <w:rFonts w:hint="eastAsia" w:eastAsia="仿宋_GB2312"/>
          <w:bCs/>
          <w:snapToGrid w:val="0"/>
          <w:color w:val="auto"/>
          <w:kern w:val="0"/>
          <w:sz w:val="24"/>
          <w:lang w:val="en-US" w:eastAsia="zh-CN"/>
        </w:rPr>
        <w:t>规划环评报告书中从空间布局约束、污染物排放管控、环境风险防控、资源利用开发要求等方面，基于环境管控单元，以清单方式列出禁止与限制的环境准入要求，形成分区环境管控要求和环境准入负面清单，本项目与其环境准入负面清单符合性分析如下。</w:t>
      </w:r>
    </w:p>
    <w:p>
      <w:pPr>
        <w:widowControl w:val="0"/>
        <w:spacing w:line="360" w:lineRule="auto"/>
        <w:ind w:firstLine="422" w:firstLineChars="200"/>
        <w:jc w:val="center"/>
        <w:rPr>
          <w:rFonts w:hint="default" w:eastAsia="黑体"/>
          <w:b/>
          <w:bCs/>
          <w:color w:val="auto"/>
          <w:lang w:val="en-US"/>
        </w:rPr>
      </w:pPr>
      <w:r>
        <w:rPr>
          <w:rFonts w:eastAsia="黑体"/>
          <w:b/>
          <w:bCs/>
          <w:color w:val="auto"/>
        </w:rPr>
        <w:t>表</w:t>
      </w:r>
      <w:r>
        <w:rPr>
          <w:rFonts w:hint="eastAsia" w:eastAsia="黑体"/>
          <w:b/>
          <w:bCs/>
          <w:color w:val="auto"/>
          <w:lang w:val="en-US" w:eastAsia="zh-CN"/>
        </w:rPr>
        <w:t>2</w:t>
      </w:r>
      <w:r>
        <w:rPr>
          <w:rFonts w:eastAsia="黑体"/>
          <w:b/>
          <w:bCs/>
          <w:color w:val="auto"/>
        </w:rPr>
        <w:t xml:space="preserve">  </w:t>
      </w:r>
      <w:r>
        <w:rPr>
          <w:rFonts w:hint="eastAsia" w:eastAsia="黑体"/>
          <w:b/>
          <w:bCs/>
          <w:color w:val="auto"/>
        </w:rPr>
        <w:t>规划环评报告书中环境准入负面清单符合性分析</w:t>
      </w:r>
      <w:r>
        <w:rPr>
          <w:rFonts w:hint="eastAsia" w:eastAsia="黑体"/>
          <w:b/>
          <w:bCs/>
          <w:color w:val="auto"/>
          <w:lang w:val="en-US" w:eastAsia="zh-CN"/>
        </w:rPr>
        <w:t>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4440"/>
        <w:gridCol w:w="2795"/>
        <w:gridCol w:w="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2"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序号</w:t>
            </w:r>
          </w:p>
        </w:tc>
        <w:tc>
          <w:tcPr>
            <w:tcW w:w="2607"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color w:val="auto"/>
                <w:sz w:val="20"/>
              </w:rPr>
            </w:pPr>
            <w:r>
              <w:rPr>
                <w:rFonts w:hint="eastAsia"/>
                <w:color w:val="auto"/>
                <w:sz w:val="20"/>
              </w:rPr>
              <w:t>规划环评报告书中环境准入负面清单内容</w:t>
            </w:r>
          </w:p>
        </w:tc>
        <w:tc>
          <w:tcPr>
            <w:tcW w:w="1641"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default" w:eastAsia="宋体"/>
                <w:color w:val="auto"/>
                <w:sz w:val="20"/>
                <w:lang w:val="en-US" w:eastAsia="zh-CN"/>
              </w:rPr>
            </w:pPr>
            <w:r>
              <w:rPr>
                <w:rFonts w:hint="eastAsia"/>
                <w:color w:val="auto"/>
                <w:sz w:val="20"/>
                <w:lang w:val="en-US" w:eastAsia="zh-CN"/>
              </w:rPr>
              <w:t>项目情况</w:t>
            </w:r>
          </w:p>
        </w:tc>
        <w:tc>
          <w:tcPr>
            <w:tcW w:w="408"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default"/>
                <w:color w:val="auto"/>
                <w:sz w:val="20"/>
                <w:lang w:val="en-US" w:eastAsia="zh-CN"/>
              </w:rPr>
            </w:pPr>
            <w:r>
              <w:rPr>
                <w:rFonts w:hint="eastAsia"/>
                <w:color w:val="auto"/>
                <w:sz w:val="20"/>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1</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一、空间布局约束</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（1）实施生态保护，禁止大规模的城镇建设、工业开发、矿产资源开发和新建引水式电站等高强度开发和改变区域原生状况的活动。</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自然保护区、森林公园、风景名胜区、地质公园、永久性保护绿地、生态公益林、湿地公园等法定保护区，按照相关保护管理法律和规章制度，实施严格管理，加强生态保护与恢复，禁止影响生态保护的开发和建设行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（3）珍稀物种分布区禁止采砂取土等开发活动，维持珍稀物种生境原生自然状况。</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（4）蓄滞洪区根据相关规定，在不影响蓄滞洪能力的前提下，适度发展农业和旅游业，限制大规模的城镇和基础设施建设。</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5）其他生态极重要、极敏感、脆弱区，禁止新建、扩建工业项目，禁止新建露天采矿等生态破坏严重的项目，禁止新建规模化畜禽养殖场。现有工业企业、矿山开发、规模化畜禽养殖场要逐步减少规模，降低污染物排放量，逐步退出，场地实施生态恢复。</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（1）本项目为湖北楚新矿业有限公司皮带输送廊道及综合物流码头建设项目（综合物流码头部分），不属于规划禁止的工业开发、矿山资源开发等活动；</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（2）本项目</w:t>
            </w:r>
            <w:r>
              <w:rPr>
                <w:rFonts w:hint="eastAsia"/>
                <w:color w:val="auto"/>
                <w:sz w:val="20"/>
                <w:lang w:val="en-US" w:eastAsia="zh-CN"/>
              </w:rPr>
              <w:t>不涉及</w:t>
            </w:r>
            <w:r>
              <w:rPr>
                <w:rFonts w:hint="eastAsia"/>
                <w:color w:val="auto"/>
                <w:sz w:val="20"/>
              </w:rPr>
              <w:t>自然保护区、森林公园、风景名胜区等法定保护区；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（3）项目所在区域不是珍稀物种分布区；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（4）项目</w:t>
            </w:r>
            <w:r>
              <w:rPr>
                <w:rFonts w:hint="eastAsia"/>
                <w:color w:val="auto"/>
                <w:sz w:val="20"/>
                <w:lang w:val="en-US" w:eastAsia="zh-CN"/>
              </w:rPr>
              <w:t>不涉及</w:t>
            </w:r>
            <w:r>
              <w:rPr>
                <w:rFonts w:hint="eastAsia"/>
                <w:color w:val="auto"/>
                <w:sz w:val="20"/>
              </w:rPr>
              <w:t>蓄滞洪区；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eastAsia"/>
                <w:color w:val="auto"/>
                <w:sz w:val="20"/>
              </w:rPr>
              <w:t>（5）项目不</w:t>
            </w:r>
            <w:r>
              <w:rPr>
                <w:rFonts w:hint="eastAsia"/>
                <w:color w:val="auto"/>
                <w:sz w:val="20"/>
                <w:lang w:val="en-US" w:eastAsia="zh-CN"/>
              </w:rPr>
              <w:t>属于</w:t>
            </w:r>
            <w:r>
              <w:rPr>
                <w:rFonts w:hint="eastAsia"/>
                <w:color w:val="auto"/>
                <w:sz w:val="20"/>
              </w:rPr>
              <w:t>其他生态极重要、极敏感、脆弱区</w:t>
            </w:r>
            <w:r>
              <w:rPr>
                <w:rFonts w:hint="eastAsia"/>
                <w:color w:val="auto"/>
                <w:sz w:val="20"/>
                <w:lang w:eastAsia="zh-CN"/>
              </w:rPr>
              <w:t>，</w:t>
            </w:r>
            <w:r>
              <w:rPr>
                <w:rFonts w:hint="eastAsia"/>
                <w:color w:val="auto"/>
                <w:sz w:val="20"/>
                <w:lang w:val="en-US" w:eastAsia="zh-CN"/>
              </w:rPr>
              <w:t>不属于工业项目，不属于新建露天采矿等生态破坏严重的项目以及规模化畜禽养殖场项目</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eastAsia="宋体"/>
                <w:color w:val="auto"/>
                <w:sz w:val="20"/>
                <w:lang w:val="en-US" w:eastAsia="zh-CN"/>
              </w:rPr>
            </w:pPr>
            <w:r>
              <w:rPr>
                <w:rFonts w:hint="eastAsia"/>
                <w:color w:val="auto"/>
                <w:sz w:val="20"/>
                <w:lang w:val="en-US" w:eastAsia="zh-CN"/>
              </w:rPr>
              <w:t>2</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二、污染物排放管控</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（1）对水环境资源实行最严格的保护，控制单元所在流域水污染物实行总量减排，现有工业废水排放口应限期关闭，禁止新建排污口；</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（2）禁止排放船舶废水；</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（3）大力发展生态绿色农业，开展农业面源污染物减排，禁止建设规模化畜禽养殖场；</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lang w:eastAsia="zh-CN"/>
              </w:rPr>
              <w:t>（</w:t>
            </w:r>
            <w:r>
              <w:rPr>
                <w:rFonts w:hint="eastAsia"/>
                <w:color w:val="auto"/>
                <w:sz w:val="20"/>
                <w:lang w:val="en-US" w:eastAsia="zh-CN"/>
              </w:rPr>
              <w:t>4</w:t>
            </w:r>
            <w:r>
              <w:rPr>
                <w:rFonts w:hint="eastAsia"/>
                <w:color w:val="auto"/>
                <w:sz w:val="20"/>
                <w:lang w:eastAsia="zh-CN"/>
              </w:rPr>
              <w:t>）</w:t>
            </w:r>
            <w:r>
              <w:rPr>
                <w:rFonts w:hint="eastAsia"/>
                <w:color w:val="auto"/>
                <w:sz w:val="20"/>
              </w:rPr>
              <w:t>禁止开展网箱养殖、投肥（粪）养殖；</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（5）开展污水中水回用，实行用水梯级循环；</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（6）禁止矿山开采等水生环境破坏严重的项目；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（7）集中式饮用水水源一级保护区禁止新（改、扩）建与供水设施和保护水源无关的建设项目，已建成的与供水设施和保护水源无关的建设项目，责令拆除或关闭；集中式饮用水水源地二级保护区内禁止新</w:t>
            </w:r>
            <w:r>
              <w:rPr>
                <w:rFonts w:hint="eastAsia"/>
                <w:color w:val="auto"/>
                <w:sz w:val="20"/>
                <w:lang w:eastAsia="zh-CN"/>
              </w:rPr>
              <w:t>（</w:t>
            </w:r>
            <w:r>
              <w:rPr>
                <w:rFonts w:hint="eastAsia"/>
                <w:color w:val="auto"/>
                <w:sz w:val="20"/>
              </w:rPr>
              <w:t>改、扩</w:t>
            </w:r>
            <w:r>
              <w:rPr>
                <w:rFonts w:hint="eastAsia"/>
                <w:color w:val="auto"/>
                <w:sz w:val="20"/>
                <w:lang w:eastAsia="zh-CN"/>
              </w:rPr>
              <w:t>）</w:t>
            </w:r>
            <w:r>
              <w:rPr>
                <w:rFonts w:hint="eastAsia"/>
                <w:color w:val="auto"/>
                <w:sz w:val="20"/>
              </w:rPr>
              <w:t>建排放污染物的建设项目，已建成的排放污染物的建设项目，责令拆除或者关闭，禁止从事游泳、垂钓或其他可能污染水体的活动。</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eastAsia"/>
                <w:color w:val="auto"/>
                <w:sz w:val="20"/>
                <w:lang w:val="en-US" w:eastAsia="zh-CN"/>
              </w:rPr>
              <w:t>（1）技改项目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w:t>
            </w:r>
            <w:r>
              <w:rPr>
                <w:rFonts w:hint="default" w:eastAsia="宋体"/>
                <w:color w:val="auto"/>
                <w:sz w:val="20"/>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（2）</w:t>
            </w:r>
            <w:r>
              <w:rPr>
                <w:rFonts w:hint="eastAsia"/>
                <w:color w:val="auto"/>
                <w:sz w:val="20"/>
                <w:lang w:val="en-US" w:eastAsia="zh-CN"/>
              </w:rPr>
              <w:t>技改</w:t>
            </w:r>
            <w:r>
              <w:rPr>
                <w:rFonts w:hint="default" w:eastAsia="宋体"/>
                <w:color w:val="auto"/>
                <w:sz w:val="20"/>
                <w:lang w:val="en-US" w:eastAsia="zh-CN"/>
              </w:rPr>
              <w:t>项目设有船舶污水接收设施，禁止船舶废水在码头水域排放；</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（3）项目施工及运营期禁止人员开展网箱养殖、投肥（粪）养殖；</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（4）本项目不属于矿山开采等水生环境破坏严重的项目；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（5）本项目所在码头位置不</w:t>
            </w:r>
            <w:r>
              <w:rPr>
                <w:rFonts w:hint="eastAsia"/>
                <w:color w:val="auto"/>
                <w:sz w:val="20"/>
                <w:lang w:val="en-US" w:eastAsia="zh-CN"/>
              </w:rPr>
              <w:t>涉及</w:t>
            </w:r>
            <w:r>
              <w:rPr>
                <w:rFonts w:hint="default" w:eastAsia="宋体"/>
                <w:color w:val="auto"/>
                <w:sz w:val="20"/>
                <w:lang w:val="en-US" w:eastAsia="zh-CN"/>
              </w:rPr>
              <w:t>饮用水水源地保护区</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default"/>
                <w:color w:val="auto"/>
                <w:sz w:val="20"/>
                <w:lang w:val="en-US" w:eastAsia="zh-CN"/>
              </w:rPr>
            </w:pPr>
            <w:r>
              <w:rPr>
                <w:rFonts w:hint="eastAsia"/>
                <w:color w:val="auto"/>
                <w:sz w:val="20"/>
                <w:lang w:val="en-US" w:eastAsia="zh-CN"/>
              </w:rPr>
              <w:t>3</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三、环境风险防控</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1、准入条件：</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（1）港口水运项目不符合规划港区、作业区功能定位的码头或泊位；装卸工艺不能达到国内先进清洁生产水平的港口码头。</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（2）临港工业，能达到清洁生产审计要求的项目；高能耗、高水耗、高污染的临港工业项目。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（3）危化码头后方陆域需衔接对应化工园区项目。</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b/>
                <w:bCs/>
                <w:color w:val="auto"/>
                <w:sz w:val="20"/>
              </w:rPr>
            </w:pPr>
            <w:r>
              <w:rPr>
                <w:rFonts w:hint="eastAsia"/>
                <w:b/>
                <w:bCs/>
                <w:color w:val="auto"/>
                <w:sz w:val="20"/>
              </w:rPr>
              <w:t>2、环境风险措施：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（1）制定严格的码头作业制度和操作规程，杜绝事故发生。</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（2）编制应急行动计划。</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（3）进出港船舶和施工船舶必须根据施工水域船舶动态，合理安排进出港船舶的航行时间和施工船舶作业面，提前采取避让的措施。</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（4）所有船舶必须按照交通部信号管理规定显示信号，港方应加强过往船舶的安全调度管理。通过中央控制室监视船舶进出港过程，提早发现可能出现的事故隐患。</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（5）各类船舶在发生紧急事件时，应立即采取必要的措施，同时向水上事故应急救援中心及有关单位报告。</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（6）合理安排</w:t>
            </w:r>
            <w:r>
              <w:rPr>
                <w:rFonts w:hint="eastAsia"/>
                <w:color w:val="auto"/>
                <w:sz w:val="20"/>
                <w:lang w:eastAsia="zh-CN"/>
              </w:rPr>
              <w:t>运营期</w:t>
            </w:r>
            <w:r>
              <w:rPr>
                <w:rFonts w:hint="eastAsia"/>
                <w:color w:val="auto"/>
                <w:sz w:val="20"/>
              </w:rPr>
              <w:t>船舶靠、离港时间及行驶航道，避免发生船舶碰撞事故。</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7）配套区域港口水域应急设施。为减少事故发生的概率，避免发生事故后对水环境造成污染影响，规划实施后应在各港区支持系统配备海巡艇、护航艇、港作船、打捞工程船、小型助拖船等应急船舶及围油栏、吸油毡、消油剂等应急器材。各作业区应制订完善的应急预案体系。</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（1）本项目与《宜昌港总体规划</w:t>
            </w:r>
            <w:r>
              <w:rPr>
                <w:rFonts w:hint="eastAsia"/>
                <w:color w:val="auto"/>
                <w:sz w:val="20"/>
                <w:lang w:val="en-US" w:eastAsia="zh-CN"/>
              </w:rPr>
              <w:t>（</w:t>
            </w:r>
            <w:r>
              <w:rPr>
                <w:rFonts w:hint="default" w:eastAsia="宋体"/>
                <w:color w:val="auto"/>
                <w:sz w:val="20"/>
                <w:lang w:val="en-US" w:eastAsia="zh-CN"/>
              </w:rPr>
              <w:t>2035</w:t>
            </w:r>
            <w:r>
              <w:rPr>
                <w:rFonts w:hint="eastAsia"/>
                <w:color w:val="auto"/>
                <w:sz w:val="20"/>
                <w:lang w:val="en-US" w:eastAsia="zh-CN"/>
              </w:rPr>
              <w:t>）</w:t>
            </w:r>
            <w:r>
              <w:rPr>
                <w:rFonts w:hint="default" w:eastAsia="宋体"/>
                <w:color w:val="auto"/>
                <w:sz w:val="20"/>
                <w:lang w:val="en-US" w:eastAsia="zh-CN"/>
              </w:rPr>
              <w:t>》</w:t>
            </w:r>
            <w:r>
              <w:rPr>
                <w:rFonts w:hint="eastAsia"/>
                <w:color w:val="auto"/>
                <w:sz w:val="20"/>
                <w:lang w:val="en-US" w:eastAsia="zh-CN"/>
              </w:rPr>
              <w:t>宜都港区洋溪</w:t>
            </w:r>
            <w:r>
              <w:rPr>
                <w:rFonts w:hint="default" w:eastAsia="宋体"/>
                <w:color w:val="auto"/>
                <w:sz w:val="20"/>
                <w:lang w:val="en-US" w:eastAsia="zh-CN"/>
              </w:rPr>
              <w:t>作业区功能定位相符；装卸工艺可达到清洁生产审计要求；</w:t>
            </w:r>
            <w:r>
              <w:rPr>
                <w:rFonts w:hint="eastAsia"/>
                <w:color w:val="auto"/>
                <w:sz w:val="20"/>
                <w:lang w:val="en-US" w:eastAsia="zh-CN"/>
              </w:rPr>
              <w:t>不属于高耗能</w:t>
            </w:r>
            <w:r>
              <w:rPr>
                <w:rFonts w:hint="eastAsia"/>
                <w:color w:val="auto"/>
                <w:sz w:val="20"/>
              </w:rPr>
              <w:t>、高水耗、高污染的临港工业项目</w:t>
            </w:r>
            <w:r>
              <w:rPr>
                <w:rFonts w:hint="eastAsia"/>
                <w:color w:val="auto"/>
                <w:sz w:val="20"/>
                <w:lang w:eastAsia="zh-CN"/>
              </w:rPr>
              <w:t>，</w:t>
            </w:r>
            <w:r>
              <w:rPr>
                <w:rFonts w:hint="eastAsia"/>
                <w:color w:val="auto"/>
                <w:sz w:val="20"/>
                <w:lang w:val="en-US" w:eastAsia="zh-CN"/>
              </w:rPr>
              <w:t>无后方陆域</w:t>
            </w:r>
            <w:r>
              <w:rPr>
                <w:rFonts w:hint="default" w:eastAsia="宋体"/>
                <w:color w:val="auto"/>
                <w:sz w:val="20"/>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default" w:eastAsia="宋体"/>
                <w:color w:val="auto"/>
                <w:sz w:val="20"/>
                <w:lang w:val="en-US" w:eastAsia="zh-CN"/>
              </w:rPr>
              <w:t>（2）项目运营期严格按照码头作业制度和操作规程操作，合理安排进出港船舶的航行时间和施工船舶作业面，提前采取避让的措施，加强过往船舶的安全调度管理，合理安排</w:t>
            </w:r>
            <w:r>
              <w:rPr>
                <w:rFonts w:hint="eastAsia"/>
                <w:color w:val="auto"/>
                <w:sz w:val="20"/>
                <w:lang w:val="en-US" w:eastAsia="zh-CN"/>
              </w:rPr>
              <w:t>运营期</w:t>
            </w:r>
            <w:r>
              <w:rPr>
                <w:rFonts w:hint="default" w:eastAsia="宋体"/>
                <w:color w:val="auto"/>
                <w:sz w:val="20"/>
                <w:lang w:val="en-US" w:eastAsia="zh-CN"/>
              </w:rPr>
              <w:t>船舶靠、离港时间及行驶航道，避免发生船舶碰撞事故，制定应急预案及应急行动计划，码头前沿</w:t>
            </w:r>
            <w:r>
              <w:rPr>
                <w:rFonts w:hint="eastAsia"/>
                <w:color w:val="auto"/>
                <w:sz w:val="20"/>
                <w:lang w:val="en-US" w:eastAsia="zh-CN"/>
              </w:rPr>
              <w:t>应</w:t>
            </w:r>
            <w:r>
              <w:rPr>
                <w:rFonts w:hint="default" w:eastAsia="宋体"/>
                <w:color w:val="auto"/>
                <w:sz w:val="20"/>
                <w:lang w:val="en-US" w:eastAsia="zh-CN"/>
              </w:rPr>
              <w:t>配套设置应急物资围油栏、吸油毡等</w:t>
            </w:r>
            <w:r>
              <w:rPr>
                <w:rFonts w:hint="eastAsia"/>
                <w:color w:val="auto"/>
                <w:sz w:val="20"/>
                <w:lang w:val="en-US" w:eastAsia="zh-CN"/>
              </w:rPr>
              <w:t>应急设施</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4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default"/>
                <w:color w:val="auto"/>
                <w:sz w:val="20"/>
                <w:lang w:val="en-US" w:eastAsia="zh-CN"/>
              </w:rPr>
            </w:pPr>
            <w:r>
              <w:rPr>
                <w:rFonts w:hint="eastAsia"/>
                <w:color w:val="auto"/>
                <w:sz w:val="20"/>
                <w:lang w:val="en-US" w:eastAsia="zh-CN"/>
              </w:rPr>
              <w:t>4</w:t>
            </w:r>
          </w:p>
        </w:tc>
        <w:tc>
          <w:tcPr>
            <w:tcW w:w="26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四、资源利用开发要求</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1、优化产业结构和布局：以长江为轴线，依托长江水资源，以宜昌开发区、宜昌化学工业园区等重点开发区（园区）为载体，积极推进产业布局向沿江地带集中，工业项目向开发区（园区）集中，生产要素向优势产业集中。</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eastAsia"/>
                <w:color w:val="auto"/>
                <w:sz w:val="20"/>
              </w:rPr>
            </w:pPr>
            <w:r>
              <w:rPr>
                <w:rFonts w:hint="eastAsia"/>
                <w:color w:val="auto"/>
                <w:sz w:val="20"/>
              </w:rPr>
              <w:t>2、严格控制水资源开发利用总量</w:t>
            </w:r>
          </w:p>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color w:val="auto"/>
                <w:sz w:val="20"/>
              </w:rPr>
            </w:pPr>
            <w:r>
              <w:rPr>
                <w:rFonts w:hint="eastAsia"/>
                <w:color w:val="auto"/>
                <w:sz w:val="20"/>
              </w:rPr>
              <w:t>3、加强工业节水：通过节水技术改造，加大废水深度处理回用力度，减少污水排放，逐步提高工业用水重复利用率，降低经济社会发展对水资源的过度消耗和对水环境与生态的破坏。2020年，工业用水重复利用率不小于90%；2030年，工业用水重复利用率达到95%。</w:t>
            </w:r>
          </w:p>
        </w:tc>
        <w:tc>
          <w:tcPr>
            <w:tcW w:w="1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left"/>
              <w:textAlignment w:val="auto"/>
              <w:rPr>
                <w:rFonts w:hint="default" w:eastAsia="宋体"/>
                <w:color w:val="auto"/>
                <w:sz w:val="20"/>
                <w:lang w:val="en-US" w:eastAsia="zh-CN"/>
              </w:rPr>
            </w:pPr>
            <w:r>
              <w:rPr>
                <w:rFonts w:hint="eastAsia"/>
                <w:color w:val="auto"/>
                <w:sz w:val="20"/>
                <w:lang w:val="en-US" w:eastAsia="zh-CN"/>
              </w:rPr>
              <w:t>技改项目位于宜都港区洋溪</w:t>
            </w:r>
            <w:r>
              <w:rPr>
                <w:rFonts w:hint="default" w:eastAsia="宋体"/>
                <w:color w:val="auto"/>
                <w:sz w:val="20"/>
                <w:lang w:val="en-US" w:eastAsia="zh-CN"/>
              </w:rPr>
              <w:t>作业</w:t>
            </w:r>
            <w:r>
              <w:rPr>
                <w:rFonts w:hint="eastAsia"/>
                <w:color w:val="auto"/>
                <w:sz w:val="20"/>
                <w:lang w:val="en-US" w:eastAsia="zh-CN"/>
              </w:rPr>
              <w:t>区，运营期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不外排。</w:t>
            </w:r>
          </w:p>
        </w:tc>
        <w:tc>
          <w:tcPr>
            <w:tcW w:w="40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contextualSpacing/>
              <w:jc w:val="center"/>
              <w:textAlignment w:val="auto"/>
              <w:rPr>
                <w:rFonts w:hint="eastAsia"/>
                <w:color w:val="auto"/>
                <w:sz w:val="20"/>
                <w:lang w:val="en-US" w:eastAsia="zh-CN"/>
              </w:rPr>
            </w:pPr>
            <w:r>
              <w:rPr>
                <w:rFonts w:hint="eastAsia"/>
                <w:color w:val="auto"/>
                <w:sz w:val="20"/>
                <w:lang w:val="en-US" w:eastAsia="zh-CN"/>
              </w:rPr>
              <w:t>符合</w:t>
            </w:r>
          </w:p>
        </w:tc>
      </w:tr>
    </w:tbl>
    <w:p>
      <w:pPr>
        <w:widowControl w:val="0"/>
        <w:spacing w:line="360" w:lineRule="auto"/>
        <w:ind w:firstLine="480" w:firstLineChars="200"/>
        <w:jc w:val="both"/>
        <w:rPr>
          <w:rFonts w:hint="eastAsia" w:eastAsia="仿宋_GB2312"/>
          <w:bCs/>
          <w:snapToGrid w:val="0"/>
          <w:color w:val="auto"/>
          <w:kern w:val="0"/>
          <w:sz w:val="24"/>
          <w:lang w:val="en-US" w:eastAsia="zh-CN"/>
        </w:rPr>
      </w:pPr>
      <w:r>
        <w:rPr>
          <w:rFonts w:hint="eastAsia" w:eastAsia="仿宋_GB2312"/>
          <w:bCs/>
          <w:snapToGrid w:val="0"/>
          <w:color w:val="auto"/>
          <w:kern w:val="0"/>
          <w:sz w:val="24"/>
          <w:lang w:val="en-US" w:eastAsia="zh-CN"/>
        </w:rPr>
        <w:t>《规划》所包含的近期建设项目在开展环境影响评价时，应强化规划环评对项目环评的指导和约束作用。对邻近自然保护区、饮用水水源保护区，涉及中华鲟、江豚等重要保护动物和鱼类重要生境及风景名胜区、水产种质资源保护区等环境敏感区的，应就其影响方式、范围和程度开展深入分析和预测，强化污染治理、生态修复、和补偿、环境风险防范等措施，预防或减轻项目实施可能产生的不良环境影响。规划协调性分析等内容可适当简化。</w:t>
      </w:r>
    </w:p>
    <w:p>
      <w:pPr>
        <w:widowControl w:val="0"/>
        <w:spacing w:line="360" w:lineRule="auto"/>
        <w:ind w:firstLine="480" w:firstLineChars="200"/>
        <w:jc w:val="both"/>
        <w:rPr>
          <w:rFonts w:hint="eastAsia" w:eastAsia="仿宋_GB2312"/>
          <w:bCs/>
          <w:snapToGrid w:val="0"/>
          <w:color w:val="auto"/>
          <w:kern w:val="0"/>
          <w:sz w:val="24"/>
          <w:lang w:val="en-US" w:eastAsia="zh-CN"/>
        </w:rPr>
      </w:pPr>
      <w:r>
        <w:rPr>
          <w:rFonts w:hint="eastAsia" w:eastAsia="仿宋_GB2312"/>
          <w:bCs/>
          <w:snapToGrid w:val="0"/>
          <w:color w:val="auto"/>
          <w:kern w:val="0"/>
          <w:sz w:val="24"/>
          <w:lang w:val="en-US" w:eastAsia="zh-CN"/>
        </w:rPr>
        <w:t>本工程不位于饮用水源保护区、自然保护区的核心区、缓冲区、实验区内，不涉及生态保护红线。仅</w:t>
      </w:r>
      <w:r>
        <w:rPr>
          <w:rFonts w:hint="eastAsia" w:eastAsia="仿宋_GB2312"/>
          <w:b/>
          <w:bCs w:val="0"/>
          <w:snapToGrid w:val="0"/>
          <w:color w:val="auto"/>
          <w:kern w:val="0"/>
          <w:sz w:val="24"/>
          <w:lang w:val="en-US" w:eastAsia="zh-CN"/>
        </w:rPr>
        <w:t>涉及中华鲟自然保护区的外围保护地带</w:t>
      </w:r>
      <w:r>
        <w:rPr>
          <w:rFonts w:hint="eastAsia" w:eastAsia="仿宋_GB2312"/>
          <w:bCs/>
          <w:snapToGrid w:val="0"/>
          <w:color w:val="auto"/>
          <w:kern w:val="0"/>
          <w:sz w:val="24"/>
          <w:lang w:val="en-US" w:eastAsia="zh-CN"/>
        </w:rPr>
        <w:t>，就其影响方式、范围和程度开展了深入分析和预测，提出了合理可行的环保对策和生态保护措施。技改项目运营期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到港船舶生活污水及油污水利用真空式吸油泵和油污水回收船进行接收上岸，直接交由海事部门指定的工作船接收，本项目不接收。对于风险事故预防措施提出，加强现场管理、人员培训，严格执行事故防范和应急措施，制定环境风险应急预案，并在码头配备溢油应急设施及火灾应急物资。</w:t>
      </w:r>
      <w:r>
        <w:rPr>
          <w:rFonts w:hint="eastAsia" w:eastAsia="仿宋_GB2312"/>
          <w:b/>
          <w:bCs w:val="0"/>
          <w:snapToGrid w:val="0"/>
          <w:color w:val="auto"/>
          <w:kern w:val="0"/>
          <w:sz w:val="24"/>
          <w:lang w:val="en-US" w:eastAsia="zh-CN"/>
        </w:rPr>
        <w:t>岸线位于中华鲟自然保护区外围保护地带</w:t>
      </w:r>
      <w:r>
        <w:rPr>
          <w:rFonts w:hint="eastAsia" w:eastAsia="仿宋_GB2312"/>
          <w:bCs/>
          <w:snapToGrid w:val="0"/>
          <w:color w:val="auto"/>
          <w:kern w:val="0"/>
          <w:sz w:val="24"/>
          <w:lang w:val="en-US" w:eastAsia="zh-CN"/>
        </w:rPr>
        <w:t>，在项目实施前需征求相关主管部门意见。</w:t>
      </w:r>
    </w:p>
    <w:p>
      <w:pPr>
        <w:widowControl w:val="0"/>
        <w:spacing w:line="360" w:lineRule="auto"/>
        <w:ind w:firstLine="480" w:firstLineChars="200"/>
        <w:jc w:val="both"/>
        <w:rPr>
          <w:rFonts w:hint="eastAsia" w:eastAsia="仿宋_GB2312"/>
          <w:bCs/>
          <w:snapToGrid w:val="0"/>
          <w:color w:val="auto"/>
          <w:kern w:val="0"/>
          <w:sz w:val="24"/>
        </w:rPr>
      </w:pPr>
      <w:r>
        <w:rPr>
          <w:rFonts w:hint="eastAsia" w:eastAsia="仿宋_GB2312"/>
          <w:bCs/>
          <w:snapToGrid w:val="0"/>
          <w:color w:val="auto"/>
          <w:kern w:val="0"/>
          <w:sz w:val="24"/>
        </w:rPr>
        <w:t>因此，本项目符合《宜昌港总体规划修订（2018-2035年）环境影响报告书》和</w:t>
      </w:r>
      <w:r>
        <w:rPr>
          <w:rFonts w:hint="eastAsia" w:eastAsia="仿宋_GB2312"/>
          <w:bCs/>
          <w:snapToGrid w:val="0"/>
          <w:color w:val="auto"/>
          <w:kern w:val="0"/>
          <w:sz w:val="24"/>
          <w:lang w:val="en-US" w:eastAsia="zh-CN"/>
        </w:rPr>
        <w:t>中华人民共和国生态环境部</w:t>
      </w:r>
      <w:r>
        <w:rPr>
          <w:rFonts w:hint="eastAsia" w:eastAsia="仿宋_GB2312"/>
          <w:bCs/>
          <w:snapToGrid w:val="0"/>
          <w:color w:val="auto"/>
          <w:kern w:val="0"/>
          <w:sz w:val="24"/>
        </w:rPr>
        <w:t>关于《宜昌港总体规划修订》（2018-2035年）环境影响报告书》的审查意见</w:t>
      </w:r>
      <w:r>
        <w:rPr>
          <w:rFonts w:hint="eastAsia" w:eastAsia="仿宋_GB2312"/>
          <w:bCs/>
          <w:snapToGrid w:val="0"/>
          <w:color w:val="auto"/>
          <w:kern w:val="0"/>
          <w:sz w:val="24"/>
          <w:lang w:eastAsia="zh-CN"/>
        </w:rPr>
        <w:t>（</w:t>
      </w:r>
      <w:r>
        <w:rPr>
          <w:rFonts w:hint="eastAsia" w:eastAsia="仿宋_GB2312"/>
          <w:bCs/>
          <w:snapToGrid w:val="0"/>
          <w:color w:val="auto"/>
          <w:kern w:val="0"/>
          <w:sz w:val="24"/>
          <w:lang w:val="en-US" w:eastAsia="zh-CN"/>
        </w:rPr>
        <w:t>环审【2019】122号</w:t>
      </w:r>
      <w:r>
        <w:rPr>
          <w:rFonts w:hint="eastAsia" w:eastAsia="仿宋_GB2312"/>
          <w:bCs/>
          <w:snapToGrid w:val="0"/>
          <w:color w:val="auto"/>
          <w:kern w:val="0"/>
          <w:sz w:val="24"/>
          <w:lang w:eastAsia="zh-CN"/>
        </w:rPr>
        <w:t>）</w:t>
      </w:r>
      <w:r>
        <w:rPr>
          <w:rFonts w:hint="eastAsia" w:eastAsia="仿宋_GB2312"/>
          <w:bCs/>
          <w:snapToGrid w:val="0"/>
          <w:color w:val="auto"/>
          <w:kern w:val="0"/>
          <w:sz w:val="24"/>
        </w:rPr>
        <w:t>”</w:t>
      </w:r>
      <w:r>
        <w:rPr>
          <w:rFonts w:hint="eastAsia" w:eastAsia="仿宋_GB2312"/>
          <w:bCs/>
          <w:snapToGrid w:val="0"/>
          <w:color w:val="auto"/>
          <w:kern w:val="0"/>
          <w:sz w:val="24"/>
          <w:lang w:val="en-US" w:eastAsia="zh-CN"/>
        </w:rPr>
        <w:t>中</w:t>
      </w:r>
      <w:r>
        <w:rPr>
          <w:rFonts w:hint="eastAsia" w:eastAsia="仿宋_GB2312"/>
          <w:bCs/>
          <w:snapToGrid w:val="0"/>
          <w:color w:val="auto"/>
          <w:kern w:val="0"/>
          <w:sz w:val="24"/>
        </w:rPr>
        <w:t>对宜昌港项目建设环境管理要求</w:t>
      </w:r>
      <w:r>
        <w:rPr>
          <w:rFonts w:eastAsia="仿宋_GB2312"/>
          <w:bCs/>
          <w:snapToGrid w:val="0"/>
          <w:color w:val="auto"/>
          <w:kern w:val="0"/>
          <w:sz w:val="24"/>
        </w:rPr>
        <w:t>。</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3</w:t>
      </w:r>
      <w:r>
        <w:rPr>
          <w:rFonts w:hint="eastAsia" w:ascii="Times New Roman" w:hAnsi="Times New Roman" w:eastAsia="黑体" w:cs="Times New Roman"/>
          <w:b w:val="0"/>
          <w:bCs w:val="0"/>
          <w:color w:val="auto"/>
          <w:kern w:val="0"/>
          <w:sz w:val="24"/>
          <w:szCs w:val="24"/>
          <w:lang w:val="en-US" w:eastAsia="zh-CN"/>
        </w:rPr>
        <w:t>）与《宜昌市环境总体规划（2013-2030年）》符合性分析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本次工程与《宜昌市环境总体规划》（2013-2030年）的符合性主要从本工程占地是否占用（跨越）大气环境质量红线区、水环境质量红线区及生态功能红线区等三个方面进行分析。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val="en-US" w:eastAsia="zh-CN"/>
        </w:rPr>
        <w:t>①生态功能红线区适应性分析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根据附图</w:t>
      </w:r>
      <w:r>
        <w:rPr>
          <w:rFonts w:hint="eastAsia" w:eastAsia="仿宋_GB2312"/>
          <w:color w:val="auto"/>
          <w:kern w:val="0"/>
          <w:sz w:val="24"/>
          <w:szCs w:val="24"/>
          <w:lang w:val="en-US" w:eastAsia="zh-CN"/>
        </w:rPr>
        <w:t>八</w:t>
      </w:r>
      <w:r>
        <w:rPr>
          <w:rFonts w:hint="eastAsia" w:eastAsia="仿宋_GB2312"/>
          <w:color w:val="auto"/>
          <w:kern w:val="0"/>
          <w:sz w:val="24"/>
          <w:szCs w:val="24"/>
        </w:rPr>
        <w:t>可知：本次拟建</w:t>
      </w:r>
      <w:r>
        <w:rPr>
          <w:rFonts w:hint="eastAsia" w:eastAsia="仿宋_GB2312"/>
          <w:color w:val="auto"/>
          <w:kern w:val="0"/>
          <w:sz w:val="24"/>
          <w:szCs w:val="24"/>
          <w:lang w:val="en-US" w:eastAsia="zh-CN"/>
        </w:rPr>
        <w:t>项目</w:t>
      </w:r>
      <w:r>
        <w:rPr>
          <w:rFonts w:hint="eastAsia" w:eastAsia="仿宋_GB2312"/>
          <w:color w:val="auto"/>
          <w:kern w:val="0"/>
          <w:sz w:val="24"/>
          <w:szCs w:val="24"/>
        </w:rPr>
        <w:t>全部位于生态功能黄线区内。</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要求：坚持“点状开发、面上保护”，限制大规模高强度工业化城镇化开发，必要的小城镇建设和特色产业发展需要加强开发内容、方式及开发强度控制，实行更加严格的环境准入，限值矿产资源开发，加强生态治理和修复，提高生态服务功能。</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本项目不属于“大规模高强度工业化城镇化开发”限制类项目，在施工及</w:t>
      </w:r>
      <w:r>
        <w:rPr>
          <w:rFonts w:hint="eastAsia" w:eastAsia="仿宋_GB2312"/>
          <w:color w:val="auto"/>
          <w:kern w:val="0"/>
          <w:sz w:val="24"/>
          <w:szCs w:val="24"/>
          <w:lang w:val="en-US" w:eastAsia="zh-CN"/>
        </w:rPr>
        <w:t>运营期</w:t>
      </w:r>
      <w:r>
        <w:rPr>
          <w:rFonts w:hint="eastAsia" w:eastAsia="仿宋_GB2312"/>
          <w:color w:val="auto"/>
          <w:kern w:val="0"/>
          <w:sz w:val="24"/>
          <w:szCs w:val="24"/>
        </w:rPr>
        <w:t>均严格执行环境保护各项法规和标准要求，本工程的实施符合《宜昌市环境总体规划》（2013-2030年）中对“生态功能黄线区”的管控要求。</w:t>
      </w:r>
    </w:p>
    <w:p>
      <w:pPr>
        <w:widowControl w:val="0"/>
        <w:spacing w:line="360" w:lineRule="auto"/>
        <w:ind w:firstLine="480" w:firstLineChars="200"/>
        <w:rPr>
          <w:rFonts w:hint="eastAsia" w:eastAsia="仿宋_GB2312"/>
          <w:color w:val="auto"/>
          <w:kern w:val="0"/>
          <w:sz w:val="24"/>
          <w:szCs w:val="24"/>
          <w:lang w:eastAsia="zh-CN"/>
        </w:rPr>
      </w:pPr>
      <w:r>
        <w:rPr>
          <w:rFonts w:hint="eastAsia" w:eastAsia="仿宋_GB2312"/>
          <w:color w:val="auto"/>
          <w:kern w:val="0"/>
          <w:sz w:val="24"/>
          <w:szCs w:val="24"/>
          <w:lang w:val="en-US" w:eastAsia="zh-CN"/>
        </w:rPr>
        <w:t>②水环境质量红线区适应性分析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根据附图</w:t>
      </w:r>
      <w:r>
        <w:rPr>
          <w:rFonts w:hint="eastAsia" w:eastAsia="仿宋_GB2312"/>
          <w:color w:val="auto"/>
          <w:kern w:val="0"/>
          <w:sz w:val="24"/>
          <w:szCs w:val="24"/>
          <w:lang w:val="en-US" w:eastAsia="zh-CN"/>
        </w:rPr>
        <w:t>九</w:t>
      </w:r>
      <w:r>
        <w:rPr>
          <w:rFonts w:hint="eastAsia" w:eastAsia="仿宋_GB2312"/>
          <w:color w:val="auto"/>
          <w:kern w:val="0"/>
          <w:sz w:val="24"/>
          <w:szCs w:val="24"/>
        </w:rPr>
        <w:t>可知：本次拟建</w:t>
      </w:r>
      <w:r>
        <w:rPr>
          <w:rFonts w:hint="eastAsia" w:eastAsia="仿宋_GB2312"/>
          <w:color w:val="auto"/>
          <w:kern w:val="0"/>
          <w:sz w:val="24"/>
          <w:szCs w:val="24"/>
          <w:lang w:val="en-US" w:eastAsia="zh-CN"/>
        </w:rPr>
        <w:t>项目</w:t>
      </w:r>
      <w:r>
        <w:rPr>
          <w:rFonts w:hint="eastAsia" w:eastAsia="仿宋_GB2312"/>
          <w:color w:val="auto"/>
          <w:kern w:val="0"/>
          <w:sz w:val="24"/>
          <w:szCs w:val="24"/>
        </w:rPr>
        <w:t>全部位于水环境质量黄线区内。</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宜昌市环境总体规划》（2013-2030年）中对“水环境质量黄线区”的管控要求：水环境质量黄线区应合理利用水环境承载力，谨慎开发，严格监控；严格执行相应行业规范、标准要求，确保环境质量不恶化，逐步恢复生态功能。严格控制污染物排放总量。重点整治规模化畜禽养殖场和养殖小区。严格限制可能造成严重水体污染和生态破坏的矿产资源开发。</w:t>
      </w:r>
    </w:p>
    <w:p>
      <w:pPr>
        <w:widowControl w:val="0"/>
        <w:spacing w:line="360" w:lineRule="auto"/>
        <w:ind w:firstLine="480" w:firstLineChars="200"/>
        <w:rPr>
          <w:rFonts w:hint="eastAsia" w:eastAsia="仿宋_GB2312"/>
          <w:color w:val="auto"/>
          <w:kern w:val="0"/>
          <w:sz w:val="24"/>
          <w:szCs w:val="24"/>
          <w:lang w:eastAsia="zh-CN"/>
        </w:rPr>
      </w:pPr>
      <w:r>
        <w:rPr>
          <w:rFonts w:hint="eastAsia" w:eastAsia="仿宋_GB2312"/>
          <w:bCs/>
          <w:snapToGrid w:val="0"/>
          <w:color w:val="auto"/>
          <w:kern w:val="0"/>
          <w:sz w:val="24"/>
          <w:lang w:val="en-US" w:eastAsia="zh-CN"/>
        </w:rPr>
        <w:t>技改项目运营期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到港船舶生活污水及油污水利用真空式吸油泵和油污水回收船进行接收上岸，直接交由海事部门指定的工作船接收，不直排入长江</w:t>
      </w:r>
      <w:r>
        <w:rPr>
          <w:rFonts w:hint="eastAsia" w:eastAsia="仿宋_GB2312"/>
          <w:color w:val="auto"/>
          <w:kern w:val="0"/>
          <w:sz w:val="24"/>
          <w:szCs w:val="24"/>
        </w:rPr>
        <w:t>。项目</w:t>
      </w:r>
      <w:r>
        <w:rPr>
          <w:rFonts w:hint="eastAsia" w:eastAsia="仿宋_GB2312"/>
          <w:color w:val="auto"/>
          <w:kern w:val="0"/>
          <w:sz w:val="24"/>
          <w:szCs w:val="24"/>
          <w:lang w:val="en-US" w:eastAsia="zh-CN"/>
        </w:rPr>
        <w:t>运营期</w:t>
      </w:r>
      <w:r>
        <w:rPr>
          <w:rFonts w:hint="eastAsia" w:eastAsia="仿宋_GB2312"/>
          <w:color w:val="auto"/>
          <w:kern w:val="0"/>
          <w:sz w:val="24"/>
          <w:szCs w:val="24"/>
        </w:rPr>
        <w:t>基本不会对周边地表水体产生不良影响。综上，本次评价认为本工程的实施符合《宜昌市环境总体规划》（2013-2030年）中对“水环境质量黄线区”的管控要求</w:t>
      </w:r>
      <w:r>
        <w:rPr>
          <w:rFonts w:hint="eastAsia" w:eastAsia="仿宋_GB2312"/>
          <w:color w:val="auto"/>
          <w:kern w:val="0"/>
          <w:sz w:val="24"/>
          <w:szCs w:val="24"/>
          <w:lang w:eastAsia="zh-CN"/>
        </w:rPr>
        <w:t>。</w:t>
      </w:r>
    </w:p>
    <w:p>
      <w:pPr>
        <w:widowControl w:val="0"/>
        <w:spacing w:line="360" w:lineRule="auto"/>
        <w:ind w:firstLine="480" w:firstLineChars="200"/>
        <w:rPr>
          <w:rFonts w:hint="default" w:eastAsia="仿宋_GB2312"/>
          <w:color w:val="auto"/>
          <w:kern w:val="0"/>
          <w:sz w:val="24"/>
          <w:szCs w:val="24"/>
          <w:lang w:val="en-US" w:eastAsia="zh-CN"/>
        </w:rPr>
      </w:pPr>
      <w:r>
        <w:rPr>
          <w:rFonts w:hint="eastAsia" w:eastAsia="仿宋_GB2312"/>
          <w:color w:val="auto"/>
          <w:kern w:val="0"/>
          <w:sz w:val="24"/>
          <w:szCs w:val="24"/>
          <w:lang w:val="en-US" w:eastAsia="zh-CN"/>
        </w:rPr>
        <w:t>③大气环境质量红线区适应性分析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根据附图</w:t>
      </w:r>
      <w:r>
        <w:rPr>
          <w:rFonts w:hint="eastAsia" w:eastAsia="仿宋_GB2312"/>
          <w:color w:val="auto"/>
          <w:kern w:val="0"/>
          <w:sz w:val="24"/>
          <w:szCs w:val="24"/>
          <w:lang w:val="en-US" w:eastAsia="zh-CN"/>
        </w:rPr>
        <w:t>十</w:t>
      </w:r>
      <w:r>
        <w:rPr>
          <w:rFonts w:hint="eastAsia" w:eastAsia="仿宋_GB2312"/>
          <w:color w:val="auto"/>
          <w:kern w:val="0"/>
          <w:sz w:val="24"/>
          <w:szCs w:val="24"/>
        </w:rPr>
        <w:t>可知：本次拟建</w:t>
      </w:r>
      <w:r>
        <w:rPr>
          <w:rFonts w:hint="eastAsia" w:eastAsia="仿宋_GB2312"/>
          <w:color w:val="auto"/>
          <w:kern w:val="0"/>
          <w:sz w:val="24"/>
          <w:szCs w:val="24"/>
          <w:lang w:val="en-US" w:eastAsia="zh-CN"/>
        </w:rPr>
        <w:t>项目</w:t>
      </w:r>
      <w:r>
        <w:rPr>
          <w:rFonts w:hint="eastAsia" w:eastAsia="仿宋_GB2312"/>
          <w:color w:val="auto"/>
          <w:kern w:val="0"/>
          <w:sz w:val="24"/>
          <w:szCs w:val="24"/>
        </w:rPr>
        <w:t>全部位于大气环境质量绿线区内。</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根据《宜昌市环境总体规划》（2013-2030年）中对“大气环境质量绿线区”的管控要求：在满足产业准入、总量控制、排放标准等管理制度要求的前提下合理发展。</w:t>
      </w:r>
    </w:p>
    <w:p>
      <w:pPr>
        <w:widowControl w:val="0"/>
        <w:spacing w:line="360" w:lineRule="auto"/>
        <w:ind w:firstLine="480" w:firstLineChars="200"/>
        <w:rPr>
          <w:rFonts w:hint="eastAsia" w:eastAsia="仿宋_GB2312"/>
          <w:color w:val="auto"/>
          <w:kern w:val="0"/>
          <w:sz w:val="24"/>
          <w:szCs w:val="24"/>
          <w:lang w:eastAsia="zh-CN"/>
        </w:rPr>
      </w:pPr>
      <w:r>
        <w:rPr>
          <w:rFonts w:hint="eastAsia" w:eastAsia="仿宋_GB2312"/>
          <w:color w:val="auto"/>
          <w:kern w:val="0"/>
          <w:sz w:val="24"/>
          <w:szCs w:val="24"/>
        </w:rPr>
        <w:t>本次拟建</w:t>
      </w:r>
      <w:r>
        <w:rPr>
          <w:rFonts w:hint="eastAsia" w:eastAsia="仿宋_GB2312"/>
          <w:color w:val="auto"/>
          <w:kern w:val="0"/>
          <w:sz w:val="24"/>
          <w:szCs w:val="24"/>
          <w:lang w:val="en-US" w:eastAsia="zh-CN"/>
        </w:rPr>
        <w:t>项目</w:t>
      </w:r>
      <w:r>
        <w:rPr>
          <w:rFonts w:hint="eastAsia" w:eastAsia="仿宋_GB2312"/>
          <w:color w:val="auto"/>
          <w:kern w:val="0"/>
          <w:sz w:val="24"/>
          <w:szCs w:val="24"/>
        </w:rPr>
        <w:t>完成后，项目运营期各大气污染物均能实现达标排放，因此本次拟建</w:t>
      </w:r>
      <w:r>
        <w:rPr>
          <w:rFonts w:hint="eastAsia" w:eastAsia="仿宋_GB2312"/>
          <w:color w:val="auto"/>
          <w:kern w:val="0"/>
          <w:sz w:val="24"/>
          <w:szCs w:val="24"/>
          <w:lang w:val="en-US" w:eastAsia="zh-CN"/>
        </w:rPr>
        <w:t>项目</w:t>
      </w:r>
      <w:r>
        <w:rPr>
          <w:rFonts w:hint="eastAsia" w:eastAsia="仿宋_GB2312"/>
          <w:color w:val="auto"/>
          <w:kern w:val="0"/>
          <w:sz w:val="24"/>
          <w:szCs w:val="24"/>
        </w:rPr>
        <w:t>实施符合《宜昌市环境总体规划》（2013-2030年）中对“大气环境质量绿线区”的管控要求</w:t>
      </w:r>
      <w:r>
        <w:rPr>
          <w:rFonts w:hint="eastAsia" w:eastAsia="仿宋_GB2312"/>
          <w:color w:val="auto"/>
          <w:kern w:val="0"/>
          <w:sz w:val="24"/>
          <w:szCs w:val="24"/>
          <w:lang w:eastAsia="zh-CN"/>
        </w:rPr>
        <w:t>。</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根据上述分析，本次评价认为本次拟建工程的建设基本符合《宜昌市环境总体规划》（2013-2030年）要求。</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en-US" w:eastAsia="zh-CN"/>
        </w:rPr>
        <w:t>）与《长江岸线保护和开发利用总体规划》符合性分析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根据《长江岸线保护和开发利用总体规划》，考虑河道自然条件、岸线资源现状以及开发利用和保护要求，将岸线划分为岸线保护区、保留区、控制利用区和开发利用区四类。</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岸线保护区是指岸线开发利用可能对防洪安全、河势稳定、供水安全、生态环境、重要枢纽工程安全等有明显不利影响的岸段。</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岸线保留区是指暂不具备开发利用条件，或有生态环境保护要求，或为满足生活生态岸线开发需要，或暂无开发利用需求的岸段。</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岸线控制利用区是指岸线开发利用程度较高，或开发利用对防洪安全、河势稳定、供水安全、生态环境可能造成一定影响，需要控制其开发利用强度或开发利用方式的岸段。</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岸线开发利用区是指河势基本稳定、岸线利用条件较好，岸线开发利用对防洪安全、河势稳定、供水安全以及生态环境影响较小的岸段。</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功能区的划分统筹协调生态环境保护、经济社会发展、防洪、河势、供水、航运等方面的要求，科学划定岸线功能分区，严格分区管理和用途管制，加强了对自然保护区、风景名胜区、重要湿地、水产种质资源保护区等生态敏感区的保护。</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 xml:space="preserve">规划范围内共划分岸线保护区516个，长度为1964.2公里，占岸线总长度的11.3%；岸线保留区1034个，长度为9306.3公里，占岸线总长度的53.5%；岸线控制利用区817个，长度为4642.8公里，占岸线总长度的26.7%；岸线开发利用区232个，长度为1480.4公里，占岸线总长度的8.5%。其中，岸线保护区和保留区长度占比合计约64.8%，充分体现了“保护优先 </w:t>
      </w:r>
      <w:r>
        <w:rPr>
          <w:rFonts w:hint="eastAsia" w:eastAsia="仿宋_GB2312"/>
          <w:color w:val="auto"/>
          <w:kern w:val="0"/>
          <w:sz w:val="24"/>
          <w:szCs w:val="24"/>
          <w:lang w:val="en-US" w:eastAsia="zh-CN"/>
        </w:rPr>
        <w:t xml:space="preserve"> </w:t>
      </w:r>
      <w:r>
        <w:rPr>
          <w:rFonts w:hint="eastAsia" w:eastAsia="仿宋_GB2312"/>
          <w:color w:val="auto"/>
          <w:kern w:val="0"/>
          <w:sz w:val="24"/>
          <w:szCs w:val="24"/>
        </w:rPr>
        <w:t>绿色发展”理念。</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岸线开发利用区按照以下条件进行划分：</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①对于一般沿江河段，开发需求较大，获得省级政府或部委批复的港区规划、临港工业园区规划的岸线划为开发利用区。</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②对于城市临江河段，河势基本稳定，岸线利用条件较好，无特殊生态保护要求或特定功能要求的区域划为开发利用区。</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③对于河势基本稳定，无特殊生态保护要求或特定功能要求，岸线开发利用活动对防洪安全、河势稳定、供水安全及河流健康影响较小的岸线区，划分为开发利用区。</w:t>
      </w:r>
    </w:p>
    <w:p>
      <w:pPr>
        <w:widowControl w:val="0"/>
        <w:spacing w:line="360" w:lineRule="auto"/>
        <w:ind w:firstLine="480" w:firstLineChars="200"/>
        <w:rPr>
          <w:rFonts w:hint="eastAsia" w:eastAsia="仿宋_GB2312"/>
          <w:color w:val="auto"/>
          <w:kern w:val="0"/>
          <w:sz w:val="24"/>
          <w:szCs w:val="24"/>
          <w:lang w:eastAsia="zh-CN"/>
        </w:rPr>
      </w:pPr>
      <w:r>
        <w:rPr>
          <w:rFonts w:hint="eastAsia" w:eastAsia="仿宋_GB2312"/>
          <w:color w:val="auto"/>
          <w:kern w:val="0"/>
          <w:sz w:val="24"/>
          <w:szCs w:val="24"/>
        </w:rPr>
        <w:t>④县城及主要集镇所在岸线，考虑到城市发展和沿江居民生产生活需要，有具体规划项目，在不影响防洪等因素的前提下划为开发利用区</w:t>
      </w:r>
      <w:r>
        <w:rPr>
          <w:rFonts w:hint="eastAsia" w:eastAsia="仿宋_GB2312"/>
          <w:color w:val="auto"/>
          <w:kern w:val="0"/>
          <w:sz w:val="24"/>
          <w:szCs w:val="24"/>
          <w:lang w:eastAsia="zh-CN"/>
        </w:rPr>
        <w:t>。</w:t>
      </w:r>
    </w:p>
    <w:p>
      <w:pPr>
        <w:widowControl w:val="0"/>
        <w:spacing w:line="360" w:lineRule="auto"/>
        <w:ind w:firstLine="480" w:firstLineChars="200"/>
        <w:rPr>
          <w:rFonts w:eastAsia="仿宋_GB2312"/>
          <w:color w:val="auto"/>
          <w:kern w:val="0"/>
          <w:sz w:val="24"/>
          <w:szCs w:val="24"/>
        </w:rPr>
      </w:pPr>
      <w:r>
        <w:rPr>
          <w:rFonts w:hint="eastAsia" w:eastAsia="仿宋_GB2312"/>
          <w:color w:val="auto"/>
          <w:kern w:val="0"/>
          <w:sz w:val="24"/>
          <w:szCs w:val="24"/>
        </w:rPr>
        <w:t>本工程所在岸线属于《宜昌港总体规划修订（2018-2035年）》中的枝城作业区岸线。工程所在区域河势稳定，岸线利用条件较好，无特殊生态保护要求或特定功能要求</w:t>
      </w:r>
      <w:r>
        <w:rPr>
          <w:rFonts w:hint="eastAsia" w:eastAsia="仿宋_GB2312"/>
          <w:color w:val="auto"/>
          <w:kern w:val="0"/>
          <w:sz w:val="24"/>
          <w:szCs w:val="24"/>
          <w:lang w:eastAsia="zh-CN"/>
        </w:rPr>
        <w:t>。</w:t>
      </w:r>
      <w:r>
        <w:rPr>
          <w:rFonts w:hint="eastAsia" w:eastAsia="仿宋_GB2312"/>
          <w:color w:val="auto"/>
          <w:kern w:val="0"/>
          <w:sz w:val="24"/>
          <w:szCs w:val="24"/>
        </w:rPr>
        <w:t>本工程岸线属于岸线开发利用区。工程建设符合《长江岸线保护和开发利用总体规划》</w:t>
      </w:r>
      <w:r>
        <w:rPr>
          <w:rFonts w:hint="eastAsia" w:eastAsia="仿宋_GB2312"/>
          <w:color w:val="auto"/>
          <w:kern w:val="0"/>
          <w:sz w:val="24"/>
          <w:szCs w:val="24"/>
          <w:lang w:val="en-US" w:eastAsia="zh-CN"/>
        </w:rPr>
        <w:t>中相关要求</w:t>
      </w:r>
      <w:r>
        <w:rPr>
          <w:rFonts w:eastAsia="仿宋_GB2312"/>
          <w:color w:val="auto"/>
          <w:kern w:val="0"/>
          <w:sz w:val="24"/>
          <w:szCs w:val="24"/>
        </w:rPr>
        <w:t>。</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en-US" w:eastAsia="zh-CN"/>
        </w:rPr>
        <w:t>）与《长江经济带生态环境保护规划》符合性分析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为落实党中央、国务院关于推动长江经济带发展的重大决策部署，环境保护部、发展改革委、水利部等三部委于2017年7月13日联合印发了《长江经济带生态环境保护规划》（环规财[2017]88号）</w:t>
      </w:r>
      <w:r>
        <w:rPr>
          <w:rFonts w:hint="eastAsia" w:eastAsia="仿宋_GB2312"/>
          <w:color w:val="auto"/>
          <w:sz w:val="24"/>
          <w:lang w:eastAsia="zh-CN"/>
        </w:rPr>
        <w:t>。</w:t>
      </w:r>
    </w:p>
    <w:p>
      <w:pPr>
        <w:widowControl w:val="0"/>
        <w:spacing w:line="360" w:lineRule="auto"/>
        <w:ind w:firstLine="482" w:firstLineChars="200"/>
        <w:rPr>
          <w:rFonts w:hint="eastAsia" w:eastAsia="仿宋_GB2312"/>
          <w:b/>
          <w:bCs/>
          <w:color w:val="auto"/>
          <w:sz w:val="24"/>
        </w:rPr>
      </w:pPr>
      <w:r>
        <w:rPr>
          <w:rFonts w:hint="eastAsia" w:eastAsia="仿宋_GB2312"/>
          <w:b/>
          <w:bCs/>
          <w:color w:val="auto"/>
          <w:sz w:val="24"/>
          <w:lang w:val="en-US" w:eastAsia="zh-CN"/>
        </w:rPr>
        <w:t>七、</w:t>
      </w:r>
      <w:r>
        <w:rPr>
          <w:rFonts w:hint="eastAsia" w:eastAsia="仿宋_GB2312"/>
          <w:b/>
          <w:bCs/>
          <w:color w:val="auto"/>
          <w:sz w:val="24"/>
        </w:rPr>
        <w:t>强化突发环境事件预防应对，严格管控环境风险</w:t>
      </w:r>
    </w:p>
    <w:p>
      <w:pPr>
        <w:widowControl w:val="0"/>
        <w:spacing w:line="360" w:lineRule="auto"/>
        <w:ind w:firstLine="482" w:firstLineChars="200"/>
        <w:rPr>
          <w:rFonts w:hint="default" w:eastAsia="仿宋_GB2312"/>
          <w:b/>
          <w:bCs/>
          <w:color w:val="auto"/>
          <w:sz w:val="24"/>
          <w:lang w:val="en-US" w:eastAsia="zh-CN"/>
        </w:rPr>
      </w:pPr>
      <w:r>
        <w:rPr>
          <w:rFonts w:hint="eastAsia" w:eastAsia="仿宋_GB2312"/>
          <w:b/>
          <w:bCs/>
          <w:color w:val="auto"/>
          <w:sz w:val="24"/>
          <w:lang w:eastAsia="zh-CN"/>
        </w:rPr>
        <w:t>（</w:t>
      </w:r>
      <w:r>
        <w:rPr>
          <w:rFonts w:hint="eastAsia" w:eastAsia="仿宋_GB2312"/>
          <w:b/>
          <w:bCs/>
          <w:color w:val="auto"/>
          <w:sz w:val="24"/>
          <w:lang w:val="en-US" w:eastAsia="zh-CN"/>
        </w:rPr>
        <w:t>一</w:t>
      </w:r>
      <w:r>
        <w:rPr>
          <w:rFonts w:hint="eastAsia" w:eastAsia="仿宋_GB2312"/>
          <w:b/>
          <w:bCs/>
          <w:color w:val="auto"/>
          <w:sz w:val="24"/>
          <w:lang w:eastAsia="zh-CN"/>
        </w:rPr>
        <w:t>）</w:t>
      </w:r>
      <w:r>
        <w:rPr>
          <w:rFonts w:hint="eastAsia" w:eastAsia="仿宋_GB2312"/>
          <w:b/>
          <w:bCs/>
          <w:color w:val="auto"/>
          <w:sz w:val="24"/>
          <w:lang w:val="en-US" w:eastAsia="zh-CN"/>
        </w:rPr>
        <w:t>严格环境风险源头防控</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优化沿江企业和码头布局。</w:t>
      </w:r>
      <w:r>
        <w:rPr>
          <w:rFonts w:hint="eastAsia" w:eastAsia="仿宋_GB2312"/>
          <w:color w:val="auto"/>
          <w:sz w:val="24"/>
        </w:rPr>
        <w:t>立足当地资源环境承载能力，优化产业布局和规模，严格禁止污染型产业、企业向中上游地区转移，切实防止环境风险聚集。禁止在长江干流自然保护区、风景名胜区、“四大家鱼”产卵场等管控重点区域新建工业类和污染类项目，现有高风险企业实施限期治理。除武汉、岳阳、九江、安庆、舟山5个千万吨级石化产业基地外，其他城市原则上不再新布局石化项目。严格危化品港口建设项目审批管理，自然保护区核心区及缓冲区内禁止新建码头工程，逐步拆除已有的各类生产设施以及危化品、石油类泊位。</w:t>
      </w:r>
    </w:p>
    <w:p>
      <w:pPr>
        <w:widowControl w:val="0"/>
        <w:spacing w:line="360" w:lineRule="auto"/>
        <w:ind w:firstLine="482" w:firstLineChars="200"/>
        <w:rPr>
          <w:rFonts w:hint="eastAsia" w:eastAsia="仿宋_GB2312"/>
          <w:b/>
          <w:bCs/>
          <w:color w:val="auto"/>
          <w:sz w:val="24"/>
        </w:rPr>
      </w:pPr>
      <w:r>
        <w:rPr>
          <w:rFonts w:hint="eastAsia" w:eastAsia="仿宋_GB2312"/>
          <w:b/>
          <w:bCs/>
          <w:color w:val="auto"/>
          <w:sz w:val="24"/>
        </w:rPr>
        <w:t>（三）遏制重点领域重大环境风险</w:t>
      </w:r>
    </w:p>
    <w:p>
      <w:pPr>
        <w:widowControl w:val="0"/>
        <w:spacing w:line="360" w:lineRule="auto"/>
        <w:ind w:firstLine="482" w:firstLineChars="200"/>
        <w:rPr>
          <w:rFonts w:hint="eastAsia" w:eastAsia="仿宋_GB2312"/>
          <w:color w:val="auto"/>
          <w:sz w:val="24"/>
          <w:lang w:eastAsia="zh-CN"/>
        </w:rPr>
      </w:pPr>
      <w:r>
        <w:rPr>
          <w:rFonts w:hint="eastAsia" w:eastAsia="仿宋_GB2312"/>
          <w:b/>
          <w:bCs/>
          <w:color w:val="auto"/>
          <w:sz w:val="24"/>
        </w:rPr>
        <w:t>严防交通运输次生突发环境事件风险。</w:t>
      </w:r>
      <w:r>
        <w:rPr>
          <w:rFonts w:hint="eastAsia" w:eastAsia="仿宋_GB2312"/>
          <w:color w:val="auto"/>
          <w:sz w:val="24"/>
        </w:rPr>
        <w:t>强化水上危化品运输安全环保监管和船舶溢油风险防范，实施船舶环境风险全程跟踪监管，严厉打击未经许可擅自经营危化品水上运输等违法违规行为。加快推广应用低排放、高能效、标准化的节能环保型船舶，建立健全船舶环保标准，提升船舶污染物的接收处置能力。严禁单壳化学品船和600载重吨以上的单壳油船进入长江干线、京杭运河、长江三角洲高等级航道网以及乌江、湘江、沅水、赣江、信江、合裕航道、江汉运河。加强危化品道路运输风险管控及运输过程安全监管，推进危化品运输车辆加装全球定位系统（GPS）实时传输及危险快速报警系统，在集中式饮用水水源保护区、自然保护区等区域实施危化品禁运，同步加快制定并实施区域绕行运输方案</w:t>
      </w:r>
      <w:r>
        <w:rPr>
          <w:rFonts w:hint="eastAsia" w:eastAsia="仿宋_GB2312"/>
          <w:color w:val="auto"/>
          <w:sz w:val="24"/>
          <w:lang w:eastAsia="zh-CN"/>
        </w:rPr>
        <w:t>。</w:t>
      </w:r>
    </w:p>
    <w:p>
      <w:pPr>
        <w:widowControl w:val="0"/>
        <w:numPr>
          <w:ilvl w:val="0"/>
          <w:numId w:val="2"/>
        </w:numPr>
        <w:spacing w:line="360" w:lineRule="auto"/>
        <w:ind w:firstLine="482" w:firstLineChars="200"/>
        <w:rPr>
          <w:rFonts w:hint="eastAsia" w:eastAsia="仿宋_GB2312"/>
          <w:b/>
          <w:bCs/>
          <w:color w:val="auto"/>
          <w:sz w:val="24"/>
        </w:rPr>
      </w:pPr>
      <w:r>
        <w:rPr>
          <w:rFonts w:hint="eastAsia" w:eastAsia="仿宋_GB2312"/>
          <w:b/>
          <w:bCs/>
          <w:color w:val="auto"/>
          <w:sz w:val="24"/>
        </w:rPr>
        <w:t>创新大保护的生态环保机制政策，推动区域协同联动</w:t>
      </w:r>
    </w:p>
    <w:p>
      <w:pPr>
        <w:widowControl w:val="0"/>
        <w:spacing w:line="360" w:lineRule="auto"/>
        <w:ind w:firstLine="482" w:firstLineChars="200"/>
        <w:rPr>
          <w:rFonts w:hint="eastAsia" w:eastAsia="仿宋_GB2312"/>
          <w:b/>
          <w:bCs/>
          <w:color w:val="auto"/>
          <w:sz w:val="24"/>
        </w:rPr>
      </w:pPr>
      <w:r>
        <w:rPr>
          <w:rFonts w:hint="eastAsia" w:eastAsia="仿宋_GB2312"/>
          <w:b/>
          <w:bCs/>
          <w:color w:val="auto"/>
          <w:sz w:val="24"/>
        </w:rPr>
        <w:t>（三）强化生态优先绿色发展的环境管理措施</w:t>
      </w:r>
    </w:p>
    <w:p>
      <w:pPr>
        <w:widowControl w:val="0"/>
        <w:spacing w:line="360" w:lineRule="auto"/>
        <w:ind w:firstLine="482" w:firstLineChars="200"/>
        <w:rPr>
          <w:rFonts w:hint="eastAsia" w:eastAsia="仿宋_GB2312"/>
          <w:color w:val="auto"/>
          <w:kern w:val="0"/>
          <w:sz w:val="24"/>
          <w:szCs w:val="24"/>
        </w:rPr>
      </w:pPr>
      <w:r>
        <w:rPr>
          <w:rFonts w:hint="eastAsia" w:eastAsia="仿宋_GB2312"/>
          <w:b/>
          <w:bCs/>
          <w:color w:val="auto"/>
          <w:sz w:val="24"/>
        </w:rPr>
        <w:t>实行负面清单管理</w:t>
      </w:r>
      <w:r>
        <w:rPr>
          <w:rFonts w:hint="eastAsia" w:eastAsia="仿宋_GB2312"/>
          <w:b/>
          <w:bCs/>
          <w:color w:val="auto"/>
          <w:sz w:val="24"/>
          <w:lang w:eastAsia="zh-CN"/>
        </w:rPr>
        <w:t>。</w:t>
      </w:r>
      <w:r>
        <w:rPr>
          <w:rFonts w:hint="eastAsia" w:eastAsia="仿宋_GB2312"/>
          <w:color w:val="auto"/>
          <w:sz w:val="24"/>
        </w:rPr>
        <w:t>长江沿线一切经济活动都要以不破坏生态环境为前提，抓紧制定产业准入负面清单，明确空间准入</w:t>
      </w:r>
      <w:r>
        <w:rPr>
          <w:rFonts w:hint="eastAsia" w:eastAsia="仿宋_GB2312"/>
          <w:color w:val="auto"/>
          <w:kern w:val="0"/>
          <w:sz w:val="24"/>
          <w:szCs w:val="24"/>
        </w:rPr>
        <w:t>和环境准入的清单式管理要求。提出长江沿线限制开发和禁止开发的岸线、河段、区域、产业以及相关管理措施。不符合要求占用岸线、河段、土地和布局的产业，必须无条件退出。除在建项目外，严禁在干流及主要支流岸线1公里范周内布局新建重化工园区，严控在中上游沿岸地区新建石油化工和煤化工项目。严控下游高污染、高排放企业向上游转移”。</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val="en-US" w:eastAsia="zh-CN"/>
        </w:rPr>
        <w:t>技改项目为湖北楚新矿业有限公司皮带输送廊道及综合物流码头建设项目（综合物流码头部分），</w:t>
      </w:r>
      <w:r>
        <w:rPr>
          <w:rFonts w:hint="eastAsia" w:eastAsia="仿宋_GB2312"/>
          <w:color w:val="auto"/>
          <w:kern w:val="0"/>
          <w:sz w:val="24"/>
          <w:szCs w:val="24"/>
        </w:rPr>
        <w:t>不涉及长江干流自然保护区、风景名胜区、“四大家鱼”产卵场等管控重点区域，不涉及饮用水水源保护区，对于项目涉及的环境风险，制定环境应急预案并配置相应的应急设备，符合《长江经济带生态环境保护规划》相关要求。</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（6）与《全国重要江河湖泊水功能区划（2011-2030年）》相符性分析</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技改码头项目拆除现有趸船及相关钢结构，重新布设趸船、钢撑杆及引桥设施。不涉及后方陆域，码头泊位布置不发生变化，结构形式为原有的1#斜坡码头，2#浮码头结构形式变为1、2#码头均为浮码头结构形式。</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技改码头项目位于宜昌港宜都港区洋溪作业区内，码头占用岸线属于洋溪岸线范围。</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根据《全国重要江河湖泊水功能区划（2011-2030年）》，全国重要江河湖泊一级水功能区划分为保护区、保留区、开发利用区、缓冲区，保护区是指对水资源保护、自然生态系统及珍稀濒危物种的保护具有重要意义，需划定范围进行保护的水域；保留区是指目前水资源开发利用程度不高，为今后水资源可持续利用而保留的水域；开发利用区是指为满足城镇生活、工农业生产、渔业、娱乐等功能需求而划定的水域；缓冲区是指为协调省际间、用水矛盾突出的地区间用水关系而划定的水域。</w:t>
      </w:r>
    </w:p>
    <w:p>
      <w:pPr>
        <w:widowControl w:val="0"/>
        <w:spacing w:line="360" w:lineRule="auto"/>
        <w:ind w:firstLine="480" w:firstLineChars="200"/>
        <w:jc w:val="both"/>
        <w:rPr>
          <w:rFonts w:hint="default" w:eastAsia="仿宋_GB2312"/>
          <w:color w:val="auto"/>
          <w:kern w:val="0"/>
          <w:sz w:val="24"/>
          <w:szCs w:val="24"/>
          <w:lang w:val="en-US" w:eastAsia="zh-CN"/>
        </w:rPr>
      </w:pPr>
      <w:r>
        <w:rPr>
          <w:rFonts w:hint="eastAsia" w:eastAsia="仿宋_GB2312"/>
          <w:color w:val="auto"/>
          <w:kern w:val="0"/>
          <w:sz w:val="24"/>
          <w:szCs w:val="24"/>
          <w:lang w:val="en-US" w:eastAsia="zh-CN"/>
        </w:rPr>
        <w:t>本项目利用的现有洗舱码头所在长江河段属于长江宜昌保护区内。技改码头采用浮码头结构，水下为透空式，不会对水域造成阻隔影响。本次施工期选择在枯水期进行水上施工，不涉及底泥疏浚工程，故对水文情势及水生生态产生影响极小。施工期加强污染控制措施，如施工人员生活垃圾、生活污水、施工废水等严禁排入水体，施工物料堆放远离水体，并做好覆盖，防止暴雨径流入水体，加强施工人员环境保护宣传教育，严禁施工人员随意捕捞珍稀水生保护动物等措施，施工对水生生态影响较小。同时已委托中国水产科学研究院长江水产研究所编制关于《湖北楚新矿业有限公司皮带输送廊道及综合物流码头建设项目（综合物流码头部分）对长江湖北宜昌中华鲟自然保护区影响专题论证报告》，论证报告指出在充分落实环保措施及本报告中提出的减缓措施前提下，可在较大程度上有效地降低这些不利影响。因此，从水生态环境保护角度，专题报告认为</w:t>
      </w:r>
      <w:r>
        <w:rPr>
          <w:rFonts w:hint="eastAsia" w:eastAsia="仿宋_GB2312"/>
          <w:b/>
          <w:bCs/>
          <w:color w:val="auto"/>
          <w:kern w:val="0"/>
          <w:sz w:val="24"/>
          <w:szCs w:val="24"/>
          <w:lang w:val="en-US" w:eastAsia="zh-CN"/>
        </w:rPr>
        <w:t>本工程总体可行</w:t>
      </w:r>
      <w:r>
        <w:rPr>
          <w:rFonts w:hint="eastAsia" w:eastAsia="仿宋_GB2312"/>
          <w:color w:val="auto"/>
          <w:kern w:val="0"/>
          <w:sz w:val="24"/>
          <w:szCs w:val="24"/>
          <w:lang w:val="en-US" w:eastAsia="zh-CN"/>
        </w:rPr>
        <w:t>。</w:t>
      </w:r>
    </w:p>
    <w:p>
      <w:pPr>
        <w:widowControl w:val="0"/>
        <w:spacing w:line="360" w:lineRule="auto"/>
        <w:ind w:firstLine="480" w:firstLineChars="200"/>
        <w:jc w:val="both"/>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运营期产生的废水包括码头人员生活污水、码头面冲洗废水及码头面初期雨水、到港船舶生活污水及舱底油污水等，</w:t>
      </w:r>
      <w:r>
        <w:rPr>
          <w:rFonts w:hint="eastAsia" w:eastAsia="仿宋_GB2312"/>
          <w:bCs/>
          <w:snapToGrid w:val="0"/>
          <w:color w:val="auto"/>
          <w:kern w:val="0"/>
          <w:sz w:val="24"/>
          <w:lang w:val="en-US" w:eastAsia="zh-CN"/>
        </w:rPr>
        <w:t>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到港船舶生活污水及油污水利用真空式吸油泵和油污水回收船进行接收上岸，直接交由海事部门指定的工作船接收，不直排入长江</w:t>
      </w:r>
      <w:r>
        <w:rPr>
          <w:rFonts w:hint="eastAsia" w:eastAsia="仿宋_GB2312"/>
          <w:color w:val="auto"/>
          <w:kern w:val="0"/>
          <w:sz w:val="24"/>
          <w:szCs w:val="24"/>
          <w:lang w:val="en-US" w:eastAsia="zh-CN"/>
        </w:rPr>
        <w:t>。通过分析预测码头工程对水文情势影响表明码头工程对所在河段整体水位影响较小；对河道流场影响不大，影响范围有限，对河道主流、断面流速分布及对岸流速影响很小；对码头区域冲淤环境产生局部影响，仅限在码头区，影响范围有限，随着水流、河道形态与工程的逐步适应，工程所引起的局部变化效应将逐步减小。</w:t>
      </w:r>
    </w:p>
    <w:p>
      <w:pPr>
        <w:widowControl w:val="0"/>
        <w:spacing w:line="360" w:lineRule="auto"/>
        <w:ind w:firstLine="480" w:firstLineChars="200"/>
        <w:jc w:val="both"/>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运营期船舶航行对本江段的鱼类会产生一定的影响，其主要是船只的噪音及螺旋桨会导致鱼类分布的变化。对一般鱼类而言，船只运行的噪音和波浪造成鱼类的主动回避，但此影响是暂时的，影响程度不大。工程运行后船舶增加和港口作业会增加溢油事故风险，漏油进入水体会水环境及水生生物尤其鱼类产生影响，但通过采取各项风险防范措施，并制定严格的突发性环境污染事故应急预案，可确保溢油事故发生时能快速有效地进行现场应急处理、处置，防止突发性环境污染事故发生。</w:t>
      </w:r>
    </w:p>
    <w:p>
      <w:pPr>
        <w:widowControl w:val="0"/>
        <w:spacing w:line="360" w:lineRule="auto"/>
        <w:ind w:firstLine="480" w:firstLineChars="200"/>
        <w:jc w:val="both"/>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综上所述，本项目对长江水资源和水生生态的影响有限，工程的实施及运营不会对长江的水文情势及水生生态系统产生较大影响、不会造成长江水位、流场的变化，也不会造成工程范围内防洪大堤的防洪标准的降低，且项目不属于《长江经济带发展负面清单指南（试行，2022年版）》中“不利于水资源及自然生态保护的项目”，因此，本项目的建设与《全国重要江河湖泊水功能区划（2011-2030年）》相符。</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（7）与《湖北省主体功能区规划》符合性分析</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湖北省生态环境厅鄂政发[2012]106号《省人民政府关于印发湖北省主体功能区规划的通知》明确规定湖北省主体功能区划方案：</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按照国家相关要求，依据国土开发理念，结合湖北实际，将全省国土空间分为重点开发区域、限制开发区域和禁止开发区域三大类型，包括国家层面重点开发区域、省级层面重点开发区域、国家层面农产品主产区、国家层面重点生态功能区、省级层面重点生态功能区和禁止开发区域等六类区域。</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禁止开发区域是指依法设立的各类自然文化资源保护区域，包括国家级和省级地质公园、世界自然文化遗产、风景名胜区、自然保护区、森林公园、湿地公园以及蓄滞洪区等。湖北省的禁止开发区以点状形态分布于上述各种类型主体功能区中。</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湖北省禁止开发区域的功能定位是：全省保护自然文化资源的重点地区，点状分布的重要生态功能区，生物多样性和珍贵动植物基因保护地，调节洪峰、保护大江大河安全的重要功能区。湖北省禁止开发区域应依据国家和省市法律法规，实行科学有效的强制性保护政策，严格控制有悖主体功能定位的各类开发活动，引导超载人口有序向重点开发区转移，统筹人与自然的和谐，实现零排放。”</w:t>
      </w:r>
    </w:p>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本次技改项目利用现有码头进行技术改造，不涉及国家级和省级地质公园、世界自然文化遗产、自然保护区、森林公园、蓄滞洪区，所处位置不在“湖北省禁止开发区名录”中，故本项目与《湖北省主体功能区规划》相符。</w:t>
      </w:r>
    </w:p>
    <w:p>
      <w:pPr>
        <w:widowControl w:val="0"/>
        <w:spacing w:line="360" w:lineRule="auto"/>
        <w:ind w:firstLine="480" w:firstLineChars="200"/>
        <w:jc w:val="both"/>
        <w:rPr>
          <w:rFonts w:hint="eastAsia"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（8）与《市人民政府关于印发宜昌市生态环境保护“十四五”规划的通知》相符性分析</w:t>
      </w:r>
    </w:p>
    <w:p>
      <w:pPr>
        <w:widowControl w:val="0"/>
        <w:spacing w:line="360" w:lineRule="auto"/>
        <w:ind w:firstLine="480" w:firstLineChars="200"/>
        <w:rPr>
          <w:rFonts w:hint="default" w:eastAsia="仿宋_GB2312"/>
          <w:color w:val="auto"/>
          <w:kern w:val="0"/>
          <w:sz w:val="24"/>
          <w:szCs w:val="24"/>
          <w:lang w:val="en-US" w:eastAsia="zh-CN"/>
        </w:rPr>
      </w:pPr>
      <w:r>
        <w:rPr>
          <w:rFonts w:hint="eastAsia" w:eastAsia="仿宋_GB2312"/>
          <w:color w:val="auto"/>
          <w:kern w:val="0"/>
          <w:sz w:val="24"/>
          <w:szCs w:val="24"/>
          <w:lang w:val="en-US" w:eastAsia="zh-CN"/>
        </w:rPr>
        <w:t>根据《市人民政府关于印发宜昌市生态环境保护“十四五”规划的通知》（宜府发[2021]13号），本项目与宜昌市生态环境保护“十四五”规划符合性分析见下表。</w:t>
      </w:r>
    </w:p>
    <w:p>
      <w:pPr>
        <w:pStyle w:val="266"/>
        <w:spacing w:before="120" w:line="360" w:lineRule="auto"/>
        <w:rPr>
          <w:rFonts w:hint="eastAsia" w:ascii="黑体" w:hAnsi="黑体" w:cs="黑体"/>
          <w:b/>
          <w:color w:val="auto"/>
          <w:kern w:val="2"/>
          <w:sz w:val="21"/>
          <w:szCs w:val="21"/>
          <w:lang w:val="en-US" w:eastAsia="zh-CN"/>
        </w:rPr>
      </w:pPr>
      <w:r>
        <w:rPr>
          <w:rFonts w:hint="eastAsia" w:ascii="黑体" w:hAnsi="黑体" w:cs="黑体"/>
          <w:b/>
          <w:color w:val="auto"/>
          <w:kern w:val="2"/>
          <w:sz w:val="21"/>
          <w:szCs w:val="21"/>
          <w:lang w:val="en-US" w:eastAsia="zh-CN"/>
        </w:rPr>
        <w:t>表3  项目与宜昌市生态环境保护“十四五”规划符合性分析</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9"/>
        <w:gridCol w:w="4978"/>
        <w:gridCol w:w="2231"/>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op w:val="single" w:color="auto" w:sz="12"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序号</w:t>
            </w:r>
          </w:p>
        </w:tc>
        <w:tc>
          <w:tcPr>
            <w:tcW w:w="2923" w:type="pct"/>
            <w:tcBorders>
              <w:top w:val="single" w:color="auto" w:sz="12" w:space="0"/>
              <w:left w:val="single" w:color="auto" w:sz="4"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生态环境保护规划相关要求</w:t>
            </w:r>
          </w:p>
        </w:tc>
        <w:tc>
          <w:tcPr>
            <w:tcW w:w="1310" w:type="pct"/>
            <w:tcBorders>
              <w:top w:val="single" w:color="auto" w:sz="12" w:space="0"/>
              <w:left w:val="single" w:color="auto" w:sz="4"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项目情况</w:t>
            </w:r>
          </w:p>
        </w:tc>
        <w:tc>
          <w:tcPr>
            <w:tcW w:w="455" w:type="pct"/>
            <w:tcBorders>
              <w:top w:val="single" w:color="auto" w:sz="12" w:space="0"/>
              <w:left w:val="single" w:color="auto" w:sz="4" w:space="0"/>
              <w:bottom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op w:val="single" w:color="auto" w:sz="12"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p>
        </w:tc>
        <w:tc>
          <w:tcPr>
            <w:tcW w:w="2923" w:type="pct"/>
            <w:tcBorders>
              <w:top w:val="single" w:color="auto" w:sz="12" w:space="0"/>
              <w:left w:val="single" w:color="auto" w:sz="4" w:space="0"/>
              <w:bottom w:val="single" w:color="auto" w:sz="4" w:space="0"/>
              <w:right w:val="single" w:color="auto" w:sz="4" w:space="0"/>
            </w:tcBorders>
            <w:noWrap w:val="0"/>
            <w:vAlign w:val="center"/>
          </w:tcPr>
          <w:p>
            <w:pPr>
              <w:pStyle w:val="312"/>
              <w:spacing w:line="320" w:lineRule="atLeast"/>
              <w:jc w:val="both"/>
              <w:rPr>
                <w:rFonts w:hint="eastAsia" w:ascii="Times New Roman" w:hAnsi="Times New Roman" w:cs="Times New Roman"/>
                <w:b/>
                <w:bCs/>
                <w:color w:val="auto"/>
                <w:sz w:val="20"/>
                <w:lang w:val="en-US" w:eastAsia="zh-CN"/>
              </w:rPr>
            </w:pPr>
            <w:r>
              <w:rPr>
                <w:rFonts w:hint="eastAsia" w:ascii="Times New Roman" w:hAnsi="Times New Roman" w:cs="Times New Roman"/>
                <w:b/>
                <w:bCs/>
                <w:color w:val="auto"/>
                <w:sz w:val="20"/>
                <w:lang w:val="en-US" w:eastAsia="zh-CN"/>
              </w:rPr>
              <w:t>三、推进结构调整，打造“宜荆荆恩”城市群绿色发展引擎</w:t>
            </w:r>
          </w:p>
          <w:p>
            <w:pPr>
              <w:pStyle w:val="312"/>
              <w:spacing w:line="320" w:lineRule="atLeast"/>
              <w:jc w:val="both"/>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持续推进港口码头规范性岸电设施建设和船舶受电设施改造，进一步提高岸电设施建设和使用率，2025年底前，内河港口基本实现岸电全覆盖。</w:t>
            </w:r>
          </w:p>
        </w:tc>
        <w:tc>
          <w:tcPr>
            <w:tcW w:w="1310" w:type="pct"/>
            <w:tcBorders>
              <w:top w:val="single" w:color="auto" w:sz="12" w:space="0"/>
              <w:left w:val="single" w:color="auto" w:sz="4" w:space="0"/>
              <w:bottom w:val="single" w:color="auto" w:sz="4" w:space="0"/>
              <w:right w:val="single" w:color="auto" w:sz="4" w:space="0"/>
            </w:tcBorders>
            <w:noWrap w:val="0"/>
            <w:vAlign w:val="center"/>
          </w:tcPr>
          <w:p>
            <w:pPr>
              <w:pStyle w:val="312"/>
              <w:spacing w:line="320" w:lineRule="atLeast"/>
              <w:jc w:val="lef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本项目为技改散货码头，到港船舶提供岸电设施。</w:t>
            </w:r>
          </w:p>
        </w:tc>
        <w:tc>
          <w:tcPr>
            <w:tcW w:w="455" w:type="pct"/>
            <w:tcBorders>
              <w:top w:val="single" w:color="auto" w:sz="12" w:space="0"/>
              <w:left w:val="single" w:color="auto" w:sz="4" w:space="0"/>
              <w:bottom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op w:val="single" w:color="auto" w:sz="4"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w:t>
            </w:r>
          </w:p>
        </w:tc>
        <w:tc>
          <w:tcPr>
            <w:tcW w:w="2923" w:type="pct"/>
            <w:tcBorders>
              <w:top w:val="single" w:color="auto" w:sz="4" w:space="0"/>
              <w:left w:val="single" w:color="auto" w:sz="4" w:space="0"/>
              <w:bottom w:val="single" w:color="auto" w:sz="4" w:space="0"/>
              <w:right w:val="single" w:color="auto" w:sz="4" w:space="0"/>
            </w:tcBorders>
            <w:noWrap w:val="0"/>
            <w:vAlign w:val="center"/>
          </w:tcPr>
          <w:p>
            <w:pPr>
              <w:pStyle w:val="312"/>
              <w:spacing w:line="320" w:lineRule="atLeast"/>
              <w:jc w:val="both"/>
              <w:rPr>
                <w:rFonts w:hint="default" w:ascii="Times New Roman" w:hAnsi="Times New Roman" w:cs="Times New Roman"/>
                <w:b/>
                <w:bCs/>
                <w:color w:val="auto"/>
                <w:sz w:val="20"/>
                <w:lang w:val="en-US" w:eastAsia="zh-CN"/>
              </w:rPr>
            </w:pPr>
            <w:r>
              <w:rPr>
                <w:rFonts w:hint="eastAsia" w:ascii="Times New Roman" w:hAnsi="Times New Roman" w:cs="Times New Roman"/>
                <w:b/>
                <w:bCs/>
                <w:color w:val="auto"/>
                <w:sz w:val="20"/>
                <w:lang w:val="en-US" w:eastAsia="zh-CN"/>
              </w:rPr>
              <w:t>五、统筹“三水共治”，持续改善水环境质量</w:t>
            </w:r>
          </w:p>
          <w:p>
            <w:pPr>
              <w:pStyle w:val="312"/>
              <w:spacing w:line="320" w:lineRule="atLeast"/>
              <w:jc w:val="both"/>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加强船舶水污染物排放监管。开展船舶污染调查评估，推进现有不达标船舶升级改造，继续实施老旧运输船舶和单壳油船提前报废更新。推进400总吨以下小型船舶污染物采取船上储存、交岸接收的方式</w:t>
            </w:r>
            <w:r>
              <w:rPr>
                <w:rFonts w:hint="eastAsia" w:ascii="Times New Roman" w:hAnsi="Times New Roman" w:cs="Times New Roman"/>
                <w:color w:val="auto"/>
                <w:sz w:val="20"/>
                <w:lang w:val="en-US" w:eastAsia="zh-CN"/>
              </w:rPr>
              <w:t>处置</w:t>
            </w:r>
            <w:r>
              <w:rPr>
                <w:rFonts w:hint="default" w:ascii="Times New Roman" w:hAnsi="Times New Roman" w:cs="Times New Roman"/>
                <w:color w:val="auto"/>
                <w:sz w:val="20"/>
                <w:lang w:val="en-US" w:eastAsia="zh-CN"/>
              </w:rPr>
              <w:t>，统筹推进港口和船舶生活污水、含油污水、垃圾、化学品洗舱水等船舶污染物接收和处臵设施建设。持续完善船舶污染物协同治理信息系统——“净小宜”，对船舶污染物接收、交付及</w:t>
            </w:r>
            <w:r>
              <w:rPr>
                <w:rFonts w:hint="eastAsia" w:ascii="Times New Roman" w:hAnsi="Times New Roman" w:cs="Times New Roman"/>
                <w:color w:val="auto"/>
                <w:sz w:val="20"/>
                <w:lang w:val="en-US" w:eastAsia="zh-CN"/>
              </w:rPr>
              <w:t>处置</w:t>
            </w:r>
            <w:r>
              <w:rPr>
                <w:rFonts w:hint="default" w:ascii="Times New Roman" w:hAnsi="Times New Roman" w:cs="Times New Roman"/>
                <w:color w:val="auto"/>
                <w:sz w:val="20"/>
                <w:lang w:val="en-US" w:eastAsia="zh-CN"/>
              </w:rPr>
              <w:t>进行全过程联动监管。强化长江流域水上危险化学品运输环境风险防范，严厉打击非法水上运输化学品及非法排放油污水、化学品洗舱水等行为</w:t>
            </w:r>
            <w:r>
              <w:rPr>
                <w:rFonts w:hint="eastAsia" w:ascii="Times New Roman" w:hAnsi="Times New Roman" w:cs="Times New Roman"/>
                <w:color w:val="auto"/>
                <w:sz w:val="20"/>
                <w:lang w:val="en-US" w:eastAsia="zh-CN"/>
              </w:rPr>
              <w:t>。</w:t>
            </w:r>
          </w:p>
        </w:tc>
        <w:tc>
          <w:tcPr>
            <w:tcW w:w="1310" w:type="pct"/>
            <w:tcBorders>
              <w:top w:val="single" w:color="auto" w:sz="4" w:space="0"/>
              <w:left w:val="single" w:color="auto" w:sz="4" w:space="0"/>
              <w:bottom w:val="single" w:color="auto" w:sz="4" w:space="0"/>
              <w:right w:val="single" w:color="auto" w:sz="4" w:space="0"/>
            </w:tcBorders>
            <w:noWrap w:val="0"/>
            <w:vAlign w:val="center"/>
          </w:tcPr>
          <w:p>
            <w:pPr>
              <w:pStyle w:val="312"/>
              <w:spacing w:line="320" w:lineRule="atLeast"/>
              <w:jc w:val="lef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本项目不接收到港船舶废水。</w:t>
            </w:r>
          </w:p>
        </w:tc>
        <w:tc>
          <w:tcPr>
            <w:tcW w:w="455" w:type="pct"/>
            <w:tcBorders>
              <w:top w:val="single" w:color="auto" w:sz="4" w:space="0"/>
              <w:left w:val="single" w:color="auto" w:sz="4" w:space="0"/>
              <w:bottom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op w:val="single" w:color="auto" w:sz="4" w:space="0"/>
              <w:bottom w:val="single" w:color="auto" w:sz="4"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w:t>
            </w:r>
          </w:p>
        </w:tc>
        <w:tc>
          <w:tcPr>
            <w:tcW w:w="2923" w:type="pct"/>
            <w:tcBorders>
              <w:top w:val="single" w:color="auto" w:sz="4" w:space="0"/>
              <w:left w:val="single" w:color="auto" w:sz="4" w:space="0"/>
              <w:bottom w:val="single" w:color="auto" w:sz="4" w:space="0"/>
              <w:right w:val="single" w:color="auto" w:sz="4" w:space="0"/>
            </w:tcBorders>
            <w:noWrap w:val="0"/>
            <w:vAlign w:val="center"/>
          </w:tcPr>
          <w:p>
            <w:pPr>
              <w:pStyle w:val="312"/>
              <w:spacing w:line="320" w:lineRule="atLeast"/>
              <w:jc w:val="both"/>
              <w:rPr>
                <w:rFonts w:hint="default" w:ascii="Times New Roman" w:hAnsi="Times New Roman" w:cs="Times New Roman"/>
                <w:b/>
                <w:bCs/>
                <w:color w:val="auto"/>
                <w:sz w:val="20"/>
                <w:lang w:val="en-US" w:eastAsia="zh-CN"/>
              </w:rPr>
            </w:pPr>
            <w:r>
              <w:rPr>
                <w:rFonts w:hint="eastAsia" w:ascii="Times New Roman" w:hAnsi="Times New Roman" w:cs="Times New Roman"/>
                <w:b/>
                <w:bCs/>
                <w:color w:val="auto"/>
                <w:sz w:val="20"/>
                <w:lang w:val="en-US" w:eastAsia="zh-CN"/>
              </w:rPr>
              <w:t>六、积极推进协同控制，改善大气环境质量</w:t>
            </w:r>
          </w:p>
          <w:p>
            <w:pPr>
              <w:pStyle w:val="312"/>
              <w:spacing w:line="320" w:lineRule="atLeast"/>
              <w:jc w:val="both"/>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r>
              <w:rPr>
                <w:rFonts w:hint="default" w:ascii="Times New Roman" w:hAnsi="Times New Roman" w:cs="Times New Roman"/>
                <w:color w:val="auto"/>
                <w:sz w:val="20"/>
                <w:lang w:val="en-US" w:eastAsia="zh-CN"/>
              </w:rPr>
              <w:t>强化船舶大气污染防治，深入推进宜昌市港口船舶绿色排放试验区建设，严格执行船舶大气污染物排放控制区排放要求，健全长江流域宜昌段岸电系统，提高岸电使用率，减少待闸船舶大气污染排放。支持应用LNG动力船舶，推动船舶发动机升级和尾气处理装臵改造，加大上船燃油检测力度。强化清洁油品供应保障，强化销售、储存和使用环节监管，持续实施加油站、储油库、油罐车、原油成品油码头油气回收治理，稳妥推进车用乙醇汽油使用</w:t>
            </w:r>
            <w:r>
              <w:rPr>
                <w:rFonts w:hint="eastAsia" w:ascii="Times New Roman" w:hAnsi="Times New Roman" w:cs="Times New Roman"/>
                <w:color w:val="auto"/>
                <w:sz w:val="20"/>
                <w:lang w:val="en-US" w:eastAsia="zh-CN"/>
              </w:rPr>
              <w:t>。</w:t>
            </w:r>
          </w:p>
          <w:p>
            <w:pPr>
              <w:pStyle w:val="312"/>
              <w:spacing w:line="320" w:lineRule="atLeast"/>
              <w:jc w:val="both"/>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加强大气面源污染治理。加强施工扬尘控制和监管，扎实推进施工扬尘防治综合管控提升行动，深入贯彻实施《宜昌市扬尘污染防治条例》。不断提升环卫作业标准，加大对城市空气质量影响较大的国道省道及城市周边道路、城市支路、背街里巷等机械化清扫力度。以城区、城乡结合部为重点，推进各类煤堆、灰堆、料堆、渣土堆、裸地扬尘控制。强化港口作业扬尘监管，开展干散货码头扬尘专项治理，鼓励有条件的码头堆场实施全封闭改造。强化港口作业扬尘监管，开展干散货码头扬尘专项治理，鼓励有条件的码头堆场实施全封闭改造。</w:t>
            </w:r>
          </w:p>
        </w:tc>
        <w:tc>
          <w:tcPr>
            <w:tcW w:w="1310" w:type="pct"/>
            <w:tcBorders>
              <w:top w:val="single" w:color="auto" w:sz="4" w:space="0"/>
              <w:left w:val="single" w:color="auto" w:sz="4" w:space="0"/>
              <w:bottom w:val="single" w:color="auto" w:sz="4" w:space="0"/>
              <w:right w:val="single" w:color="auto" w:sz="4" w:space="0"/>
            </w:tcBorders>
            <w:noWrap w:val="0"/>
            <w:vAlign w:val="center"/>
          </w:tcPr>
          <w:p>
            <w:pPr>
              <w:pStyle w:val="312"/>
              <w:spacing w:line="320" w:lineRule="atLeast"/>
              <w:jc w:val="both"/>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（1）本项目为技改散货码头，到港船舶提供岸电设施。</w:t>
            </w:r>
          </w:p>
          <w:p>
            <w:pPr>
              <w:pStyle w:val="312"/>
              <w:spacing w:line="320" w:lineRule="atLeast"/>
              <w:jc w:val="both"/>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（2）本项目装卸及转运过程产生的粉尘经脉冲布袋除尘器收集处理后，排放浓度可满足《大气污染物综合排放标准》（GB16297-1996）中无组织排放限值，输送皮带机廊道实行全封闭。</w:t>
            </w:r>
          </w:p>
        </w:tc>
        <w:tc>
          <w:tcPr>
            <w:tcW w:w="455" w:type="pct"/>
            <w:tcBorders>
              <w:top w:val="single" w:color="auto" w:sz="4" w:space="0"/>
              <w:left w:val="single" w:color="auto" w:sz="4" w:space="0"/>
              <w:bottom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op w:val="single" w:color="auto" w:sz="4" w:space="0"/>
              <w:bottom w:val="single" w:color="auto" w:sz="12" w:space="0"/>
              <w:right w:val="single" w:color="auto" w:sz="4"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w:t>
            </w:r>
          </w:p>
        </w:tc>
        <w:tc>
          <w:tcPr>
            <w:tcW w:w="2923" w:type="pct"/>
            <w:tcBorders>
              <w:top w:val="single" w:color="auto" w:sz="4" w:space="0"/>
              <w:left w:val="single" w:color="auto" w:sz="4" w:space="0"/>
              <w:bottom w:val="single" w:color="auto" w:sz="12" w:space="0"/>
              <w:right w:val="single" w:color="auto" w:sz="4" w:space="0"/>
            </w:tcBorders>
            <w:noWrap w:val="0"/>
            <w:vAlign w:val="center"/>
          </w:tcPr>
          <w:p>
            <w:pPr>
              <w:pStyle w:val="312"/>
              <w:spacing w:line="320" w:lineRule="atLeast"/>
              <w:jc w:val="both"/>
              <w:rPr>
                <w:rFonts w:hint="default" w:ascii="Times New Roman" w:hAnsi="Times New Roman" w:cs="Times New Roman"/>
                <w:b/>
                <w:bCs/>
                <w:color w:val="auto"/>
                <w:sz w:val="20"/>
                <w:lang w:val="en-US" w:eastAsia="zh-CN"/>
              </w:rPr>
            </w:pPr>
            <w:r>
              <w:rPr>
                <w:rFonts w:hint="eastAsia" w:ascii="Times New Roman" w:hAnsi="Times New Roman" w:cs="Times New Roman"/>
                <w:b/>
                <w:bCs/>
                <w:color w:val="auto"/>
                <w:sz w:val="20"/>
                <w:lang w:val="en-US" w:eastAsia="zh-CN"/>
              </w:rPr>
              <w:t>八、完善风险防范体系，牢守生态环境安全底线</w:t>
            </w:r>
          </w:p>
          <w:p>
            <w:pPr>
              <w:pStyle w:val="312"/>
              <w:spacing w:line="320" w:lineRule="atLeast"/>
              <w:jc w:val="both"/>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r>
              <w:rPr>
                <w:rFonts w:hint="default" w:ascii="Times New Roman" w:hAnsi="Times New Roman" w:cs="Times New Roman"/>
                <w:color w:val="auto"/>
                <w:sz w:val="20"/>
                <w:lang w:val="en-US" w:eastAsia="zh-CN"/>
              </w:rPr>
              <w:t>加强危险废物规范化管理。全面开展废弃危险化学品等危险废物排查。落实国家和省危险废物鉴别单位管理办法，健全危险废物分级分类和鉴别技术体系。结合第二次全国污染源普查、环境统计工作分别健全危险废物产生单位清单和拥有危险废物自行利用处臵设施的单位清单，并结合危险废物经营单位清单，建立危险废物重点监管单位清单。将所有清单纳入全国固体废物管理信息系统统一管理。建立部门联动、区域协作、重大案件会商督办制度，形成覆盖危险废物产生、收集、贮存、转移、运输、利用、处臵等全过程监管体系，加大对隐瞒、偷放偷排或违规</w:t>
            </w:r>
            <w:r>
              <w:rPr>
                <w:rFonts w:hint="eastAsia" w:ascii="Times New Roman" w:hAnsi="Times New Roman" w:cs="Times New Roman"/>
                <w:color w:val="auto"/>
                <w:sz w:val="20"/>
                <w:lang w:val="en-US" w:eastAsia="zh-CN"/>
              </w:rPr>
              <w:t>处置</w:t>
            </w:r>
            <w:r>
              <w:rPr>
                <w:rFonts w:hint="default" w:ascii="Times New Roman" w:hAnsi="Times New Roman" w:cs="Times New Roman"/>
                <w:color w:val="auto"/>
                <w:sz w:val="20"/>
                <w:lang w:val="en-US" w:eastAsia="zh-CN"/>
              </w:rPr>
              <w:t>危险废物违法犯罪行为的打击力度。</w:t>
            </w:r>
          </w:p>
          <w:p>
            <w:pPr>
              <w:pStyle w:val="312"/>
              <w:spacing w:line="320" w:lineRule="atLeast"/>
              <w:jc w:val="both"/>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w:t>
            </w:r>
            <w:r>
              <w:rPr>
                <w:rFonts w:hint="default" w:ascii="Times New Roman" w:hAnsi="Times New Roman" w:cs="Times New Roman"/>
                <w:color w:val="auto"/>
                <w:sz w:val="20"/>
                <w:lang w:val="en-US" w:eastAsia="zh-CN"/>
              </w:rPr>
              <w:t>严格化学品风险管控。强化水上危化品运输安全环保监管和船舶溢油风险防范。健全完善环境应急预案管理体系，督促企业开展环境风险评估、应急资源调查、应急预案编制、评审备案工作，提升涉化学品企事业单位环境风险防范能力。组织开展涉化学品突发环境事件培训和演练。</w:t>
            </w:r>
          </w:p>
        </w:tc>
        <w:tc>
          <w:tcPr>
            <w:tcW w:w="1310" w:type="pct"/>
            <w:tcBorders>
              <w:top w:val="single" w:color="auto" w:sz="4" w:space="0"/>
              <w:left w:val="single" w:color="auto" w:sz="4" w:space="0"/>
              <w:bottom w:val="single" w:color="auto" w:sz="12" w:space="0"/>
              <w:right w:val="single" w:color="auto" w:sz="4" w:space="0"/>
            </w:tcBorders>
            <w:noWrap w:val="0"/>
            <w:vAlign w:val="center"/>
          </w:tcPr>
          <w:p>
            <w:pPr>
              <w:pStyle w:val="312"/>
              <w:spacing w:line="320" w:lineRule="atLeast"/>
              <w:jc w:val="both"/>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（1）本项目产生的危险废物暂存于趸船上设置的危废暂存间，定期交由资质单位处理处置，危险废物收集、贮存、转运、转移、处置等环节均按照相关要求执行。</w:t>
            </w:r>
          </w:p>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本项目货种为机制砂散货，不属于剧毒化学品和国家规定禁止通过内河运输的其他危险化学品。企业应制定风险事故应急预案并配备相应溢油事故应急物资及设施，本项目完成后在投入运营前，企业应编制事故应急预案，并设置溢油事故风险应急物资及设施，组织开展涉化学品突发环境事件培训和演练。</w:t>
            </w:r>
          </w:p>
        </w:tc>
        <w:tc>
          <w:tcPr>
            <w:tcW w:w="455" w:type="pct"/>
            <w:tcBorders>
              <w:top w:val="single" w:color="auto" w:sz="4" w:space="0"/>
              <w:left w:val="single" w:color="auto" w:sz="4" w:space="0"/>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w:t>
            </w:r>
          </w:p>
        </w:tc>
      </w:tr>
    </w:tbl>
    <w:p>
      <w:pPr>
        <w:widowControl w:val="0"/>
        <w:spacing w:line="360" w:lineRule="auto"/>
        <w:ind w:firstLine="480" w:firstLineChars="200"/>
        <w:rPr>
          <w:rFonts w:hint="eastAsia" w:eastAsia="仿宋_GB2312"/>
          <w:color w:val="auto"/>
          <w:kern w:val="0"/>
          <w:sz w:val="24"/>
          <w:szCs w:val="24"/>
          <w:lang w:val="en-US" w:eastAsia="zh-CN"/>
        </w:rPr>
      </w:pPr>
      <w:r>
        <w:rPr>
          <w:rFonts w:hint="eastAsia" w:eastAsia="仿宋_GB2312"/>
          <w:color w:val="auto"/>
          <w:kern w:val="0"/>
          <w:sz w:val="24"/>
          <w:szCs w:val="24"/>
          <w:lang w:val="en-US" w:eastAsia="zh-CN"/>
        </w:rPr>
        <w:t>综上所述，项目与宜昌市生态环境保护“十四五”规划相符。</w:t>
      </w:r>
    </w:p>
    <w:p>
      <w:pPr>
        <w:widowControl w:val="0"/>
        <w:spacing w:line="360" w:lineRule="auto"/>
        <w:ind w:firstLine="480" w:firstLineChars="200"/>
        <w:jc w:val="both"/>
        <w:rPr>
          <w:rFonts w:hint="default"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（9）</w:t>
      </w:r>
      <w:r>
        <w:rPr>
          <w:rFonts w:hint="default" w:eastAsia="黑体" w:cs="Times New Roman"/>
          <w:b w:val="0"/>
          <w:bCs w:val="0"/>
          <w:color w:val="auto"/>
          <w:kern w:val="0"/>
          <w:sz w:val="24"/>
          <w:szCs w:val="24"/>
          <w:lang w:val="en-US" w:eastAsia="zh-CN"/>
        </w:rPr>
        <w:t>与</w:t>
      </w:r>
      <w:r>
        <w:rPr>
          <w:rFonts w:hint="eastAsia" w:eastAsia="黑体" w:cs="Times New Roman"/>
          <w:b w:val="0"/>
          <w:bCs w:val="0"/>
          <w:color w:val="auto"/>
          <w:kern w:val="0"/>
          <w:sz w:val="24"/>
          <w:szCs w:val="24"/>
          <w:lang w:val="en-US" w:eastAsia="zh-CN"/>
        </w:rPr>
        <w:t>《港口建设项目环境影响评价文件审批原则》</w:t>
      </w:r>
      <w:r>
        <w:rPr>
          <w:rFonts w:hint="default" w:eastAsia="黑体" w:cs="Times New Roman"/>
          <w:b w:val="0"/>
          <w:bCs w:val="0"/>
          <w:color w:val="auto"/>
          <w:kern w:val="0"/>
          <w:sz w:val="24"/>
          <w:szCs w:val="24"/>
          <w:lang w:val="en-US" w:eastAsia="zh-CN"/>
        </w:rPr>
        <w:t>的相符性分析</w:t>
      </w:r>
    </w:p>
    <w:p>
      <w:pPr>
        <w:widowControl w:val="0"/>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本项目与《港口建设项目环境影响评价文件审批原则》的相符性分析具体见下表，从表可看出，项目建设符合《港口建设项目环境影响评价文件审批原则》的相关要求。</w:t>
      </w:r>
    </w:p>
    <w:p>
      <w:pPr>
        <w:widowControl w:val="0"/>
        <w:spacing w:line="360" w:lineRule="auto"/>
        <w:jc w:val="center"/>
        <w:rPr>
          <w:rFonts w:hint="eastAsia" w:ascii="Times New Roman" w:hAnsi="Times New Roman" w:eastAsia="黑体" w:cs="Times New Roman"/>
          <w:b/>
          <w:bCs/>
          <w:color w:val="auto"/>
          <w:lang w:val="zh-CN"/>
        </w:rPr>
      </w:pPr>
      <w:r>
        <w:rPr>
          <w:rFonts w:hint="eastAsia" w:ascii="Times New Roman" w:hAnsi="Times New Roman" w:eastAsia="黑体" w:cs="Times New Roman"/>
          <w:b/>
          <w:bCs/>
          <w:color w:val="auto"/>
          <w:lang w:val="zh-CN"/>
        </w:rPr>
        <w:t>表</w:t>
      </w:r>
      <w:r>
        <w:rPr>
          <w:rFonts w:hint="eastAsia" w:eastAsia="黑体" w:cs="Times New Roman"/>
          <w:b/>
          <w:bCs/>
          <w:color w:val="auto"/>
          <w:lang w:val="en-US" w:eastAsia="zh-CN"/>
        </w:rPr>
        <w:t>4</w:t>
      </w:r>
      <w:r>
        <w:rPr>
          <w:rFonts w:hint="eastAsia" w:ascii="Times New Roman" w:hAnsi="Times New Roman" w:eastAsia="黑体" w:cs="Times New Roman"/>
          <w:b/>
          <w:bCs/>
          <w:color w:val="auto"/>
          <w:lang w:val="en-US" w:eastAsia="zh-CN"/>
        </w:rPr>
        <w:t xml:space="preserve">  与《港口建设项目环境影响评价文件审批原则》的相符</w:t>
      </w:r>
      <w:r>
        <w:rPr>
          <w:rFonts w:hint="eastAsia" w:ascii="Times New Roman" w:hAnsi="Times New Roman" w:eastAsia="黑体" w:cs="Times New Roman"/>
          <w:b/>
          <w:bCs/>
          <w:color w:val="auto"/>
          <w:lang w:val="zh-CN"/>
        </w:rPr>
        <w:t>性分析</w:t>
      </w:r>
    </w:p>
    <w:tbl>
      <w:tblPr>
        <w:tblStyle w:val="92"/>
        <w:tblW w:w="5139" w:type="pct"/>
        <w:tblInd w:w="-12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03"/>
        <w:gridCol w:w="4101"/>
        <w:gridCol w:w="38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bottom w:val="single" w:color="auto" w:sz="12" w:space="0"/>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序号</w:t>
            </w:r>
          </w:p>
        </w:tc>
        <w:tc>
          <w:tcPr>
            <w:tcW w:w="2403" w:type="pct"/>
            <w:tcBorders>
              <w:bottom w:val="single" w:color="auto" w:sz="12" w:space="0"/>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审批原则</w:t>
            </w:r>
          </w:p>
        </w:tc>
        <w:tc>
          <w:tcPr>
            <w:tcW w:w="2242" w:type="pct"/>
            <w:tcBorders>
              <w:bottom w:val="single" w:color="auto" w:sz="12" w:space="0"/>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相符情况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op w:val="single" w:color="auto" w:sz="12" w:space="0"/>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p>
        </w:tc>
        <w:tc>
          <w:tcPr>
            <w:tcW w:w="2403" w:type="pct"/>
            <w:tcBorders>
              <w:top w:val="single" w:color="auto" w:sz="12" w:space="0"/>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项目符合环境保护相关法律法规和政策要求，与主体功</w:t>
            </w:r>
            <w:r>
              <w:rPr>
                <w:rFonts w:hint="eastAsia" w:ascii="Times New Roman" w:hAnsi="Times New Roman" w:cs="Times New Roman"/>
                <w:color w:val="auto"/>
                <w:sz w:val="20"/>
                <w:lang w:val="en-US" w:eastAsia="zh-CN"/>
              </w:rPr>
              <w:t>能区规划、近岸海域环境功能区划、水环境功能区划、生态功能区划、海洋功能区划、生态环境保护规划、港口总体规划、流域规划等相协调，满足相关规划环评要求。</w:t>
            </w:r>
          </w:p>
        </w:tc>
        <w:tc>
          <w:tcPr>
            <w:tcW w:w="2242" w:type="pct"/>
            <w:tcBorders>
              <w:top w:val="single" w:color="auto" w:sz="12" w:space="0"/>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项目符合</w:t>
            </w:r>
            <w:r>
              <w:rPr>
                <w:rFonts w:hint="default" w:ascii="Times New Roman" w:hAnsi="Times New Roman" w:cs="Times New Roman"/>
                <w:color w:val="auto"/>
                <w:sz w:val="20"/>
                <w:lang w:val="en-US" w:eastAsia="zh-CN"/>
              </w:rPr>
              <w:t>环境保护相关法律法规和政策要求，与</w:t>
            </w:r>
            <w:r>
              <w:rPr>
                <w:rFonts w:hint="eastAsia" w:ascii="Times New Roman" w:hAnsi="Times New Roman" w:cs="Times New Roman"/>
                <w:color w:val="auto"/>
                <w:sz w:val="20"/>
                <w:lang w:val="en-US" w:eastAsia="zh-CN"/>
              </w:rPr>
              <w:t>各级规划或环境功能区划相符，与宜昌港总体规划相协调，满足规划环评的要求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项目选址、施工布置不占用自然保护区、风景名胜区、</w:t>
            </w:r>
            <w:r>
              <w:rPr>
                <w:rFonts w:hint="eastAsia" w:ascii="Times New Roman" w:hAnsi="Times New Roman" w:cs="Times New Roman"/>
                <w:color w:val="auto"/>
                <w:sz w:val="20"/>
                <w:lang w:val="en-US" w:eastAsia="zh-CN"/>
              </w:rPr>
              <w:t>世界文化和自然遗产地、饮用水水源保护区以及其他生态保护红线等环境敏感区中法律法规禁止占用的区域。通过优化项目主要污染源和风险源的平面布置，与居民集中区等环境敏感区的距离科学合理。</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项目选址及施工布置</w:t>
            </w:r>
            <w:r>
              <w:rPr>
                <w:rFonts w:hint="default" w:ascii="Times New Roman" w:hAnsi="Times New Roman" w:cs="Times New Roman"/>
                <w:color w:val="auto"/>
                <w:sz w:val="20"/>
                <w:lang w:val="en-US" w:eastAsia="zh-CN"/>
              </w:rPr>
              <w:t>不占用自然保护区、风景名胜区、</w:t>
            </w:r>
            <w:r>
              <w:rPr>
                <w:rFonts w:hint="eastAsia" w:ascii="Times New Roman" w:hAnsi="Times New Roman" w:cs="Times New Roman"/>
                <w:color w:val="auto"/>
                <w:sz w:val="20"/>
                <w:lang w:val="en-US" w:eastAsia="zh-CN"/>
              </w:rPr>
              <w:t>世界文化和自然遗产地、饮用水水源保护区以及其他生态保护红线等环境敏感区中法律法规禁止占用的区域。项目与周边居民集中居住区相距较远，布局科学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项目对鱼类等水生生物的洄游通道及“</w:t>
            </w:r>
            <w:r>
              <w:rPr>
                <w:rFonts w:hint="eastAsia" w:ascii="Times New Roman" w:hAnsi="Times New Roman" w:cs="Times New Roman"/>
                <w:color w:val="auto"/>
                <w:sz w:val="20"/>
                <w:lang w:val="en-US" w:eastAsia="zh-CN"/>
              </w:rPr>
              <w:t>三场</w:t>
            </w:r>
            <w:r>
              <w:rPr>
                <w:rFonts w:hint="default" w:ascii="Times New Roman" w:hAnsi="Times New Roman" w:cs="Times New Roman"/>
                <w:color w:val="auto"/>
                <w:sz w:val="20"/>
                <w:lang w:val="en-US" w:eastAsia="zh-CN"/>
              </w:rPr>
              <w:t>”</w:t>
            </w:r>
            <w:r>
              <w:rPr>
                <w:rFonts w:hint="eastAsia" w:ascii="Times New Roman" w:hAnsi="Times New Roman" w:cs="Times New Roman"/>
                <w:color w:val="auto"/>
                <w:sz w:val="20"/>
                <w:lang w:val="en-US" w:eastAsia="zh-CN"/>
              </w:rPr>
              <w:t>等重要生境、物种多样性及资源量产生不利影响的，提出了工程设计和施工方案优化、施工噪声及振动控制、施工期监控驱赶救助、迁地保护、增殖放流、人工鱼礁及其他生态修复措施。对湿地生态系统结构和功能、河湖生态缓冲带造成不利影响的，提出了优化工程设计、生态修复等措施。对陆域生态造成不利影响的，提出了避让环境敏感</w:t>
            </w:r>
            <w:r>
              <w:rPr>
                <w:rFonts w:hint="default" w:ascii="Times New Roman" w:hAnsi="Times New Roman" w:cs="Times New Roman"/>
                <w:color w:val="auto"/>
                <w:sz w:val="20"/>
                <w:lang w:val="en-US" w:eastAsia="zh-CN"/>
              </w:rPr>
              <w:t>区、生态修复等对策。</w:t>
            </w:r>
          </w:p>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在采取上述措施后，对水生生物的不利影响能够得到缓解和控制，不会造成原有珍稀濒危保护或重要经济水生生物在相关河段、湖泊或海域消失，不会对区域生态系统造成重大不利影响。</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长江为中华鲟、江豚等的洄游通道，项目所在江段开发利用程度高，项目建设及运营对鱼类等</w:t>
            </w:r>
            <w:r>
              <w:rPr>
                <w:rFonts w:hint="default" w:ascii="Times New Roman" w:hAnsi="Times New Roman" w:cs="Times New Roman"/>
                <w:color w:val="auto"/>
                <w:sz w:val="20"/>
                <w:lang w:val="en-US" w:eastAsia="zh-CN"/>
              </w:rPr>
              <w:t>水生生物的</w:t>
            </w:r>
            <w:r>
              <w:rPr>
                <w:rFonts w:hint="eastAsia" w:ascii="Times New Roman" w:hAnsi="Times New Roman" w:cs="Times New Roman"/>
                <w:color w:val="auto"/>
                <w:sz w:val="20"/>
                <w:lang w:val="en-US" w:eastAsia="zh-CN"/>
              </w:rPr>
              <w:t>生境影响不明显。项目采用浮码头结构型式，对所在江滩湿地影响较小。总体项目施工不会对长江水生生物</w:t>
            </w:r>
            <w:r>
              <w:rPr>
                <w:rFonts w:hint="eastAsia" w:cs="Times New Roman"/>
                <w:color w:val="auto"/>
                <w:sz w:val="20"/>
                <w:lang w:val="en-US" w:eastAsia="zh-CN"/>
              </w:rPr>
              <w:t>及水生生境</w:t>
            </w:r>
            <w:r>
              <w:rPr>
                <w:rFonts w:hint="eastAsia" w:ascii="Times New Roman" w:hAnsi="Times New Roman" w:cs="Times New Roman"/>
                <w:color w:val="auto"/>
                <w:sz w:val="20"/>
                <w:lang w:val="en-US" w:eastAsia="zh-CN"/>
              </w:rPr>
              <w:t>造成重大不利影响</w:t>
            </w:r>
            <w:r>
              <w:rPr>
                <w:rFonts w:hint="eastAsia" w:cs="Times New Roman"/>
                <w:color w:val="auto"/>
                <w:sz w:val="20"/>
                <w:lang w:val="en-US" w:eastAsia="zh-CN"/>
              </w:rPr>
              <w:t>；港区内容转运楼施工完毕后对周边进行绿化，不会对陆生生态系统造成重大不利影响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项目布置及水工构筑物改变水文情势，造成水体交换、</w:t>
            </w:r>
            <w:r>
              <w:rPr>
                <w:rFonts w:hint="eastAsia" w:ascii="Times New Roman" w:hAnsi="Times New Roman" w:cs="Times New Roman"/>
                <w:color w:val="auto"/>
                <w:sz w:val="20"/>
                <w:lang w:val="en-US" w:eastAsia="zh-CN"/>
              </w:rPr>
              <w:t>水污染物扩散能力降低且影响水质的，提出了工程优化调整措施。针对冲洗污水、初期雨污水、含尘废水、含油污水、洗箱（罐）废水、生活污水等，提出了收集、处置措施。</w:t>
            </w:r>
          </w:p>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在采取上述措施后，废（污）水能够得到妥善处置，排放、回用或综合利用均符合相关标准，排污口设置符合相关要求。</w:t>
            </w:r>
          </w:p>
        </w:tc>
        <w:tc>
          <w:tcPr>
            <w:tcW w:w="2242" w:type="pct"/>
            <w:tcBorders>
              <w:tl2br w:val="nil"/>
              <w:tr2bl w:val="nil"/>
            </w:tcBorders>
            <w:noWrap w:val="0"/>
            <w:vAlign w:val="center"/>
          </w:tcPr>
          <w:p>
            <w:pPr>
              <w:widowControl w:val="0"/>
              <w:spacing w:line="280" w:lineRule="exact"/>
              <w:contextualSpacing/>
              <w:jc w:val="center"/>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本项目项目布局及</w:t>
            </w:r>
            <w:r>
              <w:rPr>
                <w:rFonts w:hint="default" w:ascii="Times New Roman" w:hAnsi="Times New Roman" w:cs="Times New Roman"/>
                <w:color w:val="auto"/>
                <w:sz w:val="20"/>
                <w:lang w:val="en-US" w:eastAsia="zh-CN"/>
              </w:rPr>
              <w:t>水工构筑物</w:t>
            </w:r>
            <w:r>
              <w:rPr>
                <w:rFonts w:hint="eastAsia" w:ascii="Times New Roman" w:hAnsi="Times New Roman" w:cs="Times New Roman"/>
                <w:color w:val="auto"/>
                <w:sz w:val="20"/>
                <w:lang w:val="en-US" w:eastAsia="zh-CN"/>
              </w:rPr>
              <w:t>对水文情势影响较小。</w:t>
            </w:r>
          </w:p>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eastAsia="宋体" w:cs="Times New Roman"/>
                <w:color w:val="auto"/>
                <w:sz w:val="20"/>
                <w:lang w:val="en-US" w:eastAsia="zh-CN"/>
              </w:rPr>
              <w:t>码头人员生活污水进入各自趸船下方生活污水储存柜储存，委托海事部门认定的船舶污染物接收船定期统一处理；码头面冲洗废水和初期雨水经趸船收集坎收集后</w:t>
            </w:r>
            <w:r>
              <w:rPr>
                <w:rFonts w:hint="eastAsia" w:cs="Times New Roman"/>
                <w:color w:val="auto"/>
                <w:sz w:val="20"/>
                <w:lang w:val="en-US" w:eastAsia="zh-CN"/>
              </w:rPr>
              <w:t>进入</w:t>
            </w:r>
            <w:r>
              <w:rPr>
                <w:rFonts w:hint="eastAsia" w:ascii="Times New Roman" w:hAnsi="Times New Roman" w:eastAsia="宋体" w:cs="Times New Roman"/>
                <w:color w:val="auto"/>
                <w:sz w:val="20"/>
                <w:lang w:val="en-US" w:eastAsia="zh-CN"/>
              </w:rPr>
              <w:t>各自趸船下方初期雨水收集柜储存，委托海事部门认定的船舶污染物接收船定期统一处理，对水环境影响较小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cs="Times New Roman"/>
                <w:color w:val="auto"/>
                <w:sz w:val="20"/>
                <w:lang w:val="en-US" w:eastAsia="zh-CN"/>
              </w:rPr>
              <w:t>5</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对声环境敏感目标产生不利影响的，提出了优化平面布置、选用低噪声设备、隔声减振等措施。按照国家相关规定，提出了一般固体废物、危险废物的收集、贮存、运输及处置要求。在采取上述措施后，噪声排放、固体废物处置等符合相关标准，不会对周边居民集中区等环境敏感目标造成重大不利影响。</w:t>
            </w:r>
          </w:p>
        </w:tc>
        <w:tc>
          <w:tcPr>
            <w:tcW w:w="2242" w:type="pct"/>
            <w:tcBorders>
              <w:tl2br w:val="nil"/>
              <w:tr2bl w:val="nil"/>
            </w:tcBorders>
            <w:noWrap w:val="0"/>
            <w:vAlign w:val="center"/>
          </w:tcPr>
          <w:p>
            <w:pPr>
              <w:widowControl w:val="0"/>
              <w:spacing w:line="280" w:lineRule="exact"/>
              <w:contextualSpacing/>
              <w:jc w:val="center"/>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本项目通过优化平面布置、选用低噪声设备、隔声减振等措施减少对周边环境敏感目标的影响。产生的固体废物按照国家相关规定，合理收集、贮存、处理，不会对周边环境产生重大不利影响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cs="Times New Roman"/>
                <w:color w:val="auto"/>
                <w:sz w:val="20"/>
                <w:lang w:val="en-US" w:eastAsia="zh-CN"/>
              </w:rPr>
              <w:t>6</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根据相关规划和政策要求，提出了船舶污水、船舶垃</w:t>
            </w:r>
            <w:r>
              <w:rPr>
                <w:rFonts w:hint="eastAsia" w:ascii="Times New Roman" w:hAnsi="Times New Roman" w:cs="Times New Roman"/>
                <w:color w:val="auto"/>
                <w:sz w:val="20"/>
                <w:lang w:val="en-US" w:eastAsia="zh-CN"/>
              </w:rPr>
              <w:t>圾、船舶压载水及沉积物等接收处置措施。</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w:t>
            </w:r>
            <w:r>
              <w:rPr>
                <w:rFonts w:hint="eastAsia" w:cs="Times New Roman"/>
                <w:color w:val="auto"/>
                <w:sz w:val="20"/>
                <w:lang w:val="en-US" w:eastAsia="zh-CN"/>
              </w:rPr>
              <w:t>到港</w:t>
            </w:r>
            <w:r>
              <w:rPr>
                <w:rFonts w:hint="eastAsia" w:ascii="Times New Roman" w:hAnsi="Times New Roman" w:cs="Times New Roman"/>
                <w:color w:val="auto"/>
                <w:sz w:val="20"/>
                <w:lang w:val="en-US" w:eastAsia="zh-CN"/>
              </w:rPr>
              <w:t>船舶携带的</w:t>
            </w:r>
            <w:r>
              <w:rPr>
                <w:rFonts w:hint="default" w:ascii="Times New Roman" w:hAnsi="Times New Roman" w:cs="Times New Roman"/>
                <w:color w:val="auto"/>
                <w:sz w:val="20"/>
                <w:lang w:val="en-US" w:eastAsia="zh-CN"/>
              </w:rPr>
              <w:t>船舶污水</w:t>
            </w:r>
            <w:r>
              <w:rPr>
                <w:rFonts w:hint="eastAsia" w:ascii="Times New Roman" w:hAnsi="Times New Roman" w:cs="Times New Roman"/>
                <w:color w:val="auto"/>
                <w:sz w:val="20"/>
                <w:lang w:val="en-US" w:eastAsia="zh-CN"/>
              </w:rPr>
              <w:t>及船舶垃圾</w:t>
            </w:r>
            <w:r>
              <w:rPr>
                <w:rFonts w:hint="eastAsia" w:cs="Times New Roman"/>
                <w:color w:val="auto"/>
                <w:sz w:val="20"/>
                <w:lang w:val="en-US" w:eastAsia="zh-CN"/>
              </w:rPr>
              <w:t>直接</w:t>
            </w:r>
            <w:r>
              <w:rPr>
                <w:rFonts w:hint="eastAsia" w:ascii="Times New Roman" w:hAnsi="Times New Roman" w:cs="Times New Roman"/>
                <w:color w:val="auto"/>
                <w:sz w:val="20"/>
                <w:lang w:val="en-US" w:eastAsia="zh-CN"/>
              </w:rPr>
              <w:t>交由海事部门指定</w:t>
            </w:r>
            <w:r>
              <w:rPr>
                <w:rFonts w:hint="eastAsia" w:cs="Times New Roman"/>
                <w:color w:val="auto"/>
                <w:sz w:val="20"/>
                <w:lang w:val="en-US" w:eastAsia="zh-CN"/>
              </w:rPr>
              <w:t>接受船</w:t>
            </w:r>
            <w:r>
              <w:rPr>
                <w:rFonts w:hint="eastAsia" w:ascii="Times New Roman" w:hAnsi="Times New Roman" w:cs="Times New Roman"/>
                <w:color w:val="auto"/>
                <w:sz w:val="20"/>
                <w:lang w:val="en-US" w:eastAsia="zh-CN"/>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7</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项目施工组织方案具有环境合理性，对取、弃土（渣）</w:t>
            </w:r>
            <w:r>
              <w:rPr>
                <w:rFonts w:hint="eastAsia" w:ascii="Times New Roman" w:hAnsi="Times New Roman" w:cs="Times New Roman"/>
                <w:color w:val="auto"/>
                <w:sz w:val="20"/>
                <w:lang w:val="en-US" w:eastAsia="zh-CN"/>
              </w:rPr>
              <w:t>场、施工场地（道路）等提出了水土流失防治和生态修复等措施。</w:t>
            </w:r>
          </w:p>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根据环境保护相关标准和要求，对施工期各类废（污）水、废气、噪声、固体废物等提出防治或处置措施。其中，涉水施工对水质造成不利影响的，提出了施工方案优化及悬浮物控制等措施；针对施工产生的疏浚物，提出了符合相关规定的处置或综合利用方案。</w:t>
            </w:r>
          </w:p>
        </w:tc>
        <w:tc>
          <w:tcPr>
            <w:tcW w:w="2242" w:type="pct"/>
            <w:tcBorders>
              <w:tl2br w:val="nil"/>
              <w:tr2bl w:val="nil"/>
            </w:tcBorders>
            <w:noWrap w:val="0"/>
            <w:vAlign w:val="center"/>
          </w:tcPr>
          <w:p>
            <w:pPr>
              <w:widowControl w:val="0"/>
              <w:spacing w:line="280" w:lineRule="exact"/>
              <w:contextualSpacing/>
              <w:jc w:val="center"/>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本项目施工组织方案具有环境合理性，对施工场地（道路）提出了水土流失防治和生态修复等措施。</w:t>
            </w:r>
          </w:p>
          <w:p>
            <w:pPr>
              <w:widowControl w:val="0"/>
              <w:spacing w:line="280" w:lineRule="exact"/>
              <w:contextualSpacing/>
              <w:jc w:val="center"/>
              <w:rPr>
                <w:rFonts w:hint="default" w:ascii="Times New Roman" w:hAnsi="Times New Roman" w:eastAsia="宋体" w:cs="Times New Roman"/>
                <w:color w:val="auto"/>
                <w:sz w:val="20"/>
                <w:lang w:val="en-US" w:eastAsia="zh-CN"/>
              </w:rPr>
            </w:pPr>
            <w:r>
              <w:rPr>
                <w:rFonts w:hint="eastAsia" w:cs="Times New Roman"/>
                <w:color w:val="auto"/>
                <w:sz w:val="20"/>
                <w:lang w:val="en-US" w:eastAsia="zh-CN"/>
              </w:rPr>
              <w:t>项目</w:t>
            </w:r>
            <w:r>
              <w:rPr>
                <w:rFonts w:hint="eastAsia" w:ascii="Times New Roman" w:hAnsi="Times New Roman" w:cs="Times New Roman"/>
                <w:color w:val="auto"/>
                <w:sz w:val="20"/>
                <w:lang w:val="en-US" w:eastAsia="zh-CN"/>
              </w:rPr>
              <w:t>不设取弃土场</w:t>
            </w:r>
            <w:r>
              <w:rPr>
                <w:rFonts w:hint="eastAsia" w:cs="Times New Roman"/>
                <w:color w:val="auto"/>
                <w:sz w:val="20"/>
                <w:lang w:val="en-US" w:eastAsia="zh-CN"/>
              </w:rPr>
              <w:t>，本</w:t>
            </w:r>
            <w:r>
              <w:rPr>
                <w:rFonts w:hint="eastAsia" w:ascii="Times New Roman" w:hAnsi="Times New Roman" w:cs="Times New Roman"/>
                <w:color w:val="auto"/>
                <w:sz w:val="20"/>
                <w:lang w:val="en-US" w:eastAsia="zh-CN"/>
              </w:rPr>
              <w:t>项目</w:t>
            </w:r>
            <w:r>
              <w:rPr>
                <w:rFonts w:hint="eastAsia" w:cs="Times New Roman"/>
                <w:color w:val="auto"/>
                <w:sz w:val="20"/>
                <w:lang w:val="en-US" w:eastAsia="zh-CN"/>
              </w:rPr>
              <w:t>分析了</w:t>
            </w:r>
            <w:r>
              <w:rPr>
                <w:rFonts w:hint="eastAsia" w:ascii="Times New Roman" w:hAnsi="Times New Roman" w:cs="Times New Roman"/>
                <w:color w:val="auto"/>
                <w:sz w:val="20"/>
                <w:lang w:val="en-US" w:eastAsia="zh-CN"/>
              </w:rPr>
              <w:t>施工期各类废（污）水、废气、噪声、固体废物产排情况，并提出了有效的污染防控措施要求。为减小工程码头前沿施工期对水环境的影响，将于枯水期施工</w:t>
            </w:r>
            <w:r>
              <w:rPr>
                <w:rFonts w:hint="eastAsia"/>
                <w:color w:val="auto"/>
                <w:lang w:eastAsia="zh-CN"/>
              </w:rPr>
              <w:t>，</w:t>
            </w:r>
            <w:r>
              <w:rPr>
                <w:rFonts w:hint="eastAsia" w:ascii="Times New Roman" w:hAnsi="Times New Roman" w:cs="Times New Roman"/>
                <w:color w:val="auto"/>
                <w:sz w:val="20"/>
                <w:lang w:val="en-US" w:eastAsia="zh-CN"/>
              </w:rPr>
              <w:t>不涉及疏浚</w:t>
            </w:r>
            <w:r>
              <w:rPr>
                <w:rFonts w:hint="eastAsia" w:cs="Times New Roman"/>
                <w:color w:val="auto"/>
                <w:sz w:val="20"/>
                <w:lang w:val="en-US" w:eastAsia="zh-CN"/>
              </w:rPr>
              <w:t>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8</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针对码头、港区航道等存在的溢油或危险化学品泄漏</w:t>
            </w:r>
            <w:r>
              <w:rPr>
                <w:rFonts w:hint="eastAsia" w:ascii="Times New Roman" w:hAnsi="Times New Roman" w:cs="Times New Roman"/>
                <w:color w:val="auto"/>
                <w:sz w:val="20"/>
                <w:lang w:val="en-US" w:eastAsia="zh-CN"/>
              </w:rPr>
              <w:t>等环境风险，提出了工程防控、应急资源配备、事故池、事故污水处置等风险防范措施，以及环境应急预案编制、与地方人民政府及相关部门、有关单位建立应急联动机制等要求。</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针对</w:t>
            </w:r>
            <w:r>
              <w:rPr>
                <w:rFonts w:hint="eastAsia" w:cs="Times New Roman"/>
                <w:color w:val="auto"/>
                <w:sz w:val="20"/>
                <w:lang w:val="en-US" w:eastAsia="zh-CN"/>
              </w:rPr>
              <w:t>本项目</w:t>
            </w:r>
            <w:r>
              <w:rPr>
                <w:rFonts w:hint="default" w:ascii="Times New Roman" w:hAnsi="Times New Roman" w:cs="Times New Roman"/>
                <w:color w:val="auto"/>
                <w:sz w:val="20"/>
                <w:lang w:val="en-US" w:eastAsia="zh-CN"/>
              </w:rPr>
              <w:t>存在的溢油或危险化学品泄漏</w:t>
            </w:r>
            <w:r>
              <w:rPr>
                <w:rFonts w:hint="eastAsia" w:ascii="Times New Roman" w:hAnsi="Times New Roman" w:cs="Times New Roman"/>
                <w:color w:val="auto"/>
                <w:sz w:val="20"/>
                <w:lang w:val="en-US" w:eastAsia="zh-CN"/>
              </w:rPr>
              <w:t>等环境风险，提出了工程防控、应急资源配备等风险防范措施，</w:t>
            </w:r>
            <w:r>
              <w:rPr>
                <w:rFonts w:hint="eastAsia" w:cs="Times New Roman"/>
                <w:color w:val="auto"/>
                <w:sz w:val="20"/>
                <w:lang w:val="en-US" w:eastAsia="zh-CN"/>
              </w:rPr>
              <w:t>提成了需编制</w:t>
            </w:r>
            <w:r>
              <w:rPr>
                <w:rFonts w:hint="eastAsia" w:ascii="Times New Roman" w:hAnsi="Times New Roman" w:cs="Times New Roman"/>
                <w:color w:val="auto"/>
                <w:sz w:val="20"/>
                <w:lang w:val="en-US" w:eastAsia="zh-CN"/>
              </w:rPr>
              <w:t>环境应急预案，并与地方联动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9</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改、扩建项目在全面梳理了与项目有关的现有工程</w:t>
            </w:r>
            <w:r>
              <w:rPr>
                <w:rFonts w:hint="eastAsia" w:ascii="Times New Roman" w:hAnsi="Times New Roman" w:cs="Times New Roman"/>
                <w:color w:val="auto"/>
                <w:sz w:val="20"/>
                <w:lang w:val="en-US" w:eastAsia="zh-CN"/>
              </w:rPr>
              <w:t>环境问题基础上，提出了</w:t>
            </w:r>
            <w:r>
              <w:rPr>
                <w:rFonts w:hint="default" w:ascii="Times New Roman" w:hAnsi="Times New Roman" w:cs="Times New Roman"/>
                <w:color w:val="auto"/>
                <w:sz w:val="20"/>
                <w:lang w:val="en-US" w:eastAsia="zh-CN"/>
              </w:rPr>
              <w:t>“</w:t>
            </w:r>
            <w:r>
              <w:rPr>
                <w:rFonts w:hint="eastAsia" w:ascii="Times New Roman" w:hAnsi="Times New Roman" w:cs="Times New Roman"/>
                <w:color w:val="auto"/>
                <w:sz w:val="20"/>
                <w:lang w:val="en-US" w:eastAsia="zh-CN"/>
              </w:rPr>
              <w:t>以新带老</w:t>
            </w:r>
            <w:r>
              <w:rPr>
                <w:rFonts w:hint="default" w:ascii="Times New Roman" w:hAnsi="Times New Roman" w:cs="Times New Roman"/>
                <w:color w:val="auto"/>
                <w:sz w:val="20"/>
                <w:lang w:val="en-US" w:eastAsia="zh-CN"/>
              </w:rPr>
              <w:t>”</w:t>
            </w:r>
            <w:r>
              <w:rPr>
                <w:rFonts w:hint="eastAsia" w:ascii="Times New Roman" w:hAnsi="Times New Roman" w:cs="Times New Roman"/>
                <w:color w:val="auto"/>
                <w:sz w:val="20"/>
                <w:lang w:val="en-US" w:eastAsia="zh-CN"/>
              </w:rPr>
              <w:t>措施。</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本工程为技改项目，原工程全部拆除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10</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按相关导则及规定要求，制定了水生生态、水环境、</w:t>
            </w:r>
            <w:r>
              <w:rPr>
                <w:rFonts w:hint="eastAsia" w:ascii="Times New Roman" w:hAnsi="Times New Roman" w:cs="Times New Roman"/>
                <w:color w:val="auto"/>
                <w:sz w:val="20"/>
                <w:lang w:val="en-US" w:eastAsia="zh-CN"/>
              </w:rPr>
              <w:t>大气环境、噪声等环境监测计划，明确了监测网点、因子、频次等有关要求，提出了开展环境影响后评价、根据监测评估结果优化环境保护措施的要求。根据需要和相关规定，提出了环境保护设计、开展相关科学研究、环境管理等要求。</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按相关导则及规定要求，制定了</w:t>
            </w:r>
            <w:r>
              <w:rPr>
                <w:rFonts w:hint="eastAsia" w:ascii="Times New Roman" w:hAnsi="Times New Roman" w:cs="Times New Roman"/>
                <w:color w:val="auto"/>
                <w:sz w:val="20"/>
                <w:lang w:val="en-US" w:eastAsia="zh-CN"/>
              </w:rPr>
              <w:t>施工期及运营期</w:t>
            </w:r>
            <w:r>
              <w:rPr>
                <w:rFonts w:hint="default" w:ascii="Times New Roman" w:hAnsi="Times New Roman" w:cs="Times New Roman"/>
                <w:color w:val="auto"/>
                <w:sz w:val="20"/>
                <w:lang w:val="en-US" w:eastAsia="zh-CN"/>
              </w:rPr>
              <w:t>水生生态、水环境、</w:t>
            </w:r>
            <w:r>
              <w:rPr>
                <w:rFonts w:hint="eastAsia" w:ascii="Times New Roman" w:hAnsi="Times New Roman" w:cs="Times New Roman"/>
                <w:color w:val="auto"/>
                <w:sz w:val="20"/>
                <w:lang w:val="en-US" w:eastAsia="zh-CN"/>
              </w:rPr>
              <w:t>大气环境、噪声等环境监测计划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3" w:type="pct"/>
            <w:tcBorders>
              <w:tl2br w:val="nil"/>
              <w:tr2bl w:val="nil"/>
            </w:tcBorders>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11</w:t>
            </w:r>
          </w:p>
        </w:tc>
        <w:tc>
          <w:tcPr>
            <w:tcW w:w="2403"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按相关规定开展了信息公开和公众参与。</w:t>
            </w:r>
          </w:p>
        </w:tc>
        <w:tc>
          <w:tcPr>
            <w:tcW w:w="2242" w:type="pct"/>
            <w:tcBorders>
              <w:tl2br w:val="nil"/>
              <w:tr2bl w:val="nil"/>
            </w:tcBorders>
            <w:noWrap w:val="0"/>
            <w:vAlign w:val="center"/>
          </w:tcPr>
          <w:p>
            <w:pPr>
              <w:widowControl w:val="0"/>
              <w:spacing w:line="280" w:lineRule="exact"/>
              <w:contextualSpacing/>
              <w:jc w:val="center"/>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按公参管理办法的要求，开展了第一次公众参与，公众参与期间无居民提出反对或质疑意见</w:t>
            </w:r>
          </w:p>
        </w:tc>
      </w:tr>
    </w:tbl>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项目符合国家产业政策、《宜昌港总体规划修订（2018-2035年）》、《宜昌市环境</w:t>
      </w:r>
      <w:r>
        <w:rPr>
          <w:rFonts w:hint="eastAsia" w:eastAsia="仿宋_GB2312"/>
          <w:color w:val="auto"/>
          <w:sz w:val="24"/>
          <w:lang w:val="en-US" w:eastAsia="zh-CN"/>
        </w:rPr>
        <w:t>总体</w:t>
      </w:r>
      <w:r>
        <w:rPr>
          <w:rFonts w:hint="eastAsia" w:eastAsia="仿宋_GB2312"/>
          <w:color w:val="auto"/>
          <w:sz w:val="24"/>
        </w:rPr>
        <w:t>规划（2013-2030年）》、《&lt;长江经济带发展负面清单指南（试行，2022年版）&gt;湖北省实施细则》</w:t>
      </w:r>
      <w:r>
        <w:rPr>
          <w:rFonts w:hint="eastAsia" w:eastAsia="仿宋_GB2312"/>
          <w:color w:val="auto"/>
          <w:sz w:val="24"/>
          <w:lang w:eastAsia="zh-CN"/>
        </w:rPr>
        <w:t>、</w:t>
      </w:r>
      <w:r>
        <w:rPr>
          <w:rFonts w:hint="eastAsia" w:eastAsia="仿宋_GB2312"/>
          <w:color w:val="auto"/>
          <w:sz w:val="24"/>
        </w:rPr>
        <w:t>《长江岸线保护和开发利用总体规划（2015.9）》、《长江经济带生态环境保护规划》、《关于加强长江黄金水道环境污染防控治理的指导意见》、《宜昌市港口和船舶污染物接收转运及处置设施建设方案（2016-2020年）》、《市人民政府关于印发宜昌市“三线一单”生态环境分区管控实施方案的通知》（宜府发【2021】5号）等相关规划及文件要求，基本落实了《宜昌港总体规划修订（2018-2035年）》环境影响报告书》及其审查意见中的相关总体要求。</w:t>
      </w:r>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10</w:t>
      </w:r>
      <w:r>
        <w:rPr>
          <w:rFonts w:hint="eastAsia" w:ascii="Times New Roman" w:hAnsi="Times New Roman" w:eastAsia="黑体" w:cs="Times New Roman"/>
          <w:b w:val="0"/>
          <w:bCs w:val="0"/>
          <w:color w:val="auto"/>
          <w:kern w:val="0"/>
          <w:sz w:val="24"/>
          <w:szCs w:val="24"/>
          <w:lang w:val="en-US" w:eastAsia="zh-CN"/>
        </w:rPr>
        <w:t>）与《关于加强长江黄金水道环境污染防控治理的指导意见》符合性分析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为加强长江黄金水道环境污染防控治理，国家发展改革委和环境保护部联合印发了《关于加强长江黄金水道环境污染防控治理的指导意见的通知》（发改环资</w:t>
      </w:r>
      <w:r>
        <w:rPr>
          <w:rFonts w:hint="eastAsia" w:eastAsia="仿宋_GB2312"/>
          <w:color w:val="auto"/>
          <w:sz w:val="24"/>
          <w:lang w:eastAsia="zh-CN"/>
        </w:rPr>
        <w:t>【</w:t>
      </w:r>
      <w:r>
        <w:rPr>
          <w:rFonts w:hint="eastAsia" w:eastAsia="仿宋_GB2312"/>
          <w:color w:val="auto"/>
          <w:sz w:val="24"/>
        </w:rPr>
        <w:t>2016</w:t>
      </w:r>
      <w:r>
        <w:rPr>
          <w:rFonts w:hint="eastAsia" w:eastAsia="仿宋_GB2312"/>
          <w:color w:val="auto"/>
          <w:sz w:val="24"/>
          <w:lang w:eastAsia="zh-CN"/>
        </w:rPr>
        <w:t>】</w:t>
      </w:r>
      <w:r>
        <w:rPr>
          <w:rFonts w:hint="eastAsia" w:eastAsia="仿宋_GB2312"/>
          <w:color w:val="auto"/>
          <w:sz w:val="24"/>
        </w:rPr>
        <w:t>370号），《通知》在推动沿江产业调整优化中提出了优化沿江产业空间布局、加快沿江产业结构调整、严格沿江产业准入等要求，为此，本评价将结合以上要求对项目建设的符合性进行对比分析，分析情况见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spacing w:line="360" w:lineRule="auto"/>
        <w:ind w:firstLine="422" w:firstLineChars="200"/>
        <w:jc w:val="center"/>
        <w:rPr>
          <w:rFonts w:eastAsia="黑体"/>
          <w:b/>
          <w:bCs/>
          <w:color w:val="auto"/>
        </w:rPr>
      </w:pPr>
      <w:r>
        <w:rPr>
          <w:rFonts w:eastAsia="黑体"/>
          <w:b/>
          <w:bCs/>
          <w:color w:val="auto"/>
        </w:rPr>
        <w:t>表</w:t>
      </w:r>
      <w:r>
        <w:rPr>
          <w:rFonts w:hint="eastAsia" w:eastAsia="黑体"/>
          <w:b/>
          <w:bCs/>
          <w:color w:val="auto"/>
          <w:lang w:val="en-US" w:eastAsia="zh-CN"/>
        </w:rPr>
        <w:t>5</w:t>
      </w:r>
      <w:r>
        <w:rPr>
          <w:rFonts w:eastAsia="黑体"/>
          <w:b/>
          <w:bCs/>
          <w:color w:val="auto"/>
        </w:rPr>
        <w:t xml:space="preserve">  拟建项目与</w:t>
      </w:r>
      <w:r>
        <w:rPr>
          <w:rFonts w:hint="eastAsia" w:eastAsia="黑体"/>
          <w:b/>
          <w:bCs/>
          <w:color w:val="auto"/>
        </w:rPr>
        <w:t>关于加强长江黄金水道环境污染防控治理的指导意见</w:t>
      </w:r>
      <w:r>
        <w:rPr>
          <w:rFonts w:eastAsia="黑体"/>
          <w:b/>
          <w:bCs/>
          <w:color w:val="auto"/>
        </w:rPr>
        <w:t>符合性分析</w:t>
      </w:r>
    </w:p>
    <w:tbl>
      <w:tblPr>
        <w:tblStyle w:val="92"/>
        <w:tblW w:w="493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704"/>
        <w:gridCol w:w="4835"/>
        <w:gridCol w:w="1133"/>
        <w:gridCol w:w="10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97" w:type="pct"/>
            <w:tcBorders>
              <w:top w:val="single" w:color="auto" w:sz="12" w:space="0"/>
              <w:bottom w:val="single" w:color="auto" w:sz="12" w:space="0"/>
            </w:tcBorders>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序号</w:t>
            </w:r>
          </w:p>
        </w:tc>
        <w:tc>
          <w:tcPr>
            <w:tcW w:w="419" w:type="pct"/>
            <w:tcBorders>
              <w:top w:val="single" w:color="auto" w:sz="12" w:space="0"/>
              <w:bottom w:val="single" w:color="auto" w:sz="12" w:space="0"/>
            </w:tcBorders>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项目</w:t>
            </w:r>
          </w:p>
        </w:tc>
        <w:tc>
          <w:tcPr>
            <w:tcW w:w="2878" w:type="pct"/>
            <w:tcBorders>
              <w:top w:val="single" w:color="auto" w:sz="12" w:space="0"/>
              <w:bottom w:val="single" w:color="auto" w:sz="12" w:space="0"/>
            </w:tcBorders>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具体要求</w:t>
            </w:r>
          </w:p>
        </w:tc>
        <w:tc>
          <w:tcPr>
            <w:tcW w:w="674" w:type="pct"/>
            <w:tcBorders>
              <w:top w:val="single" w:color="auto" w:sz="12" w:space="0"/>
              <w:bottom w:val="single" w:color="auto" w:sz="12" w:space="0"/>
            </w:tcBorders>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本工程</w:t>
            </w:r>
          </w:p>
        </w:tc>
        <w:tc>
          <w:tcPr>
            <w:tcW w:w="630"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97" w:type="pct"/>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1</w:t>
            </w:r>
          </w:p>
        </w:tc>
        <w:tc>
          <w:tcPr>
            <w:tcW w:w="419" w:type="pct"/>
            <w:noWrap w:val="0"/>
            <w:vAlign w:val="center"/>
          </w:tcPr>
          <w:p>
            <w:pPr>
              <w:widowControl w:val="0"/>
              <w:spacing w:line="280" w:lineRule="exact"/>
              <w:contextualSpacing/>
              <w:jc w:val="center"/>
              <w:rPr>
                <w:color w:val="auto"/>
                <w:sz w:val="20"/>
              </w:rPr>
            </w:pPr>
            <w:r>
              <w:rPr>
                <w:rFonts w:hint="eastAsia"/>
                <w:color w:val="auto"/>
                <w:sz w:val="20"/>
              </w:rPr>
              <w:t>优化沿江产业空间布局</w:t>
            </w:r>
          </w:p>
        </w:tc>
        <w:tc>
          <w:tcPr>
            <w:tcW w:w="2878" w:type="pct"/>
            <w:noWrap w:val="0"/>
            <w:vAlign w:val="center"/>
          </w:tcPr>
          <w:p>
            <w:pPr>
              <w:widowControl w:val="0"/>
              <w:spacing w:line="280" w:lineRule="exact"/>
              <w:contextualSpacing/>
              <w:jc w:val="center"/>
              <w:rPr>
                <w:rFonts w:hint="eastAsia"/>
                <w:color w:val="auto"/>
                <w:sz w:val="20"/>
              </w:rPr>
            </w:pPr>
            <w:r>
              <w:rPr>
                <w:rFonts w:hint="eastAsia"/>
                <w:color w:val="auto"/>
                <w:sz w:val="20"/>
              </w:rPr>
              <w:t>落实主体功能区战略，实施差别化的区域产业政策。科学划定岸线功能分区边界，严格分区管理和用途管制。坚持“以水定发展”，统筹规划沿江岸线资源，严控下游高污染、高排放企业向上游转移。</w:t>
            </w:r>
          </w:p>
          <w:p>
            <w:pPr>
              <w:widowControl w:val="0"/>
              <w:spacing w:line="280" w:lineRule="exact"/>
              <w:contextualSpacing/>
              <w:jc w:val="center"/>
              <w:rPr>
                <w:color w:val="auto"/>
                <w:sz w:val="20"/>
              </w:rPr>
            </w:pPr>
            <w:r>
              <w:rPr>
                <w:rFonts w:hint="eastAsia"/>
                <w:color w:val="auto"/>
                <w:sz w:val="20"/>
              </w:rPr>
              <w:t>除在建项目外，严禁在干流及主要支流岸线1公里范围内新建布局重化工园区，严控在中上游沿岸地区新建石油化工和煤化工项目</w:t>
            </w:r>
          </w:p>
        </w:tc>
        <w:tc>
          <w:tcPr>
            <w:tcW w:w="674" w:type="pct"/>
            <w:noWrap w:val="0"/>
            <w:vAlign w:val="center"/>
          </w:tcPr>
          <w:p>
            <w:pPr>
              <w:widowControl w:val="0"/>
              <w:spacing w:line="280" w:lineRule="exact"/>
              <w:contextualSpacing/>
              <w:jc w:val="center"/>
              <w:rPr>
                <w:color w:val="auto"/>
                <w:sz w:val="20"/>
              </w:rPr>
            </w:pPr>
            <w:r>
              <w:rPr>
                <w:rFonts w:hint="eastAsia"/>
                <w:color w:val="auto"/>
                <w:sz w:val="20"/>
              </w:rPr>
              <w:t>项目为货运港口业，不属于重化工、石油化工和煤化工项目</w:t>
            </w:r>
          </w:p>
        </w:tc>
        <w:tc>
          <w:tcPr>
            <w:tcW w:w="630" w:type="pct"/>
            <w:noWrap w:val="0"/>
            <w:vAlign w:val="center"/>
          </w:tcPr>
          <w:p>
            <w:pPr>
              <w:widowControl w:val="0"/>
              <w:spacing w:line="280" w:lineRule="exact"/>
              <w:contextualSpacing/>
              <w:jc w:val="center"/>
              <w:rPr>
                <w:color w:val="auto"/>
                <w:sz w:val="20"/>
              </w:rPr>
            </w:pPr>
            <w:r>
              <w:rPr>
                <w:rFonts w:hint="eastAsia"/>
                <w:color w:val="auto"/>
                <w:sz w:val="2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97" w:type="pct"/>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2</w:t>
            </w:r>
          </w:p>
        </w:tc>
        <w:tc>
          <w:tcPr>
            <w:tcW w:w="419" w:type="pct"/>
            <w:noWrap w:val="0"/>
            <w:vAlign w:val="center"/>
          </w:tcPr>
          <w:p>
            <w:pPr>
              <w:widowControl w:val="0"/>
              <w:spacing w:line="280" w:lineRule="exact"/>
              <w:contextualSpacing/>
              <w:jc w:val="center"/>
              <w:rPr>
                <w:color w:val="auto"/>
                <w:sz w:val="20"/>
              </w:rPr>
            </w:pPr>
            <w:r>
              <w:rPr>
                <w:rFonts w:hint="eastAsia"/>
                <w:color w:val="auto"/>
                <w:sz w:val="20"/>
              </w:rPr>
              <w:t>加快沿江产业结构调整</w:t>
            </w:r>
          </w:p>
        </w:tc>
        <w:tc>
          <w:tcPr>
            <w:tcW w:w="2878" w:type="pct"/>
            <w:noWrap w:val="0"/>
            <w:vAlign w:val="center"/>
          </w:tcPr>
          <w:p>
            <w:pPr>
              <w:widowControl w:val="0"/>
              <w:spacing w:line="280" w:lineRule="exact"/>
              <w:contextualSpacing/>
              <w:jc w:val="center"/>
              <w:rPr>
                <w:color w:val="auto"/>
                <w:sz w:val="20"/>
              </w:rPr>
            </w:pPr>
            <w:r>
              <w:rPr>
                <w:rFonts w:hint="eastAsia"/>
                <w:color w:val="auto"/>
                <w:sz w:val="20"/>
              </w:rPr>
              <w:t>实施创新驱动发展战略，推动战略性新兴产业和先进制造业健康发展，发展壮大服务业，有序开发沿江旅游资源。大力发展低耗水、低排放、低污染、无毒无害产业，推进传统产业清洁生产和循环化改造。制定实施分年度落后产能淘汰方案，2016年底前，全面取缔“十小”企业。在三峡库区等重点水功能区，加快淘汰潜在环境风险大、升级改造困难的企业</w:t>
            </w:r>
          </w:p>
        </w:tc>
        <w:tc>
          <w:tcPr>
            <w:tcW w:w="674" w:type="pct"/>
            <w:noWrap w:val="0"/>
            <w:vAlign w:val="center"/>
          </w:tcPr>
          <w:p>
            <w:pPr>
              <w:widowControl w:val="0"/>
              <w:spacing w:line="280" w:lineRule="exact"/>
              <w:contextualSpacing/>
              <w:jc w:val="center"/>
              <w:rPr>
                <w:color w:val="auto"/>
                <w:sz w:val="20"/>
              </w:rPr>
            </w:pPr>
            <w:r>
              <w:rPr>
                <w:rFonts w:hint="eastAsia"/>
                <w:color w:val="auto"/>
                <w:sz w:val="20"/>
              </w:rPr>
              <w:t>项目为货运港口业，属于低能耗、低水耗和低污染产业</w:t>
            </w:r>
          </w:p>
        </w:tc>
        <w:tc>
          <w:tcPr>
            <w:tcW w:w="630" w:type="pct"/>
            <w:noWrap w:val="0"/>
            <w:vAlign w:val="center"/>
          </w:tcPr>
          <w:p>
            <w:pPr>
              <w:widowControl w:val="0"/>
              <w:spacing w:line="280" w:lineRule="exact"/>
              <w:contextualSpacing/>
              <w:jc w:val="center"/>
              <w:rPr>
                <w:color w:val="auto"/>
                <w:sz w:val="20"/>
              </w:rPr>
            </w:pPr>
            <w:r>
              <w:rPr>
                <w:rFonts w:hint="eastAsia"/>
                <w:color w:val="auto"/>
                <w:sz w:val="2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97" w:type="pct"/>
            <w:noWrap w:val="0"/>
            <w:vAlign w:val="center"/>
          </w:tcPr>
          <w:p>
            <w:pPr>
              <w:widowControl w:val="0"/>
              <w:spacing w:line="280" w:lineRule="exact"/>
              <w:contextualSpacing/>
              <w:jc w:val="center"/>
              <w:rPr>
                <w:rFonts w:hint="eastAsia" w:eastAsia="宋体"/>
                <w:color w:val="auto"/>
                <w:sz w:val="20"/>
                <w:lang w:val="en-US" w:eastAsia="zh-CN"/>
              </w:rPr>
            </w:pPr>
            <w:r>
              <w:rPr>
                <w:rFonts w:hint="eastAsia"/>
                <w:color w:val="auto"/>
                <w:sz w:val="20"/>
                <w:lang w:val="en-US" w:eastAsia="zh-CN"/>
              </w:rPr>
              <w:t>3</w:t>
            </w:r>
          </w:p>
        </w:tc>
        <w:tc>
          <w:tcPr>
            <w:tcW w:w="419" w:type="pct"/>
            <w:noWrap w:val="0"/>
            <w:vAlign w:val="center"/>
          </w:tcPr>
          <w:p>
            <w:pPr>
              <w:widowControl w:val="0"/>
              <w:spacing w:line="280" w:lineRule="exact"/>
              <w:contextualSpacing/>
              <w:jc w:val="center"/>
              <w:rPr>
                <w:color w:val="auto"/>
                <w:sz w:val="20"/>
              </w:rPr>
            </w:pPr>
            <w:r>
              <w:rPr>
                <w:rFonts w:hint="eastAsia"/>
                <w:color w:val="auto"/>
                <w:sz w:val="20"/>
              </w:rPr>
              <w:t>严格沿江产业准入</w:t>
            </w:r>
          </w:p>
        </w:tc>
        <w:tc>
          <w:tcPr>
            <w:tcW w:w="2878" w:type="pct"/>
            <w:noWrap w:val="0"/>
            <w:vAlign w:val="center"/>
          </w:tcPr>
          <w:p>
            <w:pPr>
              <w:widowControl w:val="0"/>
              <w:spacing w:line="280" w:lineRule="exact"/>
              <w:contextualSpacing/>
              <w:jc w:val="center"/>
              <w:rPr>
                <w:color w:val="auto"/>
                <w:sz w:val="20"/>
              </w:rPr>
            </w:pPr>
            <w:r>
              <w:rPr>
                <w:rFonts w:hint="eastAsia"/>
                <w:color w:val="auto"/>
                <w:sz w:val="20"/>
              </w:rPr>
              <w:t>加强沿江各类开发建设规划和规划环评工作，完善空间准入、产业准入和环境准入的负面清单管理模式，建立健全准入标准，从严审批产生有毒有害污染物的新建和改扩建项目。强化环评管理，新建、改建、扩建重点行业项目实行主要水污染物排放减量置换，严控新增污染物排放。加强高耗水行业用水定额管理，严格控制高耗水项目建设</w:t>
            </w:r>
          </w:p>
        </w:tc>
        <w:tc>
          <w:tcPr>
            <w:tcW w:w="674" w:type="pct"/>
            <w:noWrap w:val="0"/>
            <w:vAlign w:val="center"/>
          </w:tcPr>
          <w:p>
            <w:pPr>
              <w:widowControl w:val="0"/>
              <w:spacing w:line="280" w:lineRule="exact"/>
              <w:contextualSpacing/>
              <w:jc w:val="center"/>
              <w:rPr>
                <w:color w:val="auto"/>
                <w:sz w:val="20"/>
              </w:rPr>
            </w:pPr>
            <w:r>
              <w:rPr>
                <w:rFonts w:hint="eastAsia"/>
                <w:color w:val="auto"/>
                <w:sz w:val="20"/>
              </w:rPr>
              <w:t>项目符合《宜昌港总体规划修订（2018-2035）》</w:t>
            </w:r>
          </w:p>
        </w:tc>
        <w:tc>
          <w:tcPr>
            <w:tcW w:w="630" w:type="pct"/>
            <w:noWrap w:val="0"/>
            <w:vAlign w:val="center"/>
          </w:tcPr>
          <w:p>
            <w:pPr>
              <w:widowControl w:val="0"/>
              <w:spacing w:line="280" w:lineRule="exact"/>
              <w:contextualSpacing/>
              <w:jc w:val="center"/>
              <w:rPr>
                <w:color w:val="auto"/>
                <w:sz w:val="20"/>
              </w:rPr>
            </w:pPr>
            <w:r>
              <w:rPr>
                <w:rFonts w:hint="eastAsia"/>
                <w:color w:val="auto"/>
                <w:sz w:val="20"/>
              </w:rPr>
              <w:t>符合</w:t>
            </w:r>
          </w:p>
        </w:tc>
      </w:tr>
    </w:tbl>
    <w:p>
      <w:pPr>
        <w:widowControl w:val="0"/>
        <w:spacing w:line="360" w:lineRule="auto"/>
        <w:ind w:firstLine="480" w:firstLineChars="200"/>
        <w:jc w:val="both"/>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11</w:t>
      </w:r>
      <w:r>
        <w:rPr>
          <w:rFonts w:hint="default" w:ascii="Times New Roman" w:hAnsi="Times New Roman" w:eastAsia="黑体" w:cs="Times New Roman"/>
          <w:b w:val="0"/>
          <w:bCs w:val="0"/>
          <w:color w:val="auto"/>
          <w:kern w:val="0"/>
          <w:sz w:val="24"/>
          <w:szCs w:val="24"/>
          <w:lang w:val="en-US" w:eastAsia="zh-CN"/>
        </w:rPr>
        <w:t>）与《宜昌市港口和船舶污染物接收转运及处置设施建设方案（2016-2020年）》符合性分析</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eastAsia="zh-CN"/>
        </w:rPr>
        <w:t>2015年8月，交通运输部印发了《船舶与港口污染防治专项行动实施方案（2015~2020年）》，提出“推动各港口、船舶修造厂所在地交通运输（港口）管理部门，完成本区域船舶污染物接收、转运及处置能力评估，编制完善接收、转运及处置设施建设方案”。2016年4月，交通运输部办公厅印发了《关于开展港口船舶污染物接收处置有关工作的通知》（交办水函〔2016〕308号），要求各省在2016年底编制完成建设方案，积极推进港口和船舶污染物接收处置设施的建设，较大程度的减少各港口、船舶污染物的排放。2017年7月，宜昌市政府办公室发布《关于印发宜昌市港口和船舶污染物接收转运及处置设施建设方案(2016-2020年)的通知》(宜府办函〔2017〕74号)（以下简称《方案》）。</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方案》对宜都港区提出“港口、修造船厂船舶污染物接收处理基础设施布局合理，船舶污染物接收、转运和处置达到国家标准，船舶污水达标排放。”的建设目标。为此，宜昌港将建设船舶残油和含油污水接收、转运及处置设施，船舶生活污水接收、转运及处置设施，船舶固体垃圾接收、转运及处置设施，港口污染物接收、处置设施，和修造船厂的污染物接收、转运及处置措施。将船舶残油和含油污水经专业转运码头和转运车辆送至油污水处理厂处理；船舶生活污水经专业转运码头和转运车辆送至生活污水处理厂处理；港口、船舶固体垃圾与当地环卫部门签订垃圾回收协议，经专业转运码头和垃圾车运送至当地市政垃圾处理点处理；港口生产性污水经处理后达标排放，生活污水经污水管网收集后纳入市政污水处理管网或处理后达标排放。</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技改项目码头人员生活污水</w:t>
      </w:r>
      <w:r>
        <w:rPr>
          <w:rFonts w:hint="eastAsia" w:ascii="Times New Roman" w:hAnsi="Times New Roman" w:eastAsia="仿宋_GB2312" w:cs="Times New Roman"/>
          <w:color w:val="auto"/>
          <w:sz w:val="24"/>
        </w:rPr>
        <w:t>进入</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w:t>
      </w:r>
      <w:r>
        <w:rPr>
          <w:rFonts w:hint="eastAsia" w:ascii="Times New Roman" w:hAnsi="Times New Roman" w:eastAsia="仿宋_GB2312" w:cs="Times New Roman"/>
          <w:color w:val="auto"/>
          <w:sz w:val="24"/>
        </w:rPr>
        <w:t>进入</w:t>
      </w:r>
      <w:r>
        <w:rPr>
          <w:rFonts w:hint="eastAsia" w:eastAsia="仿宋_GB2312"/>
          <w:color w:val="auto"/>
          <w:sz w:val="24"/>
          <w:lang w:eastAsia="zh-CN"/>
        </w:rPr>
        <w:t>各自趸船下方初期雨水收集柜储存，委托海事部门认定的船舶污染物接收船定期统一处理；船舶</w:t>
      </w:r>
      <w:r>
        <w:rPr>
          <w:rFonts w:hint="eastAsia" w:eastAsia="仿宋_GB2312"/>
          <w:color w:val="auto"/>
          <w:sz w:val="24"/>
        </w:rPr>
        <w:t>油污水、船舶生活污水、船舶固废由船舶污染物接收船接收，再转送专业转运码头接收处理</w:t>
      </w:r>
      <w:r>
        <w:rPr>
          <w:rFonts w:hint="eastAsia" w:eastAsia="仿宋_GB2312"/>
          <w:color w:val="auto"/>
          <w:sz w:val="24"/>
          <w:lang w:eastAsia="zh-CN"/>
        </w:rPr>
        <w:t>，</w:t>
      </w:r>
      <w:r>
        <w:rPr>
          <w:rFonts w:hint="eastAsia" w:eastAsia="仿宋_GB2312"/>
          <w:color w:val="auto"/>
          <w:sz w:val="24"/>
          <w:lang w:val="en-US" w:eastAsia="zh-CN"/>
        </w:rPr>
        <w:t>本项目不接收到港船舶废水及固废</w:t>
      </w:r>
      <w:r>
        <w:rPr>
          <w:rFonts w:hint="eastAsia" w:eastAsia="仿宋_GB2312"/>
          <w:color w:val="auto"/>
          <w:sz w:val="24"/>
        </w:rPr>
        <w:t>。满足该《建设方案》的要求</w:t>
      </w:r>
      <w:r>
        <w:rPr>
          <w:rFonts w:hint="eastAsia" w:eastAsia="仿宋_GB2312"/>
          <w:color w:val="auto"/>
          <w:sz w:val="24"/>
          <w:lang w:eastAsia="zh-CN"/>
        </w:rPr>
        <w:t>。</w:t>
      </w:r>
    </w:p>
    <w:p>
      <w:pPr>
        <w:pStyle w:val="9"/>
        <w:widowControl w:val="0"/>
        <w:spacing w:before="120" w:after="120" w:line="360" w:lineRule="auto"/>
        <w:rPr>
          <w:rFonts w:hint="eastAsia" w:eastAsia="黑体" w:cs="Times New Roman"/>
          <w:b w:val="0"/>
          <w:bCs w:val="0"/>
          <w:color w:val="auto"/>
          <w:kern w:val="0"/>
          <w:sz w:val="24"/>
          <w:szCs w:val="24"/>
          <w:lang w:val="en-US" w:eastAsia="zh-CN"/>
        </w:rPr>
      </w:pPr>
      <w:bookmarkStart w:id="171" w:name="_Toc25074"/>
      <w:r>
        <w:rPr>
          <w:rFonts w:hint="eastAsia" w:eastAsia="黑体"/>
          <w:b w:val="0"/>
          <w:color w:val="auto"/>
          <w:sz w:val="24"/>
          <w:lang w:val="en-US" w:eastAsia="zh-CN"/>
        </w:rPr>
        <w:t>3、“三线一单”符合性分析</w:t>
      </w:r>
      <w:bookmarkEnd w:id="171"/>
    </w:p>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（1）</w:t>
      </w:r>
      <w:r>
        <w:rPr>
          <w:rFonts w:hint="eastAsia" w:ascii="Times New Roman" w:hAnsi="Times New Roman" w:eastAsia="黑体" w:cs="Times New Roman"/>
          <w:b w:val="0"/>
          <w:bCs w:val="0"/>
          <w:color w:val="auto"/>
          <w:kern w:val="0"/>
          <w:sz w:val="24"/>
          <w:szCs w:val="24"/>
          <w:lang w:val="en-US" w:eastAsia="zh-CN"/>
        </w:rPr>
        <w:t>与《市人民政府关于印发宜昌市“三线一单”生态环境分区管控实施方案的通知》（宜府发【2021】5号）符合性分析</w:t>
      </w:r>
    </w:p>
    <w:p>
      <w:pPr>
        <w:widowControl w:val="0"/>
        <w:spacing w:line="360" w:lineRule="auto"/>
        <w:ind w:firstLine="480" w:firstLineChars="200"/>
        <w:rPr>
          <w:rFonts w:hint="eastAsia" w:eastAsia="仿宋_GB2312"/>
          <w:color w:val="auto"/>
          <w:kern w:val="0"/>
          <w:sz w:val="24"/>
          <w:szCs w:val="24"/>
        </w:rPr>
      </w:pPr>
      <w:bookmarkStart w:id="172" w:name="_Toc330470814"/>
      <w:bookmarkStart w:id="173" w:name="_Toc315359969"/>
      <w:bookmarkStart w:id="174" w:name="_Toc330485580"/>
      <w:r>
        <w:rPr>
          <w:rFonts w:hint="eastAsia" w:eastAsia="仿宋_GB2312"/>
          <w:color w:val="auto"/>
          <w:sz w:val="24"/>
        </w:rPr>
        <w:t>根据宜昌市人民政府公开发布的《市人民政府关于印发宜昌市“三线一单”生态环境分区管控实施方案的通知》（宜府发〔2021〕5号），宜昌市共划定环境管控单元109个，分为优先保护单元、重点管控单元和一般管控单元三类，实施分类管控</w:t>
      </w:r>
      <w:r>
        <w:rPr>
          <w:rFonts w:hint="eastAsia" w:eastAsia="仿宋_GB2312"/>
          <w:color w:val="auto"/>
          <w:kern w:val="0"/>
          <w:sz w:val="24"/>
          <w:szCs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本项目选址位于</w:t>
      </w:r>
      <w:r>
        <w:rPr>
          <w:rFonts w:hint="eastAsia" w:eastAsia="仿宋_GB2312"/>
          <w:color w:val="auto"/>
          <w:sz w:val="24"/>
          <w:lang w:val="en-US" w:eastAsia="zh-CN"/>
        </w:rPr>
        <w:t>枝城</w:t>
      </w:r>
      <w:r>
        <w:rPr>
          <w:rFonts w:hint="eastAsia" w:eastAsia="仿宋_GB2312"/>
          <w:color w:val="auto"/>
          <w:sz w:val="24"/>
        </w:rPr>
        <w:t>镇，属于重点管控单元。重点管控单元应优化空间布局，加强污染物排放管控和环境风险防控，不断提升资源利用效率，解决突出生态环境问题。</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本项目与</w:t>
      </w:r>
      <w:r>
        <w:rPr>
          <w:rFonts w:hint="eastAsia" w:eastAsia="仿宋_GB2312"/>
          <w:color w:val="auto"/>
          <w:sz w:val="24"/>
          <w:lang w:val="en-US" w:eastAsia="zh-CN"/>
        </w:rPr>
        <w:t>枝城</w:t>
      </w:r>
      <w:r>
        <w:rPr>
          <w:rFonts w:hint="eastAsia" w:eastAsia="仿宋_GB2312"/>
          <w:color w:val="auto"/>
          <w:sz w:val="24"/>
        </w:rPr>
        <w:t>镇环境管控单元管控要求相符性分析见下表</w:t>
      </w:r>
      <w:r>
        <w:rPr>
          <w:rFonts w:hint="eastAsia" w:eastAsia="仿宋_GB2312"/>
          <w:color w:val="auto"/>
          <w:sz w:val="24"/>
          <w:lang w:eastAsia="zh-CN"/>
        </w:rPr>
        <w:t>。</w:t>
      </w:r>
    </w:p>
    <w:p>
      <w:pPr>
        <w:widowControl w:val="0"/>
        <w:spacing w:line="360" w:lineRule="auto"/>
        <w:ind w:firstLine="422" w:firstLineChars="200"/>
        <w:jc w:val="center"/>
        <w:rPr>
          <w:rFonts w:eastAsia="黑体"/>
          <w:b/>
          <w:bCs/>
          <w:color w:val="auto"/>
        </w:rPr>
      </w:pPr>
      <w:r>
        <w:rPr>
          <w:rFonts w:eastAsia="黑体"/>
          <w:b/>
          <w:bCs/>
          <w:color w:val="auto"/>
        </w:rPr>
        <w:t>表</w:t>
      </w:r>
      <w:r>
        <w:rPr>
          <w:rFonts w:hint="eastAsia" w:eastAsia="黑体"/>
          <w:b/>
          <w:bCs/>
          <w:color w:val="auto"/>
          <w:lang w:val="en-US" w:eastAsia="zh-CN"/>
        </w:rPr>
        <w:t xml:space="preserve">6 </w:t>
      </w:r>
      <w:r>
        <w:rPr>
          <w:rFonts w:eastAsia="黑体"/>
          <w:b/>
          <w:bCs/>
          <w:color w:val="auto"/>
        </w:rPr>
        <w:t xml:space="preserve"> </w:t>
      </w:r>
      <w:r>
        <w:rPr>
          <w:rFonts w:hint="eastAsia" w:eastAsia="黑体"/>
          <w:b/>
          <w:bCs/>
          <w:color w:val="auto"/>
          <w:lang w:val="en-US" w:eastAsia="zh-CN"/>
        </w:rPr>
        <w:t>本项目与枝城镇环境管控单元管控要求</w:t>
      </w:r>
      <w:r>
        <w:rPr>
          <w:rFonts w:eastAsia="黑体"/>
          <w:b/>
          <w:bCs/>
          <w:color w:val="auto"/>
        </w:rPr>
        <w:t>符合性分析</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3"/>
        <w:gridCol w:w="4951"/>
        <w:gridCol w:w="1652"/>
        <w:gridCol w:w="8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9"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管控类型</w:t>
            </w:r>
          </w:p>
        </w:tc>
        <w:tc>
          <w:tcPr>
            <w:tcW w:w="2907"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管控要求</w:t>
            </w:r>
          </w:p>
        </w:tc>
        <w:tc>
          <w:tcPr>
            <w:tcW w:w="970"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项目情况</w:t>
            </w:r>
          </w:p>
        </w:tc>
        <w:tc>
          <w:tcPr>
            <w:tcW w:w="503" w:type="pct"/>
            <w:tcBorders>
              <w:top w:val="single" w:color="auto" w:sz="12" w:space="0"/>
              <w:bottom w:val="single" w:color="auto" w:sz="12" w:space="0"/>
            </w:tcBorders>
            <w:noWrap w:val="0"/>
            <w:vAlign w:val="center"/>
          </w:tcPr>
          <w:p>
            <w:pPr>
              <w:widowControl w:val="0"/>
              <w:spacing w:line="280" w:lineRule="exact"/>
              <w:contextualSpacing/>
              <w:jc w:val="center"/>
              <w:rPr>
                <w:rFonts w:hint="default"/>
                <w:color w:val="auto"/>
                <w:sz w:val="20"/>
                <w:lang w:val="en-US" w:eastAsia="zh-CN"/>
              </w:rPr>
            </w:pPr>
            <w:r>
              <w:rPr>
                <w:rFonts w:hint="eastAsia"/>
                <w:color w:val="auto"/>
                <w:sz w:val="20"/>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9" w:type="pct"/>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空间布局约束</w:t>
            </w:r>
          </w:p>
        </w:tc>
        <w:tc>
          <w:tcPr>
            <w:tcW w:w="2907" w:type="pct"/>
            <w:noWrap w:val="0"/>
            <w:vAlign w:val="center"/>
          </w:tcPr>
          <w:p>
            <w:pPr>
              <w:widowControl w:val="0"/>
              <w:spacing w:line="280" w:lineRule="exact"/>
              <w:contextualSpacing/>
              <w:jc w:val="left"/>
              <w:rPr>
                <w:rFonts w:hint="eastAsia"/>
                <w:color w:val="auto"/>
                <w:sz w:val="20"/>
              </w:rPr>
            </w:pPr>
            <w:r>
              <w:rPr>
                <w:rFonts w:hint="eastAsia"/>
                <w:color w:val="auto"/>
                <w:sz w:val="20"/>
              </w:rPr>
              <w:t>1.单元内林地执行湖北省总体准入要求中关于自然生态空间、森林、公益林等的空间准入要求。</w:t>
            </w:r>
          </w:p>
          <w:p>
            <w:pPr>
              <w:widowControl w:val="0"/>
              <w:spacing w:line="280" w:lineRule="exact"/>
              <w:contextualSpacing/>
              <w:jc w:val="left"/>
              <w:rPr>
                <w:rFonts w:hint="default" w:eastAsia="宋体"/>
                <w:color w:val="auto"/>
                <w:sz w:val="20"/>
                <w:lang w:val="en-US" w:eastAsia="zh-CN"/>
              </w:rPr>
            </w:pPr>
            <w:r>
              <w:rPr>
                <w:rFonts w:hint="eastAsia"/>
                <w:color w:val="auto"/>
                <w:sz w:val="20"/>
                <w:lang w:val="en-US" w:eastAsia="zh-CN"/>
              </w:rPr>
              <w:t>2.单元内岸线执行全省总体准入要求中关于岸线空间布局约束的准入要求，优先保护岸线严格水域岸线用途。</w:t>
            </w:r>
          </w:p>
          <w:p>
            <w:pPr>
              <w:widowControl w:val="0"/>
              <w:spacing w:line="280" w:lineRule="exact"/>
              <w:contextualSpacing/>
              <w:jc w:val="left"/>
              <w:rPr>
                <w:rFonts w:hint="eastAsia"/>
                <w:color w:val="auto"/>
                <w:sz w:val="20"/>
              </w:rPr>
            </w:pPr>
            <w:r>
              <w:rPr>
                <w:rFonts w:hint="eastAsia"/>
                <w:color w:val="auto"/>
                <w:sz w:val="20"/>
                <w:lang w:val="en-US" w:eastAsia="zh-CN"/>
              </w:rPr>
              <w:t>3</w:t>
            </w:r>
            <w:r>
              <w:rPr>
                <w:rFonts w:hint="eastAsia"/>
                <w:color w:val="auto"/>
                <w:sz w:val="20"/>
              </w:rPr>
              <w:t>.执行全省、宜昌市总体准入要求中关于沿江15公里范围内布局约束的准入要求。</w:t>
            </w:r>
          </w:p>
          <w:p>
            <w:pPr>
              <w:widowControl w:val="0"/>
              <w:spacing w:line="280" w:lineRule="exact"/>
              <w:contextualSpacing/>
              <w:jc w:val="left"/>
              <w:rPr>
                <w:rFonts w:hint="eastAsia"/>
                <w:color w:val="auto"/>
                <w:sz w:val="20"/>
              </w:rPr>
            </w:pPr>
            <w:r>
              <w:rPr>
                <w:rFonts w:hint="eastAsia"/>
                <w:color w:val="auto"/>
                <w:sz w:val="20"/>
                <w:lang w:val="en-US" w:eastAsia="zh-CN"/>
              </w:rPr>
              <w:t>4</w:t>
            </w:r>
            <w:r>
              <w:rPr>
                <w:rFonts w:hint="eastAsia"/>
                <w:color w:val="auto"/>
                <w:sz w:val="20"/>
              </w:rPr>
              <w:t>.</w:t>
            </w:r>
            <w:r>
              <w:rPr>
                <w:rFonts w:hint="eastAsia"/>
                <w:color w:val="auto"/>
                <w:sz w:val="20"/>
                <w:lang w:val="en-US" w:eastAsia="zh-CN"/>
              </w:rPr>
              <w:t>宜昌市多邦化工有限公司、俄罗康玛国际进出口（湖北）有限公司、湖北美洋化肥科技有限公司、宜都市金星钒业有限责任公司、宜都市兴业工贸有限公司、湖北楚星化工股份有限公司、湖北大江化工集团有限公司、宜化宜都化工有限公司、宜昌宜化太平洋化工有限公司落实宜昌市沿江化工企业“关改搬转”工作部署</w:t>
            </w:r>
            <w:r>
              <w:rPr>
                <w:rFonts w:hint="eastAsia"/>
                <w:color w:val="auto"/>
                <w:sz w:val="20"/>
              </w:rPr>
              <w:t>。</w:t>
            </w:r>
          </w:p>
          <w:p>
            <w:pPr>
              <w:widowControl w:val="0"/>
              <w:spacing w:line="280" w:lineRule="exact"/>
              <w:contextualSpacing/>
              <w:jc w:val="left"/>
              <w:rPr>
                <w:rFonts w:hint="default" w:eastAsia="宋体"/>
                <w:color w:val="auto"/>
                <w:sz w:val="20"/>
                <w:lang w:val="en-US" w:eastAsia="zh-CN"/>
              </w:rPr>
            </w:pPr>
            <w:r>
              <w:rPr>
                <w:rFonts w:hint="eastAsia"/>
                <w:color w:val="auto"/>
                <w:sz w:val="20"/>
              </w:rPr>
              <w:t>5.</w:t>
            </w:r>
            <w:r>
              <w:rPr>
                <w:rFonts w:hint="eastAsia"/>
                <w:color w:val="auto"/>
                <w:sz w:val="20"/>
                <w:lang w:val="en-US" w:eastAsia="zh-CN"/>
              </w:rPr>
              <w:t>宜都工业园区新建、改扩建项目应符合园区规划及规划环评中的准入要求。严格控制尿素、磷馁、电石、烧碱、聚氯乙烯等过剩行业新增产能，对符合政策要求的先进工艺改造提升项目应实行等量或减量置换；严格限制染料化工、农药中间体及农药建设项目</w:t>
            </w:r>
            <w:r>
              <w:rPr>
                <w:rFonts w:hint="eastAsia"/>
                <w:color w:val="auto"/>
                <w:sz w:val="20"/>
                <w:lang w:eastAsia="zh-CN"/>
              </w:rPr>
              <w:t>。</w:t>
            </w:r>
            <w:r>
              <w:rPr>
                <w:rFonts w:hint="eastAsia"/>
                <w:color w:val="auto"/>
                <w:sz w:val="20"/>
                <w:lang w:val="en-US" w:eastAsia="zh-CN"/>
              </w:rPr>
              <w:t>北部综合工业园现有陶瓷企业应严格控制生产规模，重点发展以磷石膏、煤矿及化工废料为主要材料的新型建材和卫生陶瓷两大方向，限制其他建材产品的规模扩张，现有陶瓷企业改扩建应满足增产减污的要求。</w:t>
            </w:r>
          </w:p>
        </w:tc>
        <w:tc>
          <w:tcPr>
            <w:tcW w:w="970" w:type="pct"/>
            <w:noWrap w:val="0"/>
            <w:vAlign w:val="center"/>
          </w:tcPr>
          <w:p>
            <w:pPr>
              <w:widowControl w:val="0"/>
              <w:spacing w:line="280" w:lineRule="exact"/>
              <w:contextualSpacing/>
              <w:jc w:val="center"/>
              <w:rPr>
                <w:color w:val="auto"/>
                <w:sz w:val="20"/>
              </w:rPr>
            </w:pPr>
            <w:r>
              <w:rPr>
                <w:rFonts w:hint="eastAsia"/>
                <w:color w:val="auto"/>
                <w:sz w:val="20"/>
              </w:rPr>
              <w:t>项目位于</w:t>
            </w:r>
            <w:r>
              <w:rPr>
                <w:rFonts w:hint="eastAsia"/>
                <w:color w:val="auto"/>
                <w:sz w:val="20"/>
                <w:lang w:val="en-US" w:eastAsia="zh-CN"/>
              </w:rPr>
              <w:t>枝城</w:t>
            </w:r>
            <w:r>
              <w:rPr>
                <w:rFonts w:hint="eastAsia"/>
                <w:color w:val="auto"/>
                <w:sz w:val="20"/>
              </w:rPr>
              <w:t>镇，为</w:t>
            </w:r>
            <w:r>
              <w:rPr>
                <w:rFonts w:hint="eastAsia"/>
                <w:color w:val="auto"/>
                <w:sz w:val="20"/>
                <w:lang w:val="en-US" w:eastAsia="zh-CN"/>
              </w:rPr>
              <w:t>散货</w:t>
            </w:r>
            <w:r>
              <w:rPr>
                <w:rFonts w:hint="eastAsia"/>
                <w:color w:val="auto"/>
                <w:sz w:val="20"/>
              </w:rPr>
              <w:t>码头项目，严格执行宜昌港总体规划及规划环评中的准入要求，项目不涉及自然保护区、风景名胜区的核心景区、森林公园的生态保育区和核心景观区、湿地公园的湿地保育区和恢复重建区、饮用水源保护区、水产种质资源保护区的核心区等，因此，项目的建设符合管控要求</w:t>
            </w:r>
          </w:p>
        </w:tc>
        <w:tc>
          <w:tcPr>
            <w:tcW w:w="503" w:type="pct"/>
            <w:noWrap w:val="0"/>
            <w:vAlign w:val="center"/>
          </w:tcPr>
          <w:p>
            <w:pPr>
              <w:widowControl w:val="0"/>
              <w:spacing w:line="280" w:lineRule="exact"/>
              <w:contextualSpacing/>
              <w:jc w:val="center"/>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9" w:type="pct"/>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污染物排放管控</w:t>
            </w:r>
          </w:p>
        </w:tc>
        <w:tc>
          <w:tcPr>
            <w:tcW w:w="2907" w:type="pct"/>
            <w:noWrap w:val="0"/>
            <w:vAlign w:val="center"/>
          </w:tcPr>
          <w:p>
            <w:pPr>
              <w:widowControl w:val="0"/>
              <w:spacing w:line="280" w:lineRule="exact"/>
              <w:contextualSpacing/>
              <w:jc w:val="left"/>
              <w:rPr>
                <w:rFonts w:hint="eastAsia"/>
                <w:color w:val="auto"/>
                <w:sz w:val="20"/>
              </w:rPr>
            </w:pPr>
            <w:r>
              <w:rPr>
                <w:rFonts w:hint="eastAsia"/>
                <w:color w:val="auto"/>
                <w:sz w:val="20"/>
              </w:rPr>
              <w:t>1.城镇污水集中处理率达到</w:t>
            </w:r>
            <w:r>
              <w:rPr>
                <w:rFonts w:hint="eastAsia"/>
                <w:color w:val="auto"/>
                <w:sz w:val="20"/>
                <w:lang w:val="en-US" w:eastAsia="zh-CN"/>
              </w:rPr>
              <w:t>8</w:t>
            </w:r>
            <w:r>
              <w:rPr>
                <w:rFonts w:hint="eastAsia"/>
                <w:color w:val="auto"/>
                <w:sz w:val="20"/>
              </w:rPr>
              <w:t>0%以上。</w:t>
            </w:r>
          </w:p>
          <w:p>
            <w:pPr>
              <w:widowControl w:val="0"/>
              <w:spacing w:line="280" w:lineRule="exact"/>
              <w:contextualSpacing/>
              <w:jc w:val="left"/>
              <w:rPr>
                <w:rFonts w:hint="default" w:eastAsia="宋体"/>
                <w:color w:val="auto"/>
                <w:sz w:val="20"/>
                <w:lang w:val="en-US" w:eastAsia="zh-CN"/>
              </w:rPr>
            </w:pPr>
            <w:r>
              <w:rPr>
                <w:rFonts w:hint="eastAsia"/>
                <w:color w:val="auto"/>
                <w:sz w:val="20"/>
                <w:lang w:val="en-US" w:eastAsia="zh-CN"/>
              </w:rPr>
              <w:t>2.宜都工业园区涉及总磷排放的建设项目应实行新增排放量区域内倍量置换，确保园区总磷污染物排放量不增加。</w:t>
            </w:r>
          </w:p>
          <w:p>
            <w:pPr>
              <w:widowControl w:val="0"/>
              <w:spacing w:line="280" w:lineRule="exact"/>
              <w:contextualSpacing/>
              <w:jc w:val="left"/>
              <w:rPr>
                <w:rFonts w:hint="eastAsia"/>
                <w:color w:val="auto"/>
                <w:sz w:val="20"/>
              </w:rPr>
            </w:pPr>
            <w:r>
              <w:rPr>
                <w:rFonts w:hint="eastAsia"/>
                <w:color w:val="auto"/>
                <w:sz w:val="20"/>
              </w:rPr>
              <w:t>3.</w:t>
            </w:r>
            <w:r>
              <w:rPr>
                <w:rFonts w:hint="eastAsia"/>
                <w:color w:val="auto"/>
                <w:sz w:val="20"/>
                <w:lang w:val="en-US" w:eastAsia="zh-CN"/>
              </w:rPr>
              <w:t>宜都东阳广火电厂执行超低排放标准的时间以省政府批复时间为准，对于国家排放标准中已规定大气污染物特别排放限值的行业以及锅炉，应按要求执行大气污染物特别排放限值</w:t>
            </w:r>
            <w:r>
              <w:rPr>
                <w:rFonts w:hint="eastAsia"/>
                <w:color w:val="auto"/>
                <w:sz w:val="20"/>
                <w:lang w:eastAsia="zh-CN"/>
              </w:rPr>
              <w:t>。</w:t>
            </w:r>
          </w:p>
          <w:p>
            <w:pPr>
              <w:widowControl w:val="0"/>
              <w:spacing w:line="280" w:lineRule="exact"/>
              <w:contextualSpacing/>
              <w:jc w:val="left"/>
              <w:rPr>
                <w:rFonts w:hint="eastAsia" w:eastAsia="宋体"/>
                <w:color w:val="auto"/>
                <w:sz w:val="20"/>
                <w:lang w:eastAsia="zh-CN"/>
              </w:rPr>
            </w:pPr>
            <w:r>
              <w:rPr>
                <w:rFonts w:hint="eastAsia"/>
                <w:color w:val="auto"/>
                <w:sz w:val="20"/>
                <w:lang w:val="en-US" w:eastAsia="zh-CN"/>
              </w:rPr>
              <w:t>4</w:t>
            </w:r>
            <w:r>
              <w:rPr>
                <w:rFonts w:hint="eastAsia"/>
                <w:color w:val="auto"/>
                <w:sz w:val="20"/>
              </w:rPr>
              <w:t>.上一年度PM</w:t>
            </w:r>
            <w:r>
              <w:rPr>
                <w:rFonts w:hint="eastAsia"/>
                <w:color w:val="auto"/>
                <w:sz w:val="20"/>
                <w:vertAlign w:val="subscript"/>
              </w:rPr>
              <w:t>2.5</w:t>
            </w:r>
            <w:r>
              <w:rPr>
                <w:rFonts w:hint="eastAsia"/>
                <w:color w:val="auto"/>
                <w:sz w:val="20"/>
              </w:rPr>
              <w:t>年平均浓度超标，单元内建设项目实施二氧化硫、氮氧化物、烟粉尘、挥发性有机物四项污染物2倍削减替代。</w:t>
            </w:r>
          </w:p>
        </w:tc>
        <w:tc>
          <w:tcPr>
            <w:tcW w:w="970" w:type="pct"/>
            <w:noWrap w:val="0"/>
            <w:vAlign w:val="center"/>
          </w:tcPr>
          <w:p>
            <w:pPr>
              <w:widowControl w:val="0"/>
              <w:spacing w:line="280" w:lineRule="exact"/>
              <w:contextualSpacing/>
              <w:jc w:val="center"/>
              <w:rPr>
                <w:color w:val="auto"/>
                <w:sz w:val="20"/>
              </w:rPr>
            </w:pPr>
            <w:r>
              <w:rPr>
                <w:rFonts w:hint="eastAsia"/>
                <w:color w:val="auto"/>
                <w:sz w:val="20"/>
              </w:rPr>
              <w:t>项</w:t>
            </w:r>
            <w:r>
              <w:rPr>
                <w:rFonts w:hint="eastAsia"/>
                <w:color w:val="auto"/>
                <w:sz w:val="20"/>
                <w:lang w:val="en-US" w:eastAsia="zh-CN"/>
              </w:rPr>
              <w:t>目属于散货码头项目，项目废水不外排</w:t>
            </w:r>
            <w:r>
              <w:rPr>
                <w:rFonts w:hint="eastAsia" w:ascii="Times New Roman" w:hAnsi="Times New Roman" w:eastAsia="宋体" w:cs="Times New Roman"/>
                <w:color w:val="auto"/>
                <w:sz w:val="20"/>
                <w:lang w:val="en-US" w:eastAsia="zh-CN"/>
              </w:rPr>
              <w:t>；二氧化硫、氮氧化物、烟粉尘2倍削减替</w:t>
            </w:r>
            <w:r>
              <w:rPr>
                <w:rFonts w:hint="eastAsia"/>
                <w:color w:val="auto"/>
                <w:sz w:val="20"/>
              </w:rPr>
              <w:t>代</w:t>
            </w:r>
            <w:r>
              <w:rPr>
                <w:rFonts w:hint="eastAsia"/>
                <w:color w:val="auto"/>
                <w:sz w:val="20"/>
                <w:lang w:val="en-US" w:eastAsia="zh-CN"/>
              </w:rPr>
              <w:t>，符合污染物排放管控要求</w:t>
            </w:r>
          </w:p>
        </w:tc>
        <w:tc>
          <w:tcPr>
            <w:tcW w:w="503" w:type="pct"/>
            <w:noWrap w:val="0"/>
            <w:vAlign w:val="center"/>
          </w:tcPr>
          <w:p>
            <w:pPr>
              <w:widowControl w:val="0"/>
              <w:spacing w:line="280" w:lineRule="exact"/>
              <w:contextualSpacing/>
              <w:jc w:val="center"/>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9" w:type="pct"/>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环境风险防控</w:t>
            </w:r>
          </w:p>
        </w:tc>
        <w:tc>
          <w:tcPr>
            <w:tcW w:w="2907" w:type="pct"/>
            <w:noWrap w:val="0"/>
            <w:vAlign w:val="center"/>
          </w:tcPr>
          <w:p>
            <w:pPr>
              <w:widowControl w:val="0"/>
              <w:spacing w:line="280" w:lineRule="exact"/>
              <w:contextualSpacing/>
              <w:jc w:val="left"/>
              <w:rPr>
                <w:rFonts w:hint="eastAsia"/>
                <w:color w:val="auto"/>
                <w:sz w:val="20"/>
              </w:rPr>
            </w:pPr>
            <w:r>
              <w:rPr>
                <w:rFonts w:hint="eastAsia"/>
                <w:color w:val="auto"/>
                <w:sz w:val="20"/>
              </w:rPr>
              <w:t>1.</w:t>
            </w:r>
            <w:r>
              <w:rPr>
                <w:rFonts w:hint="eastAsia"/>
                <w:color w:val="auto"/>
                <w:sz w:val="20"/>
                <w:lang w:val="en-US" w:eastAsia="zh-CN"/>
              </w:rPr>
              <w:t>宜都工业园应建立大气、水、土壤环境风险防控体系</w:t>
            </w:r>
            <w:r>
              <w:rPr>
                <w:rFonts w:hint="eastAsia"/>
                <w:color w:val="auto"/>
                <w:sz w:val="20"/>
              </w:rPr>
              <w:t>。</w:t>
            </w:r>
          </w:p>
          <w:p>
            <w:pPr>
              <w:widowControl w:val="0"/>
              <w:spacing w:line="280" w:lineRule="exact"/>
              <w:contextualSpacing/>
              <w:jc w:val="left"/>
              <w:rPr>
                <w:rFonts w:hint="eastAsia"/>
                <w:color w:val="auto"/>
                <w:sz w:val="20"/>
              </w:rPr>
            </w:pPr>
            <w:r>
              <w:rPr>
                <w:rFonts w:hint="eastAsia"/>
                <w:color w:val="auto"/>
                <w:sz w:val="20"/>
              </w:rPr>
              <w:t>2.</w:t>
            </w:r>
            <w:r>
              <w:rPr>
                <w:rFonts w:hint="eastAsia"/>
                <w:color w:val="auto"/>
                <w:sz w:val="20"/>
                <w:lang w:val="en-US" w:eastAsia="zh-CN"/>
              </w:rPr>
              <w:t>单元内化工医药企业，在贮存、转移危险化学品、危险废物过程中，应配套有效措施，防止因渗漏污染地下水、土壤，以及因事故废水直排污染地表水体</w:t>
            </w:r>
            <w:r>
              <w:rPr>
                <w:rFonts w:hint="eastAsia"/>
                <w:color w:val="auto"/>
                <w:sz w:val="20"/>
              </w:rPr>
              <w:t>。</w:t>
            </w:r>
          </w:p>
          <w:p>
            <w:pPr>
              <w:widowControl w:val="0"/>
              <w:spacing w:line="280" w:lineRule="exact"/>
              <w:contextualSpacing/>
              <w:jc w:val="left"/>
              <w:rPr>
                <w:rFonts w:hint="eastAsia" w:eastAsia="宋体"/>
                <w:color w:val="auto"/>
                <w:sz w:val="20"/>
                <w:lang w:eastAsia="zh-CN"/>
              </w:rPr>
            </w:pPr>
            <w:r>
              <w:rPr>
                <w:rFonts w:hint="eastAsia"/>
                <w:color w:val="auto"/>
                <w:sz w:val="20"/>
              </w:rPr>
              <w:t>3.</w:t>
            </w:r>
            <w:r>
              <w:rPr>
                <w:rFonts w:hint="eastAsia"/>
                <w:color w:val="auto"/>
                <w:sz w:val="20"/>
                <w:lang w:val="en-US" w:eastAsia="zh-CN"/>
              </w:rPr>
              <w:t>宜都工业园内产生、利用或处置固体废物（含危险废物）的化工医药等企业，在贮存、转移、利用、处置固体废物（含危险废物）过程中，应配套防扬散、防流失、防渗漏及其他防止污染环境的措施。</w:t>
            </w:r>
          </w:p>
        </w:tc>
        <w:tc>
          <w:tcPr>
            <w:tcW w:w="970" w:type="pct"/>
            <w:noWrap w:val="0"/>
            <w:vAlign w:val="center"/>
          </w:tcPr>
          <w:p>
            <w:pPr>
              <w:widowControl w:val="0"/>
              <w:spacing w:line="280" w:lineRule="exact"/>
              <w:contextualSpacing/>
              <w:jc w:val="center"/>
              <w:rPr>
                <w:color w:val="auto"/>
                <w:sz w:val="20"/>
              </w:rPr>
            </w:pPr>
            <w:r>
              <w:rPr>
                <w:rFonts w:hint="eastAsia"/>
                <w:color w:val="auto"/>
                <w:sz w:val="20"/>
              </w:rPr>
              <w:t>项目制定有应对大气、水环境风险的防范措施以及配备匹配的溢油应急物资，并制定企业应急预案，以确保及时有效的应对、处理突发风险事故</w:t>
            </w:r>
          </w:p>
        </w:tc>
        <w:tc>
          <w:tcPr>
            <w:tcW w:w="503" w:type="pct"/>
            <w:noWrap w:val="0"/>
            <w:vAlign w:val="center"/>
          </w:tcPr>
          <w:p>
            <w:pPr>
              <w:widowControl w:val="0"/>
              <w:spacing w:line="280" w:lineRule="exact"/>
              <w:contextualSpacing/>
              <w:jc w:val="center"/>
              <w:rPr>
                <w:rFonts w:hint="eastAsia"/>
                <w:color w:val="auto"/>
                <w:sz w:val="20"/>
              </w:rPr>
            </w:pPr>
            <w:r>
              <w:rPr>
                <w:rFonts w:hint="eastAsia"/>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9" w:type="pct"/>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资源利用效率</w:t>
            </w:r>
          </w:p>
        </w:tc>
        <w:tc>
          <w:tcPr>
            <w:tcW w:w="2907" w:type="pct"/>
            <w:noWrap w:val="0"/>
            <w:vAlign w:val="center"/>
          </w:tcPr>
          <w:p>
            <w:pPr>
              <w:widowControl w:val="0"/>
              <w:spacing w:line="280" w:lineRule="exact"/>
              <w:contextualSpacing/>
              <w:jc w:val="left"/>
              <w:rPr>
                <w:color w:val="auto"/>
                <w:sz w:val="20"/>
              </w:rPr>
            </w:pPr>
            <w:r>
              <w:rPr>
                <w:rFonts w:hint="eastAsia"/>
                <w:color w:val="auto"/>
                <w:sz w:val="20"/>
                <w:lang w:val="en-US" w:eastAsia="zh-CN"/>
              </w:rPr>
              <w:t>宜都工业园区单位工业增加值新鲜水耗低于9m</w:t>
            </w:r>
            <w:r>
              <w:rPr>
                <w:rFonts w:hint="eastAsia"/>
                <w:color w:val="auto"/>
                <w:sz w:val="20"/>
                <w:vertAlign w:val="superscript"/>
                <w:lang w:val="en-US" w:eastAsia="zh-CN"/>
              </w:rPr>
              <w:t>3</w:t>
            </w:r>
            <w:r>
              <w:rPr>
                <w:rFonts w:hint="eastAsia"/>
                <w:color w:val="auto"/>
                <w:sz w:val="20"/>
              </w:rPr>
              <w:t>&lt;万元，</w:t>
            </w:r>
            <w:r>
              <w:rPr>
                <w:rFonts w:hint="eastAsia"/>
                <w:color w:val="auto"/>
                <w:sz w:val="20"/>
                <w:lang w:val="en-US" w:eastAsia="zh-CN"/>
              </w:rPr>
              <w:t>能耗不大于2.29吨标煤/</w:t>
            </w:r>
            <w:r>
              <w:rPr>
                <w:rFonts w:hint="eastAsia"/>
                <w:color w:val="auto"/>
                <w:sz w:val="20"/>
              </w:rPr>
              <w:t>万元。</w:t>
            </w:r>
          </w:p>
        </w:tc>
        <w:tc>
          <w:tcPr>
            <w:tcW w:w="970" w:type="pct"/>
            <w:noWrap w:val="0"/>
            <w:vAlign w:val="center"/>
          </w:tcPr>
          <w:p>
            <w:pPr>
              <w:widowControl w:val="0"/>
              <w:spacing w:line="280" w:lineRule="exact"/>
              <w:contextualSpacing/>
              <w:jc w:val="center"/>
              <w:rPr>
                <w:color w:val="auto"/>
                <w:sz w:val="20"/>
              </w:rPr>
            </w:pPr>
            <w:r>
              <w:rPr>
                <w:rFonts w:hint="eastAsia"/>
                <w:color w:val="auto"/>
                <w:sz w:val="20"/>
              </w:rPr>
              <w:t>项目运营期使用清洁能源电能和水能，且不使用高污染燃料，符合管控要求</w:t>
            </w:r>
          </w:p>
        </w:tc>
        <w:tc>
          <w:tcPr>
            <w:tcW w:w="503" w:type="pct"/>
            <w:noWrap w:val="0"/>
            <w:vAlign w:val="center"/>
          </w:tcPr>
          <w:p>
            <w:pPr>
              <w:widowControl w:val="0"/>
              <w:spacing w:line="280" w:lineRule="exact"/>
              <w:contextualSpacing/>
              <w:jc w:val="center"/>
              <w:rPr>
                <w:rFonts w:hint="eastAsia"/>
                <w:color w:val="auto"/>
                <w:sz w:val="20"/>
              </w:rPr>
            </w:pPr>
            <w:r>
              <w:rPr>
                <w:rFonts w:hint="eastAsia"/>
                <w:color w:val="auto"/>
                <w:sz w:val="20"/>
                <w:lang w:val="en-US" w:eastAsia="zh-CN"/>
              </w:rPr>
              <w:t>符合</w:t>
            </w:r>
          </w:p>
        </w:tc>
      </w:tr>
    </w:tbl>
    <w:p>
      <w:pPr>
        <w:widowControl w:val="0"/>
        <w:spacing w:line="360" w:lineRule="auto"/>
        <w:ind w:firstLine="422" w:firstLineChars="200"/>
        <w:jc w:val="center"/>
        <w:rPr>
          <w:rFonts w:hint="default" w:eastAsia="黑体"/>
          <w:b/>
          <w:bCs/>
          <w:color w:val="auto"/>
          <w:lang w:val="en-US"/>
        </w:rPr>
      </w:pPr>
      <w:r>
        <w:rPr>
          <w:rFonts w:eastAsia="黑体"/>
          <w:b/>
          <w:bCs/>
          <w:color w:val="auto"/>
        </w:rPr>
        <w:t>表</w:t>
      </w:r>
      <w:r>
        <w:rPr>
          <w:rFonts w:hint="eastAsia" w:eastAsia="黑体"/>
          <w:b/>
          <w:bCs/>
          <w:color w:val="auto"/>
          <w:lang w:val="en-US" w:eastAsia="zh-CN"/>
        </w:rPr>
        <w:t xml:space="preserve">7 </w:t>
      </w:r>
      <w:r>
        <w:rPr>
          <w:rFonts w:eastAsia="黑体"/>
          <w:b/>
          <w:bCs/>
          <w:color w:val="auto"/>
        </w:rPr>
        <w:t xml:space="preserve"> </w:t>
      </w:r>
      <w:r>
        <w:rPr>
          <w:rFonts w:hint="eastAsia" w:eastAsia="黑体"/>
          <w:b/>
          <w:bCs/>
          <w:color w:val="auto"/>
          <w:lang w:val="en-US" w:eastAsia="zh-CN"/>
        </w:rPr>
        <w:t>与湖北省生态环境总体准入要求分析一览表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4682"/>
        <w:gridCol w:w="1935"/>
        <w:gridCol w:w="8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610"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管控类型</w:t>
            </w:r>
          </w:p>
        </w:tc>
        <w:tc>
          <w:tcPr>
            <w:tcW w:w="2749"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管控要求</w:t>
            </w:r>
          </w:p>
        </w:tc>
        <w:tc>
          <w:tcPr>
            <w:tcW w:w="1136" w:type="pct"/>
            <w:tcBorders>
              <w:top w:val="single" w:color="auto" w:sz="12" w:space="0"/>
              <w:bottom w:val="single" w:color="auto" w:sz="12" w:space="0"/>
            </w:tcBorders>
            <w:noWrap w:val="0"/>
            <w:vAlign w:val="center"/>
          </w:tcPr>
          <w:p>
            <w:pPr>
              <w:widowControl w:val="0"/>
              <w:spacing w:line="280" w:lineRule="exact"/>
              <w:contextualSpacing/>
              <w:jc w:val="center"/>
              <w:rPr>
                <w:rFonts w:hint="default" w:eastAsia="宋体"/>
                <w:color w:val="auto"/>
                <w:sz w:val="20"/>
                <w:lang w:val="en-US" w:eastAsia="zh-CN"/>
              </w:rPr>
            </w:pPr>
            <w:r>
              <w:rPr>
                <w:rFonts w:hint="eastAsia"/>
                <w:color w:val="auto"/>
                <w:sz w:val="20"/>
                <w:lang w:val="en-US" w:eastAsia="zh-CN"/>
              </w:rPr>
              <w:t>项目情况</w:t>
            </w:r>
          </w:p>
        </w:tc>
        <w:tc>
          <w:tcPr>
            <w:tcW w:w="503" w:type="pct"/>
            <w:tcBorders>
              <w:top w:val="single" w:color="auto" w:sz="12" w:space="0"/>
              <w:bottom w:val="single" w:color="auto" w:sz="12" w:space="0"/>
            </w:tcBorders>
            <w:noWrap w:val="0"/>
            <w:vAlign w:val="center"/>
          </w:tcPr>
          <w:p>
            <w:pPr>
              <w:widowControl w:val="0"/>
              <w:spacing w:line="280" w:lineRule="exact"/>
              <w:contextualSpacing/>
              <w:jc w:val="center"/>
              <w:rPr>
                <w:rFonts w:hint="default"/>
                <w:color w:val="auto"/>
                <w:sz w:val="20"/>
                <w:lang w:val="en-US" w:eastAsia="zh-CN"/>
              </w:rPr>
            </w:pPr>
            <w:r>
              <w:rPr>
                <w:rFonts w:hint="eastAsia"/>
                <w:color w:val="auto"/>
                <w:sz w:val="20"/>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0" w:type="pct"/>
            <w:noWrap w:val="0"/>
            <w:vAlign w:val="center"/>
          </w:tcPr>
          <w:p>
            <w:pPr>
              <w:widowControl w:val="0"/>
              <w:spacing w:line="280" w:lineRule="exact"/>
              <w:contextualSpacing/>
              <w:jc w:val="center"/>
              <w:rPr>
                <w:rFonts w:hint="eastAsia"/>
                <w:color w:val="auto"/>
                <w:sz w:val="20"/>
                <w:lang w:val="en-US" w:eastAsia="zh-CN"/>
              </w:rPr>
            </w:pPr>
            <w:r>
              <w:rPr>
                <w:rFonts w:hint="default"/>
                <w:color w:val="auto"/>
                <w:sz w:val="20"/>
                <w:lang w:val="en-US" w:eastAsia="zh-CN"/>
              </w:rPr>
              <w:t>关于岸线布局约束的准入要求</w:t>
            </w:r>
          </w:p>
        </w:tc>
        <w:tc>
          <w:tcPr>
            <w:tcW w:w="2749" w:type="pct"/>
            <w:noWrap w:val="0"/>
            <w:vAlign w:val="center"/>
          </w:tcPr>
          <w:p>
            <w:pPr>
              <w:widowControl w:val="0"/>
              <w:spacing w:line="280" w:lineRule="exact"/>
              <w:contextualSpacing/>
              <w:jc w:val="left"/>
              <w:rPr>
                <w:rFonts w:hint="default"/>
                <w:color w:val="auto"/>
                <w:sz w:val="20"/>
                <w:lang w:val="en-US" w:eastAsia="zh-CN"/>
              </w:rPr>
            </w:pPr>
            <w:r>
              <w:rPr>
                <w:rFonts w:hint="default"/>
                <w:color w:val="auto"/>
                <w:sz w:val="20"/>
                <w:lang w:val="en-US" w:eastAsia="zh-CN"/>
              </w:rPr>
              <w:t>禁止在自然保护区核心区、缓冲区的岸线和河段范围内投资建设旅游和生产经营项目。禁止在风景名胜区核心景区的岸线和河段范围内投资建设与风景名胜资源保护无关的项目，禁止建设污染环境、破坏生态的宾馆、招待所、疗养院等建筑物。禁止在水产种质资源保护区的岸线和河段范围内新建排污口，以及围垦占用、围湖造田等投资建设项目。禁止在国家湿地公园的岸线和河段范围内挖沙、采矿，以及从事房地产、度假村等任何不符合主体功能定位的投资建设项目，禁止开（围）垦、填埋、排干或截断水资源，禁止破坏野生动物栖息地和迁徙通道、鱼类洄游通道等破坏湿地及其生态功能的活动。</w:t>
            </w:r>
          </w:p>
          <w:p>
            <w:pPr>
              <w:widowControl w:val="0"/>
              <w:spacing w:line="280" w:lineRule="exact"/>
              <w:contextualSpacing/>
              <w:jc w:val="left"/>
              <w:rPr>
                <w:rFonts w:hint="default"/>
                <w:color w:val="auto"/>
                <w:sz w:val="20"/>
                <w:lang w:val="en-US" w:eastAsia="zh-CN"/>
              </w:rPr>
            </w:pPr>
            <w:r>
              <w:rPr>
                <w:rFonts w:hint="default"/>
                <w:color w:val="auto"/>
                <w:sz w:val="20"/>
                <w:lang w:val="en-US" w:eastAsia="zh-CN"/>
              </w:rPr>
              <w:t>禁止在《长江岸线保护和开发利用总体规划》划定的岸线保护区内投资建设除保障防洪安全、河势稳定、供水安全以及保护生态环境、已建重要枢纽工程以外的项目。禁止在《长江岸线保护和开发利用总体规划》划定的岸线保留区内投资建设除保障防洪安全、河势稳定、供水安全、航道稳定及保护生态环境以外的项目。</w:t>
            </w:r>
          </w:p>
          <w:p>
            <w:pPr>
              <w:widowControl w:val="0"/>
              <w:spacing w:line="280" w:lineRule="exact"/>
              <w:contextualSpacing/>
              <w:jc w:val="left"/>
              <w:rPr>
                <w:rFonts w:hint="default"/>
                <w:color w:val="auto"/>
                <w:sz w:val="20"/>
                <w:lang w:val="en-US" w:eastAsia="zh-CN"/>
              </w:rPr>
            </w:pPr>
            <w:r>
              <w:rPr>
                <w:rFonts w:hint="default"/>
                <w:color w:val="auto"/>
                <w:sz w:val="20"/>
                <w:lang w:val="en-US" w:eastAsia="zh-CN"/>
              </w:rPr>
              <w:t>禁止建设不符合全国和省级港口布局规划以及港口总体规划的码头项目，禁止建设不符合《长江干线过江通道布局规划》的过长江通道项目。禁止新建无油气回收设施的原油、汽油、石脑油等装船作业码头。</w:t>
            </w:r>
          </w:p>
          <w:p>
            <w:pPr>
              <w:widowControl w:val="0"/>
              <w:spacing w:line="280" w:lineRule="exact"/>
              <w:contextualSpacing/>
              <w:jc w:val="left"/>
              <w:rPr>
                <w:rFonts w:hint="eastAsia"/>
                <w:color w:val="auto"/>
                <w:sz w:val="20"/>
                <w:lang w:val="en-US" w:eastAsia="zh-CN"/>
              </w:rPr>
            </w:pPr>
            <w:r>
              <w:rPr>
                <w:rFonts w:hint="default"/>
                <w:color w:val="auto"/>
                <w:sz w:val="20"/>
                <w:lang w:val="en-US" w:eastAsia="zh-CN"/>
              </w:rPr>
              <w:t>不得在分洪区（指国家和省批准的分蓄洪区、滞洪区、行洪区）兴建生产、储存危险物品的项目以及新建、扩建、改建不符合国家和省制定的防洪标准及建筑设计标准房屋及其他建筑物。分洪口门区域和洪水主流区内，不准修建或设置有碍行洪的建（构）筑物、树障、渠堤等，已有的应清除。</w:t>
            </w:r>
          </w:p>
        </w:tc>
        <w:tc>
          <w:tcPr>
            <w:tcW w:w="1136" w:type="pct"/>
            <w:noWrap w:val="0"/>
            <w:vAlign w:val="center"/>
          </w:tcPr>
          <w:p>
            <w:pPr>
              <w:widowControl w:val="0"/>
              <w:spacing w:line="280" w:lineRule="exact"/>
              <w:contextualSpacing/>
              <w:jc w:val="center"/>
              <w:rPr>
                <w:rFonts w:hint="default"/>
                <w:color w:val="auto"/>
                <w:sz w:val="20"/>
                <w:lang w:val="en-US" w:eastAsia="zh-CN"/>
              </w:rPr>
            </w:pPr>
            <w:r>
              <w:rPr>
                <w:rFonts w:hint="default"/>
                <w:color w:val="auto"/>
                <w:sz w:val="20"/>
                <w:lang w:val="en-US" w:eastAsia="zh-CN"/>
              </w:rPr>
              <w:t>本项目不涉及自然保护区、风景名胜区、水产种质资源保护区、国家湿地。</w:t>
            </w:r>
          </w:p>
          <w:p>
            <w:pPr>
              <w:widowControl w:val="0"/>
              <w:spacing w:line="280" w:lineRule="exact"/>
              <w:contextualSpacing/>
              <w:jc w:val="center"/>
              <w:rPr>
                <w:rFonts w:hint="default"/>
                <w:color w:val="auto"/>
                <w:sz w:val="20"/>
                <w:lang w:val="en-US" w:eastAsia="zh-CN"/>
              </w:rPr>
            </w:pPr>
            <w:r>
              <w:rPr>
                <w:rFonts w:hint="default"/>
                <w:color w:val="auto"/>
                <w:sz w:val="20"/>
                <w:lang w:val="en-US" w:eastAsia="zh-CN"/>
              </w:rPr>
              <w:t>本项目位于</w:t>
            </w:r>
            <w:r>
              <w:rPr>
                <w:rFonts w:hint="eastAsia"/>
                <w:color w:val="auto"/>
                <w:sz w:val="20"/>
                <w:lang w:val="en-US" w:eastAsia="zh-CN"/>
              </w:rPr>
              <w:t>岸线</w:t>
            </w:r>
            <w:r>
              <w:rPr>
                <w:rFonts w:hint="default"/>
                <w:color w:val="auto"/>
                <w:sz w:val="20"/>
                <w:lang w:val="en-US" w:eastAsia="zh-CN"/>
              </w:rPr>
              <w:t>控制利用区，不在岸线保护区和保留区内。</w:t>
            </w:r>
          </w:p>
          <w:p>
            <w:pPr>
              <w:widowControl w:val="0"/>
              <w:spacing w:line="280" w:lineRule="exact"/>
              <w:contextualSpacing/>
              <w:jc w:val="center"/>
              <w:rPr>
                <w:rFonts w:hint="default"/>
                <w:color w:val="auto"/>
                <w:sz w:val="20"/>
                <w:lang w:val="en-US" w:eastAsia="zh-CN"/>
              </w:rPr>
            </w:pPr>
            <w:r>
              <w:rPr>
                <w:rFonts w:hint="default"/>
                <w:color w:val="auto"/>
                <w:sz w:val="20"/>
                <w:lang w:val="en-US" w:eastAsia="zh-CN"/>
              </w:rPr>
              <w:t>本项目与《宜昌港总体</w:t>
            </w:r>
            <w:r>
              <w:rPr>
                <w:rFonts w:hint="eastAsia"/>
                <w:color w:val="auto"/>
                <w:sz w:val="20"/>
                <w:lang w:val="en-US" w:eastAsia="zh-CN"/>
              </w:rPr>
              <w:t>规划（</w:t>
            </w:r>
            <w:r>
              <w:rPr>
                <w:rFonts w:hint="default"/>
                <w:color w:val="auto"/>
                <w:sz w:val="20"/>
                <w:lang w:val="en-US" w:eastAsia="zh-CN"/>
              </w:rPr>
              <w:t>2035</w:t>
            </w:r>
            <w:r>
              <w:rPr>
                <w:rFonts w:hint="eastAsia"/>
                <w:color w:val="auto"/>
                <w:sz w:val="20"/>
                <w:lang w:val="en-US" w:eastAsia="zh-CN"/>
              </w:rPr>
              <w:t>年）</w:t>
            </w:r>
            <w:r>
              <w:rPr>
                <w:rFonts w:hint="default"/>
                <w:color w:val="auto"/>
                <w:sz w:val="20"/>
                <w:lang w:val="en-US" w:eastAsia="zh-CN"/>
              </w:rPr>
              <w:t>》相符。项目为</w:t>
            </w:r>
            <w:r>
              <w:rPr>
                <w:rFonts w:hint="eastAsia"/>
                <w:color w:val="auto"/>
                <w:sz w:val="20"/>
                <w:lang w:val="en-US" w:eastAsia="zh-CN"/>
              </w:rPr>
              <w:t>技改散货码头</w:t>
            </w:r>
            <w:r>
              <w:rPr>
                <w:rFonts w:hint="default"/>
                <w:color w:val="auto"/>
                <w:sz w:val="20"/>
                <w:lang w:val="en-US" w:eastAsia="zh-CN"/>
              </w:rPr>
              <w:t>项目，</w:t>
            </w:r>
            <w:r>
              <w:rPr>
                <w:rFonts w:hint="eastAsia"/>
                <w:color w:val="auto"/>
                <w:sz w:val="20"/>
                <w:lang w:val="en-US" w:eastAsia="zh-CN"/>
              </w:rPr>
              <w:t>不属于</w:t>
            </w:r>
            <w:r>
              <w:rPr>
                <w:rFonts w:hint="default"/>
                <w:color w:val="auto"/>
                <w:sz w:val="20"/>
                <w:lang w:val="en-US" w:eastAsia="zh-CN"/>
              </w:rPr>
              <w:t>过长江通道项目。</w:t>
            </w:r>
          </w:p>
          <w:p>
            <w:pPr>
              <w:widowControl w:val="0"/>
              <w:spacing w:line="280" w:lineRule="exact"/>
              <w:contextualSpacing/>
              <w:jc w:val="center"/>
              <w:rPr>
                <w:rFonts w:hint="eastAsia"/>
                <w:color w:val="auto"/>
                <w:sz w:val="20"/>
                <w:lang w:val="en-US" w:eastAsia="zh-CN"/>
              </w:rPr>
            </w:pPr>
            <w:r>
              <w:rPr>
                <w:rFonts w:hint="eastAsia"/>
                <w:color w:val="auto"/>
                <w:sz w:val="20"/>
                <w:lang w:val="en-US" w:eastAsia="zh-CN"/>
              </w:rPr>
              <w:t>项目不</w:t>
            </w:r>
            <w:r>
              <w:rPr>
                <w:rFonts w:hint="default"/>
                <w:color w:val="auto"/>
                <w:sz w:val="20"/>
                <w:lang w:val="en-US" w:eastAsia="zh-CN"/>
              </w:rPr>
              <w:t>在分洪区</w:t>
            </w:r>
            <w:r>
              <w:rPr>
                <w:rFonts w:hint="eastAsia"/>
                <w:color w:val="auto"/>
                <w:sz w:val="20"/>
                <w:lang w:val="en-US" w:eastAsia="zh-CN"/>
              </w:rPr>
              <w:t>。</w:t>
            </w:r>
          </w:p>
        </w:tc>
        <w:tc>
          <w:tcPr>
            <w:tcW w:w="503" w:type="pct"/>
            <w:noWrap w:val="0"/>
            <w:vAlign w:val="center"/>
          </w:tcPr>
          <w:p>
            <w:pPr>
              <w:widowControl w:val="0"/>
              <w:spacing w:line="280" w:lineRule="exact"/>
              <w:contextualSpacing/>
              <w:jc w:val="center"/>
              <w:rPr>
                <w:rFonts w:hint="eastAsia"/>
                <w:color w:val="auto"/>
                <w:sz w:val="20"/>
                <w:lang w:val="en-US" w:eastAsia="zh-CN"/>
              </w:rPr>
            </w:pPr>
            <w:r>
              <w:rPr>
                <w:rFonts w:hint="default"/>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0" w:type="pct"/>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default"/>
                <w:color w:val="auto"/>
                <w:sz w:val="20"/>
                <w:lang w:val="en-US" w:eastAsia="zh-CN"/>
              </w:rPr>
              <w:t>关于沿江15公里布局约束准入要求</w:t>
            </w:r>
          </w:p>
        </w:tc>
        <w:tc>
          <w:tcPr>
            <w:tcW w:w="2749" w:type="pct"/>
            <w:noWrap w:val="0"/>
            <w:vAlign w:val="center"/>
          </w:tcPr>
          <w:p>
            <w:pPr>
              <w:widowControl w:val="0"/>
              <w:spacing w:line="280" w:lineRule="exact"/>
              <w:contextualSpacing/>
              <w:jc w:val="left"/>
              <w:rPr>
                <w:rFonts w:hint="default"/>
                <w:color w:val="auto"/>
                <w:sz w:val="20"/>
                <w:lang w:val="en-US" w:eastAsia="zh-CN"/>
              </w:rPr>
            </w:pPr>
            <w:r>
              <w:rPr>
                <w:rFonts w:hint="default"/>
                <w:color w:val="auto"/>
                <w:sz w:val="20"/>
                <w:lang w:val="en-US" w:eastAsia="zh-CN"/>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p>
          <w:p>
            <w:pPr>
              <w:widowControl w:val="0"/>
              <w:spacing w:line="280" w:lineRule="exact"/>
              <w:contextualSpacing/>
              <w:jc w:val="left"/>
              <w:rPr>
                <w:rFonts w:hint="default" w:ascii="Times New Roman" w:hAnsi="Times New Roman" w:eastAsia="宋体" w:cs="Times New Roman"/>
                <w:color w:val="auto"/>
                <w:kern w:val="2"/>
                <w:sz w:val="20"/>
                <w:lang w:val="en-US" w:eastAsia="zh-CN" w:bidi="ar-SA"/>
              </w:rPr>
            </w:pPr>
            <w:r>
              <w:rPr>
                <w:rFonts w:hint="default"/>
                <w:color w:val="auto"/>
                <w:sz w:val="20"/>
                <w:lang w:val="en-US" w:eastAsia="zh-CN"/>
              </w:rPr>
              <w:t>符合规划区划或安全环保条件、存在环境污染风险的现有化工企业，一律实施关停或迁入合规园区、改造升级。2025年12月31日前，完成沿江1-15公里范围内的化工企业关改搬转。</w:t>
            </w:r>
          </w:p>
        </w:tc>
        <w:tc>
          <w:tcPr>
            <w:tcW w:w="1136" w:type="pct"/>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default"/>
                <w:color w:val="auto"/>
                <w:sz w:val="20"/>
                <w:lang w:val="en-US" w:eastAsia="zh-CN"/>
              </w:rPr>
              <w:t>本项目</w:t>
            </w:r>
            <w:r>
              <w:rPr>
                <w:rFonts w:hint="eastAsia"/>
                <w:color w:val="auto"/>
                <w:sz w:val="20"/>
                <w:lang w:val="en-US" w:eastAsia="zh-CN"/>
              </w:rPr>
              <w:t>不属于</w:t>
            </w:r>
            <w:r>
              <w:rPr>
                <w:rFonts w:hint="default"/>
                <w:color w:val="auto"/>
                <w:sz w:val="20"/>
                <w:lang w:val="en-US" w:eastAsia="zh-CN"/>
              </w:rPr>
              <w:t>化工园区和化工</w:t>
            </w:r>
            <w:r>
              <w:rPr>
                <w:rFonts w:hint="eastAsia"/>
                <w:color w:val="auto"/>
                <w:sz w:val="20"/>
                <w:lang w:val="en-US" w:eastAsia="zh-CN"/>
              </w:rPr>
              <w:t>建设</w:t>
            </w:r>
            <w:r>
              <w:rPr>
                <w:rFonts w:hint="default"/>
                <w:color w:val="auto"/>
                <w:sz w:val="20"/>
                <w:lang w:val="en-US" w:eastAsia="zh-CN"/>
              </w:rPr>
              <w:t>项目，不</w:t>
            </w:r>
            <w:r>
              <w:rPr>
                <w:rFonts w:hint="eastAsia"/>
                <w:color w:val="auto"/>
                <w:sz w:val="20"/>
                <w:lang w:val="en-US" w:eastAsia="zh-CN"/>
              </w:rPr>
              <w:t>属于</w:t>
            </w:r>
            <w:r>
              <w:rPr>
                <w:rFonts w:hint="default"/>
                <w:color w:val="auto"/>
                <w:sz w:val="20"/>
                <w:lang w:val="en-US" w:eastAsia="zh-CN"/>
              </w:rPr>
              <w:t>尾矿库</w:t>
            </w:r>
            <w:r>
              <w:rPr>
                <w:rFonts w:hint="eastAsia"/>
                <w:color w:val="auto"/>
                <w:sz w:val="20"/>
                <w:lang w:val="en-US" w:eastAsia="zh-CN"/>
              </w:rPr>
              <w:t>建设项目</w:t>
            </w:r>
          </w:p>
        </w:tc>
        <w:tc>
          <w:tcPr>
            <w:tcW w:w="503" w:type="pct"/>
            <w:noWrap w:val="0"/>
            <w:vAlign w:val="center"/>
          </w:tcPr>
          <w:p>
            <w:pPr>
              <w:widowControl w:val="0"/>
              <w:spacing w:line="280" w:lineRule="exact"/>
              <w:contextualSpacing/>
              <w:jc w:val="center"/>
              <w:rPr>
                <w:rFonts w:hint="default" w:ascii="Times New Roman" w:hAnsi="Times New Roman" w:eastAsia="宋体" w:cs="Times New Roman"/>
                <w:color w:val="auto"/>
                <w:kern w:val="2"/>
                <w:sz w:val="20"/>
                <w:lang w:val="en-US" w:eastAsia="zh-CN" w:bidi="ar-SA"/>
              </w:rPr>
            </w:pPr>
            <w:r>
              <w:rPr>
                <w:rFonts w:hint="default"/>
                <w:color w:val="auto"/>
                <w:sz w:val="20"/>
                <w:lang w:val="en-US" w:eastAsia="zh-CN"/>
              </w:rPr>
              <w:t>符合</w:t>
            </w:r>
          </w:p>
        </w:tc>
      </w:tr>
    </w:tbl>
    <w:p>
      <w:pPr>
        <w:widowControl w:val="0"/>
        <w:spacing w:line="360" w:lineRule="auto"/>
        <w:ind w:firstLine="480" w:firstLineChars="200"/>
        <w:jc w:val="both"/>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en-US" w:eastAsia="zh-CN"/>
        </w:rPr>
        <w:t>）与湖北省生态保护红线符合性分析</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2018年7月25日湖北省人民政府以鄂政发</w:t>
      </w:r>
      <w:r>
        <w:rPr>
          <w:rFonts w:hint="eastAsia" w:eastAsia="仿宋_GB2312"/>
          <w:color w:val="auto"/>
          <w:kern w:val="0"/>
          <w:sz w:val="24"/>
          <w:szCs w:val="24"/>
          <w:lang w:eastAsia="zh-CN"/>
        </w:rPr>
        <w:t>【</w:t>
      </w:r>
      <w:r>
        <w:rPr>
          <w:rFonts w:hint="eastAsia" w:eastAsia="仿宋_GB2312"/>
          <w:color w:val="auto"/>
          <w:kern w:val="0"/>
          <w:sz w:val="24"/>
          <w:szCs w:val="24"/>
        </w:rPr>
        <w:t>2018</w:t>
      </w:r>
      <w:r>
        <w:rPr>
          <w:rFonts w:hint="eastAsia" w:eastAsia="仿宋_GB2312"/>
          <w:color w:val="auto"/>
          <w:kern w:val="0"/>
          <w:sz w:val="24"/>
          <w:szCs w:val="24"/>
          <w:lang w:eastAsia="zh-CN"/>
        </w:rPr>
        <w:t>】</w:t>
      </w:r>
      <w:r>
        <w:rPr>
          <w:rFonts w:hint="eastAsia" w:eastAsia="仿宋_GB2312"/>
          <w:color w:val="auto"/>
          <w:kern w:val="0"/>
          <w:sz w:val="24"/>
          <w:szCs w:val="24"/>
        </w:rPr>
        <w:t>30号文发布《湖北省生态保护红线》，划定并严守生态保护红线，实现一条红线管控重要生态空间；并明确《湖北省生态保护红线划定方案》由省环保厅、省发展改革委联合发布。</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根据湖北省人民政府发布的《湖北省生态保护红线》：</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①湖北省生态保护红线总面积4.15万平方公里，占全省国土面积的22.30%。</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②湖北省生态保护红线总体呈现“四屏三江一区”基本格局。“四屏”指鄂西南武陵山区、鄂西北秦巴山区、鄂东南幕阜山区、鄂东北大别山区四个生态屏障，主要生态功能为水源涵养、生物多样性维护和水土保持；“三江”指长江、汉江和清江干流的重要水域及岸线；“一区”指江汉平原为主的重要湖泊湿地，主要生态功能为生物多样性维护和洪水调蓄。</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③湖北省生态保护红线的主要类型和分布范围包括：鄂西南武陵山区生物多样性维护、水土保持生态保护红线；鄂西北秦巴山区生物多样性维护生态保护红线；鄂东南幕阜山区水源涵养生态保护红线；鄂东北大别山区水土保持生态保护红线；江汉平原湖泊湿地生态保护红线；鄂北岗地水土保持生态保护红线。</w:t>
      </w:r>
    </w:p>
    <w:p>
      <w:pPr>
        <w:widowControl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湖北省生态保护红线划定方案》中生态保护红线的划定原则，省级及以上自然保护区、森林公园的生态保育区与核心景观区、湿地公园的湿地保育区与恢复重建区、地质公园的地质遗迹保护区、风景名胜区的一级保护区（核心景区）和国家级水产种质资源保护区的核心区、“三江”重要水域及岸线、重要湖泊、重要水库、重要林地等各类保护地划定为生态红线保护区。</w:t>
      </w:r>
    </w:p>
    <w:p>
      <w:pPr>
        <w:widowControl w:val="0"/>
        <w:spacing w:line="360" w:lineRule="auto"/>
        <w:ind w:firstLine="480" w:firstLineChars="200"/>
        <w:rPr>
          <w:rFonts w:hint="eastAsia" w:eastAsia="仿宋_GB2312"/>
          <w:color w:val="auto"/>
          <w:kern w:val="0"/>
          <w:sz w:val="24"/>
          <w:szCs w:val="24"/>
          <w:lang w:eastAsia="zh-CN"/>
        </w:rPr>
      </w:pPr>
      <w:r>
        <w:rPr>
          <w:rFonts w:hint="eastAsia" w:eastAsia="仿宋_GB2312"/>
          <w:color w:val="auto"/>
          <w:kern w:val="0"/>
          <w:sz w:val="24"/>
          <w:szCs w:val="24"/>
          <w:lang w:val="en-US" w:eastAsia="zh-CN"/>
        </w:rPr>
        <w:t>技改</w:t>
      </w:r>
      <w:r>
        <w:rPr>
          <w:rFonts w:hint="eastAsia" w:eastAsia="仿宋_GB2312"/>
          <w:color w:val="auto"/>
          <w:kern w:val="0"/>
          <w:sz w:val="24"/>
          <w:szCs w:val="24"/>
        </w:rPr>
        <w:t>项目不涉及森林公园、湿地公园、国家级水产种质资源保护区、集中式饮用水源保护区、自然保护区的核心区、缓冲区及实验区等保护地及生态功能极重要区与生态环境极敏感区。项目不占用生态红线，符合《湖北省生态保护红线管理办法》相关规定。项目与湖北省生态保护红线图位置关系见附图</w:t>
      </w:r>
      <w:r>
        <w:rPr>
          <w:rFonts w:hint="eastAsia" w:eastAsia="仿宋_GB2312"/>
          <w:color w:val="auto"/>
          <w:kern w:val="0"/>
          <w:sz w:val="24"/>
          <w:szCs w:val="24"/>
          <w:lang w:eastAsia="zh-CN"/>
        </w:rPr>
        <w:t>。</w:t>
      </w:r>
    </w:p>
    <w:p>
      <w:pPr>
        <w:widowControl w:val="0"/>
        <w:spacing w:line="360" w:lineRule="auto"/>
        <w:ind w:firstLine="480" w:firstLineChars="200"/>
        <w:jc w:val="both"/>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（3）环境质量底线符合性分析</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①环境空气质量现状</w:t>
      </w:r>
    </w:p>
    <w:p>
      <w:pPr>
        <w:widowControl w:val="0"/>
        <w:spacing w:line="360" w:lineRule="auto"/>
        <w:ind w:firstLine="480" w:firstLineChars="200"/>
        <w:jc w:val="both"/>
        <w:rPr>
          <w:rFonts w:eastAsia="仿宋_GB2312"/>
          <w:color w:val="auto"/>
          <w:sz w:val="24"/>
        </w:rPr>
      </w:pPr>
      <w:r>
        <w:rPr>
          <w:rFonts w:hint="eastAsia" w:eastAsia="仿宋_GB2312"/>
          <w:color w:val="auto"/>
          <w:sz w:val="24"/>
          <w:lang w:val="en-US" w:eastAsia="zh-CN"/>
        </w:rPr>
        <w:t>根据</w:t>
      </w:r>
      <w:r>
        <w:rPr>
          <w:rFonts w:hint="eastAsia" w:eastAsia="仿宋_GB2312"/>
          <w:color w:val="auto"/>
          <w:sz w:val="24"/>
          <w:lang w:eastAsia="zh-CN"/>
        </w:rPr>
        <w:t>宜昌市</w:t>
      </w:r>
      <w:r>
        <w:rPr>
          <w:rFonts w:eastAsia="仿宋_GB2312"/>
          <w:color w:val="auto"/>
          <w:sz w:val="24"/>
        </w:rPr>
        <w:t>生态环境</w:t>
      </w:r>
      <w:r>
        <w:rPr>
          <w:rFonts w:hint="eastAsia" w:eastAsia="仿宋_GB2312"/>
          <w:color w:val="auto"/>
          <w:sz w:val="24"/>
        </w:rPr>
        <w:t>局</w:t>
      </w:r>
      <w:r>
        <w:rPr>
          <w:rFonts w:eastAsia="仿宋_GB2312"/>
          <w:color w:val="auto"/>
          <w:sz w:val="24"/>
        </w:rPr>
        <w:t>发布的《</w:t>
      </w:r>
      <w:r>
        <w:rPr>
          <w:rFonts w:hint="eastAsia" w:eastAsia="仿宋_GB2312"/>
          <w:color w:val="auto"/>
          <w:sz w:val="24"/>
          <w:lang w:val="en-US" w:eastAsia="zh-CN"/>
        </w:rPr>
        <w:t>2022年宜昌市环境质量年报</w:t>
      </w:r>
      <w:r>
        <w:rPr>
          <w:rFonts w:eastAsia="仿宋_GB2312"/>
          <w:color w:val="auto"/>
          <w:sz w:val="24"/>
        </w:rPr>
        <w:t>》</w:t>
      </w:r>
      <w:r>
        <w:rPr>
          <w:rFonts w:hint="eastAsia" w:eastAsia="仿宋_GB2312"/>
          <w:color w:val="auto"/>
          <w:sz w:val="24"/>
          <w:lang w:val="en-US" w:eastAsia="zh-CN"/>
        </w:rPr>
        <w:t>可知</w:t>
      </w:r>
      <w:r>
        <w:rPr>
          <w:rFonts w:hint="eastAsia" w:eastAsia="仿宋_GB2312"/>
          <w:color w:val="auto"/>
          <w:sz w:val="24"/>
          <w:lang w:eastAsia="zh-CN"/>
        </w:rPr>
        <w:t>，</w:t>
      </w:r>
      <w:r>
        <w:rPr>
          <w:rFonts w:eastAsia="仿宋_GB2312"/>
          <w:color w:val="auto"/>
          <w:sz w:val="24"/>
        </w:rPr>
        <w:t>20</w:t>
      </w:r>
      <w:r>
        <w:rPr>
          <w:rFonts w:hint="eastAsia" w:eastAsia="仿宋_GB2312"/>
          <w:color w:val="auto"/>
          <w:sz w:val="24"/>
          <w:lang w:val="en-US" w:eastAsia="zh-CN"/>
        </w:rPr>
        <w:t>22</w:t>
      </w:r>
      <w:r>
        <w:rPr>
          <w:rFonts w:eastAsia="仿宋_GB2312"/>
          <w:color w:val="auto"/>
          <w:sz w:val="24"/>
        </w:rPr>
        <w:t>年长期监测数据表明</w:t>
      </w:r>
      <w:r>
        <w:rPr>
          <w:rFonts w:hint="eastAsia" w:eastAsia="仿宋_GB2312"/>
          <w:color w:val="auto"/>
          <w:sz w:val="24"/>
        </w:rPr>
        <w:t>：</w:t>
      </w:r>
      <w:r>
        <w:rPr>
          <w:rFonts w:eastAsia="仿宋_GB2312"/>
          <w:color w:val="auto"/>
          <w:sz w:val="24"/>
        </w:rPr>
        <w:t>PM</w:t>
      </w:r>
      <w:r>
        <w:rPr>
          <w:rFonts w:eastAsia="仿宋_GB2312"/>
          <w:color w:val="auto"/>
          <w:sz w:val="24"/>
          <w:vertAlign w:val="subscript"/>
        </w:rPr>
        <w:t>10</w:t>
      </w:r>
      <w:r>
        <w:rPr>
          <w:rFonts w:eastAsia="仿宋_GB2312"/>
          <w:color w:val="auto"/>
          <w:sz w:val="24"/>
        </w:rPr>
        <w:t>年均浓度、SO</w:t>
      </w:r>
      <w:r>
        <w:rPr>
          <w:rFonts w:eastAsia="仿宋_GB2312"/>
          <w:color w:val="auto"/>
          <w:sz w:val="24"/>
          <w:vertAlign w:val="subscript"/>
        </w:rPr>
        <w:t>2</w:t>
      </w:r>
      <w:r>
        <w:rPr>
          <w:rFonts w:eastAsia="仿宋_GB2312"/>
          <w:color w:val="auto"/>
          <w:sz w:val="24"/>
        </w:rPr>
        <w:t>年均浓度、NO</w:t>
      </w:r>
      <w:r>
        <w:rPr>
          <w:rFonts w:eastAsia="仿宋_GB2312"/>
          <w:color w:val="auto"/>
          <w:sz w:val="24"/>
          <w:vertAlign w:val="subscript"/>
        </w:rPr>
        <w:t>2</w:t>
      </w:r>
      <w:r>
        <w:rPr>
          <w:rFonts w:eastAsia="仿宋_GB2312"/>
          <w:color w:val="auto"/>
          <w:sz w:val="24"/>
        </w:rPr>
        <w:t>年均浓度、CO 24小时平均第95百分位数浓度、O</w:t>
      </w:r>
      <w:r>
        <w:rPr>
          <w:rFonts w:eastAsia="仿宋_GB2312"/>
          <w:color w:val="auto"/>
          <w:sz w:val="24"/>
          <w:vertAlign w:val="subscript"/>
        </w:rPr>
        <w:t>3</w:t>
      </w:r>
      <w:r>
        <w:rPr>
          <w:rFonts w:eastAsia="仿宋_GB2312"/>
          <w:color w:val="auto"/>
          <w:sz w:val="24"/>
        </w:rPr>
        <w:t>日最大8小时平均值第90百分位浓度能满足《环境空气质量标准》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w:t>
      </w:r>
      <w:r>
        <w:rPr>
          <w:rFonts w:hint="eastAsia" w:eastAsia="仿宋_GB2312"/>
          <w:color w:val="auto"/>
          <w:sz w:val="24"/>
          <w:lang w:eastAsia="zh-CN"/>
        </w:rPr>
        <w:t>；</w:t>
      </w:r>
      <w:r>
        <w:rPr>
          <w:rFonts w:eastAsia="仿宋_GB2312"/>
          <w:color w:val="auto"/>
          <w:sz w:val="24"/>
        </w:rPr>
        <w:t>PM</w:t>
      </w:r>
      <w:r>
        <w:rPr>
          <w:rFonts w:eastAsia="仿宋_GB2312"/>
          <w:color w:val="auto"/>
          <w:sz w:val="24"/>
          <w:vertAlign w:val="subscript"/>
        </w:rPr>
        <w:t>2.5</w:t>
      </w:r>
      <w:r>
        <w:rPr>
          <w:rFonts w:eastAsia="仿宋_GB2312"/>
          <w:color w:val="auto"/>
          <w:sz w:val="24"/>
        </w:rPr>
        <w:t>年均浓度</w:t>
      </w:r>
      <w:r>
        <w:rPr>
          <w:rFonts w:hint="eastAsia" w:eastAsia="仿宋_GB2312"/>
          <w:color w:val="auto"/>
          <w:sz w:val="24"/>
          <w:lang w:val="en-US" w:eastAsia="zh-CN"/>
        </w:rPr>
        <w:t>不</w:t>
      </w:r>
      <w:r>
        <w:rPr>
          <w:rFonts w:eastAsia="仿宋_GB2312"/>
          <w:color w:val="auto"/>
          <w:sz w:val="24"/>
        </w:rPr>
        <w:t>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二级标准。经判定，项目所在区为环境空气质量</w:t>
      </w:r>
      <w:r>
        <w:rPr>
          <w:rFonts w:hint="eastAsia" w:eastAsia="仿宋_GB2312"/>
          <w:color w:val="auto"/>
          <w:sz w:val="24"/>
          <w:lang w:val="en-US" w:eastAsia="zh-CN"/>
        </w:rPr>
        <w:t>不</w:t>
      </w:r>
      <w:r>
        <w:rPr>
          <w:rFonts w:eastAsia="仿宋_GB2312"/>
          <w:color w:val="auto"/>
          <w:sz w:val="24"/>
        </w:rPr>
        <w:t>达标区域。</w:t>
      </w:r>
    </w:p>
    <w:p>
      <w:pPr>
        <w:widowControl w:val="0"/>
        <w:spacing w:line="360" w:lineRule="auto"/>
        <w:ind w:firstLine="482" w:firstLineChars="200"/>
        <w:jc w:val="both"/>
        <w:rPr>
          <w:rFonts w:hint="eastAsia" w:eastAsia="仿宋_GB2312"/>
          <w:b/>
          <w:bCs/>
          <w:color w:val="auto"/>
          <w:sz w:val="24"/>
        </w:rPr>
      </w:pPr>
      <w:r>
        <w:rPr>
          <w:rFonts w:hint="eastAsia" w:eastAsia="仿宋_GB2312"/>
          <w:b/>
          <w:bCs/>
          <w:color w:val="auto"/>
          <w:sz w:val="24"/>
        </w:rPr>
        <w:t>区域大气环境综合治理规划：</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为改善宜昌市环境空气质量，宜昌市人民代表大会常务委员会根据《中华人民共和国环境保护法》、《中华人民共和国大气污染防治法》、《湖北省大气污染防治条例》等法律法规，结合本市实际制定了《宜昌市扬尘污染防治条例》，通过制定9条防治措施有效防治扬尘污染，改善大气环境质量，主要城区环境空气质量重污染天气大幅减少。2023年3月10日，宜昌市生态环境保护委员会办公室发布了《宜昌市2023年大气污染防治及应对气候变化工作实施方案》，深入推进面源污染治理，制定空气质量改善目标，各县市环境空气持续改善。</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项目运营期</w:t>
      </w:r>
      <w:r>
        <w:rPr>
          <w:rFonts w:hint="eastAsia" w:eastAsia="仿宋_GB2312"/>
          <w:color w:val="auto"/>
          <w:sz w:val="24"/>
          <w:lang w:eastAsia="zh-CN"/>
        </w:rPr>
        <w:t>产生的废气主要是</w:t>
      </w:r>
      <w:r>
        <w:rPr>
          <w:rFonts w:hint="eastAsia" w:eastAsia="仿宋_GB2312"/>
          <w:color w:val="auto"/>
          <w:sz w:val="24"/>
          <w:lang w:val="en-US" w:eastAsia="zh-CN"/>
        </w:rPr>
        <w:t>装卸粉尘</w:t>
      </w:r>
      <w:r>
        <w:rPr>
          <w:rFonts w:hint="eastAsia" w:eastAsia="仿宋_GB2312"/>
          <w:color w:val="auto"/>
          <w:sz w:val="24"/>
          <w:lang w:eastAsia="zh-CN"/>
        </w:rPr>
        <w:t>及</w:t>
      </w:r>
      <w:r>
        <w:rPr>
          <w:rFonts w:hint="eastAsia" w:eastAsia="仿宋_GB2312"/>
          <w:color w:val="auto"/>
          <w:sz w:val="24"/>
          <w:lang w:val="en-US" w:eastAsia="zh-CN"/>
        </w:rPr>
        <w:t>转运粉尘</w:t>
      </w:r>
      <w:r>
        <w:rPr>
          <w:rFonts w:hint="eastAsia" w:eastAsia="仿宋_GB2312"/>
          <w:color w:val="auto"/>
          <w:sz w:val="24"/>
          <w:lang w:eastAsia="zh-CN"/>
        </w:rPr>
        <w:t>。各项废气通过采取合理措施后达标排放。经预测，无组织排放</w:t>
      </w:r>
      <w:r>
        <w:rPr>
          <w:rFonts w:hint="eastAsia" w:eastAsia="仿宋_GB2312"/>
          <w:color w:val="auto"/>
          <w:sz w:val="24"/>
          <w:lang w:val="en-US" w:eastAsia="zh-CN"/>
        </w:rPr>
        <w:t>废气颗粒物预测浓度可</w:t>
      </w:r>
      <w:r>
        <w:rPr>
          <w:rFonts w:hint="eastAsia" w:eastAsia="仿宋_GB2312"/>
          <w:color w:val="auto"/>
          <w:sz w:val="24"/>
          <w:lang w:eastAsia="zh-CN"/>
        </w:rPr>
        <w:t>满足质量标准要求，同时无组织排放厂界浓度满足《大气污染物综合排放标准》（GB16297-1996）</w:t>
      </w:r>
      <w:r>
        <w:rPr>
          <w:rFonts w:hint="eastAsia" w:eastAsia="仿宋_GB2312"/>
          <w:color w:val="auto"/>
          <w:sz w:val="24"/>
          <w:lang w:val="en-US" w:eastAsia="zh-CN"/>
        </w:rPr>
        <w:t>中的</w:t>
      </w:r>
      <w:r>
        <w:rPr>
          <w:rFonts w:hint="eastAsia" w:eastAsia="仿宋_GB2312"/>
          <w:color w:val="auto"/>
          <w:sz w:val="24"/>
          <w:lang w:eastAsia="zh-CN"/>
        </w:rPr>
        <w:t>表2周界外浓度最高点限值要求，对周边环境空气影响可接受。</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②地表水环境质量现状</w:t>
      </w:r>
    </w:p>
    <w:p>
      <w:pPr>
        <w:spacing w:line="360" w:lineRule="auto"/>
        <w:ind w:firstLine="480" w:firstLineChars="200"/>
        <w:rPr>
          <w:rFonts w:hint="eastAsia" w:eastAsia="仿宋_GB2312"/>
          <w:color w:val="auto"/>
          <w:sz w:val="24"/>
        </w:rPr>
      </w:pPr>
      <w:r>
        <w:rPr>
          <w:rFonts w:hint="eastAsia" w:eastAsia="仿宋_GB2312"/>
          <w:color w:val="auto"/>
          <w:sz w:val="24"/>
          <w:lang w:val="en-US" w:eastAsia="zh-CN"/>
        </w:rPr>
        <w:t>根据</w:t>
      </w:r>
      <w:r>
        <w:rPr>
          <w:rFonts w:hint="eastAsia" w:eastAsia="仿宋_GB2312"/>
          <w:color w:val="auto"/>
          <w:sz w:val="24"/>
          <w:lang w:eastAsia="zh-CN"/>
        </w:rPr>
        <w:t>宜昌市</w:t>
      </w:r>
      <w:r>
        <w:rPr>
          <w:rFonts w:eastAsia="仿宋_GB2312"/>
          <w:color w:val="auto"/>
          <w:sz w:val="24"/>
        </w:rPr>
        <w:t>生态环境</w:t>
      </w:r>
      <w:r>
        <w:rPr>
          <w:rFonts w:hint="eastAsia" w:eastAsia="仿宋_GB2312"/>
          <w:color w:val="auto"/>
          <w:sz w:val="24"/>
        </w:rPr>
        <w:t>局</w:t>
      </w:r>
      <w:r>
        <w:rPr>
          <w:rFonts w:eastAsia="仿宋_GB2312"/>
          <w:color w:val="auto"/>
          <w:sz w:val="24"/>
        </w:rPr>
        <w:t>发布的《</w:t>
      </w:r>
      <w:r>
        <w:rPr>
          <w:rFonts w:hint="eastAsia" w:eastAsia="仿宋_GB2312"/>
          <w:color w:val="auto"/>
          <w:sz w:val="24"/>
          <w:lang w:val="en-US" w:eastAsia="zh-CN"/>
        </w:rPr>
        <w:t>2022年宜昌市环境质量年报</w:t>
      </w:r>
      <w:r>
        <w:rPr>
          <w:rFonts w:eastAsia="仿宋_GB2312"/>
          <w:color w:val="auto"/>
          <w:sz w:val="24"/>
        </w:rPr>
        <w:t>》</w:t>
      </w:r>
      <w:r>
        <w:rPr>
          <w:rFonts w:hint="eastAsia" w:eastAsia="仿宋_GB2312"/>
          <w:color w:val="auto"/>
          <w:sz w:val="24"/>
          <w:lang w:val="en-US" w:eastAsia="zh-CN"/>
        </w:rPr>
        <w:t>可知，</w:t>
      </w:r>
      <w:r>
        <w:rPr>
          <w:rFonts w:hint="default" w:eastAsia="仿宋_GB2312"/>
          <w:color w:val="auto"/>
          <w:sz w:val="24"/>
          <w:lang w:eastAsia="zh-CN"/>
        </w:rPr>
        <w:t>202</w:t>
      </w:r>
      <w:r>
        <w:rPr>
          <w:rFonts w:hint="eastAsia" w:eastAsia="仿宋_GB2312"/>
          <w:color w:val="auto"/>
          <w:sz w:val="24"/>
          <w:lang w:val="en-US" w:eastAsia="zh-CN"/>
        </w:rPr>
        <w:t>2</w:t>
      </w:r>
      <w:r>
        <w:rPr>
          <w:rFonts w:hint="default" w:eastAsia="仿宋_GB2312"/>
          <w:color w:val="auto"/>
          <w:sz w:val="24"/>
          <w:lang w:eastAsia="zh-CN"/>
        </w:rPr>
        <w:t>年长江枝城洋溪村（右）断面水质</w:t>
      </w:r>
      <w:r>
        <w:rPr>
          <w:rFonts w:hint="eastAsia" w:eastAsia="仿宋_GB2312"/>
          <w:color w:val="auto"/>
          <w:sz w:val="24"/>
          <w:lang w:val="en-US" w:eastAsia="zh-CN"/>
        </w:rPr>
        <w:t>可满足</w:t>
      </w:r>
      <w:r>
        <w:rPr>
          <w:rFonts w:hint="eastAsia" w:eastAsia="仿宋_GB2312"/>
          <w:color w:val="auto"/>
          <w:sz w:val="24"/>
        </w:rPr>
        <w:t>Ⅱ</w:t>
      </w:r>
      <w:r>
        <w:rPr>
          <w:rFonts w:hint="default" w:eastAsia="仿宋_GB2312"/>
          <w:color w:val="auto"/>
          <w:sz w:val="24"/>
          <w:lang w:eastAsia="zh-CN"/>
        </w:rPr>
        <w:t>类水质标准</w:t>
      </w:r>
      <w:r>
        <w:rPr>
          <w:rFonts w:hint="default" w:eastAsia="仿宋_GB2312"/>
          <w:color w:val="auto"/>
          <w:sz w:val="24"/>
          <w:lang w:val="en-US" w:eastAsia="zh-CN"/>
        </w:rPr>
        <w:t>要求</w:t>
      </w:r>
      <w:r>
        <w:rPr>
          <w:rFonts w:hint="eastAsia" w:eastAsia="仿宋_GB2312"/>
          <w:color w:val="auto"/>
          <w:sz w:val="24"/>
          <w:lang w:val="en-US"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w:t>
      </w:r>
      <w:r>
        <w:rPr>
          <w:rFonts w:hint="eastAsia" w:eastAsia="仿宋_GB2312"/>
          <w:color w:val="auto"/>
          <w:sz w:val="24"/>
          <w:lang w:val="en-US" w:eastAsia="zh-CN"/>
        </w:rPr>
        <w:t>地表水补充监测结果可知</w:t>
      </w:r>
      <w:r>
        <w:rPr>
          <w:rFonts w:hint="eastAsia" w:eastAsia="仿宋_GB2312"/>
          <w:color w:val="auto"/>
          <w:sz w:val="24"/>
        </w:rPr>
        <w:t>，长江各监测断面水质监测因子均满足《地表水环境质量标准》（GB3838-2002）Ⅱ类标准限值</w:t>
      </w:r>
      <w:r>
        <w:rPr>
          <w:rFonts w:eastAsia="仿宋_GB2312"/>
          <w:color w:val="auto"/>
          <w:sz w:val="24"/>
        </w:rPr>
        <w:t>。</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eastAsia="zh-CN"/>
        </w:rPr>
        <w:t>本项目</w:t>
      </w:r>
      <w:r>
        <w:rPr>
          <w:rFonts w:hint="eastAsia" w:eastAsia="仿宋_GB2312"/>
          <w:color w:val="auto"/>
          <w:sz w:val="24"/>
          <w:lang w:val="en-US" w:eastAsia="zh-CN"/>
        </w:rPr>
        <w:t>运营期码头人员生活污水通过</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趸船收集坎收集后进入初期雨水收集柜储存，委托海事部门认定的船舶污染物接收船定期统一处理；</w:t>
      </w: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③噪声质量现状</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根据噪声现状监测数据，</w:t>
      </w:r>
      <w:r>
        <w:rPr>
          <w:rFonts w:eastAsia="仿宋_GB2312"/>
          <w:color w:val="auto"/>
          <w:sz w:val="24"/>
        </w:rPr>
        <w:t>项目各厂界噪声昼、夜间监测值均满足《声环境质量标准》（GB3096-2008）</w:t>
      </w:r>
      <w:r>
        <w:rPr>
          <w:rFonts w:hint="eastAsia" w:eastAsia="仿宋_GB2312"/>
          <w:color w:val="auto"/>
          <w:sz w:val="24"/>
          <w:lang w:val="en-US" w:eastAsia="zh-CN"/>
        </w:rPr>
        <w:t>3</w:t>
      </w:r>
      <w:r>
        <w:rPr>
          <w:rFonts w:eastAsia="仿宋_GB2312"/>
          <w:color w:val="auto"/>
          <w:sz w:val="24"/>
        </w:rPr>
        <w:t>类</w:t>
      </w:r>
      <w:r>
        <w:rPr>
          <w:rFonts w:hint="eastAsia" w:eastAsia="仿宋_GB2312"/>
          <w:color w:val="auto"/>
          <w:sz w:val="24"/>
          <w:lang w:val="en-US" w:eastAsia="zh-CN"/>
        </w:rPr>
        <w:t>及4a类</w:t>
      </w:r>
      <w:r>
        <w:rPr>
          <w:rFonts w:eastAsia="仿宋_GB2312"/>
          <w:color w:val="auto"/>
          <w:sz w:val="24"/>
        </w:rPr>
        <w:t>标准。</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本项目采取的噪声防治措施为尽量选用低噪声的装卸、运输设备及工艺。对进港船舶发动机及排气要求采用相应的降噪措施，对进港船舶等要控制鸣笛，夜间港口船舶及到岗船舶禁止鸣笛。加强机械和设备的保养和维修、保持正常运行、正常运转，降低噪声等措施。</w:t>
      </w:r>
      <w:r>
        <w:rPr>
          <w:rFonts w:hint="eastAsia" w:eastAsia="仿宋_GB2312"/>
          <w:color w:val="auto"/>
          <w:sz w:val="24"/>
          <w:lang w:val="en-US" w:eastAsia="zh-CN"/>
        </w:rPr>
        <w:t>对周边居民敏感点影响较小。</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④固体废物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本项目产生的固体废物主要为</w:t>
      </w:r>
      <w:r>
        <w:rPr>
          <w:rFonts w:hint="eastAsia" w:eastAsia="仿宋_GB2312"/>
          <w:color w:val="auto"/>
          <w:sz w:val="24"/>
          <w:lang w:val="en-US" w:eastAsia="zh-CN"/>
        </w:rPr>
        <w:t>码头人员生活垃圾、</w:t>
      </w:r>
      <w:r>
        <w:rPr>
          <w:rFonts w:hint="eastAsia" w:eastAsia="仿宋_GB2312"/>
          <w:color w:val="auto"/>
          <w:sz w:val="24"/>
          <w:lang w:eastAsia="zh-CN"/>
        </w:rPr>
        <w:t>到港船舶生活垃圾、危险废物及一般工业固体废物，固体废物经采取合理处置后不外排，不会对周围环境产生影响。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项目建设不会对区域环境质量造成显著不利影响，不会突破项目所在地的环境质量底线，本项目的建设符合环境质量底线要求。</w:t>
      </w:r>
    </w:p>
    <w:p>
      <w:pPr>
        <w:widowControl w:val="0"/>
        <w:spacing w:line="360" w:lineRule="auto"/>
        <w:ind w:firstLine="480" w:firstLineChars="200"/>
        <w:jc w:val="both"/>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（4）资源利用上线符合性</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资源利用上线是从促进资源能源节约、保障资源高效利用、确保必不可少的环境容量角度，不应突破资源利用最高限值。</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本项目码头建设运营过程中主要消耗电、柴油、水等，项目资源消耗量相对区域利用总较少，不会超出区域供应能力，符合上限要求。</w:t>
      </w:r>
    </w:p>
    <w:p>
      <w:pPr>
        <w:widowControl w:val="0"/>
        <w:spacing w:line="360" w:lineRule="auto"/>
        <w:ind w:firstLine="480" w:firstLineChars="200"/>
        <w:jc w:val="both"/>
        <w:rPr>
          <w:rFonts w:hint="default"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（5）负面清单符合性</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湖北省推动长江经济带发展和生态保护领导小组办公室于2022年10月10日发布鄂长江办[2022]18号《省长江办关于印发&lt;长江经济带发展负面清单指南（试行，2022年版）湖北省实施细则的通知》，本项目与其相符性分析如下表。</w:t>
      </w:r>
    </w:p>
    <w:p>
      <w:pPr>
        <w:pStyle w:val="266"/>
        <w:spacing w:before="120" w:line="360" w:lineRule="auto"/>
        <w:rPr>
          <w:rFonts w:hint="eastAsia" w:ascii="黑体" w:hAnsi="黑体" w:cs="黑体"/>
          <w:b/>
          <w:color w:val="auto"/>
          <w:kern w:val="2"/>
          <w:sz w:val="21"/>
          <w:szCs w:val="21"/>
          <w:lang w:val="en-US" w:eastAsia="zh-CN"/>
        </w:rPr>
      </w:pPr>
      <w:r>
        <w:rPr>
          <w:rFonts w:hint="eastAsia" w:ascii="黑体" w:hAnsi="黑体" w:cs="黑体"/>
          <w:b/>
          <w:color w:val="auto"/>
          <w:kern w:val="2"/>
          <w:sz w:val="21"/>
          <w:szCs w:val="21"/>
          <w:lang w:val="en-US" w:eastAsia="zh-CN"/>
        </w:rPr>
        <w:t>表8  项目与《&lt;长江经济带发展负面清单指南（试行，2022年版）&gt;湖北省实施细则》符合性分析</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4846"/>
        <w:gridCol w:w="2356"/>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12" w:space="0"/>
              <w:bottom w:val="single" w:color="auto" w:sz="12"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序号</w:t>
            </w:r>
          </w:p>
        </w:tc>
        <w:tc>
          <w:tcPr>
            <w:tcW w:w="2845" w:type="pct"/>
            <w:tcBorders>
              <w:top w:val="single" w:color="auto" w:sz="12" w:space="0"/>
              <w:left w:val="single" w:color="auto" w:sz="6" w:space="0"/>
              <w:bottom w:val="single" w:color="auto" w:sz="12"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细则要求</w:t>
            </w:r>
          </w:p>
        </w:tc>
        <w:tc>
          <w:tcPr>
            <w:tcW w:w="1383" w:type="pct"/>
            <w:tcBorders>
              <w:top w:val="single" w:color="auto" w:sz="12" w:space="0"/>
              <w:left w:val="single" w:color="auto" w:sz="6" w:space="0"/>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本工程</w:t>
            </w:r>
          </w:p>
        </w:tc>
        <w:tc>
          <w:tcPr>
            <w:tcW w:w="455" w:type="pct"/>
            <w:tcBorders>
              <w:top w:val="single" w:color="auto" w:sz="12" w:space="0"/>
              <w:left w:val="single" w:color="auto" w:sz="6" w:space="0"/>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12"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w:t>
            </w:r>
          </w:p>
        </w:tc>
        <w:tc>
          <w:tcPr>
            <w:tcW w:w="2845" w:type="pct"/>
            <w:tcBorders>
              <w:top w:val="single" w:color="auto" w:sz="12"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禁止建设不符合全国和省级港口布局规划以及港口总体规划的码头项目，禁止建设不符合《长江干线过江通道布局规划》的过长江通道项目。</w:t>
            </w:r>
          </w:p>
        </w:tc>
        <w:tc>
          <w:tcPr>
            <w:tcW w:w="1383" w:type="pct"/>
            <w:tcBorders>
              <w:top w:val="single" w:color="auto" w:sz="12" w:space="0"/>
              <w:left w:val="single" w:color="auto" w:sz="6" w:space="0"/>
              <w:bottom w:val="single" w:color="auto" w:sz="6" w:space="0"/>
            </w:tcBorders>
            <w:noWrap w:val="0"/>
            <w:vAlign w:val="center"/>
          </w:tcPr>
          <w:p>
            <w:pPr>
              <w:pStyle w:val="312"/>
              <w:spacing w:line="320" w:lineRule="atLeast"/>
              <w:rPr>
                <w:rFonts w:hint="default" w:ascii="Times New Roman" w:hAnsi="Times New Roman" w:eastAsia="宋体" w:cs="Times New Roman"/>
                <w:color w:val="auto"/>
                <w:sz w:val="20"/>
                <w:lang w:val="en-US" w:eastAsia="zh-CN"/>
              </w:rPr>
            </w:pPr>
            <w:r>
              <w:rPr>
                <w:rFonts w:hint="default" w:ascii="Times New Roman" w:hAnsi="Times New Roman" w:cs="Times New Roman"/>
                <w:color w:val="auto"/>
                <w:sz w:val="20"/>
                <w:lang w:val="en-US" w:eastAsia="zh-CN"/>
              </w:rPr>
              <w:t>项目建设符合宜昌港总体规划</w:t>
            </w:r>
            <w:r>
              <w:rPr>
                <w:rFonts w:hint="eastAsia" w:ascii="Times New Roman" w:hAnsi="Times New Roman" w:cs="Times New Roman"/>
                <w:color w:val="auto"/>
                <w:sz w:val="20"/>
                <w:lang w:val="en-US" w:eastAsia="zh-CN"/>
              </w:rPr>
              <w:t>，不属于</w:t>
            </w:r>
            <w:r>
              <w:rPr>
                <w:rFonts w:hint="default" w:ascii="Times New Roman" w:hAnsi="Times New Roman" w:cs="Times New Roman"/>
                <w:color w:val="auto"/>
                <w:sz w:val="20"/>
                <w:lang w:val="en-US" w:eastAsia="zh-CN"/>
              </w:rPr>
              <w:t>过长江通道项目</w:t>
            </w:r>
          </w:p>
        </w:tc>
        <w:tc>
          <w:tcPr>
            <w:tcW w:w="455" w:type="pct"/>
            <w:tcBorders>
              <w:top w:val="single" w:color="auto" w:sz="12"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2</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禁止在自然保护区核心区、缓冲区的岸线和河段范围内投资建设旅游和生产经营项目。禁止在风景名胜区核心景区的岸线和河段范围内投资建设与风景名胜资源保护无关的项目。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项目建设不涉及自然保护区核心区、缓冲区的岸线和河段，不涉及风景名胜区核心景区的岸线和河段</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3</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造、扩建排放污染物的投资建设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项目不在饮用水水源保护区内</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4</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水产种质资源保护区的岸线和河段范围内新建围湖（河）造田等投资建设项目。涉及水产种质资源保护区建设项目应按照《长江水生生物保护管理规定》、《水产种质资源保护区管理暂行办法》等要求，依法依规依程序进行专题论证并办理相关手续。</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项目不涉及水产种质资源保护区</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5</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禁止在国家湿地公园的岸线和河段范围内挖沙、采矿，以及任何不符合主体功能定位的投资建设项目。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项目不涉及国家湿地公园</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6</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项目不涉及岸线保护区和河段保护区、保留区</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7</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禁止未经许可在长江干支流及湖泊新设、改设或扩大排污口</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项目不新建排污口</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8</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禁止在长江干流、汉江和水生生物保护区开展生产性捕捞</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项目不开展生产性捕捞</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9</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禁止在长江干支流岸线一公里（即水利部门河道管理范围边界向陆域纵深一公里）范围内新建、扩建化工园区和化工项目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项目为散货码头</w:t>
            </w:r>
            <w:r>
              <w:rPr>
                <w:rFonts w:hint="default" w:ascii="Times New Roman" w:hAnsi="Times New Roman" w:cs="Times New Roman"/>
                <w:color w:val="auto"/>
                <w:sz w:val="20"/>
                <w:lang w:val="en-US" w:eastAsia="zh-CN"/>
              </w:rPr>
              <w:t>项目</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10</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长江干流岸线三公里（即水利部门河道管理范围边界向陆域纵深三公里）范围内和重要支流岸线一公里（即水利部门河道管理范围边界向陆域纵深一公里）范围内新建、扩建尾矿库、冶炼渣库和磷石膏库，以提升安全、生态环境保护水平为目的的改建除外</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项目为散货码头</w:t>
            </w:r>
            <w:r>
              <w:rPr>
                <w:rFonts w:hint="default" w:ascii="Times New Roman" w:hAnsi="Times New Roman" w:cs="Times New Roman"/>
                <w:color w:val="auto"/>
                <w:sz w:val="20"/>
                <w:lang w:val="en-US" w:eastAsia="zh-CN"/>
              </w:rPr>
              <w:t>项目</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11</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禁止在合规园区外新建、扩建钢铁、石化、化工、焦化、建材、有色、制浆造纸等高污染项目。高污染项目清单参照生态环境部《环境保护综合目录（2021年版）》中的高污染产品目录执行</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项目不属于高污染项目</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12</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禁止新建、扩建不符合国家石化、现代煤化工等产业布局规划的项目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项目不涉及国家石化、现代化煤化工等产业</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13</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禁止新建、扩建法律法规和相关政策明令禁止的落后产能项目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项目不属于法律法规和相关政策明令禁止的落后产能项目</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14</w:t>
            </w:r>
          </w:p>
        </w:tc>
        <w:tc>
          <w:tcPr>
            <w:tcW w:w="2845" w:type="pct"/>
            <w:tcBorders>
              <w:top w:val="single" w:color="auto" w:sz="6" w:space="0"/>
              <w:left w:val="single" w:color="auto" w:sz="6" w:space="0"/>
              <w:bottom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禁止新建、扩建不符合国家产能置换要求的严重过剩产能行业项目</w:t>
            </w:r>
          </w:p>
        </w:tc>
        <w:tc>
          <w:tcPr>
            <w:tcW w:w="1383"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项目不属于不符合国家产能置换要求的严重过剩产能行业的项目</w:t>
            </w:r>
          </w:p>
        </w:tc>
        <w:tc>
          <w:tcPr>
            <w:tcW w:w="455" w:type="pct"/>
            <w:tcBorders>
              <w:top w:val="single" w:color="auto" w:sz="6" w:space="0"/>
              <w:left w:val="single" w:color="auto" w:sz="6" w:space="0"/>
              <w:bottom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5" w:type="pct"/>
            <w:tcBorders>
              <w:top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15</w:t>
            </w:r>
          </w:p>
        </w:tc>
        <w:tc>
          <w:tcPr>
            <w:tcW w:w="2845" w:type="pct"/>
            <w:tcBorders>
              <w:top w:val="single" w:color="auto" w:sz="6" w:space="0"/>
              <w:left w:val="single" w:color="auto" w:sz="6" w:space="0"/>
              <w:righ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禁止新建、扩建不符合要求的高耗能高排放低水平项目</w:t>
            </w:r>
          </w:p>
        </w:tc>
        <w:tc>
          <w:tcPr>
            <w:tcW w:w="1383" w:type="pct"/>
            <w:tcBorders>
              <w:top w:val="single" w:color="auto" w:sz="6" w:space="0"/>
              <w:lef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color w:val="auto"/>
                <w:sz w:val="20"/>
                <w:lang w:val="en-US" w:eastAsia="zh-CN"/>
              </w:rPr>
              <w:t>项目不属于高耗能高排放低水平项目</w:t>
            </w:r>
          </w:p>
        </w:tc>
        <w:tc>
          <w:tcPr>
            <w:tcW w:w="455" w:type="pct"/>
            <w:tcBorders>
              <w:top w:val="single" w:color="auto" w:sz="6" w:space="0"/>
              <w:left w:val="single" w:color="auto" w:sz="6"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bl>
    <w:p>
      <w:pPr>
        <w:widowControl w:val="0"/>
        <w:spacing w:line="360" w:lineRule="auto"/>
        <w:ind w:firstLine="480" w:firstLineChars="200"/>
        <w:rPr>
          <w:rFonts w:hint="eastAsia" w:eastAsia="仿宋_GB2312"/>
          <w:color w:val="auto"/>
          <w:sz w:val="24"/>
          <w:lang w:eastAsia="zh-CN"/>
        </w:rPr>
      </w:pPr>
      <w:r>
        <w:rPr>
          <w:rFonts w:hint="eastAsia" w:ascii="Times New Roman" w:hAnsi="Times New Roman" w:eastAsia="仿宋_GB2312" w:cs="Times New Roman"/>
          <w:color w:val="auto"/>
          <w:kern w:val="0"/>
          <w:sz w:val="24"/>
          <w:szCs w:val="24"/>
          <w:lang w:val="en-US" w:eastAsia="zh-CN"/>
        </w:rPr>
        <w:t>根据上表，本项目建设符合《&lt;长江经济带发展负面清单（试行，2022年版）&gt;湖北省实施细则》相关要求。</w:t>
      </w:r>
    </w:p>
    <w:bookmarkEnd w:id="172"/>
    <w:bookmarkEnd w:id="173"/>
    <w:bookmarkEnd w:id="174"/>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综上所述，本项目符合国家及地方国家和地方有关环境保护的政策、法规和管理文件要求，符合地方规划及环境功能区划，满足生态保护红线、环境质量底线、资源利用上线、负面清单的要求。</w:t>
      </w:r>
    </w:p>
    <w:p>
      <w:pPr>
        <w:pStyle w:val="9"/>
        <w:widowControl w:val="0"/>
        <w:spacing w:before="120" w:after="120" w:line="360" w:lineRule="auto"/>
        <w:rPr>
          <w:rFonts w:hint="default" w:eastAsia="黑体"/>
          <w:b w:val="0"/>
          <w:color w:val="auto"/>
          <w:sz w:val="24"/>
          <w:lang w:val="en-US" w:eastAsia="zh-CN"/>
        </w:rPr>
      </w:pPr>
      <w:bookmarkStart w:id="175" w:name="_Toc15275"/>
      <w:r>
        <w:rPr>
          <w:rFonts w:hint="eastAsia" w:eastAsia="黑体"/>
          <w:b w:val="0"/>
          <w:color w:val="auto"/>
          <w:sz w:val="24"/>
          <w:lang w:val="en-US" w:eastAsia="zh-CN"/>
        </w:rPr>
        <w:t>4、与相关保护区符合性分析</w:t>
      </w:r>
      <w:bookmarkEnd w:id="175"/>
    </w:p>
    <w:p>
      <w:pPr>
        <w:widowControl w:val="0"/>
        <w:spacing w:line="360" w:lineRule="auto"/>
        <w:ind w:firstLine="480" w:firstLineChars="200"/>
        <w:jc w:val="both"/>
        <w:rPr>
          <w:rFonts w:hint="default"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（1）与《中华人民共和国长江保护法》的相符性分析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2020年12月26日第十三届全国人民代表大会常务委员会第二十四次会议通过《中华人民共和国长江保护法》（中华人民共和国主席令第六十五号），自2021年3月1日起施行，本项目与其符合性分析如下表。</w:t>
      </w:r>
    </w:p>
    <w:p>
      <w:pPr>
        <w:pStyle w:val="266"/>
        <w:spacing w:before="120" w:line="360" w:lineRule="auto"/>
        <w:rPr>
          <w:rFonts w:hint="eastAsia" w:ascii="黑体" w:hAnsi="黑体" w:cs="黑体"/>
          <w:b/>
          <w:color w:val="auto"/>
          <w:kern w:val="2"/>
          <w:sz w:val="21"/>
          <w:szCs w:val="21"/>
          <w:lang w:val="en-US" w:eastAsia="zh-CN"/>
        </w:rPr>
      </w:pPr>
      <w:r>
        <w:rPr>
          <w:rFonts w:hint="eastAsia" w:ascii="黑体" w:hAnsi="黑体" w:cs="黑体"/>
          <w:b/>
          <w:color w:val="auto"/>
          <w:kern w:val="2"/>
          <w:sz w:val="21"/>
          <w:szCs w:val="21"/>
          <w:lang w:val="en-US" w:eastAsia="zh-CN"/>
        </w:rPr>
        <w:t>表9  项目与《中华人民共和国长江保护法》符合性分析</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5"/>
        <w:gridCol w:w="3995"/>
        <w:gridCol w:w="3208"/>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序号</w:t>
            </w:r>
          </w:p>
        </w:tc>
        <w:tc>
          <w:tcPr>
            <w:tcW w:w="2346" w:type="pct"/>
            <w:tcBorders>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条款规定</w:t>
            </w:r>
          </w:p>
        </w:tc>
        <w:tc>
          <w:tcPr>
            <w:tcW w:w="1884" w:type="pct"/>
            <w:tcBorders>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项目情况</w:t>
            </w:r>
          </w:p>
        </w:tc>
        <w:tc>
          <w:tcPr>
            <w:tcW w:w="455" w:type="pct"/>
            <w:tcBorders>
              <w:bottom w:val="single" w:color="auto" w:sz="12" w:space="0"/>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op w:val="single" w:color="auto" w:sz="12" w:space="0"/>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p>
        </w:tc>
        <w:tc>
          <w:tcPr>
            <w:tcW w:w="2346" w:type="pct"/>
            <w:tcBorders>
              <w:top w:val="single" w:color="auto" w:sz="12" w:space="0"/>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default" w:ascii="Times New Roman" w:hAnsi="Times New Roman" w:cs="Times New Roman"/>
                <w:b/>
                <w:bCs/>
                <w:color w:val="auto"/>
                <w:sz w:val="20"/>
                <w:lang w:val="en-US" w:eastAsia="zh-CN"/>
              </w:rPr>
              <w:t>第二十二条</w:t>
            </w:r>
            <w:r>
              <w:rPr>
                <w:rFonts w:hint="eastAsia" w:ascii="Times New Roman" w:hAnsi="Times New Roman" w:cs="Times New Roman"/>
                <w:color w:val="auto"/>
                <w:sz w:val="20"/>
                <w:lang w:val="en-US" w:eastAsia="zh-CN"/>
              </w:rPr>
              <w:t xml:space="preserve"> </w:t>
            </w:r>
            <w:r>
              <w:rPr>
                <w:rFonts w:hint="default" w:ascii="Times New Roman" w:hAnsi="Times New Roman" w:cs="Times New Roman"/>
                <w:color w:val="auto"/>
                <w:sz w:val="20"/>
                <w:lang w:val="en-US" w:eastAsia="zh-CN"/>
              </w:rPr>
              <w:t>长江流域产业结构和布局应当与长江流域生态系统和资源环境承载能力相适应。禁止在长江流域重点生态功能区布局对生态系统有严重影响的产业。禁止重污染企业和项目向长江中上游转移</w:t>
            </w:r>
          </w:p>
        </w:tc>
        <w:tc>
          <w:tcPr>
            <w:tcW w:w="1884" w:type="pct"/>
            <w:tcBorders>
              <w:top w:val="single" w:color="auto" w:sz="12" w:space="0"/>
              <w:tl2br w:val="nil"/>
              <w:tr2bl w:val="nil"/>
            </w:tcBorders>
            <w:noWrap w:val="0"/>
            <w:vAlign w:val="center"/>
          </w:tcPr>
          <w:p>
            <w:pPr>
              <w:pStyle w:val="312"/>
              <w:spacing w:line="320" w:lineRule="atLeast"/>
              <w:rPr>
                <w:rFonts w:hint="default" w:ascii="Times New Roman" w:hAnsi="Times New Roman" w:eastAsia="宋体" w:cs="Times New Roman"/>
                <w:color w:val="auto"/>
                <w:sz w:val="20"/>
                <w:lang w:val="en-US" w:eastAsia="zh-CN"/>
              </w:rPr>
            </w:pPr>
            <w:r>
              <w:rPr>
                <w:rFonts w:hint="default" w:ascii="Times New Roman" w:hAnsi="Times New Roman" w:eastAsia="宋体" w:cs="Times New Roman"/>
                <w:color w:val="auto"/>
                <w:sz w:val="20"/>
                <w:lang w:val="en-US" w:eastAsia="zh-CN"/>
              </w:rPr>
              <w:t>本项目为湖北楚新矿业有限公司皮带输送廊道及综合物流码头建设项目（综合物流码头部分），不属于重污染项目。</w:t>
            </w:r>
          </w:p>
          <w:p>
            <w:pPr>
              <w:pStyle w:val="312"/>
              <w:spacing w:line="320" w:lineRule="atLeast"/>
              <w:rPr>
                <w:rFonts w:hint="default" w:ascii="Times New Roman" w:hAnsi="Times New Roman" w:eastAsia="宋体" w:cs="Times New Roman"/>
                <w:color w:val="auto"/>
                <w:sz w:val="20"/>
                <w:lang w:val="en-US" w:eastAsia="zh-CN"/>
              </w:rPr>
            </w:pPr>
            <w:r>
              <w:rPr>
                <w:rFonts w:hint="default" w:ascii="Times New Roman" w:hAnsi="Times New Roman" w:eastAsia="宋体" w:cs="Times New Roman"/>
                <w:color w:val="auto"/>
                <w:sz w:val="20"/>
                <w:lang w:val="en-US" w:eastAsia="zh-CN"/>
              </w:rPr>
              <w:t>项目施工期无</w:t>
            </w:r>
            <w:r>
              <w:rPr>
                <w:rFonts w:hint="eastAsia" w:ascii="Times New Roman" w:hAnsi="Times New Roman" w:cs="Times New Roman"/>
                <w:color w:val="auto"/>
                <w:sz w:val="20"/>
                <w:lang w:val="en-US" w:eastAsia="zh-CN"/>
              </w:rPr>
              <w:t>疏浚工程</w:t>
            </w:r>
            <w:r>
              <w:rPr>
                <w:rFonts w:hint="default" w:ascii="Times New Roman" w:hAnsi="Times New Roman" w:eastAsia="宋体" w:cs="Times New Roman"/>
                <w:color w:val="auto"/>
                <w:sz w:val="20"/>
                <w:lang w:val="en-US" w:eastAsia="zh-CN"/>
              </w:rPr>
              <w:t>，运营期到港船舶通过加强管理，项目的建设对水生生态有一定的影响，但经采取相关生态保护措施后可减少对水生生态的影响</w:t>
            </w:r>
          </w:p>
        </w:tc>
        <w:tc>
          <w:tcPr>
            <w:tcW w:w="455" w:type="pct"/>
            <w:tcBorders>
              <w:top w:val="single" w:color="auto" w:sz="12" w:space="0"/>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w:t>
            </w:r>
          </w:p>
        </w:tc>
        <w:tc>
          <w:tcPr>
            <w:tcW w:w="2346"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bCs/>
                <w:color w:val="auto"/>
                <w:sz w:val="20"/>
                <w:lang w:val="en-US" w:eastAsia="zh-CN"/>
              </w:rPr>
              <w:t>第二十六条</w:t>
            </w:r>
            <w:r>
              <w:rPr>
                <w:rFonts w:hint="eastAsia" w:ascii="Times New Roman" w:hAnsi="Times New Roman" w:cs="Times New Roman"/>
                <w:b/>
                <w:bCs/>
                <w:color w:val="auto"/>
                <w:sz w:val="20"/>
                <w:lang w:val="en-US" w:eastAsia="zh-CN"/>
              </w:rPr>
              <w:t xml:space="preserve"> </w:t>
            </w:r>
            <w:r>
              <w:rPr>
                <w:rFonts w:hint="default" w:ascii="Times New Roman" w:hAnsi="Times New Roman" w:cs="Times New Roman"/>
                <w:b w:val="0"/>
                <w:bCs w:val="0"/>
                <w:color w:val="auto"/>
                <w:sz w:val="20"/>
                <w:lang w:val="en-US" w:eastAsia="zh-CN"/>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p>
        </w:tc>
        <w:tc>
          <w:tcPr>
            <w:tcW w:w="1884"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b w:val="0"/>
                <w:bCs w:val="0"/>
                <w:color w:val="auto"/>
                <w:sz w:val="20"/>
                <w:lang w:val="en-US" w:eastAsia="zh-CN"/>
              </w:rPr>
              <w:t>本项目不属于</w:t>
            </w:r>
            <w:r>
              <w:rPr>
                <w:rFonts w:hint="default" w:ascii="Times New Roman" w:hAnsi="Times New Roman" w:cs="Times New Roman"/>
                <w:b w:val="0"/>
                <w:bCs w:val="0"/>
                <w:color w:val="auto"/>
                <w:sz w:val="20"/>
                <w:lang w:val="en-US" w:eastAsia="zh-CN"/>
              </w:rPr>
              <w:t>化工园区和化工项目</w:t>
            </w:r>
            <w:r>
              <w:rPr>
                <w:rFonts w:hint="eastAsia" w:ascii="Times New Roman" w:hAnsi="Times New Roman" w:cs="Times New Roman"/>
                <w:b w:val="0"/>
                <w:bCs w:val="0"/>
                <w:color w:val="auto"/>
                <w:sz w:val="20"/>
                <w:lang w:val="en-US" w:eastAsia="zh-CN"/>
              </w:rPr>
              <w:t>；不属于</w:t>
            </w:r>
            <w:r>
              <w:rPr>
                <w:rFonts w:hint="default" w:ascii="Times New Roman" w:hAnsi="Times New Roman" w:cs="Times New Roman"/>
                <w:b w:val="0"/>
                <w:bCs w:val="0"/>
                <w:color w:val="auto"/>
                <w:sz w:val="20"/>
                <w:lang w:val="en-US" w:eastAsia="zh-CN"/>
              </w:rPr>
              <w:t>尾矿库</w:t>
            </w:r>
            <w:r>
              <w:rPr>
                <w:rFonts w:hint="eastAsia" w:ascii="Times New Roman" w:hAnsi="Times New Roman" w:cs="Times New Roman"/>
                <w:b w:val="0"/>
                <w:bCs w:val="0"/>
                <w:color w:val="auto"/>
                <w:sz w:val="20"/>
                <w:lang w:val="en-US" w:eastAsia="zh-CN"/>
              </w:rPr>
              <w:t>建设项目</w:t>
            </w:r>
          </w:p>
        </w:tc>
        <w:tc>
          <w:tcPr>
            <w:tcW w:w="455"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w:t>
            </w:r>
          </w:p>
        </w:tc>
        <w:tc>
          <w:tcPr>
            <w:tcW w:w="2346"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bCs/>
                <w:color w:val="auto"/>
                <w:sz w:val="20"/>
                <w:lang w:val="en-US" w:eastAsia="zh-CN"/>
              </w:rPr>
              <w:t>第四十九条</w:t>
            </w:r>
            <w:r>
              <w:rPr>
                <w:rFonts w:hint="eastAsia" w:ascii="Times New Roman" w:hAnsi="Times New Roman" w:cs="Times New Roman"/>
                <w:b/>
                <w:bCs/>
                <w:color w:val="auto"/>
                <w:sz w:val="20"/>
                <w:lang w:val="en-US" w:eastAsia="zh-CN"/>
              </w:rPr>
              <w:t xml:space="preserve"> </w:t>
            </w:r>
            <w:r>
              <w:rPr>
                <w:rFonts w:hint="default" w:ascii="Times New Roman" w:hAnsi="Times New Roman" w:cs="Times New Roman"/>
                <w:b w:val="0"/>
                <w:bCs w:val="0"/>
                <w:color w:val="auto"/>
                <w:sz w:val="20"/>
                <w:lang w:val="en-US" w:eastAsia="zh-CN"/>
              </w:rPr>
              <w:t>禁止在长江流域河湖管理范围内倾倒、填埋、堆放、弃置、处理固体废物。长江流域县级以上地方人民政府应当加强对固体废物非法转移和倾倒的联防联控</w:t>
            </w:r>
          </w:p>
        </w:tc>
        <w:tc>
          <w:tcPr>
            <w:tcW w:w="1884"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val="0"/>
                <w:bCs w:val="0"/>
                <w:color w:val="auto"/>
                <w:sz w:val="20"/>
                <w:lang w:val="en-US" w:eastAsia="zh-CN"/>
              </w:rPr>
              <w:t>本项目产生的固体废物均经合理处置，不外排至外环境，不会对周围环境产生影响</w:t>
            </w:r>
          </w:p>
        </w:tc>
        <w:tc>
          <w:tcPr>
            <w:tcW w:w="455"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w:t>
            </w:r>
          </w:p>
        </w:tc>
        <w:tc>
          <w:tcPr>
            <w:tcW w:w="2346"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bCs/>
                <w:color w:val="auto"/>
                <w:sz w:val="20"/>
                <w:lang w:val="en-US" w:eastAsia="zh-CN"/>
              </w:rPr>
              <w:t>第五十一条</w:t>
            </w:r>
            <w:r>
              <w:rPr>
                <w:rFonts w:hint="eastAsia" w:ascii="Times New Roman" w:hAnsi="Times New Roman" w:cs="Times New Roman"/>
                <w:b/>
                <w:bCs/>
                <w:color w:val="auto"/>
                <w:sz w:val="20"/>
                <w:lang w:val="en-US" w:eastAsia="zh-CN"/>
              </w:rPr>
              <w:t xml:space="preserve"> </w:t>
            </w:r>
            <w:r>
              <w:rPr>
                <w:rFonts w:hint="default" w:ascii="Times New Roman" w:hAnsi="Times New Roman" w:cs="Times New Roman"/>
                <w:b w:val="0"/>
                <w:bCs w:val="0"/>
                <w:color w:val="auto"/>
                <w:sz w:val="20"/>
                <w:lang w:val="en-US" w:eastAsia="zh-CN"/>
              </w:rPr>
              <w:t>禁止在长江流域水上运输剧毒化学品和国家规定禁止通过内河运输的其他危险化学品。长江流域县级以上地方人民政府交通运输主管部门会同本级人民政府有关部门加强对长江流域危险化学品运输的管控</w:t>
            </w:r>
          </w:p>
        </w:tc>
        <w:tc>
          <w:tcPr>
            <w:tcW w:w="1884"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val="0"/>
                <w:bCs w:val="0"/>
                <w:color w:val="auto"/>
                <w:sz w:val="20"/>
                <w:lang w:val="en-US" w:eastAsia="zh-CN"/>
              </w:rPr>
              <w:t>本项目货种为</w:t>
            </w:r>
            <w:r>
              <w:rPr>
                <w:rFonts w:hint="eastAsia" w:ascii="Times New Roman" w:hAnsi="Times New Roman" w:cs="Times New Roman"/>
                <w:b w:val="0"/>
                <w:bCs w:val="0"/>
                <w:color w:val="auto"/>
                <w:sz w:val="20"/>
                <w:lang w:val="en-US" w:eastAsia="zh-CN"/>
              </w:rPr>
              <w:t>机制砂散货</w:t>
            </w:r>
            <w:r>
              <w:rPr>
                <w:rFonts w:hint="default" w:ascii="Times New Roman" w:hAnsi="Times New Roman" w:cs="Times New Roman"/>
                <w:b w:val="0"/>
                <w:bCs w:val="0"/>
                <w:color w:val="auto"/>
                <w:sz w:val="20"/>
                <w:lang w:val="en-US" w:eastAsia="zh-CN"/>
              </w:rPr>
              <w:t>，不属于剧毒化学品，不属于国家禁止通过内和航运的其他危险化学品</w:t>
            </w:r>
          </w:p>
        </w:tc>
        <w:tc>
          <w:tcPr>
            <w:tcW w:w="455"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w:t>
            </w:r>
          </w:p>
        </w:tc>
        <w:tc>
          <w:tcPr>
            <w:tcW w:w="2346"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bCs/>
                <w:color w:val="auto"/>
                <w:sz w:val="20"/>
                <w:lang w:val="en-US" w:eastAsia="zh-CN"/>
              </w:rPr>
              <w:t>第五十五条</w:t>
            </w:r>
            <w:r>
              <w:rPr>
                <w:rFonts w:hint="eastAsia" w:ascii="Times New Roman" w:hAnsi="Times New Roman" w:cs="Times New Roman"/>
                <w:b/>
                <w:bCs/>
                <w:color w:val="auto"/>
                <w:sz w:val="20"/>
                <w:lang w:val="en-US" w:eastAsia="zh-CN"/>
              </w:rPr>
              <w:t xml:space="preserve"> </w:t>
            </w:r>
            <w:r>
              <w:rPr>
                <w:rFonts w:hint="default" w:ascii="Times New Roman" w:hAnsi="Times New Roman" w:cs="Times New Roman"/>
                <w:b w:val="0"/>
                <w:bCs w:val="0"/>
                <w:color w:val="auto"/>
                <w:sz w:val="20"/>
                <w:lang w:val="en-US" w:eastAsia="zh-CN"/>
              </w:rPr>
              <w:t>长江流域县级以上地方人民政府按照长江流域河湖岸线保护规划、修复规范和指标要求，制定并组织实施河湖岸线修复计划，保障自然岸线比例，恢复河湖岸线生态功能。禁止违法利用、占用长江流域河湖岸线</w:t>
            </w:r>
          </w:p>
        </w:tc>
        <w:tc>
          <w:tcPr>
            <w:tcW w:w="1884" w:type="pct"/>
            <w:tcBorders>
              <w:tl2br w:val="nil"/>
              <w:tr2bl w:val="nil"/>
            </w:tcBorders>
            <w:noWrap w:val="0"/>
            <w:vAlign w:val="center"/>
          </w:tcPr>
          <w:p>
            <w:pPr>
              <w:pStyle w:val="312"/>
              <w:spacing w:line="320" w:lineRule="atLeast"/>
              <w:rPr>
                <w:rFonts w:hint="default" w:ascii="Times New Roman" w:hAnsi="Times New Roman" w:cs="Times New Roman"/>
                <w:b w:val="0"/>
                <w:bCs w:val="0"/>
                <w:color w:val="auto"/>
                <w:sz w:val="20"/>
                <w:lang w:val="en-US" w:eastAsia="zh-CN"/>
              </w:rPr>
            </w:pPr>
            <w:r>
              <w:rPr>
                <w:rFonts w:hint="default" w:ascii="Times New Roman" w:hAnsi="Times New Roman" w:cs="Times New Roman"/>
                <w:b w:val="0"/>
                <w:bCs w:val="0"/>
                <w:color w:val="auto"/>
                <w:sz w:val="20"/>
                <w:lang w:val="en-US" w:eastAsia="zh-CN"/>
              </w:rPr>
              <w:t>本项目利用现有码头及现有岸线，不新增占用岸线，项目符合《宜昌港总体规划</w:t>
            </w:r>
            <w:r>
              <w:rPr>
                <w:rFonts w:hint="eastAsia" w:ascii="Times New Roman" w:hAnsi="Times New Roman" w:cs="Times New Roman"/>
                <w:b w:val="0"/>
                <w:bCs w:val="0"/>
                <w:color w:val="auto"/>
                <w:sz w:val="20"/>
                <w:lang w:val="en-US" w:eastAsia="zh-CN"/>
              </w:rPr>
              <w:t>（</w:t>
            </w:r>
            <w:r>
              <w:rPr>
                <w:rFonts w:hint="default" w:ascii="Times New Roman" w:hAnsi="Times New Roman" w:cs="Times New Roman"/>
                <w:b w:val="0"/>
                <w:bCs w:val="0"/>
                <w:color w:val="auto"/>
                <w:sz w:val="20"/>
                <w:lang w:val="en-US" w:eastAsia="zh-CN"/>
              </w:rPr>
              <w:t>2035</w:t>
            </w:r>
            <w:r>
              <w:rPr>
                <w:rFonts w:hint="eastAsia" w:ascii="Times New Roman" w:hAnsi="Times New Roman" w:cs="Times New Roman"/>
                <w:b w:val="0"/>
                <w:bCs w:val="0"/>
                <w:color w:val="auto"/>
                <w:sz w:val="20"/>
                <w:lang w:val="en-US" w:eastAsia="zh-CN"/>
              </w:rPr>
              <w:t>）</w:t>
            </w:r>
            <w:r>
              <w:rPr>
                <w:rFonts w:hint="default" w:ascii="Times New Roman" w:hAnsi="Times New Roman" w:cs="Times New Roman"/>
                <w:b w:val="0"/>
                <w:bCs w:val="0"/>
                <w:color w:val="auto"/>
                <w:sz w:val="20"/>
                <w:lang w:val="en-US" w:eastAsia="zh-CN"/>
              </w:rPr>
              <w:t>》，现有码头使用岸线已取交通运输部同意批复（见附件2），岸线合法</w:t>
            </w:r>
          </w:p>
        </w:tc>
        <w:tc>
          <w:tcPr>
            <w:tcW w:w="455"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color w:val="auto"/>
                <w:sz w:val="20"/>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4" w:type="pct"/>
            <w:tcBorders>
              <w:tl2br w:val="nil"/>
              <w:tr2bl w:val="nil"/>
            </w:tcBorders>
            <w:noWrap w:val="0"/>
            <w:vAlign w:val="center"/>
          </w:tcPr>
          <w:p>
            <w:pPr>
              <w:pStyle w:val="312"/>
              <w:spacing w:line="320" w:lineRule="atLeast"/>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w:t>
            </w:r>
          </w:p>
        </w:tc>
        <w:tc>
          <w:tcPr>
            <w:tcW w:w="2346"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default" w:ascii="Times New Roman" w:hAnsi="Times New Roman" w:cs="Times New Roman"/>
                <w:b/>
                <w:bCs/>
                <w:color w:val="auto"/>
                <w:sz w:val="20"/>
                <w:lang w:val="en-US" w:eastAsia="zh-CN"/>
              </w:rPr>
              <w:t>第七十二条</w:t>
            </w:r>
            <w:r>
              <w:rPr>
                <w:rFonts w:hint="eastAsia" w:ascii="Times New Roman" w:hAnsi="Times New Roman" w:cs="Times New Roman"/>
                <w:b/>
                <w:bCs/>
                <w:color w:val="auto"/>
                <w:sz w:val="20"/>
                <w:lang w:val="en-US" w:eastAsia="zh-CN"/>
              </w:rPr>
              <w:t xml:space="preserve"> </w:t>
            </w:r>
            <w:r>
              <w:rPr>
                <w:rFonts w:hint="default" w:ascii="Times New Roman" w:hAnsi="Times New Roman" w:cs="Times New Roman"/>
                <w:b w:val="0"/>
                <w:bCs w:val="0"/>
                <w:color w:val="auto"/>
                <w:sz w:val="20"/>
                <w:lang w:val="en-US" w:eastAsia="zh-CN"/>
              </w:rPr>
              <w:t>长江流域县级以上地方人民政府应当统筹建设船舶污染物接收转运处置设施、船舶液化天然气加注站，制定港口岸电设施、船舶受电设施建设和改造计划，并组织实施。具备岸电使用条件的船舶靠港应当按照国家有关规定使用岸电，但使用清洁能源的除外</w:t>
            </w:r>
          </w:p>
        </w:tc>
        <w:tc>
          <w:tcPr>
            <w:tcW w:w="1884" w:type="pct"/>
            <w:tcBorders>
              <w:tl2br w:val="nil"/>
              <w:tr2bl w:val="nil"/>
            </w:tcBorders>
            <w:noWrap w:val="0"/>
            <w:vAlign w:val="center"/>
          </w:tcPr>
          <w:p>
            <w:pPr>
              <w:pStyle w:val="312"/>
              <w:spacing w:line="320" w:lineRule="atLeast"/>
              <w:rPr>
                <w:rFonts w:hint="default" w:ascii="Times New Roman" w:hAnsi="Times New Roman" w:cs="Times New Roman"/>
                <w:b w:val="0"/>
                <w:bCs w:val="0"/>
                <w:color w:val="auto"/>
                <w:sz w:val="20"/>
                <w:lang w:val="en-US" w:eastAsia="zh-CN"/>
              </w:rPr>
            </w:pPr>
            <w:r>
              <w:rPr>
                <w:rFonts w:hint="eastAsia" w:ascii="Times New Roman" w:hAnsi="Times New Roman" w:cs="Times New Roman"/>
                <w:b w:val="0"/>
                <w:bCs w:val="0"/>
                <w:color w:val="auto"/>
                <w:sz w:val="20"/>
                <w:lang w:val="en-US" w:eastAsia="zh-CN"/>
              </w:rPr>
              <w:t>技改项目应</w:t>
            </w:r>
            <w:r>
              <w:rPr>
                <w:rFonts w:hint="default" w:ascii="Times New Roman" w:hAnsi="Times New Roman" w:cs="Times New Roman"/>
                <w:b w:val="0"/>
                <w:bCs w:val="0"/>
                <w:color w:val="auto"/>
                <w:sz w:val="20"/>
                <w:lang w:val="en-US" w:eastAsia="zh-CN"/>
              </w:rPr>
              <w:t>设置船舶污染物接收设施，码头趸船及到港船舶停泊期间采用岸电设施</w:t>
            </w:r>
          </w:p>
        </w:tc>
        <w:tc>
          <w:tcPr>
            <w:tcW w:w="455" w:type="pct"/>
            <w:tcBorders>
              <w:tl2br w:val="nil"/>
              <w:tr2bl w:val="nil"/>
            </w:tcBorders>
            <w:noWrap w:val="0"/>
            <w:vAlign w:val="center"/>
          </w:tcPr>
          <w:p>
            <w:pPr>
              <w:pStyle w:val="312"/>
              <w:spacing w:line="320" w:lineRule="atLeast"/>
              <w:rPr>
                <w:rFonts w:hint="default" w:ascii="Times New Roman" w:hAnsi="Times New Roman" w:cs="Times New Roman"/>
                <w:b/>
                <w:bCs/>
                <w:color w:val="auto"/>
                <w:sz w:val="20"/>
                <w:lang w:val="en-US" w:eastAsia="zh-CN"/>
              </w:rPr>
            </w:pPr>
            <w:r>
              <w:rPr>
                <w:rFonts w:hint="eastAsia" w:ascii="Times New Roman" w:hAnsi="Times New Roman" w:cs="Times New Roman"/>
                <w:color w:val="auto"/>
                <w:sz w:val="20"/>
                <w:lang w:val="en-US" w:eastAsia="zh-CN"/>
              </w:rPr>
              <w:t>符合</w:t>
            </w:r>
          </w:p>
        </w:tc>
      </w:tr>
    </w:tbl>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综上分析，本项目与《中华人民共和国长江保护法》相符。</w:t>
      </w:r>
    </w:p>
    <w:p>
      <w:pPr>
        <w:widowControl w:val="0"/>
        <w:spacing w:line="360" w:lineRule="auto"/>
        <w:ind w:firstLine="480" w:firstLineChars="200"/>
        <w:jc w:val="both"/>
        <w:rPr>
          <w:rFonts w:hint="default" w:eastAsia="黑体" w:cs="Times New Roman"/>
          <w:b w:val="0"/>
          <w:bCs w:val="0"/>
          <w:color w:val="auto"/>
          <w:kern w:val="0"/>
          <w:sz w:val="24"/>
          <w:szCs w:val="24"/>
          <w:lang w:val="en-US" w:eastAsia="zh-CN"/>
        </w:rPr>
      </w:pPr>
      <w:r>
        <w:rPr>
          <w:rFonts w:hint="eastAsia" w:eastAsia="黑体" w:cs="Times New Roman"/>
          <w:b w:val="0"/>
          <w:bCs w:val="0"/>
          <w:color w:val="auto"/>
          <w:kern w:val="0"/>
          <w:sz w:val="24"/>
          <w:szCs w:val="24"/>
          <w:lang w:val="en-US" w:eastAsia="zh-CN"/>
        </w:rPr>
        <w:t>（2）与长江湖北宜昌中华鲟自然保护区相符性分析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长江湖北宜昌中华鲟自然保护区位于湖北省宜昌市境内，地处长江中游葛洲坝至枝城镇杨家溪的干流江段，全长60公里，总面积6735.88公顷，地理位置位于上游起点（右岸:111°15.784′E，30°44.468′N；左岸:111°16.743′E，30°44.147′N）至下游终点（右岸：111°29.782′E，30°20.415′N；左岸:111°30.668′E，30°20.213′N）之间。根据长江湖北宜昌中华鲟自然保护区范围和功能分区，长江湖北宜昌中华鲟自然保护区划分为核心区、缓冲区、实验区、外围保护地带。</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技改</w:t>
      </w:r>
      <w:r>
        <w:rPr>
          <w:rFonts w:hint="eastAsia" w:eastAsia="仿宋_GB2312"/>
          <w:color w:val="auto"/>
          <w:sz w:val="24"/>
          <w:lang w:eastAsia="zh-CN"/>
        </w:rPr>
        <w:t>项目利用的现有码头位于长江湖北宜昌中华鲟自然保护区</w:t>
      </w:r>
      <w:r>
        <w:rPr>
          <w:rFonts w:hint="eastAsia" w:eastAsia="仿宋_GB2312"/>
          <w:b/>
          <w:bCs/>
          <w:color w:val="auto"/>
          <w:sz w:val="24"/>
          <w:lang w:eastAsia="zh-CN"/>
        </w:rPr>
        <w:t>外围保护地带</w:t>
      </w:r>
      <w:r>
        <w:rPr>
          <w:rFonts w:hint="eastAsia" w:eastAsia="仿宋_GB2312"/>
          <w:color w:val="auto"/>
          <w:sz w:val="24"/>
          <w:lang w:eastAsia="zh-CN"/>
        </w:rPr>
        <w:t>，故本项目实施不会对长江湖北宜昌中华鲟自然保护区产生不利影响。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本项目与长江湖北宜昌中华鲟自然保护区位置关系见附图1</w:t>
      </w:r>
      <w:r>
        <w:rPr>
          <w:rFonts w:hint="eastAsia" w:eastAsia="仿宋_GB2312"/>
          <w:color w:val="auto"/>
          <w:sz w:val="24"/>
          <w:lang w:val="en-US" w:eastAsia="zh-CN"/>
        </w:rPr>
        <w:t>0</w:t>
      </w:r>
      <w:r>
        <w:rPr>
          <w:rFonts w:hint="eastAsia" w:eastAsia="仿宋_GB2312"/>
          <w:color w:val="auto"/>
          <w:sz w:val="24"/>
          <w:lang w:eastAsia="zh-CN"/>
        </w:rPr>
        <w:t>。</w:t>
      </w:r>
    </w:p>
    <w:p>
      <w:pPr>
        <w:pStyle w:val="9"/>
        <w:widowControl w:val="0"/>
        <w:spacing w:before="120" w:after="120" w:line="360" w:lineRule="auto"/>
        <w:rPr>
          <w:rFonts w:hint="eastAsia" w:eastAsia="黑体"/>
          <w:b w:val="0"/>
          <w:color w:val="auto"/>
          <w:sz w:val="24"/>
          <w:lang w:val="en-US" w:eastAsia="zh-CN"/>
        </w:rPr>
      </w:pPr>
      <w:bookmarkStart w:id="176" w:name="_Toc12884"/>
      <w:r>
        <w:rPr>
          <w:rFonts w:hint="eastAsia" w:eastAsia="黑体"/>
          <w:b w:val="0"/>
          <w:color w:val="auto"/>
          <w:sz w:val="24"/>
          <w:lang w:val="en-US" w:eastAsia="zh-CN"/>
        </w:rPr>
        <w:t>5、工程选址合理性分析</w:t>
      </w:r>
      <w:bookmarkEnd w:id="176"/>
    </w:p>
    <w:p>
      <w:pPr>
        <w:widowControl w:val="0"/>
        <w:spacing w:line="360" w:lineRule="auto"/>
        <w:ind w:firstLine="480" w:firstLineChars="200"/>
        <w:jc w:val="both"/>
        <w:rPr>
          <w:rFonts w:hint="default" w:eastAsia="黑体" w:cs="Times New Roman"/>
          <w:b w:val="0"/>
          <w:bCs w:val="0"/>
          <w:color w:val="auto"/>
          <w:kern w:val="0"/>
          <w:sz w:val="24"/>
          <w:szCs w:val="24"/>
          <w:lang w:val="en-US" w:eastAsia="zh-CN"/>
        </w:rPr>
      </w:pPr>
      <w:r>
        <w:rPr>
          <w:rFonts w:hint="default" w:eastAsia="黑体" w:cs="Times New Roman"/>
          <w:b w:val="0"/>
          <w:bCs w:val="0"/>
          <w:color w:val="auto"/>
          <w:kern w:val="0"/>
          <w:sz w:val="24"/>
          <w:szCs w:val="24"/>
          <w:lang w:val="en-US" w:eastAsia="zh-CN"/>
        </w:rPr>
        <w:t>（1）工程选址的地质及水域条件</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本项目位于宜昌市宜昌港宜都港区枝城作业区</w:t>
      </w:r>
      <w:r>
        <w:rPr>
          <w:rFonts w:hint="eastAsia" w:eastAsia="仿宋_GB2312"/>
          <w:color w:val="auto"/>
          <w:sz w:val="24"/>
          <w:lang w:val="en-US" w:eastAsia="zh-CN"/>
        </w:rPr>
        <w:t>关洲水道右岸</w:t>
      </w:r>
      <w:r>
        <w:rPr>
          <w:rFonts w:hint="eastAsia" w:eastAsia="仿宋_GB2312"/>
          <w:color w:val="auto"/>
          <w:sz w:val="24"/>
        </w:rPr>
        <w:t>，</w:t>
      </w:r>
      <w:r>
        <w:rPr>
          <w:rFonts w:hint="eastAsia" w:eastAsia="仿宋_GB2312"/>
          <w:color w:val="auto"/>
          <w:sz w:val="24"/>
          <w:lang w:val="en-US" w:eastAsia="zh-CN"/>
        </w:rPr>
        <w:t>距离</w:t>
      </w:r>
      <w:r>
        <w:rPr>
          <w:rFonts w:hint="eastAsia" w:eastAsia="仿宋_GB2312"/>
          <w:color w:val="auto"/>
          <w:sz w:val="24"/>
        </w:rPr>
        <w:t>枝城长江大桥下游约</w:t>
      </w:r>
      <w:r>
        <w:rPr>
          <w:rFonts w:hint="eastAsia" w:eastAsia="仿宋_GB2312"/>
          <w:color w:val="auto"/>
          <w:sz w:val="24"/>
          <w:lang w:val="en-US" w:eastAsia="zh-CN"/>
        </w:rPr>
        <w:t>5</w:t>
      </w:r>
      <w:r>
        <w:rPr>
          <w:rFonts w:hint="eastAsia" w:eastAsia="仿宋_GB2312"/>
          <w:color w:val="auto"/>
          <w:sz w:val="24"/>
        </w:rPr>
        <w:t>km，</w:t>
      </w:r>
      <w:r>
        <w:rPr>
          <w:rFonts w:hint="eastAsia" w:eastAsia="仿宋_GB2312"/>
          <w:color w:val="auto"/>
          <w:sz w:val="24"/>
          <w:lang w:val="en-US" w:eastAsia="zh-CN"/>
        </w:rPr>
        <w:t>宜都城区上游约15km</w:t>
      </w:r>
      <w:r>
        <w:rPr>
          <w:rFonts w:hint="eastAsia" w:eastAsia="仿宋_GB2312"/>
          <w:color w:val="auto"/>
          <w:sz w:val="24"/>
        </w:rPr>
        <w:t>，码头所在河段河床稳定，前沿江面宽阔，水深条件较好</w:t>
      </w:r>
      <w:r>
        <w:rPr>
          <w:rFonts w:hint="eastAsia" w:eastAsia="仿宋_GB2312"/>
          <w:color w:val="auto"/>
          <w:sz w:val="24"/>
          <w:lang w:eastAsia="zh-CN"/>
        </w:rPr>
        <w:t>，</w:t>
      </w:r>
      <w:r>
        <w:rPr>
          <w:rFonts w:hint="eastAsia" w:eastAsia="仿宋_GB2312"/>
          <w:color w:val="auto"/>
          <w:sz w:val="24"/>
        </w:rPr>
        <w:t>满足停泊水域及回旋水域宽度要求。</w:t>
      </w:r>
    </w:p>
    <w:p>
      <w:pPr>
        <w:widowControl w:val="0"/>
        <w:spacing w:line="360" w:lineRule="auto"/>
        <w:ind w:firstLine="480" w:firstLineChars="200"/>
        <w:jc w:val="both"/>
        <w:rPr>
          <w:rFonts w:hint="default" w:eastAsia="黑体" w:cs="Times New Roman"/>
          <w:b w:val="0"/>
          <w:bCs w:val="0"/>
          <w:color w:val="auto"/>
          <w:kern w:val="0"/>
          <w:sz w:val="24"/>
          <w:szCs w:val="24"/>
          <w:lang w:val="en-US" w:eastAsia="zh-CN"/>
        </w:rPr>
      </w:pPr>
      <w:r>
        <w:rPr>
          <w:rFonts w:hint="default" w:eastAsia="黑体" w:cs="Times New Roman"/>
          <w:b w:val="0"/>
          <w:bCs w:val="0"/>
          <w:color w:val="auto"/>
          <w:kern w:val="0"/>
          <w:sz w:val="24"/>
          <w:szCs w:val="24"/>
          <w:lang w:val="en-US" w:eastAsia="zh-CN"/>
        </w:rPr>
        <w:t>（2）对周边环境保护目标的影响可接受</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本项目所在区域路网已基本形成，村道相互交织</w:t>
      </w:r>
      <w:r>
        <w:rPr>
          <w:rFonts w:hint="eastAsia" w:eastAsia="仿宋_GB2312"/>
          <w:color w:val="auto"/>
          <w:sz w:val="24"/>
          <w:lang w:eastAsia="zh-CN"/>
        </w:rPr>
        <w:t>。</w:t>
      </w:r>
      <w:r>
        <w:rPr>
          <w:rFonts w:hint="eastAsia" w:eastAsia="仿宋_GB2312"/>
          <w:color w:val="auto"/>
          <w:sz w:val="24"/>
        </w:rPr>
        <w:t>港外交通条件较好，港区</w:t>
      </w:r>
      <w:r>
        <w:rPr>
          <w:rFonts w:hint="eastAsia" w:eastAsia="仿宋_GB2312"/>
          <w:color w:val="auto"/>
          <w:sz w:val="24"/>
          <w:lang w:val="en-US" w:eastAsia="zh-CN"/>
        </w:rPr>
        <w:t>靠近道路一侧为县道X257</w:t>
      </w:r>
      <w:r>
        <w:rPr>
          <w:rFonts w:hint="eastAsia" w:eastAsia="仿宋_GB2312"/>
          <w:color w:val="auto"/>
          <w:sz w:val="24"/>
        </w:rPr>
        <w:t>，</w:t>
      </w:r>
      <w:r>
        <w:rPr>
          <w:rFonts w:hint="eastAsia" w:eastAsia="仿宋_GB2312"/>
          <w:color w:val="auto"/>
          <w:sz w:val="24"/>
          <w:lang w:val="en-US" w:eastAsia="zh-CN"/>
        </w:rPr>
        <w:t>可通往</w:t>
      </w:r>
      <w:r>
        <w:rPr>
          <w:rFonts w:hint="eastAsia" w:eastAsia="仿宋_GB2312"/>
          <w:color w:val="auto"/>
          <w:sz w:val="24"/>
        </w:rPr>
        <w:t>市区各处</w:t>
      </w:r>
      <w:r>
        <w:rPr>
          <w:rFonts w:hint="eastAsia" w:eastAsia="仿宋_GB2312"/>
          <w:color w:val="auto"/>
          <w:sz w:val="24"/>
          <w:lang w:eastAsia="zh-CN"/>
        </w:rPr>
        <w:t>，</w:t>
      </w:r>
      <w:r>
        <w:rPr>
          <w:rFonts w:hint="eastAsia" w:eastAsia="仿宋_GB2312"/>
          <w:color w:val="auto"/>
          <w:sz w:val="24"/>
        </w:rPr>
        <w:t>交通运输便捷</w:t>
      </w:r>
      <w:r>
        <w:rPr>
          <w:rFonts w:hint="eastAsia" w:eastAsia="仿宋_GB2312"/>
          <w:color w:val="auto"/>
          <w:sz w:val="24"/>
          <w:lang w:eastAsia="zh-CN"/>
        </w:rPr>
        <w:t>。</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rPr>
        <w:t>本项目不涉及自然保护区、风景名胜区等敏感目标，</w:t>
      </w:r>
      <w:r>
        <w:rPr>
          <w:rFonts w:hint="eastAsia" w:eastAsia="仿宋_GB2312"/>
          <w:color w:val="auto"/>
          <w:sz w:val="24"/>
          <w:lang w:val="en-US" w:eastAsia="zh-CN"/>
        </w:rPr>
        <w:t>位于长江湖北宜昌中华鲟自然保护区</w:t>
      </w:r>
      <w:r>
        <w:rPr>
          <w:rFonts w:hint="eastAsia" w:eastAsia="仿宋_GB2312"/>
          <w:b/>
          <w:bCs/>
          <w:color w:val="auto"/>
          <w:sz w:val="24"/>
          <w:lang w:val="en-US" w:eastAsia="zh-CN"/>
        </w:rPr>
        <w:t>外围保护地带</w:t>
      </w:r>
      <w:r>
        <w:rPr>
          <w:rFonts w:hint="eastAsia" w:eastAsia="仿宋_GB2312"/>
          <w:color w:val="auto"/>
          <w:sz w:val="24"/>
          <w:lang w:val="en-US" w:eastAsia="zh-CN"/>
        </w:rPr>
        <w:t>，位于枝江市百里洲水厂新建取水口（在建）上游同岸约22km</w:t>
      </w:r>
      <w:r>
        <w:rPr>
          <w:rFonts w:hint="eastAsia" w:eastAsia="仿宋_GB2312"/>
          <w:color w:val="auto"/>
          <w:sz w:val="24"/>
        </w:rPr>
        <w:t>，</w:t>
      </w:r>
      <w:r>
        <w:rPr>
          <w:rFonts w:hint="eastAsia" w:eastAsia="仿宋_GB2312"/>
          <w:color w:val="auto"/>
          <w:sz w:val="24"/>
          <w:lang w:val="en-US" w:eastAsia="zh-CN"/>
        </w:rPr>
        <w:t>不占用后方陆域。</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项目施工期不涉及疏浚工程。施工生产废水、生活废水、施工垃圾等严禁排入地表水体，杜绝对地表水体长江枝江段的影响。运营期产生的废水主要为</w:t>
      </w:r>
      <w:r>
        <w:rPr>
          <w:rFonts w:hint="eastAsia" w:eastAsia="仿宋_GB2312"/>
          <w:color w:val="auto"/>
          <w:sz w:val="24"/>
          <w:lang w:val="en-US" w:eastAsia="zh-CN"/>
        </w:rPr>
        <w:t>码头人员生活污水</w:t>
      </w:r>
      <w:r>
        <w:rPr>
          <w:rFonts w:hint="eastAsia" w:eastAsia="仿宋_GB2312"/>
          <w:color w:val="auto"/>
          <w:sz w:val="24"/>
        </w:rPr>
        <w:t>、</w:t>
      </w:r>
      <w:r>
        <w:rPr>
          <w:rFonts w:hint="eastAsia" w:eastAsia="仿宋_GB2312"/>
          <w:color w:val="auto"/>
          <w:sz w:val="24"/>
          <w:lang w:val="en-US" w:eastAsia="zh-CN"/>
        </w:rPr>
        <w:t>码头面冲洗废水和</w:t>
      </w:r>
      <w:r>
        <w:rPr>
          <w:rFonts w:hint="eastAsia" w:eastAsia="仿宋_GB2312"/>
          <w:color w:val="auto"/>
          <w:sz w:val="24"/>
        </w:rPr>
        <w:t>初期雨水、到港船舶生活污水及舱底油污水等</w:t>
      </w:r>
      <w:r>
        <w:rPr>
          <w:rFonts w:hint="eastAsia" w:eastAsia="仿宋_GB2312"/>
          <w:color w:val="auto"/>
          <w:sz w:val="24"/>
          <w:lang w:eastAsia="zh-CN"/>
        </w:rPr>
        <w:t>。</w:t>
      </w:r>
      <w:r>
        <w:rPr>
          <w:rFonts w:hint="eastAsia" w:eastAsia="仿宋_GB2312"/>
          <w:color w:val="auto"/>
          <w:sz w:val="24"/>
          <w:lang w:val="en-US" w:eastAsia="zh-CN"/>
        </w:rPr>
        <w:t>码头人员生活污水通过</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趸船收集坎收集后进入初期雨水收集柜储存，委托海事部门认定的船舶污染物接收船定期统一处理；</w:t>
      </w: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本项目产生的废气主要为装卸粉尘及转运粉尘，粉尘经脉冲布袋除尘器处理后达标排放，项目所在区域大气环境质量能够达标；噪声影响预测结果表明，工程产生的噪声在厂界或边界处均达标，南侧69m处的居民敏感点洋溪社区噪声预测值满足声环境标准，对周围声环境保护目标影响较小；固体废物主要为码头人员生活垃圾、到港船舶生活垃圾及保养固废、港区机械维修废机油等，经采取合理处置后不外排入外环境。</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lang w:val="en-US" w:eastAsia="zh-CN"/>
        </w:rPr>
        <w:t>技改码头项目应根据</w:t>
      </w:r>
      <w:r>
        <w:rPr>
          <w:rFonts w:hint="eastAsia" w:eastAsia="仿宋_GB2312"/>
          <w:bCs/>
          <w:color w:val="auto"/>
          <w:sz w:val="24"/>
        </w:rPr>
        <w:t>《港口码头水上污染事故应急防备能力要求》的要求配备围油栏、吸油毡应急物资</w:t>
      </w:r>
      <w:r>
        <w:rPr>
          <w:rFonts w:hint="eastAsia" w:eastAsia="仿宋_GB2312"/>
          <w:bCs/>
          <w:color w:val="auto"/>
          <w:sz w:val="24"/>
          <w:lang w:val="en-US" w:eastAsia="zh-CN"/>
        </w:rPr>
        <w:t>以及</w:t>
      </w:r>
      <w:r>
        <w:rPr>
          <w:rFonts w:hint="eastAsia" w:eastAsia="仿宋_GB2312"/>
          <w:bCs/>
          <w:color w:val="auto"/>
          <w:sz w:val="24"/>
        </w:rPr>
        <w:t>对应</w:t>
      </w:r>
      <w:r>
        <w:rPr>
          <w:rFonts w:hint="eastAsia" w:eastAsia="仿宋_GB2312"/>
          <w:bCs/>
          <w:color w:val="auto"/>
          <w:sz w:val="24"/>
          <w:lang w:eastAsia="zh-CN"/>
        </w:rPr>
        <w:t>的</w:t>
      </w:r>
      <w:r>
        <w:rPr>
          <w:rFonts w:hint="eastAsia" w:eastAsia="仿宋_GB2312"/>
          <w:bCs/>
          <w:color w:val="auto"/>
          <w:sz w:val="24"/>
        </w:rPr>
        <w:t>溢油应急物资；本项目将通过</w:t>
      </w:r>
      <w:r>
        <w:rPr>
          <w:rFonts w:hint="eastAsia" w:eastAsia="仿宋_GB2312"/>
          <w:bCs/>
          <w:color w:val="auto"/>
          <w:sz w:val="24"/>
          <w:lang w:val="en-US" w:eastAsia="zh-CN"/>
        </w:rPr>
        <w:t>编制及备案</w:t>
      </w:r>
      <w:r>
        <w:rPr>
          <w:rFonts w:hint="eastAsia" w:eastAsia="仿宋_GB2312"/>
          <w:bCs/>
          <w:color w:val="auto"/>
          <w:sz w:val="24"/>
        </w:rPr>
        <w:t>风险应急预案，做到风险事故对环境的影响可防可控。</w:t>
      </w:r>
    </w:p>
    <w:p>
      <w:pPr>
        <w:widowControl w:val="0"/>
        <w:spacing w:line="360" w:lineRule="auto"/>
        <w:ind w:firstLine="480" w:firstLineChars="200"/>
        <w:jc w:val="both"/>
        <w:rPr>
          <w:rFonts w:eastAsia="仿宋_GB2312"/>
          <w:bCs/>
          <w:color w:val="auto"/>
          <w:sz w:val="24"/>
        </w:rPr>
      </w:pPr>
      <w:r>
        <w:rPr>
          <w:rFonts w:hint="eastAsia" w:eastAsia="仿宋_GB2312"/>
          <w:bCs/>
          <w:color w:val="auto"/>
          <w:sz w:val="24"/>
        </w:rPr>
        <w:t>综上，本项目的实施及运营对周边环境保护目标影响可接受。</w:t>
      </w:r>
    </w:p>
    <w:p>
      <w:pPr>
        <w:widowControl w:val="0"/>
        <w:spacing w:line="360" w:lineRule="auto"/>
        <w:ind w:firstLine="482" w:firstLineChars="200"/>
        <w:outlineLvl w:val="1"/>
        <w:rPr>
          <w:rFonts w:hint="default" w:eastAsia="仿宋_GB2312"/>
          <w:b/>
          <w:color w:val="auto"/>
          <w:sz w:val="24"/>
          <w:u w:val="single"/>
          <w:lang w:val="en-US" w:eastAsia="zh-CN"/>
        </w:rPr>
      </w:pPr>
      <w:bookmarkStart w:id="177" w:name="_Toc522722588"/>
      <w:bookmarkStart w:id="178" w:name="_Toc522721911"/>
      <w:bookmarkStart w:id="179" w:name="_Toc3455374"/>
      <w:bookmarkStart w:id="180" w:name="_Toc528683449"/>
      <w:bookmarkStart w:id="181" w:name="_Toc1647241"/>
      <w:bookmarkStart w:id="182" w:name="_Toc523408142"/>
      <w:bookmarkStart w:id="183" w:name="_Toc522466462"/>
      <w:bookmarkStart w:id="184" w:name="_Toc3317461"/>
      <w:bookmarkStart w:id="185" w:name="_Toc522387611"/>
      <w:bookmarkStart w:id="186" w:name="_Toc532914553"/>
      <w:bookmarkStart w:id="187" w:name="_Toc3565279"/>
      <w:bookmarkStart w:id="188" w:name="_Toc8139205"/>
      <w:bookmarkStart w:id="189" w:name="_Toc532914277"/>
      <w:bookmarkStart w:id="190" w:name="_Toc1404678"/>
      <w:bookmarkStart w:id="191" w:name="_Toc522387348"/>
      <w:bookmarkStart w:id="192" w:name="_Toc531189383"/>
      <w:bookmarkStart w:id="193" w:name="_Toc41075068"/>
      <w:bookmarkStart w:id="194" w:name="_Toc3186"/>
      <w:bookmarkStart w:id="195" w:name="_Toc41303725"/>
      <w:bookmarkStart w:id="196" w:name="_Toc6089"/>
      <w:bookmarkStart w:id="197" w:name="_Toc7339"/>
      <w:bookmarkStart w:id="198" w:name="_Toc16847"/>
      <w:bookmarkStart w:id="199" w:name="_Toc28594143"/>
      <w:bookmarkStart w:id="200" w:name="_Toc12619"/>
      <w:bookmarkStart w:id="201" w:name="_Toc41155983"/>
      <w:bookmarkStart w:id="202" w:name="_Toc17555"/>
      <w:r>
        <w:rPr>
          <w:rFonts w:hint="eastAsia" w:eastAsia="仿宋_GB2312"/>
          <w:b/>
          <w:color w:val="auto"/>
          <w:sz w:val="24"/>
          <w:u w:val="single"/>
          <w:lang w:val="en-US" w:eastAsia="zh-CN"/>
        </w:rPr>
        <w:t>四</w:t>
      </w:r>
      <w:r>
        <w:rPr>
          <w:rFonts w:eastAsia="仿宋_GB2312"/>
          <w:b/>
          <w:color w:val="auto"/>
          <w:sz w:val="24"/>
          <w:u w:val="single"/>
        </w:rPr>
        <w:t>、</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Start w:id="203" w:name="_Toc3317462"/>
      <w:bookmarkStart w:id="204" w:name="_Toc3565280"/>
      <w:bookmarkStart w:id="205" w:name="_Toc8139206"/>
      <w:bookmarkStart w:id="206" w:name="_Toc3455375"/>
      <w:r>
        <w:rPr>
          <w:rFonts w:eastAsia="仿宋_GB2312"/>
          <w:b/>
          <w:color w:val="auto"/>
          <w:sz w:val="24"/>
          <w:u w:val="single"/>
        </w:rPr>
        <w:t>项目关注的主要环境问题</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（1）废气：关注</w:t>
      </w:r>
      <w:r>
        <w:rPr>
          <w:rFonts w:hint="eastAsia" w:eastAsia="仿宋_GB2312" w:cs="Times New Roman"/>
          <w:color w:val="auto"/>
          <w:kern w:val="2"/>
          <w:sz w:val="24"/>
          <w:lang w:val="en-US" w:eastAsia="zh-CN" w:bidi="ar-SA"/>
        </w:rPr>
        <w:t>运营期装卸粉尘</w:t>
      </w:r>
      <w:r>
        <w:rPr>
          <w:rFonts w:hint="eastAsia" w:ascii="Times New Roman" w:hAnsi="Times New Roman" w:eastAsia="仿宋_GB2312" w:cs="Times New Roman"/>
          <w:color w:val="auto"/>
          <w:kern w:val="2"/>
          <w:sz w:val="24"/>
          <w:lang w:val="en-US" w:eastAsia="zh-CN" w:bidi="ar-SA"/>
        </w:rPr>
        <w:t>、</w:t>
      </w:r>
      <w:r>
        <w:rPr>
          <w:rFonts w:hint="eastAsia" w:eastAsia="仿宋_GB2312" w:cs="Times New Roman"/>
          <w:color w:val="auto"/>
          <w:kern w:val="2"/>
          <w:sz w:val="24"/>
          <w:lang w:val="en-US" w:eastAsia="zh-CN" w:bidi="ar-SA"/>
        </w:rPr>
        <w:t>转运粉尘</w:t>
      </w:r>
      <w:r>
        <w:rPr>
          <w:rFonts w:hint="eastAsia" w:ascii="Times New Roman" w:hAnsi="Times New Roman" w:eastAsia="仿宋_GB2312" w:cs="Times New Roman"/>
          <w:color w:val="auto"/>
          <w:kern w:val="2"/>
          <w:sz w:val="24"/>
          <w:lang w:val="en-US" w:eastAsia="zh-CN" w:bidi="ar-SA"/>
        </w:rPr>
        <w:t>等污染物的产排情况。</w:t>
      </w:r>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（2）废水：关注</w:t>
      </w:r>
      <w:r>
        <w:rPr>
          <w:rFonts w:hint="eastAsia" w:eastAsia="仿宋_GB2312" w:cs="Times New Roman"/>
          <w:color w:val="auto"/>
          <w:kern w:val="2"/>
          <w:sz w:val="24"/>
          <w:lang w:val="en-US" w:eastAsia="zh-CN" w:bidi="ar-SA"/>
        </w:rPr>
        <w:t>运营期</w:t>
      </w:r>
      <w:r>
        <w:rPr>
          <w:rFonts w:hint="eastAsia" w:ascii="Times New Roman" w:hAnsi="Times New Roman" w:eastAsia="仿宋_GB2312" w:cs="Times New Roman"/>
          <w:color w:val="auto"/>
          <w:kern w:val="2"/>
          <w:sz w:val="24"/>
          <w:lang w:val="en-US" w:eastAsia="zh-CN" w:bidi="ar-SA"/>
        </w:rPr>
        <w:t>码头面员工生活污水、码头面冲洗</w:t>
      </w:r>
      <w:r>
        <w:rPr>
          <w:rFonts w:hint="eastAsia" w:eastAsia="仿宋_GB2312" w:cs="Times New Roman"/>
          <w:color w:val="auto"/>
          <w:kern w:val="2"/>
          <w:sz w:val="24"/>
          <w:lang w:val="en-US" w:eastAsia="zh-CN" w:bidi="ar-SA"/>
        </w:rPr>
        <w:t>废</w:t>
      </w:r>
      <w:r>
        <w:rPr>
          <w:rFonts w:hint="eastAsia" w:ascii="Times New Roman" w:hAnsi="Times New Roman" w:eastAsia="仿宋_GB2312" w:cs="Times New Roman"/>
          <w:color w:val="auto"/>
          <w:kern w:val="2"/>
          <w:sz w:val="24"/>
          <w:lang w:val="en-US" w:eastAsia="zh-CN" w:bidi="ar-SA"/>
        </w:rPr>
        <w:t>水、码头面初期雨水、进港船舶</w:t>
      </w:r>
      <w:r>
        <w:rPr>
          <w:rFonts w:hint="eastAsia" w:eastAsia="仿宋_GB2312" w:cs="Times New Roman"/>
          <w:color w:val="auto"/>
          <w:kern w:val="2"/>
          <w:sz w:val="24"/>
          <w:lang w:val="en-US" w:eastAsia="zh-CN" w:bidi="ar-SA"/>
        </w:rPr>
        <w:t>生活</w:t>
      </w:r>
      <w:r>
        <w:rPr>
          <w:rFonts w:hint="eastAsia" w:ascii="Times New Roman" w:hAnsi="Times New Roman" w:eastAsia="仿宋_GB2312" w:cs="Times New Roman"/>
          <w:color w:val="auto"/>
          <w:kern w:val="2"/>
          <w:sz w:val="24"/>
          <w:lang w:val="en-US" w:eastAsia="zh-CN" w:bidi="ar-SA"/>
        </w:rPr>
        <w:t>污水</w:t>
      </w:r>
      <w:r>
        <w:rPr>
          <w:rFonts w:hint="eastAsia" w:eastAsia="仿宋_GB2312" w:cs="Times New Roman"/>
          <w:color w:val="auto"/>
          <w:kern w:val="2"/>
          <w:sz w:val="24"/>
          <w:lang w:val="en-US" w:eastAsia="zh-CN" w:bidi="ar-SA"/>
        </w:rPr>
        <w:t>及油污水</w:t>
      </w:r>
      <w:r>
        <w:rPr>
          <w:rFonts w:hint="eastAsia" w:ascii="Times New Roman" w:hAnsi="Times New Roman" w:eastAsia="仿宋_GB2312" w:cs="Times New Roman"/>
          <w:color w:val="auto"/>
          <w:kern w:val="2"/>
          <w:sz w:val="24"/>
          <w:lang w:val="en-US" w:eastAsia="zh-CN" w:bidi="ar-SA"/>
        </w:rPr>
        <w:t>收集处理措施可行性及排放去向。</w:t>
      </w:r>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（3）噪声：关注</w:t>
      </w:r>
      <w:r>
        <w:rPr>
          <w:rFonts w:hint="eastAsia" w:eastAsia="仿宋_GB2312" w:cs="Times New Roman"/>
          <w:color w:val="auto"/>
          <w:kern w:val="2"/>
          <w:sz w:val="24"/>
          <w:lang w:val="en-US" w:eastAsia="zh-CN" w:bidi="ar-SA"/>
        </w:rPr>
        <w:t>运营期</w:t>
      </w:r>
      <w:r>
        <w:rPr>
          <w:rFonts w:hint="eastAsia" w:ascii="Times New Roman" w:hAnsi="Times New Roman" w:eastAsia="仿宋_GB2312" w:cs="Times New Roman"/>
          <w:color w:val="auto"/>
          <w:kern w:val="2"/>
          <w:sz w:val="24"/>
          <w:lang w:val="en-US" w:eastAsia="zh-CN" w:bidi="ar-SA"/>
        </w:rPr>
        <w:t>码头装卸噪声的影响。</w:t>
      </w:r>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（4）固废影响：关注</w:t>
      </w:r>
      <w:r>
        <w:rPr>
          <w:rFonts w:hint="eastAsia" w:eastAsia="仿宋_GB2312" w:cs="Times New Roman"/>
          <w:color w:val="auto"/>
          <w:kern w:val="2"/>
          <w:sz w:val="24"/>
          <w:lang w:val="en-US" w:eastAsia="zh-CN" w:bidi="ar-SA"/>
        </w:rPr>
        <w:t>运营期</w:t>
      </w:r>
      <w:r>
        <w:rPr>
          <w:rFonts w:hint="eastAsia" w:ascii="Times New Roman" w:hAnsi="Times New Roman" w:eastAsia="仿宋_GB2312" w:cs="Times New Roman"/>
          <w:color w:val="auto"/>
          <w:kern w:val="2"/>
          <w:sz w:val="24"/>
          <w:lang w:val="en-US" w:eastAsia="zh-CN" w:bidi="ar-SA"/>
        </w:rPr>
        <w:t>码头固废类别及处置去向。</w:t>
      </w:r>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（5）生态环境：关注</w:t>
      </w:r>
      <w:r>
        <w:rPr>
          <w:rFonts w:hint="eastAsia" w:eastAsia="仿宋_GB2312" w:cs="Times New Roman"/>
          <w:color w:val="auto"/>
          <w:kern w:val="2"/>
          <w:sz w:val="24"/>
          <w:lang w:val="en-US" w:eastAsia="zh-CN" w:bidi="ar-SA"/>
        </w:rPr>
        <w:t>运营期</w:t>
      </w:r>
      <w:r>
        <w:rPr>
          <w:rFonts w:hint="eastAsia" w:ascii="Times New Roman" w:hAnsi="Times New Roman" w:eastAsia="仿宋_GB2312" w:cs="Times New Roman"/>
          <w:color w:val="auto"/>
          <w:kern w:val="2"/>
          <w:sz w:val="24"/>
          <w:lang w:val="en-US" w:eastAsia="zh-CN" w:bidi="ar-SA"/>
        </w:rPr>
        <w:t>对鱼类等水生生物的影响，重点关注对湖北宜昌中华鲟自然保护区的影响。</w:t>
      </w:r>
    </w:p>
    <w:p>
      <w:pPr>
        <w:widowControl w:val="0"/>
        <w:spacing w:line="360" w:lineRule="auto"/>
        <w:ind w:firstLine="480" w:firstLineChars="200"/>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（6）环境风险：关注</w:t>
      </w:r>
      <w:r>
        <w:rPr>
          <w:rFonts w:hint="eastAsia" w:eastAsia="仿宋_GB2312" w:cs="Times New Roman"/>
          <w:color w:val="auto"/>
          <w:kern w:val="2"/>
          <w:sz w:val="24"/>
          <w:lang w:val="en-US" w:eastAsia="zh-CN" w:bidi="ar-SA"/>
        </w:rPr>
        <w:t>运营期</w:t>
      </w:r>
      <w:r>
        <w:rPr>
          <w:rFonts w:hint="eastAsia" w:ascii="Times New Roman" w:hAnsi="Times New Roman" w:eastAsia="仿宋_GB2312" w:cs="Times New Roman"/>
          <w:color w:val="auto"/>
          <w:kern w:val="2"/>
          <w:sz w:val="24"/>
          <w:lang w:val="en-US" w:eastAsia="zh-CN" w:bidi="ar-SA"/>
        </w:rPr>
        <w:t>船舶发生碰撞事故导致燃油舱燃油泄漏事故状态下，溢油环境风险的影响范围和程度；建设单位与宜昌市的区域应急预案联动情况。</w:t>
      </w:r>
    </w:p>
    <w:p>
      <w:pPr>
        <w:widowControl w:val="0"/>
        <w:spacing w:line="360" w:lineRule="auto"/>
        <w:ind w:firstLine="480" w:firstLineChars="200"/>
        <w:rPr>
          <w:rFonts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项目位于湖北宜昌中华鲟自然保护区</w:t>
      </w:r>
      <w:r>
        <w:rPr>
          <w:rFonts w:hint="eastAsia" w:ascii="Times New Roman" w:hAnsi="Times New Roman" w:eastAsia="仿宋_GB2312" w:cs="Times New Roman"/>
          <w:b/>
          <w:bCs/>
          <w:color w:val="auto"/>
          <w:kern w:val="2"/>
          <w:sz w:val="24"/>
          <w:lang w:val="en-US" w:eastAsia="zh-CN" w:bidi="ar-SA"/>
        </w:rPr>
        <w:t>外围保护地带</w:t>
      </w:r>
      <w:r>
        <w:rPr>
          <w:rFonts w:hint="eastAsia" w:ascii="Times New Roman" w:hAnsi="Times New Roman" w:eastAsia="仿宋_GB2312" w:cs="Times New Roman"/>
          <w:color w:val="auto"/>
          <w:kern w:val="2"/>
          <w:sz w:val="24"/>
          <w:lang w:val="en-US" w:eastAsia="zh-CN" w:bidi="ar-SA"/>
        </w:rPr>
        <w:t>，事故风险重点为施工船舶、营运船舶事故溢油对长江水环境的影响，包括影响范围和程度、拟采取的事故风险防范措施和应急预案等。</w:t>
      </w:r>
    </w:p>
    <w:p>
      <w:pPr>
        <w:widowControl w:val="0"/>
        <w:spacing w:line="360" w:lineRule="auto"/>
        <w:ind w:firstLine="482" w:firstLineChars="200"/>
        <w:jc w:val="both"/>
        <w:outlineLvl w:val="1"/>
        <w:rPr>
          <w:rFonts w:eastAsia="仿宋_GB2312"/>
          <w:b/>
          <w:color w:val="auto"/>
          <w:sz w:val="24"/>
          <w:u w:val="single"/>
        </w:rPr>
      </w:pPr>
      <w:bookmarkStart w:id="207" w:name="_Toc30585"/>
      <w:bookmarkStart w:id="208" w:name="_Toc31786"/>
      <w:bookmarkStart w:id="209" w:name="_Toc27230"/>
      <w:bookmarkStart w:id="210" w:name="_Toc29166"/>
      <w:bookmarkStart w:id="211" w:name="_Toc22505"/>
      <w:bookmarkStart w:id="212" w:name="_Toc7259"/>
      <w:r>
        <w:rPr>
          <w:rFonts w:hint="eastAsia" w:eastAsia="仿宋_GB2312"/>
          <w:b/>
          <w:color w:val="auto"/>
          <w:sz w:val="24"/>
          <w:u w:val="single"/>
        </w:rPr>
        <w:t>五、</w:t>
      </w:r>
      <w:r>
        <w:rPr>
          <w:rFonts w:eastAsia="仿宋_GB2312"/>
          <w:b/>
          <w:color w:val="auto"/>
          <w:sz w:val="24"/>
          <w:u w:val="single"/>
        </w:rPr>
        <w:t>结论</w:t>
      </w:r>
      <w:bookmarkEnd w:id="154"/>
      <w:bookmarkEnd w:id="155"/>
      <w:bookmarkEnd w:id="156"/>
      <w:bookmarkEnd w:id="157"/>
      <w:bookmarkEnd w:id="158"/>
      <w:bookmarkEnd w:id="159"/>
      <w:bookmarkEnd w:id="160"/>
      <w:bookmarkEnd w:id="161"/>
      <w:bookmarkEnd w:id="162"/>
      <w:bookmarkEnd w:id="207"/>
      <w:bookmarkEnd w:id="208"/>
      <w:bookmarkEnd w:id="209"/>
      <w:bookmarkEnd w:id="210"/>
      <w:bookmarkEnd w:id="211"/>
      <w:bookmarkEnd w:id="212"/>
    </w:p>
    <w:p>
      <w:pPr>
        <w:pStyle w:val="316"/>
        <w:widowControl w:val="0"/>
        <w:jc w:val="both"/>
        <w:rPr>
          <w:rFonts w:hint="eastAsia" w:eastAsia="仿宋_GB2312"/>
          <w:color w:val="auto"/>
        </w:rPr>
      </w:pPr>
      <w:r>
        <w:rPr>
          <w:rFonts w:hint="eastAsia" w:eastAsia="仿宋_GB2312"/>
          <w:color w:val="auto"/>
          <w:sz w:val="24"/>
          <w:lang w:eastAsia="zh-CN"/>
        </w:rPr>
        <w:t>湖北楚新矿业有限公司皮带输送廊道及综合物流码头建设项目（综合物流码头部分）</w:t>
      </w:r>
      <w:r>
        <w:rPr>
          <w:rFonts w:eastAsia="仿宋_GB2312"/>
          <w:color w:val="auto"/>
        </w:rPr>
        <w:t>符合国家产业政策；</w:t>
      </w:r>
      <w:r>
        <w:rPr>
          <w:rFonts w:hint="eastAsia" w:eastAsia="仿宋_GB2312"/>
          <w:color w:val="auto"/>
        </w:rPr>
        <w:t>本项目选址与《宜昌港总体规划修订（2018-2035年）》、《宜昌市环境总体规划（2013-2030年）》等相关规划相协调，不占用大气环境质量红线区、水环境质量红线区及生态功能红线区，基本落实了《宜昌港总体规划修订（2018-2035年）环境影响报告书》及其审查意见中的相关总体要求，符合《宜昌市港口和船舶污染物接收转运及处置设施建设方案（2016-2020年）》等相关方案。</w:t>
      </w:r>
    </w:p>
    <w:p>
      <w:pPr>
        <w:pStyle w:val="316"/>
        <w:widowControl w:val="0"/>
        <w:jc w:val="both"/>
        <w:rPr>
          <w:rFonts w:hint="eastAsia" w:eastAsia="仿宋_GB2312"/>
          <w:color w:val="auto"/>
        </w:rPr>
      </w:pPr>
      <w:r>
        <w:rPr>
          <w:rFonts w:hint="eastAsia" w:eastAsia="仿宋_GB2312"/>
          <w:color w:val="auto"/>
        </w:rPr>
        <w:t>项目在全面落实工程设计和本《报告书》提出的各项环保措施及“三同时”制度，并加强环境管理，工程建设对环境的不利影响可得到控制和缓解，项目建设具有环境可行性</w:t>
      </w:r>
      <w:r>
        <w:rPr>
          <w:rFonts w:eastAsia="仿宋_GB2312"/>
          <w:color w:val="auto"/>
        </w:rPr>
        <w:t>。因此，从环境保护角度而言，该项目建设可行。</w:t>
      </w:r>
    </w:p>
    <w:p>
      <w:pPr>
        <w:pStyle w:val="316"/>
        <w:widowControl w:val="0"/>
        <w:ind w:left="0" w:leftChars="0" w:firstLine="0" w:firstLineChars="0"/>
        <w:jc w:val="both"/>
        <w:rPr>
          <w:rFonts w:eastAsia="仿宋_GB2312"/>
          <w:b/>
          <w:color w:val="auto"/>
          <w:sz w:val="32"/>
        </w:rPr>
        <w:sectPr>
          <w:headerReference r:id="rId10" w:type="default"/>
          <w:footerReference r:id="rId11"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widowControl w:val="0"/>
        <w:spacing w:before="240" w:after="240" w:line="360" w:lineRule="auto"/>
        <w:jc w:val="center"/>
        <w:outlineLvl w:val="0"/>
        <w:rPr>
          <w:rFonts w:hint="eastAsia" w:eastAsia="黑体"/>
          <w:color w:val="auto"/>
          <w:sz w:val="44"/>
          <w:szCs w:val="44"/>
          <w:lang w:eastAsia="zh-CN"/>
        </w:rPr>
      </w:pPr>
      <w:bookmarkStart w:id="213" w:name="_Toc2344"/>
      <w:r>
        <w:rPr>
          <w:rFonts w:eastAsia="黑体"/>
          <w:color w:val="auto"/>
          <w:sz w:val="44"/>
          <w:szCs w:val="44"/>
        </w:rPr>
        <w:t>1</w:t>
      </w:r>
      <w:bookmarkEnd w:id="0"/>
      <w:r>
        <w:rPr>
          <w:rFonts w:eastAsia="黑体"/>
          <w:color w:val="auto"/>
          <w:sz w:val="44"/>
          <w:szCs w:val="44"/>
        </w:rPr>
        <w:t>总</w:t>
      </w:r>
      <w:r>
        <w:rPr>
          <w:rFonts w:hint="eastAsia" w:eastAsia="黑体"/>
          <w:color w:val="auto"/>
          <w:sz w:val="44"/>
          <w:szCs w:val="44"/>
          <w:lang w:val="en-US" w:eastAsia="zh-CN"/>
        </w:rPr>
        <w:t>则</w:t>
      </w:r>
      <w:bookmarkEnd w:id="213"/>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214" w:name="_Toc2735"/>
      <w:r>
        <w:rPr>
          <w:rFonts w:hint="eastAsia" w:ascii="Times New Roman" w:hAnsi="Times New Roman"/>
          <w:b w:val="0"/>
          <w:color w:val="auto"/>
          <w:szCs w:val="32"/>
          <w:lang w:val="en-US" w:eastAsia="zh-CN"/>
        </w:rPr>
        <w:t>1.1评价目的</w:t>
      </w:r>
      <w:bookmarkEnd w:id="214"/>
    </w:p>
    <w:p>
      <w:pPr>
        <w:widowControl w:val="0"/>
        <w:spacing w:line="360" w:lineRule="auto"/>
        <w:ind w:firstLine="480" w:firstLineChars="200"/>
        <w:jc w:val="both"/>
        <w:rPr>
          <w:rFonts w:hint="eastAsia" w:eastAsia="仿宋_GB2312"/>
          <w:bCs/>
          <w:snapToGrid w:val="0"/>
          <w:color w:val="auto"/>
          <w:kern w:val="0"/>
          <w:sz w:val="24"/>
          <w:lang w:eastAsia="zh-CN"/>
        </w:rPr>
      </w:pPr>
      <w:r>
        <w:rPr>
          <w:rFonts w:hint="eastAsia" w:eastAsia="仿宋_GB2312"/>
          <w:bCs/>
          <w:snapToGrid w:val="0"/>
          <w:color w:val="auto"/>
          <w:kern w:val="0"/>
          <w:sz w:val="24"/>
        </w:rPr>
        <w:t>湖北汉环环境工程有限公司受湖北楚新矿业有限公司的委托，承担</w:t>
      </w:r>
      <w:r>
        <w:rPr>
          <w:rFonts w:hint="eastAsia" w:eastAsia="仿宋_GB2312"/>
          <w:bCs/>
          <w:snapToGrid w:val="0"/>
          <w:color w:val="auto"/>
          <w:kern w:val="0"/>
          <w:sz w:val="24"/>
          <w:lang w:eastAsia="zh-CN"/>
        </w:rPr>
        <w:t>湖北楚新矿业有限公司皮带输送廊道及综合物流码头建设项目（综合物流码头部分）</w:t>
      </w:r>
      <w:r>
        <w:rPr>
          <w:rFonts w:hint="eastAsia" w:eastAsia="仿宋_GB2312"/>
          <w:bCs/>
          <w:snapToGrid w:val="0"/>
          <w:color w:val="auto"/>
          <w:kern w:val="0"/>
          <w:sz w:val="24"/>
        </w:rPr>
        <w:t>环境影响评价工作，该工程的建设将会对区域环境产生一定的影响，本评价拟在对环境现状调查的基础上，通过工程污染分析，预测工程建设对环境的影响，提出防治污染和减缓影响的可行措施，为工程决策提供依据，指导工程环境保护设计和工程施工及运营期环境管理，使工程建设达到经济效益、社会效益和环境效益的统一</w:t>
      </w:r>
      <w:r>
        <w:rPr>
          <w:rFonts w:hint="eastAsia" w:eastAsia="仿宋_GB2312"/>
          <w:bCs/>
          <w:snapToGrid w:val="0"/>
          <w:color w:val="auto"/>
          <w:kern w:val="0"/>
          <w:sz w:val="24"/>
          <w:lang w:eastAsia="zh-CN"/>
        </w:rPr>
        <w:t>。</w:t>
      </w:r>
    </w:p>
    <w:p>
      <w:pPr>
        <w:pStyle w:val="8"/>
        <w:widowControl w:val="0"/>
        <w:spacing w:before="120" w:after="120" w:line="360" w:lineRule="auto"/>
        <w:rPr>
          <w:rFonts w:hint="eastAsia" w:ascii="Times New Roman" w:hAnsi="Times New Roman"/>
          <w:b w:val="0"/>
          <w:color w:val="auto"/>
          <w:szCs w:val="32"/>
        </w:rPr>
      </w:pPr>
      <w:bookmarkStart w:id="215" w:name="_Toc13958"/>
      <w:r>
        <w:rPr>
          <w:rFonts w:ascii="Times New Roman" w:hAnsi="Times New Roman"/>
          <w:b w:val="0"/>
          <w:color w:val="auto"/>
          <w:szCs w:val="32"/>
        </w:rPr>
        <w:t>1.</w:t>
      </w:r>
      <w:r>
        <w:rPr>
          <w:rFonts w:hint="eastAsia" w:ascii="Times New Roman" w:hAnsi="Times New Roman"/>
          <w:b w:val="0"/>
          <w:color w:val="auto"/>
          <w:szCs w:val="32"/>
          <w:lang w:val="en-US" w:eastAsia="zh-CN"/>
        </w:rPr>
        <w:t>2</w:t>
      </w:r>
      <w:r>
        <w:rPr>
          <w:rFonts w:ascii="Times New Roman" w:hAnsi="Times New Roman"/>
          <w:b w:val="0"/>
          <w:color w:val="auto"/>
          <w:szCs w:val="32"/>
        </w:rPr>
        <w:t>编制依据</w:t>
      </w:r>
      <w:bookmarkEnd w:id="215"/>
    </w:p>
    <w:p>
      <w:pPr>
        <w:pStyle w:val="9"/>
        <w:widowControl w:val="0"/>
        <w:spacing w:before="120" w:after="120" w:line="360" w:lineRule="auto"/>
        <w:rPr>
          <w:rFonts w:hint="default" w:eastAsia="黑体"/>
          <w:b w:val="0"/>
          <w:color w:val="auto"/>
          <w:sz w:val="24"/>
          <w:lang w:val="en-US" w:eastAsia="zh-CN"/>
        </w:rPr>
      </w:pPr>
      <w:bookmarkStart w:id="216" w:name="_Toc38904527"/>
      <w:bookmarkStart w:id="217" w:name="_Toc25585"/>
      <w:r>
        <w:rPr>
          <w:rFonts w:eastAsia="黑体"/>
          <w:b w:val="0"/>
          <w:color w:val="auto"/>
          <w:sz w:val="24"/>
        </w:rPr>
        <w:t>1.</w:t>
      </w:r>
      <w:r>
        <w:rPr>
          <w:rFonts w:hint="eastAsia" w:eastAsia="黑体"/>
          <w:b w:val="0"/>
          <w:color w:val="auto"/>
          <w:sz w:val="24"/>
          <w:lang w:val="en-US" w:eastAsia="zh-CN"/>
        </w:rPr>
        <w:t>2</w:t>
      </w:r>
      <w:r>
        <w:rPr>
          <w:rFonts w:eastAsia="黑体"/>
          <w:b w:val="0"/>
          <w:color w:val="auto"/>
          <w:sz w:val="24"/>
        </w:rPr>
        <w:t>.1</w:t>
      </w:r>
      <w:bookmarkEnd w:id="216"/>
      <w:r>
        <w:rPr>
          <w:rFonts w:hint="eastAsia" w:eastAsia="黑体"/>
          <w:b w:val="0"/>
          <w:color w:val="auto"/>
          <w:sz w:val="24"/>
          <w:lang w:val="en-US" w:eastAsia="zh-CN"/>
        </w:rPr>
        <w:t>国家有关环境保护的法律、法规及规定</w:t>
      </w:r>
      <w:bookmarkEnd w:id="217"/>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《中华人民共和国环境保护法》</w:t>
      </w:r>
      <w:r>
        <w:rPr>
          <w:rFonts w:hint="eastAsia" w:eastAsia="仿宋_GB2312"/>
          <w:color w:val="auto"/>
          <w:sz w:val="24"/>
          <w:lang w:eastAsia="zh-CN"/>
        </w:rPr>
        <w:t>，</w:t>
      </w:r>
      <w:r>
        <w:rPr>
          <w:rFonts w:eastAsia="仿宋_GB2312"/>
          <w:color w:val="auto"/>
          <w:sz w:val="24"/>
        </w:rPr>
        <w:t>2015年1月1日起施行；</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《中华人民共和国环境影响评价法》</w:t>
      </w:r>
      <w:r>
        <w:rPr>
          <w:rFonts w:hint="eastAsia" w:eastAsia="仿宋_GB2312"/>
          <w:color w:val="auto"/>
          <w:sz w:val="24"/>
          <w:lang w:eastAsia="zh-CN"/>
        </w:rPr>
        <w:t>，</w:t>
      </w:r>
      <w:r>
        <w:rPr>
          <w:rFonts w:eastAsia="仿宋_GB2312"/>
          <w:color w:val="auto"/>
          <w:sz w:val="24"/>
        </w:rPr>
        <w:t>2018年12月29日修订并实施；</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《中华人民共和国大气污染防治法》</w:t>
      </w:r>
      <w:r>
        <w:rPr>
          <w:rFonts w:hint="eastAsia" w:eastAsia="仿宋_GB2312"/>
          <w:color w:val="auto"/>
          <w:sz w:val="24"/>
          <w:lang w:eastAsia="zh-CN"/>
        </w:rPr>
        <w:t>，</w:t>
      </w:r>
      <w:r>
        <w:rPr>
          <w:rFonts w:eastAsia="仿宋_GB2312"/>
          <w:color w:val="auto"/>
          <w:sz w:val="24"/>
        </w:rPr>
        <w:t>2018年10月26日修订并实施；</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《中华人民共和国水污染防治法》</w:t>
      </w:r>
      <w:r>
        <w:rPr>
          <w:rFonts w:hint="eastAsia" w:eastAsia="仿宋_GB2312"/>
          <w:color w:val="auto"/>
          <w:sz w:val="24"/>
          <w:lang w:eastAsia="zh-CN"/>
        </w:rPr>
        <w:t>，</w:t>
      </w:r>
      <w:r>
        <w:rPr>
          <w:rFonts w:eastAsia="仿宋_GB2312"/>
          <w:color w:val="auto"/>
          <w:sz w:val="24"/>
        </w:rPr>
        <w:t>2018年1月1日起施行；</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《中华人民共和国环境噪声污染防治法》</w:t>
      </w:r>
      <w:r>
        <w:rPr>
          <w:rFonts w:hint="eastAsia" w:eastAsia="仿宋_GB2312"/>
          <w:color w:val="auto"/>
          <w:sz w:val="24"/>
          <w:lang w:eastAsia="zh-CN"/>
        </w:rPr>
        <w:t>，</w:t>
      </w:r>
      <w:r>
        <w:rPr>
          <w:rFonts w:eastAsia="仿宋_GB2312"/>
          <w:color w:val="auto"/>
          <w:sz w:val="24"/>
        </w:rPr>
        <w:t>2018年12月29日修订并实施；</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《中华人民共和国固体废物污染环境防治法》</w:t>
      </w:r>
      <w:r>
        <w:rPr>
          <w:rFonts w:hint="eastAsia" w:eastAsia="仿宋_GB2312"/>
          <w:color w:val="auto"/>
          <w:sz w:val="24"/>
          <w:lang w:eastAsia="zh-CN"/>
        </w:rPr>
        <w:t>，</w:t>
      </w:r>
      <w:r>
        <w:rPr>
          <w:rFonts w:eastAsia="仿宋_GB2312"/>
          <w:color w:val="auto"/>
          <w:sz w:val="24"/>
        </w:rPr>
        <w:t>20</w:t>
      </w:r>
      <w:r>
        <w:rPr>
          <w:rFonts w:hint="eastAsia" w:eastAsia="仿宋_GB2312"/>
          <w:color w:val="auto"/>
          <w:sz w:val="24"/>
        </w:rPr>
        <w:t>20</w:t>
      </w:r>
      <w:r>
        <w:rPr>
          <w:rFonts w:eastAsia="仿宋_GB2312"/>
          <w:color w:val="auto"/>
          <w:sz w:val="24"/>
        </w:rPr>
        <w:t>年</w:t>
      </w:r>
      <w:r>
        <w:rPr>
          <w:rFonts w:hint="eastAsia" w:eastAsia="仿宋_GB2312"/>
          <w:color w:val="auto"/>
          <w:sz w:val="24"/>
        </w:rPr>
        <w:t>4</w:t>
      </w:r>
      <w:r>
        <w:rPr>
          <w:rFonts w:eastAsia="仿宋_GB2312"/>
          <w:color w:val="auto"/>
          <w:sz w:val="24"/>
        </w:rPr>
        <w:t>月</w:t>
      </w:r>
      <w:r>
        <w:rPr>
          <w:rFonts w:hint="eastAsia" w:eastAsia="仿宋_GB2312"/>
          <w:color w:val="auto"/>
          <w:sz w:val="24"/>
        </w:rPr>
        <w:t>29</w:t>
      </w:r>
      <w:r>
        <w:rPr>
          <w:rFonts w:eastAsia="仿宋_GB2312"/>
          <w:color w:val="auto"/>
          <w:sz w:val="24"/>
        </w:rPr>
        <w:t>日修订</w:t>
      </w:r>
      <w:r>
        <w:rPr>
          <w:rFonts w:hint="eastAsia" w:eastAsia="仿宋_GB2312"/>
          <w:color w:val="auto"/>
          <w:sz w:val="24"/>
        </w:rPr>
        <w:t>，</w:t>
      </w:r>
      <w:r>
        <w:rPr>
          <w:rFonts w:eastAsia="仿宋_GB2312"/>
          <w:color w:val="auto"/>
          <w:sz w:val="24"/>
        </w:rPr>
        <w:t>20</w:t>
      </w:r>
      <w:r>
        <w:rPr>
          <w:rFonts w:hint="eastAsia" w:eastAsia="仿宋_GB2312"/>
          <w:color w:val="auto"/>
          <w:sz w:val="24"/>
        </w:rPr>
        <w:t>20</w:t>
      </w:r>
      <w:r>
        <w:rPr>
          <w:rFonts w:eastAsia="仿宋_GB2312"/>
          <w:color w:val="auto"/>
          <w:sz w:val="24"/>
        </w:rPr>
        <w:t>年</w:t>
      </w:r>
      <w:r>
        <w:rPr>
          <w:rFonts w:hint="eastAsia" w:eastAsia="仿宋_GB2312"/>
          <w:color w:val="auto"/>
          <w:sz w:val="24"/>
        </w:rPr>
        <w:t>9</w:t>
      </w:r>
      <w:r>
        <w:rPr>
          <w:rFonts w:eastAsia="仿宋_GB2312"/>
          <w:color w:val="auto"/>
          <w:sz w:val="24"/>
        </w:rPr>
        <w:t>月</w:t>
      </w:r>
      <w:r>
        <w:rPr>
          <w:rFonts w:hint="eastAsia" w:eastAsia="仿宋_GB2312"/>
          <w:color w:val="auto"/>
          <w:sz w:val="24"/>
        </w:rPr>
        <w:t>1</w:t>
      </w:r>
      <w:r>
        <w:rPr>
          <w:rFonts w:eastAsia="仿宋_GB2312"/>
          <w:color w:val="auto"/>
          <w:sz w:val="24"/>
        </w:rPr>
        <w:t>日实施；</w:t>
      </w:r>
    </w:p>
    <w:p>
      <w:pPr>
        <w:widowControl w:val="0"/>
        <w:numPr>
          <w:ilvl w:val="0"/>
          <w:numId w:val="3"/>
        </w:numPr>
        <w:spacing w:line="360" w:lineRule="auto"/>
        <w:jc w:val="both"/>
        <w:rPr>
          <w:rFonts w:eastAsia="仿宋_GB2312"/>
          <w:color w:val="auto"/>
          <w:sz w:val="24"/>
        </w:rPr>
      </w:pPr>
      <w:r>
        <w:rPr>
          <w:rFonts w:eastAsia="仿宋_GB2312"/>
          <w:color w:val="auto"/>
          <w:sz w:val="24"/>
        </w:rPr>
        <w:t>《中华人民共和国土壤污染防治法》</w:t>
      </w:r>
      <w:r>
        <w:rPr>
          <w:rFonts w:hint="eastAsia" w:eastAsia="仿宋_GB2312"/>
          <w:color w:val="auto"/>
          <w:sz w:val="24"/>
          <w:lang w:eastAsia="zh-CN"/>
        </w:rPr>
        <w:t>，</w:t>
      </w:r>
      <w:r>
        <w:rPr>
          <w:rFonts w:eastAsia="仿宋_GB2312"/>
          <w:color w:val="auto"/>
          <w:sz w:val="24"/>
        </w:rPr>
        <w:t>2019年1月1日起施行</w:t>
      </w:r>
      <w:r>
        <w:rPr>
          <w:rFonts w:hint="eastAsia" w:eastAsia="仿宋_GB2312"/>
          <w:color w:val="auto"/>
          <w:sz w:val="24"/>
          <w:lang w:eastAsia="zh-CN"/>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《中华人民共和国港口法》，201</w:t>
      </w:r>
      <w:r>
        <w:rPr>
          <w:rFonts w:hint="eastAsia" w:eastAsia="仿宋_GB2312"/>
          <w:color w:val="auto"/>
          <w:sz w:val="24"/>
          <w:lang w:val="en-US" w:eastAsia="zh-CN"/>
        </w:rPr>
        <w:t>8</w:t>
      </w:r>
      <w:r>
        <w:rPr>
          <w:rFonts w:hint="eastAsia" w:eastAsia="仿宋_GB2312"/>
          <w:color w:val="auto"/>
          <w:sz w:val="24"/>
        </w:rPr>
        <w:t>年1</w:t>
      </w:r>
      <w:r>
        <w:rPr>
          <w:rFonts w:hint="eastAsia" w:eastAsia="仿宋_GB2312"/>
          <w:color w:val="auto"/>
          <w:sz w:val="24"/>
          <w:lang w:val="en-US" w:eastAsia="zh-CN"/>
        </w:rPr>
        <w:t>2</w:t>
      </w:r>
      <w:r>
        <w:rPr>
          <w:rFonts w:hint="eastAsia" w:eastAsia="仿宋_GB2312"/>
          <w:color w:val="auto"/>
          <w:sz w:val="24"/>
        </w:rPr>
        <w:t>月</w:t>
      </w:r>
      <w:r>
        <w:rPr>
          <w:rFonts w:hint="eastAsia" w:eastAsia="仿宋_GB2312"/>
          <w:color w:val="auto"/>
          <w:sz w:val="24"/>
          <w:lang w:val="en-US" w:eastAsia="zh-CN"/>
        </w:rPr>
        <w:t>29</w:t>
      </w:r>
      <w:r>
        <w:rPr>
          <w:rFonts w:hint="eastAsia" w:eastAsia="仿宋_GB2312"/>
          <w:color w:val="auto"/>
          <w:sz w:val="24"/>
        </w:rPr>
        <w:t>日修正；</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《中华人民共和国渔业法》，2013年12月28日修订；</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《中华人民共和国航道法》，2016年7月2日修正；</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《中华人民共和国野生动物保护法》，20</w:t>
      </w:r>
      <w:r>
        <w:rPr>
          <w:rFonts w:hint="eastAsia" w:eastAsia="仿宋_GB2312"/>
          <w:color w:val="auto"/>
          <w:sz w:val="24"/>
          <w:lang w:val="en-US" w:eastAsia="zh-CN"/>
        </w:rPr>
        <w:t>23</w:t>
      </w:r>
      <w:r>
        <w:rPr>
          <w:rFonts w:hint="eastAsia" w:eastAsia="仿宋_GB2312"/>
          <w:color w:val="auto"/>
          <w:sz w:val="24"/>
        </w:rPr>
        <w:t>年</w:t>
      </w:r>
      <w:r>
        <w:rPr>
          <w:rFonts w:hint="eastAsia" w:eastAsia="仿宋_GB2312"/>
          <w:color w:val="auto"/>
          <w:sz w:val="24"/>
          <w:lang w:val="en-US" w:eastAsia="zh-CN"/>
        </w:rPr>
        <w:t>5</w:t>
      </w:r>
      <w:r>
        <w:rPr>
          <w:rFonts w:hint="eastAsia" w:eastAsia="仿宋_GB2312"/>
          <w:color w:val="auto"/>
          <w:sz w:val="24"/>
        </w:rPr>
        <w:t>月</w:t>
      </w:r>
      <w:r>
        <w:rPr>
          <w:rFonts w:hint="eastAsia" w:eastAsia="仿宋_GB2312"/>
          <w:color w:val="auto"/>
          <w:sz w:val="24"/>
          <w:lang w:val="en-US" w:eastAsia="zh-CN"/>
        </w:rPr>
        <w:t>1</w:t>
      </w:r>
      <w:r>
        <w:rPr>
          <w:rFonts w:hint="eastAsia" w:eastAsia="仿宋_GB2312"/>
          <w:color w:val="auto"/>
          <w:sz w:val="24"/>
        </w:rPr>
        <w:t>日</w:t>
      </w:r>
      <w:r>
        <w:rPr>
          <w:rFonts w:hint="eastAsia" w:eastAsia="仿宋_GB2312"/>
          <w:color w:val="auto"/>
          <w:sz w:val="24"/>
          <w:lang w:val="en-US" w:eastAsia="zh-CN"/>
        </w:rPr>
        <w:t>施行</w:t>
      </w:r>
      <w:r>
        <w:rPr>
          <w:rFonts w:hint="eastAsia" w:eastAsia="仿宋_GB2312"/>
          <w:color w:val="auto"/>
          <w:sz w:val="24"/>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《中华人民共和国清洁生产促进法》，2012年7月1日实施；</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《中华人民共和国长江保护法》，自2021年3月1日起施行；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《中华人民共和国突发事件应对法》</w:t>
      </w:r>
      <w:r>
        <w:rPr>
          <w:rFonts w:hint="eastAsia" w:eastAsia="仿宋_GB2312"/>
          <w:color w:val="auto"/>
          <w:sz w:val="24"/>
          <w:lang w:eastAsia="zh-CN"/>
        </w:rPr>
        <w:t>，</w:t>
      </w:r>
      <w:r>
        <w:rPr>
          <w:rFonts w:hint="eastAsia" w:eastAsia="仿宋_GB2312"/>
          <w:color w:val="auto"/>
          <w:sz w:val="24"/>
        </w:rPr>
        <w:t>2007年11月1日起施行；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中华人民共和国国务院令第682号《建设项目环境保护管理条例》</w:t>
      </w:r>
      <w:r>
        <w:rPr>
          <w:rFonts w:hint="eastAsia" w:eastAsia="仿宋_GB2312"/>
          <w:color w:val="auto"/>
          <w:sz w:val="24"/>
          <w:lang w:eastAsia="zh-CN"/>
        </w:rPr>
        <w:t>，</w:t>
      </w:r>
      <w:r>
        <w:rPr>
          <w:rFonts w:hint="eastAsia" w:eastAsia="仿宋_GB2312"/>
          <w:color w:val="auto"/>
          <w:sz w:val="24"/>
        </w:rPr>
        <w:t>2017年7月16日修订</w:t>
      </w:r>
      <w:r>
        <w:rPr>
          <w:rFonts w:hint="eastAsia" w:eastAsia="仿宋_GB2312"/>
          <w:color w:val="auto"/>
          <w:sz w:val="24"/>
          <w:lang w:eastAsia="zh-CN"/>
        </w:rPr>
        <w:t>，</w:t>
      </w:r>
      <w:r>
        <w:rPr>
          <w:rFonts w:hint="eastAsia" w:eastAsia="仿宋_GB2312"/>
          <w:color w:val="auto"/>
          <w:sz w:val="24"/>
          <w:lang w:val="en-US" w:eastAsia="zh-CN"/>
        </w:rPr>
        <w:t>2017年10月1日施行</w:t>
      </w:r>
      <w:r>
        <w:rPr>
          <w:rFonts w:hint="eastAsia" w:eastAsia="仿宋_GB2312"/>
          <w:color w:val="auto"/>
          <w:sz w:val="24"/>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《危险化学品安全管理条例》（2013年12月7日起修订施行）；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国家环保总局、卫生部、建设部、水利部、地矿部关于《饮用水水源保护区污染防治管理规定》，环境保护部令第16号自2010年12月修订；</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国发〔2013〕37号《国务院关于印发大气污染防治行动计划的通知》，2013年9月10日；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国发〔2014〕39号《国务院关于依托黄金水道推动长江经济带发展的指导意见》，2014年9月25日；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国发〔2015〕17号《国务院关于印发水污染防治行动计划的通知》，2015年4月2日；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国发〔2005〕40号《国务院关于发布实施〈促进产业结构调整暂行规定〉的决定》，2008年3月28日；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国家发展和改革委员会令2020第29号《产业结构调整指导目录（2019年本）》，2019年10月30日；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《国家发展改革委关于修改&lt;产业结构调整指导目录（2019年本）&gt;的决定》，2021年12月27日第20次委务会议审议通过，2021年12月30日起实施；</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环发〔2012〕77号《关于进一步加强环境影响评价管理防范环境风险的通知》，2012年7月3日；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环发〔2012〕98号《关于切实加强风险防范严格环境影响评价管理的通知》，2012年8月7日；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环发[2015]178号《关于加强规划环境影响评价与建设项目环境影响评价联动工作的意见》</w:t>
      </w:r>
      <w:r>
        <w:rPr>
          <w:rFonts w:hint="eastAsia" w:eastAsia="仿宋_GB2312"/>
          <w:color w:val="auto"/>
          <w:sz w:val="24"/>
          <w:lang w:eastAsia="zh-CN"/>
        </w:rPr>
        <w:t>，</w:t>
      </w:r>
      <w:r>
        <w:rPr>
          <w:rFonts w:hint="eastAsia" w:eastAsia="仿宋_GB2312"/>
          <w:color w:val="auto"/>
          <w:sz w:val="24"/>
        </w:rPr>
        <w:t>2015年12月30日；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环发〔2013〕86号《关于进一步加强水生生物资源保护严格环境影响评价管理的通知》，2013年8月5日；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《建设项目环境影响评价分类管理名录（2021年版）》，2020年11月5日由生态环境部部务会议审议通过，自2021年1月1日起施行；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中华人民共和国生态环境部令第9号《建设项目环境影响报告书（表）编制监督管理办法》，2019年9月20日发布，2019年11月1日起施行；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（13）中华人民共和国生态环境部公告2019年第38号《关于发布&lt;建设项目环境影响报告书（表）编制监督管理办法&gt;配套文件的公告》，2019年10月25日印发，2019年11月1日起施行；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中华人民共和国生态环境部环办环评[2018]2号《关于印发机场、港口、水利（河湖整治与防洪除涝工程）三个行业建设项目环境影响评价文件审批原则的通知》，2018年1月4日起施行</w:t>
      </w:r>
      <w:r>
        <w:rPr>
          <w:rFonts w:hint="eastAsia" w:eastAsia="仿宋_GB2312"/>
          <w:color w:val="auto"/>
          <w:sz w:val="24"/>
          <w:lang w:eastAsia="zh-CN"/>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生态环境部令第4号《环境影响评价公众参与办法》，2018年4月16日由生态环境部部务会议审议通过，自2019年1月1日起施行；</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环办环评[2017]84号《关于做好环境影响评价制度与排污许可衔接相关工作的通知》</w:t>
      </w:r>
      <w:r>
        <w:rPr>
          <w:rFonts w:hint="eastAsia" w:eastAsia="仿宋_GB2312"/>
          <w:color w:val="auto"/>
          <w:sz w:val="24"/>
          <w:lang w:eastAsia="zh-CN"/>
        </w:rPr>
        <w:t>，</w:t>
      </w:r>
      <w:r>
        <w:rPr>
          <w:rFonts w:hint="eastAsia" w:eastAsia="仿宋_GB2312"/>
          <w:color w:val="auto"/>
          <w:sz w:val="24"/>
        </w:rPr>
        <w:t>2017年11月14日；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中共中央、国务院中发〔2016〕14号《长江经济带发展规划纲要》，2016年5月30日；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中华人民共和国国务院令第355号《中华人民共和国内河交通安全管理条例》，2017年3月1日修正</w:t>
      </w:r>
      <w:r>
        <w:rPr>
          <w:rFonts w:hint="eastAsia" w:eastAsia="仿宋_GB2312"/>
          <w:color w:val="auto"/>
          <w:sz w:val="24"/>
          <w:lang w:eastAsia="zh-CN"/>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交通运输部《关于印发船舶与港口污染防治专项行动实施方案》（2015-2020年）的通知，2015年8月27日；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交通部2015年第25号令《中华人民共和国防治船舶污染内河水域环境管理规定》，2016年5月1日；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交通部2003年第5号令《交通建设项目环境保护管理办法》，2003年5月13日；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环境保护部办公厅文件环办〔2013〕104号《关于切实加强环境影响评价监督管理工作的通知》，2013年11月15日；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中办、国办印发《关于划定并严守生态保护红线的若干意见》，2017年2月8日；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环发〔2013〕86号《环境保护部、农业部关于进一步加强水生生物资源保护严格环境影响评价管理的通知》，2013年8月5日；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交通运输部 发展改革委 生态环境部 住房城乡建设部交水发〔2020〕17号关于印发《长江经济带船舶和港口污染突出问题整治方案》的通知，2020年1月19日；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中华人民共和国国务院国函[2011]167号《国务院关于全国重要江河湖泊水功能区划（2011-2030年）的批复》，2011年12月28日；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中国国家林业局和农业部、农业农村部《国家重点保护野生植物名录》，2021年9月7日；</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推动长江经济带发展领导小组2022第7号《长江经济带发展负面清单指南（试行，2022年版）》，2022年1月19日</w:t>
      </w:r>
      <w:r>
        <w:rPr>
          <w:rFonts w:hint="eastAsia" w:eastAsia="仿宋_GB2312"/>
          <w:color w:val="auto"/>
          <w:sz w:val="24"/>
          <w:lang w:eastAsia="zh-CN"/>
        </w:rPr>
        <w:t>；</w:t>
      </w:r>
    </w:p>
    <w:p>
      <w:pPr>
        <w:widowControl w:val="0"/>
        <w:numPr>
          <w:ilvl w:val="0"/>
          <w:numId w:val="3"/>
        </w:numPr>
        <w:spacing w:line="360" w:lineRule="auto"/>
        <w:jc w:val="both"/>
        <w:rPr>
          <w:rFonts w:hint="eastAsia" w:eastAsia="仿宋_GB2312"/>
          <w:color w:val="auto"/>
          <w:sz w:val="24"/>
        </w:rPr>
      </w:pPr>
      <w:r>
        <w:rPr>
          <w:rFonts w:hint="eastAsia" w:eastAsia="仿宋_GB2312"/>
          <w:color w:val="auto"/>
          <w:sz w:val="24"/>
        </w:rPr>
        <w:t>交通运输部办公厅交办海〔2017〕195号关于印发《长江经济带船舶污染防治专项行动方案（2018-2020年）》的通知，2018年1月8日；</w:t>
      </w:r>
    </w:p>
    <w:p>
      <w:pPr>
        <w:widowControl w:val="0"/>
        <w:numPr>
          <w:ilvl w:val="0"/>
          <w:numId w:val="3"/>
        </w:numPr>
        <w:spacing w:line="360" w:lineRule="auto"/>
        <w:jc w:val="both"/>
        <w:rPr>
          <w:rFonts w:eastAsia="仿宋_GB2312"/>
          <w:color w:val="auto"/>
          <w:sz w:val="24"/>
        </w:rPr>
      </w:pPr>
      <w:r>
        <w:rPr>
          <w:rFonts w:hint="eastAsia" w:eastAsia="仿宋_GB2312"/>
          <w:color w:val="auto"/>
          <w:sz w:val="24"/>
        </w:rPr>
        <w:t>推动长江经济带发展领导小组办公室文件第92号《关于印发加强长江船舶污染治理工作的指导意见的通知》，2019年1月12日。</w:t>
      </w:r>
    </w:p>
    <w:p>
      <w:pPr>
        <w:pStyle w:val="9"/>
        <w:widowControl w:val="0"/>
        <w:spacing w:before="120" w:after="120" w:line="360" w:lineRule="auto"/>
        <w:rPr>
          <w:rFonts w:hint="default" w:eastAsia="黑体"/>
          <w:b w:val="0"/>
          <w:color w:val="auto"/>
          <w:sz w:val="24"/>
          <w:lang w:val="en-US" w:eastAsia="zh-CN"/>
        </w:rPr>
      </w:pPr>
      <w:bookmarkStart w:id="218" w:name="_Toc38904528"/>
      <w:bookmarkStart w:id="219" w:name="_Toc16977"/>
      <w:bookmarkStart w:id="220" w:name="_Toc305859434"/>
      <w:bookmarkStart w:id="221" w:name="_Toc505853471"/>
      <w:bookmarkStart w:id="222" w:name="_Toc343702721"/>
      <w:r>
        <w:rPr>
          <w:rFonts w:eastAsia="黑体"/>
          <w:b w:val="0"/>
          <w:color w:val="auto"/>
          <w:sz w:val="24"/>
        </w:rPr>
        <w:t>1.</w:t>
      </w:r>
      <w:r>
        <w:rPr>
          <w:rFonts w:hint="eastAsia" w:eastAsia="黑体"/>
          <w:b w:val="0"/>
          <w:color w:val="auto"/>
          <w:sz w:val="24"/>
          <w:lang w:val="en-US" w:eastAsia="zh-CN"/>
        </w:rPr>
        <w:t>2</w:t>
      </w:r>
      <w:r>
        <w:rPr>
          <w:rFonts w:eastAsia="黑体"/>
          <w:b w:val="0"/>
          <w:color w:val="auto"/>
          <w:sz w:val="24"/>
        </w:rPr>
        <w:t>.2</w:t>
      </w:r>
      <w:bookmarkEnd w:id="218"/>
      <w:r>
        <w:rPr>
          <w:rFonts w:hint="eastAsia" w:eastAsia="黑体"/>
          <w:b w:val="0"/>
          <w:color w:val="auto"/>
          <w:sz w:val="24"/>
          <w:lang w:val="en-US" w:eastAsia="zh-CN"/>
        </w:rPr>
        <w:t>地方有关环境保护的法律、法规及规定</w:t>
      </w:r>
      <w:bookmarkEnd w:id="219"/>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《湖北省水污染防治条例》（2014.7.1）；</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《湖北省大气污染防治条例》</w:t>
      </w:r>
      <w:r>
        <w:rPr>
          <w:rFonts w:hint="eastAsia" w:eastAsia="仿宋_GB2312"/>
          <w:color w:val="auto"/>
          <w:sz w:val="24"/>
          <w:lang w:eastAsia="zh-CN"/>
        </w:rPr>
        <w:t>（</w:t>
      </w:r>
      <w:r>
        <w:rPr>
          <w:rFonts w:hint="eastAsia" w:eastAsia="仿宋_GB2312"/>
          <w:color w:val="auto"/>
          <w:sz w:val="24"/>
        </w:rPr>
        <w:t>2018.11.19修改</w:t>
      </w:r>
      <w:r>
        <w:rPr>
          <w:rFonts w:hint="eastAsia" w:eastAsia="仿宋_GB2312"/>
          <w:color w:val="auto"/>
          <w:sz w:val="24"/>
          <w:lang w:eastAsia="zh-CN"/>
        </w:rPr>
        <w:t>）</w:t>
      </w:r>
      <w:r>
        <w:rPr>
          <w:rFonts w:hint="eastAsia" w:eastAsia="仿宋_GB2312"/>
          <w:color w:val="auto"/>
          <w:sz w:val="24"/>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湖北省环境保护局文件鄂环发[2006]20号《省环保局关于加强饮用水水源保护工作的通知》；</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鄂政办发[2000]10号《省人民政府办公厅转发省环境保护局关于湖北省地表水环境功能区类别的通知》</w:t>
      </w:r>
      <w:r>
        <w:rPr>
          <w:rFonts w:hint="eastAsia" w:eastAsia="仿宋_GB2312"/>
          <w:color w:val="auto"/>
          <w:sz w:val="24"/>
          <w:lang w:eastAsia="zh-CN"/>
        </w:rPr>
        <w:t>（</w:t>
      </w:r>
      <w:r>
        <w:rPr>
          <w:rFonts w:hint="eastAsia" w:eastAsia="仿宋_GB2312"/>
          <w:color w:val="auto"/>
          <w:sz w:val="24"/>
        </w:rPr>
        <w:t>2000.1.31</w:t>
      </w:r>
      <w:r>
        <w:rPr>
          <w:rFonts w:hint="eastAsia" w:eastAsia="仿宋_GB2312"/>
          <w:color w:val="auto"/>
          <w:sz w:val="24"/>
          <w:lang w:eastAsia="zh-CN"/>
        </w:rPr>
        <w:t>）</w:t>
      </w:r>
      <w:r>
        <w:rPr>
          <w:rFonts w:hint="eastAsia" w:eastAsia="仿宋_GB2312"/>
          <w:color w:val="auto"/>
          <w:sz w:val="24"/>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鄂政函[2003]101号《省人民政府关于同意湖北水功能区划的批复》</w:t>
      </w:r>
      <w:r>
        <w:rPr>
          <w:rFonts w:hint="eastAsia" w:eastAsia="仿宋_GB2312"/>
          <w:color w:val="auto"/>
          <w:sz w:val="24"/>
          <w:lang w:eastAsia="zh-CN"/>
        </w:rPr>
        <w:t>（</w:t>
      </w:r>
      <w:r>
        <w:rPr>
          <w:rFonts w:hint="eastAsia" w:eastAsia="仿宋_GB2312"/>
          <w:color w:val="auto"/>
          <w:sz w:val="24"/>
        </w:rPr>
        <w:t>2003.7.31</w:t>
      </w:r>
      <w:r>
        <w:rPr>
          <w:rFonts w:hint="eastAsia" w:eastAsia="仿宋_GB2312"/>
          <w:color w:val="auto"/>
          <w:sz w:val="24"/>
          <w:lang w:eastAsia="zh-CN"/>
        </w:rPr>
        <w:t>）</w:t>
      </w:r>
      <w:r>
        <w:rPr>
          <w:rFonts w:hint="eastAsia" w:eastAsia="仿宋_GB2312"/>
          <w:color w:val="auto"/>
          <w:sz w:val="24"/>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宜昌市人民政府宜府办函[2013]46号《市人民政府办公室关于同意宜昌市地表水、环境空气、声环境功能区类别划分方案（修编）的批复》；</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湖北省人民政府办公厅文件鄂政办发[2011]130号《省人民政府办公厅关于印发湖北省县级以上集中式饮用水水源保护区划分方案的通知》</w:t>
      </w:r>
      <w:r>
        <w:rPr>
          <w:rFonts w:hint="eastAsia" w:eastAsia="仿宋_GB2312"/>
          <w:color w:val="auto"/>
          <w:sz w:val="24"/>
          <w:lang w:eastAsia="zh-CN"/>
        </w:rPr>
        <w:t>（</w:t>
      </w:r>
      <w:r>
        <w:rPr>
          <w:rFonts w:hint="eastAsia" w:eastAsia="仿宋_GB2312"/>
          <w:color w:val="auto"/>
          <w:sz w:val="24"/>
        </w:rPr>
        <w:t>2011.12.26</w:t>
      </w:r>
      <w:r>
        <w:rPr>
          <w:rFonts w:hint="eastAsia" w:eastAsia="仿宋_GB2312"/>
          <w:color w:val="auto"/>
          <w:sz w:val="24"/>
          <w:lang w:eastAsia="zh-CN"/>
        </w:rPr>
        <w:t>）</w:t>
      </w:r>
      <w:r>
        <w:rPr>
          <w:rFonts w:hint="eastAsia" w:eastAsia="仿宋_GB2312"/>
          <w:color w:val="auto"/>
          <w:sz w:val="24"/>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生态环境厅鄂环发[2019]1号《湖北省乡镇集中式饮用水水源保护区划分方案》（2019.1.4）；</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湖北省推动长江经济带发展和生态保护领导小组办公室鄂长江办[2022]18号《省长江办关于印发&lt;长江经济带发展负面清单指南（试行，2022年版）湖北省实施细则的通知》，2022年10月10日</w:t>
      </w:r>
      <w:r>
        <w:rPr>
          <w:rFonts w:hint="eastAsia" w:eastAsia="仿宋_GB2312"/>
          <w:color w:val="auto"/>
          <w:sz w:val="24"/>
          <w:lang w:eastAsia="zh-CN"/>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省人民政府关于印发</w:t>
      </w:r>
      <w:r>
        <w:rPr>
          <w:rFonts w:hint="eastAsia" w:eastAsia="仿宋_GB2312"/>
          <w:color w:val="auto"/>
          <w:sz w:val="24"/>
          <w:lang w:eastAsia="zh-CN"/>
        </w:rPr>
        <w:t>《</w:t>
      </w:r>
      <w:r>
        <w:rPr>
          <w:rFonts w:hint="eastAsia" w:eastAsia="仿宋_GB2312"/>
          <w:color w:val="auto"/>
          <w:sz w:val="24"/>
        </w:rPr>
        <w:t>湖北省水污染防治行动计划工作方案的通知</w:t>
      </w:r>
      <w:r>
        <w:rPr>
          <w:rFonts w:hint="eastAsia" w:eastAsia="仿宋_GB2312"/>
          <w:color w:val="auto"/>
          <w:sz w:val="24"/>
          <w:lang w:eastAsia="zh-CN"/>
        </w:rPr>
        <w:t>》</w:t>
      </w:r>
      <w:r>
        <w:rPr>
          <w:rFonts w:hint="eastAsia" w:eastAsia="仿宋_GB2312"/>
          <w:color w:val="auto"/>
          <w:sz w:val="24"/>
        </w:rPr>
        <w:t>（鄂政发[2016]3号）；</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湖北省人民政府文件鄂政发[2016]34号《省人民政府关于印发湖北省生态保护红线划定方案的通知》（2016.7.19）；</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鄂环发[2018]8号《湖北省生态保护红线划定方案》（2018.7.26）；</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鄂政发[2018]30号文发布《湖北省生态保护红线》（2018.8.27</w:t>
      </w:r>
      <w:r>
        <w:rPr>
          <w:rFonts w:hint="eastAsia" w:ascii="Times New Roman" w:hAnsi="Times New Roman" w:eastAsia="仿宋_GB2312" w:cs="Times New Roman"/>
          <w:color w:val="auto"/>
          <w:sz w:val="24"/>
          <w:lang w:eastAsia="zh-CN"/>
        </w:rPr>
        <w:t>）</w:t>
      </w:r>
      <w:r>
        <w:rPr>
          <w:rFonts w:hint="eastAsia" w:eastAsia="仿宋_GB2312"/>
          <w:color w:val="auto"/>
          <w:sz w:val="24"/>
        </w:rPr>
        <w:t>；</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宜昌市人民政府宜府办发〔2016〕79号《市人民政府办公室关于进一步加强冬防期大气污染防治工作的通知》；</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宜昌市2023年大气污染防治及应对气候变化工作实施方案；</w:t>
      </w:r>
    </w:p>
    <w:p>
      <w:pPr>
        <w:widowControl w:val="0"/>
        <w:numPr>
          <w:ilvl w:val="0"/>
          <w:numId w:val="4"/>
        </w:numPr>
        <w:spacing w:line="360" w:lineRule="auto"/>
        <w:jc w:val="both"/>
        <w:rPr>
          <w:rFonts w:hint="eastAsia" w:eastAsia="仿宋_GB2312"/>
          <w:color w:val="auto"/>
          <w:sz w:val="24"/>
        </w:rPr>
      </w:pPr>
      <w:r>
        <w:rPr>
          <w:rFonts w:hint="eastAsia" w:eastAsia="仿宋_GB2312"/>
          <w:color w:val="auto"/>
          <w:sz w:val="24"/>
        </w:rPr>
        <w:t>宜昌市环境保护委员会办公室关于印发《宜昌市大气污染防治“十三五”行动计划》的通知，宜环委办发〔2017〕83号；</w:t>
      </w:r>
    </w:p>
    <w:p>
      <w:pPr>
        <w:widowControl w:val="0"/>
        <w:numPr>
          <w:ilvl w:val="0"/>
          <w:numId w:val="4"/>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宜昌市生态环境局《宜昌市工业企业无组织排放整治实施方案》（宜市环发[2019］15号）</w:t>
      </w:r>
      <w:r>
        <w:rPr>
          <w:rFonts w:hint="eastAsia" w:ascii="Times New Roman" w:hAnsi="Times New Roman" w:eastAsia="仿宋_GB2312" w:cs="Times New Roman"/>
          <w:color w:val="auto"/>
          <w:sz w:val="24"/>
          <w:lang w:eastAsia="zh-CN"/>
        </w:rPr>
        <w:t>；</w:t>
      </w:r>
    </w:p>
    <w:p>
      <w:pPr>
        <w:widowControl w:val="0"/>
        <w:numPr>
          <w:ilvl w:val="0"/>
          <w:numId w:val="4"/>
        </w:numPr>
        <w:spacing w:line="360" w:lineRule="auto"/>
        <w:jc w:val="both"/>
        <w:rPr>
          <w:rFonts w:hint="eastAsia" w:ascii="Times New Roman" w:hAnsi="Times New Roman" w:eastAsia="仿宋_GB2312" w:cs="Times New Roman"/>
          <w:color w:val="auto"/>
          <w:sz w:val="24"/>
        </w:rPr>
      </w:pPr>
      <w:r>
        <w:rPr>
          <w:rFonts w:hint="default" w:ascii="Times New Roman" w:hAnsi="Times New Roman" w:eastAsia="仿宋_GB2312" w:cs="Times New Roman"/>
          <w:color w:val="auto"/>
          <w:sz w:val="24"/>
          <w:lang w:val="en-US" w:eastAsia="zh-CN"/>
        </w:rPr>
        <w:t>宜府发[2021]13号</w:t>
      </w:r>
      <w:r>
        <w:rPr>
          <w:rFonts w:hint="default" w:ascii="Times New Roman" w:hAnsi="Times New Roman" w:eastAsia="仿宋_GB2312" w:cs="Times New Roman"/>
          <w:color w:val="auto"/>
          <w:sz w:val="24"/>
          <w:lang w:eastAsia="zh-CN"/>
        </w:rPr>
        <w:t>《</w:t>
      </w:r>
      <w:r>
        <w:rPr>
          <w:rFonts w:hint="default" w:ascii="Times New Roman" w:hAnsi="Times New Roman" w:eastAsia="仿宋_GB2312" w:cs="Times New Roman"/>
          <w:color w:val="auto"/>
          <w:sz w:val="24"/>
          <w:lang w:val="en-US" w:eastAsia="zh-CN"/>
        </w:rPr>
        <w:t>市人民政府关于印发宜昌市生态环境保护“十四五”规划的通知</w:t>
      </w:r>
      <w:r>
        <w:rPr>
          <w:rFonts w:hint="default" w:ascii="Times New Roman" w:hAnsi="Times New Roman" w:eastAsia="仿宋_GB2312" w:cs="Times New Roman"/>
          <w:color w:val="auto"/>
          <w:sz w:val="24"/>
          <w:lang w:eastAsia="zh-CN"/>
        </w:rPr>
        <w:t>》，</w:t>
      </w:r>
      <w:r>
        <w:rPr>
          <w:rFonts w:hint="default" w:ascii="Times New Roman" w:hAnsi="Times New Roman" w:eastAsia="仿宋_GB2312" w:cs="Times New Roman"/>
          <w:color w:val="auto"/>
          <w:sz w:val="24"/>
          <w:lang w:val="en-US" w:eastAsia="zh-CN"/>
        </w:rPr>
        <w:t>宜昌市人民政府，2021年12月14日</w:t>
      </w:r>
      <w:r>
        <w:rPr>
          <w:rFonts w:hint="eastAsia" w:ascii="Times New Roman" w:hAnsi="Times New Roman" w:eastAsia="仿宋_GB2312" w:cs="Times New Roman"/>
          <w:color w:val="auto"/>
          <w:sz w:val="24"/>
          <w:lang w:val="en-US" w:eastAsia="zh-CN"/>
        </w:rPr>
        <w:t>；</w:t>
      </w:r>
    </w:p>
    <w:p>
      <w:pPr>
        <w:widowControl w:val="0"/>
        <w:numPr>
          <w:ilvl w:val="0"/>
          <w:numId w:val="4"/>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鄂政发〔2020〕21号《省人民政府关于加快实施“三线一单”生态环境分区管控的意见》，湖北省人民政府，2020年12月18日；</w:t>
      </w:r>
    </w:p>
    <w:p>
      <w:pPr>
        <w:widowControl w:val="0"/>
        <w:numPr>
          <w:ilvl w:val="0"/>
          <w:numId w:val="4"/>
        </w:numPr>
        <w:spacing w:line="360" w:lineRule="auto"/>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lang w:val="en-US" w:eastAsia="zh-CN"/>
        </w:rPr>
        <w:t>宜府发[2021]</w:t>
      </w:r>
      <w:r>
        <w:rPr>
          <w:rFonts w:hint="eastAsia" w:eastAsia="仿宋_GB2312" w:cs="Times New Roman"/>
          <w:color w:val="auto"/>
          <w:sz w:val="24"/>
          <w:lang w:val="en-US" w:eastAsia="zh-CN"/>
        </w:rPr>
        <w:t>5</w:t>
      </w:r>
      <w:r>
        <w:rPr>
          <w:rFonts w:hint="default" w:ascii="Times New Roman" w:hAnsi="Times New Roman" w:eastAsia="仿宋_GB2312" w:cs="Times New Roman"/>
          <w:color w:val="auto"/>
          <w:sz w:val="24"/>
          <w:lang w:val="en-US" w:eastAsia="zh-CN"/>
        </w:rPr>
        <w:t>号《市人民政府关于印发</w:t>
      </w:r>
      <w:r>
        <w:rPr>
          <w:rFonts w:hint="eastAsia" w:eastAsia="仿宋_GB2312" w:cs="Times New Roman"/>
          <w:color w:val="auto"/>
          <w:sz w:val="24"/>
          <w:lang w:val="en-US" w:eastAsia="zh-CN"/>
        </w:rPr>
        <w:t>宜昌</w:t>
      </w:r>
      <w:r>
        <w:rPr>
          <w:rFonts w:hint="default" w:ascii="Times New Roman" w:hAnsi="Times New Roman" w:eastAsia="仿宋_GB2312" w:cs="Times New Roman"/>
          <w:color w:val="auto"/>
          <w:sz w:val="24"/>
          <w:lang w:val="en-US" w:eastAsia="zh-CN"/>
        </w:rPr>
        <w:t>市“三线一单”生态环境分区管控实施方案的通知》；</w:t>
      </w:r>
    </w:p>
    <w:p>
      <w:pPr>
        <w:widowControl w:val="0"/>
        <w:numPr>
          <w:ilvl w:val="0"/>
          <w:numId w:val="4"/>
        </w:numPr>
        <w:spacing w:line="360" w:lineRule="auto"/>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lang w:val="en-US" w:eastAsia="zh-CN"/>
        </w:rPr>
        <w:t>《宜昌市环境总体规划》（2013-2030年）</w:t>
      </w:r>
      <w:r>
        <w:rPr>
          <w:rFonts w:hint="eastAsia" w:eastAsia="仿宋_GB2312" w:cs="Times New Roman"/>
          <w:color w:val="auto"/>
          <w:sz w:val="24"/>
          <w:lang w:val="en-US" w:eastAsia="zh-CN"/>
        </w:rPr>
        <w:t>。</w:t>
      </w:r>
    </w:p>
    <w:bookmarkEnd w:id="220"/>
    <w:bookmarkEnd w:id="221"/>
    <w:bookmarkEnd w:id="222"/>
    <w:p>
      <w:pPr>
        <w:pStyle w:val="9"/>
        <w:widowControl w:val="0"/>
        <w:spacing w:before="120" w:after="120" w:line="360" w:lineRule="auto"/>
        <w:rPr>
          <w:rFonts w:hint="default" w:eastAsia="黑体"/>
          <w:b w:val="0"/>
          <w:color w:val="auto"/>
          <w:sz w:val="24"/>
          <w:lang w:val="en-US" w:eastAsia="zh-CN"/>
        </w:rPr>
      </w:pPr>
      <w:bookmarkStart w:id="223" w:name="_Toc305859436"/>
      <w:bookmarkStart w:id="224" w:name="_Toc343702724"/>
      <w:bookmarkStart w:id="225" w:name="_Toc18173"/>
      <w:r>
        <w:rPr>
          <w:rFonts w:eastAsia="黑体"/>
          <w:b w:val="0"/>
          <w:color w:val="auto"/>
          <w:sz w:val="24"/>
        </w:rPr>
        <w:t>1.</w:t>
      </w:r>
      <w:r>
        <w:rPr>
          <w:rFonts w:hint="eastAsia" w:eastAsia="黑体"/>
          <w:b w:val="0"/>
          <w:color w:val="auto"/>
          <w:sz w:val="24"/>
          <w:lang w:val="en-US" w:eastAsia="zh-CN"/>
        </w:rPr>
        <w:t>2</w:t>
      </w:r>
      <w:r>
        <w:rPr>
          <w:rFonts w:eastAsia="黑体"/>
          <w:b w:val="0"/>
          <w:color w:val="auto"/>
          <w:sz w:val="24"/>
        </w:rPr>
        <w:t>.</w:t>
      </w:r>
      <w:r>
        <w:rPr>
          <w:rFonts w:hint="eastAsia" w:eastAsia="黑体"/>
          <w:b w:val="0"/>
          <w:color w:val="auto"/>
          <w:sz w:val="24"/>
          <w:lang w:val="en-US" w:eastAsia="zh-CN"/>
        </w:rPr>
        <w:t>3主要技术</w:t>
      </w:r>
      <w:r>
        <w:rPr>
          <w:rFonts w:eastAsia="黑体"/>
          <w:b w:val="0"/>
          <w:color w:val="auto"/>
          <w:sz w:val="24"/>
        </w:rPr>
        <w:t>导则</w:t>
      </w:r>
      <w:bookmarkEnd w:id="223"/>
      <w:bookmarkEnd w:id="224"/>
      <w:r>
        <w:rPr>
          <w:rFonts w:hint="eastAsia" w:eastAsia="黑体"/>
          <w:b w:val="0"/>
          <w:color w:val="auto"/>
          <w:sz w:val="24"/>
          <w:lang w:val="en-US" w:eastAsia="zh-CN"/>
        </w:rPr>
        <w:t>及规范文件</w:t>
      </w:r>
      <w:bookmarkEnd w:id="225"/>
    </w:p>
    <w:p>
      <w:pPr>
        <w:widowControl w:val="0"/>
        <w:numPr>
          <w:ilvl w:val="0"/>
          <w:numId w:val="5"/>
        </w:numPr>
        <w:spacing w:line="360" w:lineRule="auto"/>
        <w:jc w:val="both"/>
        <w:rPr>
          <w:rFonts w:eastAsia="仿宋_GB2312"/>
          <w:color w:val="auto"/>
          <w:sz w:val="24"/>
        </w:rPr>
      </w:pPr>
      <w:bookmarkStart w:id="226" w:name="_Toc137482508"/>
      <w:bookmarkStart w:id="227" w:name="_Toc172600068"/>
      <w:bookmarkStart w:id="228" w:name="_Toc138079899"/>
      <w:bookmarkStart w:id="229" w:name="_Toc305859455"/>
      <w:bookmarkStart w:id="230" w:name="_Toc343702745"/>
      <w:r>
        <w:rPr>
          <w:rFonts w:eastAsia="仿宋_GB2312"/>
          <w:color w:val="auto"/>
          <w:sz w:val="24"/>
        </w:rPr>
        <w:t>《建设项目环境影响评价技术导则  总纲》（HJ2.1-2016）；</w:t>
      </w:r>
    </w:p>
    <w:p>
      <w:pPr>
        <w:widowControl w:val="0"/>
        <w:numPr>
          <w:ilvl w:val="0"/>
          <w:numId w:val="5"/>
        </w:numPr>
        <w:spacing w:line="360" w:lineRule="auto"/>
        <w:jc w:val="both"/>
        <w:rPr>
          <w:rFonts w:eastAsia="仿宋_GB2312"/>
          <w:color w:val="auto"/>
          <w:sz w:val="24"/>
        </w:rPr>
      </w:pPr>
      <w:r>
        <w:rPr>
          <w:rFonts w:eastAsia="仿宋_GB2312"/>
          <w:color w:val="auto"/>
          <w:sz w:val="24"/>
        </w:rPr>
        <w:t>《环境影响评价技术导则  大气环境》（HJ2.2-2018）；</w:t>
      </w:r>
    </w:p>
    <w:p>
      <w:pPr>
        <w:widowControl w:val="0"/>
        <w:numPr>
          <w:ilvl w:val="0"/>
          <w:numId w:val="5"/>
        </w:numPr>
        <w:spacing w:line="360" w:lineRule="auto"/>
        <w:jc w:val="both"/>
        <w:rPr>
          <w:rFonts w:eastAsia="仿宋_GB2312"/>
          <w:color w:val="auto"/>
          <w:sz w:val="24"/>
        </w:rPr>
      </w:pPr>
      <w:r>
        <w:rPr>
          <w:rFonts w:eastAsia="仿宋_GB2312"/>
          <w:color w:val="auto"/>
          <w:sz w:val="24"/>
        </w:rPr>
        <w:t>《环境影响评价技术导则  地</w:t>
      </w:r>
      <w:r>
        <w:rPr>
          <w:rFonts w:hint="eastAsia" w:eastAsia="仿宋_GB2312"/>
          <w:color w:val="auto"/>
          <w:sz w:val="24"/>
        </w:rPr>
        <w:t>表</w:t>
      </w:r>
      <w:r>
        <w:rPr>
          <w:rFonts w:eastAsia="仿宋_GB2312"/>
          <w:color w:val="auto"/>
          <w:sz w:val="24"/>
        </w:rPr>
        <w:t>水环境》（HJ2.3-</w:t>
      </w:r>
      <w:r>
        <w:rPr>
          <w:rFonts w:hint="eastAsia" w:eastAsia="仿宋_GB2312"/>
          <w:color w:val="auto"/>
          <w:sz w:val="24"/>
        </w:rPr>
        <w:t>2018</w:t>
      </w:r>
      <w:r>
        <w:rPr>
          <w:rFonts w:eastAsia="仿宋_GB2312"/>
          <w:color w:val="auto"/>
          <w:sz w:val="24"/>
        </w:rPr>
        <w:t>）；</w:t>
      </w:r>
    </w:p>
    <w:p>
      <w:pPr>
        <w:widowControl w:val="0"/>
        <w:numPr>
          <w:ilvl w:val="0"/>
          <w:numId w:val="5"/>
        </w:numPr>
        <w:spacing w:line="360" w:lineRule="auto"/>
        <w:jc w:val="both"/>
        <w:rPr>
          <w:rFonts w:eastAsia="仿宋_GB2312"/>
          <w:color w:val="auto"/>
          <w:sz w:val="24"/>
        </w:rPr>
      </w:pPr>
      <w:r>
        <w:rPr>
          <w:rFonts w:eastAsia="仿宋_GB2312"/>
          <w:color w:val="auto"/>
          <w:sz w:val="24"/>
        </w:rPr>
        <w:t>《环境影响评价技术导则  地下水环境》（HJ610-2016）；</w:t>
      </w:r>
    </w:p>
    <w:p>
      <w:pPr>
        <w:widowControl w:val="0"/>
        <w:numPr>
          <w:ilvl w:val="0"/>
          <w:numId w:val="5"/>
        </w:numPr>
        <w:spacing w:line="360" w:lineRule="auto"/>
        <w:jc w:val="both"/>
        <w:rPr>
          <w:rFonts w:eastAsia="仿宋_GB2312"/>
          <w:color w:val="auto"/>
          <w:sz w:val="24"/>
        </w:rPr>
      </w:pPr>
      <w:r>
        <w:rPr>
          <w:rFonts w:eastAsia="仿宋_GB2312"/>
          <w:color w:val="auto"/>
          <w:sz w:val="24"/>
        </w:rPr>
        <w:t>《环境影响评价技术导则  声环境》（HJ2.4-20</w:t>
      </w:r>
      <w:r>
        <w:rPr>
          <w:rFonts w:hint="eastAsia" w:eastAsia="仿宋_GB2312"/>
          <w:color w:val="auto"/>
          <w:sz w:val="24"/>
          <w:lang w:val="en-US" w:eastAsia="zh-CN"/>
        </w:rPr>
        <w:t>21</w:t>
      </w:r>
      <w:r>
        <w:rPr>
          <w:rFonts w:eastAsia="仿宋_GB2312"/>
          <w:color w:val="auto"/>
          <w:sz w:val="24"/>
        </w:rPr>
        <w:t>）；</w:t>
      </w:r>
    </w:p>
    <w:p>
      <w:pPr>
        <w:widowControl w:val="0"/>
        <w:numPr>
          <w:ilvl w:val="0"/>
          <w:numId w:val="5"/>
        </w:numPr>
        <w:spacing w:line="360" w:lineRule="auto"/>
        <w:jc w:val="both"/>
        <w:rPr>
          <w:rFonts w:eastAsia="仿宋_GB2312"/>
          <w:color w:val="auto"/>
          <w:sz w:val="24"/>
        </w:rPr>
      </w:pPr>
      <w:r>
        <w:rPr>
          <w:rFonts w:eastAsia="仿宋_GB2312"/>
          <w:color w:val="auto"/>
          <w:sz w:val="24"/>
        </w:rPr>
        <w:t>《环境影响评价技术导则</w:t>
      </w:r>
      <w:r>
        <w:rPr>
          <w:rFonts w:hint="eastAsia" w:eastAsia="仿宋_GB2312"/>
          <w:color w:val="auto"/>
          <w:sz w:val="24"/>
        </w:rPr>
        <w:t xml:space="preserve">  </w:t>
      </w:r>
      <w:r>
        <w:rPr>
          <w:rFonts w:eastAsia="仿宋_GB2312"/>
          <w:color w:val="auto"/>
          <w:sz w:val="24"/>
        </w:rPr>
        <w:t>生态影响》（HJ19-20</w:t>
      </w:r>
      <w:r>
        <w:rPr>
          <w:rFonts w:hint="eastAsia" w:eastAsia="仿宋_GB2312"/>
          <w:color w:val="auto"/>
          <w:sz w:val="24"/>
          <w:lang w:val="en-US" w:eastAsia="zh-CN"/>
        </w:rPr>
        <w:t>22</w:t>
      </w:r>
      <w:r>
        <w:rPr>
          <w:rFonts w:eastAsia="仿宋_GB2312"/>
          <w:color w:val="auto"/>
          <w:sz w:val="24"/>
        </w:rPr>
        <w:t>）</w:t>
      </w:r>
      <w:r>
        <w:rPr>
          <w:rFonts w:hint="eastAsia" w:eastAsia="仿宋_GB2312"/>
          <w:color w:val="auto"/>
          <w:sz w:val="24"/>
        </w:rPr>
        <w:t>；</w:t>
      </w:r>
    </w:p>
    <w:p>
      <w:pPr>
        <w:widowControl w:val="0"/>
        <w:numPr>
          <w:ilvl w:val="0"/>
          <w:numId w:val="5"/>
        </w:numPr>
        <w:spacing w:line="360" w:lineRule="auto"/>
        <w:jc w:val="both"/>
        <w:rPr>
          <w:rFonts w:hint="eastAsia" w:eastAsia="仿宋_GB2312"/>
          <w:color w:val="auto"/>
          <w:sz w:val="24"/>
        </w:rPr>
      </w:pPr>
      <w:r>
        <w:rPr>
          <w:rFonts w:eastAsia="仿宋_GB2312"/>
          <w:color w:val="auto"/>
          <w:sz w:val="24"/>
        </w:rPr>
        <w:t>《建设项目环境风险评价技术导则》（HJ169-20</w:t>
      </w:r>
      <w:r>
        <w:rPr>
          <w:rFonts w:hint="eastAsia" w:eastAsia="仿宋_GB2312"/>
          <w:color w:val="auto"/>
          <w:sz w:val="24"/>
        </w:rPr>
        <w:t>18</w:t>
      </w:r>
      <w:r>
        <w:rPr>
          <w:rFonts w:eastAsia="仿宋_GB2312"/>
          <w:color w:val="auto"/>
          <w:sz w:val="24"/>
        </w:rPr>
        <w:t>）</w:t>
      </w:r>
      <w:r>
        <w:rPr>
          <w:rFonts w:hint="eastAsia" w:eastAsia="仿宋_GB2312"/>
          <w:color w:val="auto"/>
          <w:sz w:val="24"/>
        </w:rPr>
        <w:t>；</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ascii="Times New Roman" w:hAnsi="Times New Roman" w:eastAsia="仿宋_GB2312" w:cs="Times New Roman"/>
          <w:color w:val="auto"/>
          <w:sz w:val="24"/>
        </w:rPr>
        <w:t>《环境影响评价技术导则  土壤环境（试行）》（HJ964-2018）；</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《水运工程建设项目环境影响评价指南》（JTS-T105-2021）；</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《水运工程环境保护设计规范》(JTS 149-2018)；</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《建设项目环境风险评价技术导则》（HJ 169-2018）；</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《港口码头水上污染事故应急防备能力要求》（JT/T 451-2017）；</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《饮用水水源保护区划分技术规范》(HJ/T 338-2018)；</w:t>
      </w:r>
    </w:p>
    <w:p>
      <w:pPr>
        <w:widowControl w:val="0"/>
        <w:numPr>
          <w:ilvl w:val="0"/>
          <w:numId w:val="5"/>
        </w:numPr>
        <w:spacing w:line="360" w:lineRule="auto"/>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《水上溢油环境风险评估技术导则》（JT/T 1143-2017）</w:t>
      </w:r>
      <w:r>
        <w:rPr>
          <w:rFonts w:hint="eastAsia" w:eastAsia="仿宋_GB2312" w:cs="Times New Roman"/>
          <w:color w:val="auto"/>
          <w:sz w:val="24"/>
          <w:lang w:eastAsia="zh-CN"/>
        </w:rPr>
        <w:t>；</w:t>
      </w:r>
    </w:p>
    <w:p>
      <w:pPr>
        <w:widowControl w:val="0"/>
        <w:numPr>
          <w:ilvl w:val="0"/>
          <w:numId w:val="5"/>
        </w:numPr>
        <w:spacing w:line="360" w:lineRule="auto"/>
        <w:jc w:val="both"/>
        <w:rPr>
          <w:rFonts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rPr>
        <w:t>《船舶水污染物内河港口岸上接收设施设计指南》（JTS/T175-2019）；</w:t>
      </w:r>
    </w:p>
    <w:p>
      <w:pPr>
        <w:widowControl w:val="0"/>
        <w:numPr>
          <w:ilvl w:val="0"/>
          <w:numId w:val="5"/>
        </w:numPr>
        <w:spacing w:line="360" w:lineRule="auto"/>
        <w:jc w:val="both"/>
        <w:rPr>
          <w:rFonts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rPr>
        <w:t>《排污许可证申请与核发技术规范 码头》（HJ 1107-2020）</w:t>
      </w:r>
      <w:r>
        <w:rPr>
          <w:rFonts w:hint="eastAsia" w:eastAsia="仿宋_GB2312" w:cs="Times New Roman"/>
          <w:color w:val="auto"/>
          <w:sz w:val="24"/>
          <w:lang w:eastAsia="zh-CN"/>
        </w:rPr>
        <w:t>。</w:t>
      </w:r>
    </w:p>
    <w:p>
      <w:pPr>
        <w:pStyle w:val="9"/>
        <w:widowControl w:val="0"/>
        <w:spacing w:before="120" w:after="120" w:line="360" w:lineRule="auto"/>
        <w:rPr>
          <w:rFonts w:hint="default" w:ascii="Times New Roman" w:hAnsi="Times New Roman" w:eastAsia="黑体" w:cs="Times New Roman"/>
          <w:b w:val="0"/>
          <w:bCs/>
          <w:color w:val="auto"/>
          <w:sz w:val="24"/>
          <w:lang w:val="en-US" w:eastAsia="zh-CN"/>
        </w:rPr>
      </w:pPr>
      <w:bookmarkStart w:id="231" w:name="_Toc7812"/>
      <w:r>
        <w:rPr>
          <w:rFonts w:ascii="Times New Roman" w:hAnsi="Times New Roman" w:eastAsia="黑体" w:cs="Times New Roman"/>
          <w:b w:val="0"/>
          <w:bCs/>
          <w:color w:val="auto"/>
          <w:sz w:val="24"/>
          <w:lang w:val="en-US" w:eastAsia="zh-CN"/>
        </w:rPr>
        <w:t>1.</w:t>
      </w:r>
      <w:r>
        <w:rPr>
          <w:rFonts w:hint="eastAsia" w:eastAsia="黑体" w:cs="Times New Roman"/>
          <w:b w:val="0"/>
          <w:bCs/>
          <w:color w:val="auto"/>
          <w:sz w:val="24"/>
          <w:lang w:val="en-US" w:eastAsia="zh-CN"/>
        </w:rPr>
        <w:t>2</w:t>
      </w:r>
      <w:r>
        <w:rPr>
          <w:rFonts w:ascii="Times New Roman" w:hAnsi="Times New Roman" w:eastAsia="黑体" w:cs="Times New Roman"/>
          <w:b w:val="0"/>
          <w:bCs/>
          <w:color w:val="auto"/>
          <w:sz w:val="24"/>
          <w:lang w:val="en-US" w:eastAsia="zh-CN"/>
        </w:rPr>
        <w:t>.</w:t>
      </w:r>
      <w:r>
        <w:rPr>
          <w:rFonts w:hint="eastAsia" w:ascii="Times New Roman" w:hAnsi="Times New Roman" w:eastAsia="黑体" w:cs="Times New Roman"/>
          <w:b w:val="0"/>
          <w:bCs/>
          <w:color w:val="auto"/>
          <w:sz w:val="24"/>
          <w:lang w:val="en-US" w:eastAsia="zh-CN"/>
        </w:rPr>
        <w:t>4环境评价工作依据文件及资料</w:t>
      </w:r>
      <w:bookmarkEnd w:id="231"/>
    </w:p>
    <w:p>
      <w:pPr>
        <w:widowControl w:val="0"/>
        <w:numPr>
          <w:ilvl w:val="0"/>
          <w:numId w:val="6"/>
        </w:numPr>
        <w:spacing w:line="360" w:lineRule="auto"/>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本项目环境影响评价工作委托函（见附件</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w:t>
      </w:r>
    </w:p>
    <w:p>
      <w:pPr>
        <w:widowControl w:val="0"/>
        <w:numPr>
          <w:ilvl w:val="0"/>
          <w:numId w:val="6"/>
        </w:numPr>
        <w:spacing w:line="360" w:lineRule="auto"/>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《宜昌港宜都港区</w:t>
      </w:r>
      <w:r>
        <w:rPr>
          <w:rFonts w:hint="eastAsia" w:ascii="Times New Roman" w:hAnsi="Times New Roman" w:eastAsia="仿宋_GB2312" w:cs="Times New Roman"/>
          <w:color w:val="auto"/>
          <w:sz w:val="24"/>
          <w:lang w:val="en-US" w:eastAsia="zh-CN"/>
        </w:rPr>
        <w:t>飞强物流港口码头设施设备技术改造工程</w:t>
      </w:r>
      <w:r>
        <w:rPr>
          <w:rFonts w:hint="eastAsia" w:ascii="Times New Roman" w:hAnsi="Times New Roman" w:eastAsia="仿宋_GB2312" w:cs="Times New Roman"/>
          <w:color w:val="auto"/>
          <w:sz w:val="24"/>
          <w:lang w:eastAsia="zh-CN"/>
        </w:rPr>
        <w:t>可行性研究报告》（</w:t>
      </w:r>
      <w:r>
        <w:rPr>
          <w:rFonts w:hint="eastAsia" w:ascii="Times New Roman" w:hAnsi="Times New Roman" w:eastAsia="仿宋_GB2312" w:cs="Times New Roman"/>
          <w:color w:val="auto"/>
          <w:sz w:val="24"/>
          <w:lang w:val="en-US" w:eastAsia="zh-CN"/>
        </w:rPr>
        <w:t>中交第二航务工程局有限公司</w:t>
      </w:r>
      <w:r>
        <w:rPr>
          <w:rFonts w:hint="eastAsia" w:ascii="Times New Roman" w:hAnsi="Times New Roman" w:eastAsia="仿宋_GB2312" w:cs="Times New Roman"/>
          <w:color w:val="auto"/>
          <w:sz w:val="24"/>
          <w:lang w:eastAsia="zh-CN"/>
        </w:rPr>
        <w:t>，20</w:t>
      </w:r>
      <w:r>
        <w:rPr>
          <w:rFonts w:hint="eastAsia" w:ascii="Times New Roman" w:hAnsi="Times New Roman" w:eastAsia="仿宋_GB2312" w:cs="Times New Roman"/>
          <w:color w:val="auto"/>
          <w:sz w:val="24"/>
          <w:lang w:val="en-US" w:eastAsia="zh-CN"/>
        </w:rPr>
        <w:t>23</w:t>
      </w:r>
      <w:r>
        <w:rPr>
          <w:rFonts w:hint="eastAsia" w:ascii="Times New Roman" w:hAnsi="Times New Roman" w:eastAsia="仿宋_GB2312" w:cs="Times New Roman"/>
          <w:color w:val="auto"/>
          <w:sz w:val="24"/>
          <w:lang w:eastAsia="zh-CN"/>
        </w:rPr>
        <w:t>.</w:t>
      </w:r>
      <w:r>
        <w:rPr>
          <w:rFonts w:hint="eastAsia" w:eastAsia="仿宋_GB2312" w:cs="Times New Roman"/>
          <w:color w:val="auto"/>
          <w:sz w:val="24"/>
          <w:lang w:val="en-US" w:eastAsia="zh-CN"/>
        </w:rPr>
        <w:t>4</w:t>
      </w:r>
      <w:r>
        <w:rPr>
          <w:rFonts w:hint="eastAsia" w:ascii="Times New Roman" w:hAnsi="Times New Roman" w:eastAsia="仿宋_GB2312" w:cs="Times New Roman"/>
          <w:color w:val="auto"/>
          <w:sz w:val="24"/>
          <w:lang w:eastAsia="zh-CN"/>
        </w:rPr>
        <w:t>）；</w:t>
      </w:r>
    </w:p>
    <w:p>
      <w:pPr>
        <w:widowControl w:val="0"/>
        <w:numPr>
          <w:ilvl w:val="0"/>
          <w:numId w:val="6"/>
        </w:numPr>
        <w:spacing w:line="360" w:lineRule="auto"/>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《宜昌港总体规划修订（2018-2035年）》；</w:t>
      </w:r>
    </w:p>
    <w:p>
      <w:pPr>
        <w:widowControl w:val="0"/>
        <w:numPr>
          <w:ilvl w:val="0"/>
          <w:numId w:val="6"/>
        </w:numPr>
        <w:spacing w:line="360" w:lineRule="auto"/>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《宜昌港总体规划修订（2018-2035年）环境影响报告书》和环审[2019]122号，关于《宜昌港总体规划修订》（2018-2035年）环境影响报告书》的审查意见；</w:t>
      </w:r>
    </w:p>
    <w:p>
      <w:pPr>
        <w:widowControl w:val="0"/>
        <w:numPr>
          <w:ilvl w:val="0"/>
          <w:numId w:val="6"/>
        </w:numPr>
        <w:spacing w:line="360" w:lineRule="auto"/>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《长江岸线保护和开发利用总体规划（2015.9）》</w:t>
      </w:r>
      <w:r>
        <w:rPr>
          <w:rFonts w:hint="eastAsia" w:eastAsia="仿宋_GB2312" w:cs="Times New Roman"/>
          <w:color w:val="auto"/>
          <w:sz w:val="24"/>
          <w:lang w:eastAsia="zh-CN"/>
        </w:rPr>
        <w:t>。</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232" w:name="_Toc22655"/>
      <w:r>
        <w:rPr>
          <w:rFonts w:hint="eastAsia" w:ascii="Times New Roman" w:hAnsi="Times New Roman"/>
          <w:b w:val="0"/>
          <w:color w:val="auto"/>
          <w:szCs w:val="32"/>
          <w:lang w:val="en-US" w:eastAsia="zh-CN"/>
        </w:rPr>
        <w:t>1.3环境功能区划及评价标准</w:t>
      </w:r>
      <w:bookmarkEnd w:id="232"/>
    </w:p>
    <w:p>
      <w:pPr>
        <w:pStyle w:val="9"/>
        <w:widowControl w:val="0"/>
        <w:spacing w:before="120" w:after="120" w:line="360" w:lineRule="auto"/>
        <w:rPr>
          <w:rFonts w:hint="default" w:eastAsia="黑体"/>
          <w:b w:val="0"/>
          <w:color w:val="auto"/>
          <w:sz w:val="24"/>
          <w:lang w:val="en-US" w:eastAsia="zh-CN"/>
        </w:rPr>
      </w:pPr>
      <w:bookmarkStart w:id="233" w:name="_Toc21835"/>
      <w:r>
        <w:rPr>
          <w:rFonts w:eastAsia="黑体"/>
          <w:b w:val="0"/>
          <w:color w:val="auto"/>
          <w:sz w:val="24"/>
        </w:rPr>
        <w:t>1.</w:t>
      </w:r>
      <w:r>
        <w:rPr>
          <w:rFonts w:hint="eastAsia" w:eastAsia="黑体"/>
          <w:b w:val="0"/>
          <w:color w:val="auto"/>
          <w:sz w:val="24"/>
          <w:lang w:val="en-US" w:eastAsia="zh-CN"/>
        </w:rPr>
        <w:t>3.1环境功能区划</w:t>
      </w:r>
      <w:bookmarkEnd w:id="233"/>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根据宜昌市的环境功能区划，本项目所在区域环境功能区划如下：</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rPr>
        <w:t>环境空气：本项目所在区域属于《环境空气质量标准》</w:t>
      </w:r>
      <w:r>
        <w:rPr>
          <w:rFonts w:hint="eastAsia" w:eastAsia="仿宋_GB2312"/>
          <w:color w:val="auto"/>
          <w:sz w:val="24"/>
          <w:lang w:eastAsia="zh-CN"/>
        </w:rPr>
        <w:t>（</w:t>
      </w:r>
      <w:r>
        <w:rPr>
          <w:rFonts w:hint="eastAsia" w:eastAsia="仿宋_GB2312"/>
          <w:color w:val="auto"/>
          <w:sz w:val="24"/>
        </w:rPr>
        <w:t>GB3095-2012</w:t>
      </w:r>
      <w:r>
        <w:rPr>
          <w:rFonts w:hint="eastAsia" w:eastAsia="仿宋_GB2312"/>
          <w:color w:val="auto"/>
          <w:sz w:val="24"/>
          <w:lang w:eastAsia="zh-CN"/>
        </w:rPr>
        <w:t>）</w:t>
      </w:r>
      <w:r>
        <w:rPr>
          <w:rFonts w:hint="eastAsia" w:eastAsia="仿宋_GB2312"/>
          <w:color w:val="auto"/>
          <w:sz w:val="24"/>
        </w:rPr>
        <w:t>二类功能区，执行《环境空气质量标准》(GB3095-2012)二级标准。</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地表水：根据《湖北省地表水环境功能区类别》和《市人民政府办公室关于同意宜昌市地表水、环境空气、声环境功能区类别划分方案（修编）的批复》（宜府办函[2013]46号，2013年11月29日）规定：长江干流猇亭区、宜都、枝江段水域执行《地表水环境质量标准》(GB3838-2002)中Ⅱ类标准。</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项目评价区域主要地表水体为长江（</w:t>
      </w:r>
      <w:r>
        <w:rPr>
          <w:rFonts w:hint="eastAsia" w:eastAsia="仿宋_GB2312"/>
          <w:color w:val="auto"/>
          <w:sz w:val="24"/>
          <w:lang w:val="en-US" w:eastAsia="zh-CN"/>
        </w:rPr>
        <w:t>宜都</w:t>
      </w:r>
      <w:r>
        <w:rPr>
          <w:rFonts w:hint="eastAsia" w:eastAsia="仿宋_GB2312"/>
          <w:color w:val="auto"/>
          <w:sz w:val="24"/>
        </w:rPr>
        <w:t>段），长江（</w:t>
      </w:r>
      <w:r>
        <w:rPr>
          <w:rFonts w:hint="eastAsia" w:eastAsia="仿宋_GB2312"/>
          <w:color w:val="auto"/>
          <w:sz w:val="24"/>
          <w:lang w:val="en-US" w:eastAsia="zh-CN"/>
        </w:rPr>
        <w:t>宜都</w:t>
      </w:r>
      <w:r>
        <w:rPr>
          <w:rFonts w:hint="eastAsia" w:eastAsia="仿宋_GB2312"/>
          <w:color w:val="auto"/>
          <w:sz w:val="24"/>
        </w:rPr>
        <w:t>段）水域执行《地表水环境质量标准》(GB3838-2002)中Ⅱ类标准。</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rPr>
        <w:t>声环境：根据《声环境质量标准》（GB3096-2008），本项目水域部分临</w:t>
      </w:r>
      <w:r>
        <w:rPr>
          <w:rFonts w:hint="eastAsia" w:eastAsia="仿宋_GB2312"/>
          <w:color w:val="auto"/>
          <w:sz w:val="24"/>
          <w:lang w:val="en-US" w:eastAsia="zh-CN"/>
        </w:rPr>
        <w:t>红东公路</w:t>
      </w:r>
      <w:r>
        <w:rPr>
          <w:rFonts w:hint="eastAsia" w:eastAsia="仿宋_GB2312"/>
          <w:color w:val="auto"/>
          <w:sz w:val="24"/>
        </w:rPr>
        <w:t>侧</w:t>
      </w:r>
      <w:r>
        <w:rPr>
          <w:rFonts w:hint="eastAsia" w:eastAsia="仿宋_GB2312"/>
          <w:color w:val="auto"/>
          <w:sz w:val="24"/>
          <w:lang w:val="en-US" w:eastAsia="zh-CN"/>
        </w:rPr>
        <w:t>及</w:t>
      </w:r>
      <w:r>
        <w:rPr>
          <w:rFonts w:hint="eastAsia" w:eastAsia="仿宋_GB2312"/>
          <w:color w:val="auto"/>
          <w:sz w:val="24"/>
        </w:rPr>
        <w:t>临航道侧25m范围内声环境质量执行《声环境质量标准》（GB3096-2008）4a类标准，其他区域声环境质量执行《声环境质量标准》（GB3096-2008）</w:t>
      </w:r>
      <w:r>
        <w:rPr>
          <w:rFonts w:hint="eastAsia" w:eastAsia="仿宋_GB2312"/>
          <w:color w:val="auto"/>
          <w:sz w:val="24"/>
          <w:lang w:val="en-US" w:eastAsia="zh-CN"/>
        </w:rPr>
        <w:t>3</w:t>
      </w:r>
      <w:r>
        <w:rPr>
          <w:rFonts w:hint="eastAsia" w:eastAsia="仿宋_GB2312"/>
          <w:color w:val="auto"/>
          <w:sz w:val="24"/>
        </w:rPr>
        <w:t>类标准</w:t>
      </w:r>
      <w:r>
        <w:rPr>
          <w:rFonts w:hint="eastAsia" w:eastAsia="仿宋_GB2312"/>
          <w:color w:val="auto"/>
          <w:sz w:val="24"/>
          <w:lang w:eastAsia="zh-CN"/>
        </w:rPr>
        <w:t>。</w:t>
      </w:r>
    </w:p>
    <w:p>
      <w:pPr>
        <w:pStyle w:val="9"/>
        <w:widowControl w:val="0"/>
        <w:spacing w:before="120" w:after="120" w:line="360" w:lineRule="auto"/>
        <w:rPr>
          <w:rFonts w:eastAsia="黑体"/>
          <w:b w:val="0"/>
          <w:color w:val="auto"/>
          <w:sz w:val="24"/>
        </w:rPr>
      </w:pPr>
      <w:bookmarkStart w:id="234" w:name="_Toc22876"/>
      <w:bookmarkStart w:id="235" w:name="_Toc138079901"/>
      <w:r>
        <w:rPr>
          <w:rFonts w:eastAsia="黑体"/>
          <w:b w:val="0"/>
          <w:color w:val="auto"/>
          <w:sz w:val="24"/>
        </w:rPr>
        <w:t>1.</w:t>
      </w:r>
      <w:r>
        <w:rPr>
          <w:rFonts w:hint="eastAsia" w:eastAsia="黑体"/>
          <w:b w:val="0"/>
          <w:color w:val="auto"/>
          <w:sz w:val="24"/>
          <w:lang w:val="en-US" w:eastAsia="zh-CN"/>
        </w:rPr>
        <w:t>3.2</w:t>
      </w:r>
      <w:r>
        <w:rPr>
          <w:rFonts w:eastAsia="黑体"/>
          <w:b w:val="0"/>
          <w:color w:val="auto"/>
          <w:sz w:val="24"/>
        </w:rPr>
        <w:t>评价标准</w:t>
      </w:r>
      <w:bookmarkEnd w:id="234"/>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1.</w:t>
      </w:r>
      <w:r>
        <w:rPr>
          <w:rFonts w:hint="eastAsia" w:eastAsia="黑体"/>
          <w:color w:val="auto"/>
          <w:szCs w:val="24"/>
          <w:lang w:val="en-US" w:eastAsia="zh-CN"/>
        </w:rPr>
        <w:t>3.2.1大气环境</w:t>
      </w:r>
    </w:p>
    <w:p>
      <w:pPr>
        <w:widowControl w:val="0"/>
        <w:spacing w:line="360" w:lineRule="auto"/>
        <w:ind w:firstLine="480" w:firstLineChars="200"/>
        <w:rPr>
          <w:rFonts w:eastAsia="仿宋_GB2312"/>
          <w:color w:val="auto"/>
          <w:sz w:val="24"/>
        </w:rPr>
      </w:pPr>
      <w:r>
        <w:rPr>
          <w:rFonts w:hint="eastAsia" w:eastAsia="仿宋_GB2312"/>
          <w:color w:val="auto"/>
          <w:sz w:val="24"/>
        </w:rPr>
        <w:t>环境空气质量</w:t>
      </w:r>
      <w:r>
        <w:rPr>
          <w:rFonts w:hint="eastAsia" w:eastAsia="仿宋_GB2312"/>
          <w:color w:val="auto"/>
          <w:sz w:val="24"/>
          <w:lang w:val="en-US" w:eastAsia="zh-CN"/>
        </w:rPr>
        <w:t>现状执行</w:t>
      </w:r>
      <w:r>
        <w:rPr>
          <w:rFonts w:hint="eastAsia" w:eastAsia="仿宋_GB2312"/>
          <w:color w:val="auto"/>
          <w:sz w:val="24"/>
        </w:rPr>
        <w:t>《环境空气质量标准》(GB3095-2012)中二级标准</w:t>
      </w:r>
      <w:r>
        <w:rPr>
          <w:rFonts w:hint="eastAsia" w:eastAsia="仿宋_GB2312"/>
          <w:color w:val="auto"/>
          <w:sz w:val="24"/>
          <w:lang w:val="en-US" w:eastAsia="zh-CN"/>
        </w:rPr>
        <w:t>及其修改单</w:t>
      </w:r>
      <w:r>
        <w:rPr>
          <w:rFonts w:hint="eastAsia" w:eastAsia="仿宋_GB2312"/>
          <w:color w:val="auto"/>
          <w:sz w:val="24"/>
          <w:lang w:eastAsia="zh-CN"/>
        </w:rPr>
        <w:t>；</w:t>
      </w:r>
      <w:r>
        <w:rPr>
          <w:rFonts w:hint="eastAsia" w:eastAsia="仿宋_GB2312"/>
          <w:color w:val="auto"/>
          <w:sz w:val="24"/>
        </w:rPr>
        <w:t>颗粒物排放执行《大气污染物综合排放标准》</w:t>
      </w:r>
      <w:r>
        <w:rPr>
          <w:rFonts w:hint="eastAsia" w:eastAsia="仿宋_GB2312"/>
          <w:color w:val="auto"/>
          <w:sz w:val="24"/>
          <w:lang w:eastAsia="zh-CN"/>
        </w:rPr>
        <w:t>（</w:t>
      </w:r>
      <w:r>
        <w:rPr>
          <w:rFonts w:hint="eastAsia" w:eastAsia="仿宋_GB2312"/>
          <w:color w:val="auto"/>
          <w:sz w:val="24"/>
        </w:rPr>
        <w:t>GB16297-1996</w:t>
      </w:r>
      <w:r>
        <w:rPr>
          <w:rFonts w:hint="eastAsia" w:eastAsia="仿宋_GB2312"/>
          <w:color w:val="auto"/>
          <w:sz w:val="24"/>
          <w:lang w:eastAsia="zh-CN"/>
        </w:rPr>
        <w:t>）</w:t>
      </w:r>
      <w:r>
        <w:rPr>
          <w:rFonts w:hint="eastAsia" w:eastAsia="仿宋_GB2312"/>
          <w:color w:val="auto"/>
          <w:sz w:val="24"/>
          <w:lang w:val="en-US" w:eastAsia="zh-CN"/>
        </w:rPr>
        <w:t>中无组织排放限值</w:t>
      </w:r>
      <w:r>
        <w:rPr>
          <w:rFonts w:eastAsia="仿宋_GB2312"/>
          <w:color w:val="auto"/>
          <w:sz w:val="24"/>
        </w:rPr>
        <w:t>。</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环境空气质量标准值</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86"/>
        <w:gridCol w:w="1391"/>
        <w:gridCol w:w="1205"/>
        <w:gridCol w:w="1950"/>
        <w:gridCol w:w="1864"/>
        <w:gridCol w:w="121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tcBorders>
              <w:top w:val="single" w:color="auto" w:sz="12" w:space="0"/>
              <w:bottom w:val="single" w:color="auto" w:sz="12" w:space="0"/>
            </w:tcBorders>
            <w:noWrap w:val="0"/>
            <w:vAlign w:val="center"/>
          </w:tcPr>
          <w:p>
            <w:pPr>
              <w:widowControl w:val="0"/>
              <w:jc w:val="center"/>
              <w:rPr>
                <w:color w:val="auto"/>
                <w:sz w:val="20"/>
              </w:rPr>
            </w:pPr>
            <w:r>
              <w:rPr>
                <w:color w:val="auto"/>
                <w:sz w:val="20"/>
              </w:rPr>
              <w:t>标准号</w:t>
            </w:r>
          </w:p>
        </w:tc>
        <w:tc>
          <w:tcPr>
            <w:tcW w:w="816" w:type="pct"/>
            <w:tcBorders>
              <w:top w:val="single" w:color="auto" w:sz="12" w:space="0"/>
              <w:bottom w:val="single" w:color="auto" w:sz="12" w:space="0"/>
            </w:tcBorders>
            <w:noWrap w:val="0"/>
            <w:vAlign w:val="center"/>
          </w:tcPr>
          <w:p>
            <w:pPr>
              <w:widowControl w:val="0"/>
              <w:jc w:val="center"/>
              <w:rPr>
                <w:color w:val="auto"/>
                <w:sz w:val="20"/>
              </w:rPr>
            </w:pPr>
            <w:r>
              <w:rPr>
                <w:color w:val="auto"/>
                <w:sz w:val="20"/>
              </w:rPr>
              <w:t>标准名称</w:t>
            </w:r>
          </w:p>
        </w:tc>
        <w:tc>
          <w:tcPr>
            <w:tcW w:w="707" w:type="pct"/>
            <w:tcBorders>
              <w:top w:val="single" w:color="auto" w:sz="12" w:space="0"/>
              <w:bottom w:val="single" w:color="auto" w:sz="12" w:space="0"/>
            </w:tcBorders>
            <w:noWrap w:val="0"/>
            <w:vAlign w:val="center"/>
          </w:tcPr>
          <w:p>
            <w:pPr>
              <w:widowControl w:val="0"/>
              <w:jc w:val="center"/>
              <w:rPr>
                <w:color w:val="auto"/>
                <w:sz w:val="20"/>
              </w:rPr>
            </w:pPr>
            <w:r>
              <w:rPr>
                <w:color w:val="auto"/>
                <w:sz w:val="20"/>
              </w:rPr>
              <w:t>污染物名称</w:t>
            </w:r>
          </w:p>
        </w:tc>
        <w:tc>
          <w:tcPr>
            <w:tcW w:w="1145" w:type="pct"/>
            <w:tcBorders>
              <w:top w:val="single" w:color="auto" w:sz="12" w:space="0"/>
              <w:bottom w:val="single" w:color="auto" w:sz="12" w:space="0"/>
            </w:tcBorders>
            <w:noWrap w:val="0"/>
            <w:vAlign w:val="center"/>
          </w:tcPr>
          <w:p>
            <w:pPr>
              <w:widowControl w:val="0"/>
              <w:jc w:val="center"/>
              <w:rPr>
                <w:color w:val="auto"/>
                <w:sz w:val="20"/>
              </w:rPr>
            </w:pPr>
            <w:r>
              <w:rPr>
                <w:color w:val="auto"/>
                <w:sz w:val="20"/>
              </w:rPr>
              <w:t>取值时间</w:t>
            </w:r>
          </w:p>
        </w:tc>
        <w:tc>
          <w:tcPr>
            <w:tcW w:w="1094" w:type="pct"/>
            <w:tcBorders>
              <w:top w:val="single" w:color="auto" w:sz="12" w:space="0"/>
              <w:bottom w:val="single" w:color="auto" w:sz="12" w:space="0"/>
            </w:tcBorders>
            <w:noWrap w:val="0"/>
            <w:vAlign w:val="center"/>
          </w:tcPr>
          <w:p>
            <w:pPr>
              <w:widowControl w:val="0"/>
              <w:ind w:left="-105" w:leftChars="-50" w:right="-105" w:rightChars="-50"/>
              <w:jc w:val="center"/>
              <w:rPr>
                <w:color w:val="auto"/>
                <w:sz w:val="20"/>
              </w:rPr>
            </w:pPr>
            <w:r>
              <w:rPr>
                <w:rFonts w:hint="eastAsia"/>
                <w:color w:val="auto"/>
                <w:sz w:val="20"/>
                <w:lang w:val="en-US" w:eastAsia="zh-CN"/>
              </w:rPr>
              <w:t>二级</w:t>
            </w:r>
            <w:r>
              <w:rPr>
                <w:color w:val="auto"/>
                <w:sz w:val="20"/>
              </w:rPr>
              <w:t>浓度</w:t>
            </w:r>
            <w:r>
              <w:rPr>
                <w:rFonts w:hint="eastAsia"/>
                <w:color w:val="auto"/>
                <w:sz w:val="20"/>
              </w:rPr>
              <w:t>限值</w:t>
            </w:r>
          </w:p>
        </w:tc>
        <w:tc>
          <w:tcPr>
            <w:tcW w:w="715" w:type="pct"/>
            <w:tcBorders>
              <w:top w:val="single" w:color="auto" w:sz="12" w:space="0"/>
              <w:bottom w:val="single" w:color="auto" w:sz="12" w:space="0"/>
            </w:tcBorders>
            <w:noWrap w:val="0"/>
            <w:vAlign w:val="center"/>
          </w:tcPr>
          <w:p>
            <w:pPr>
              <w:widowControl w:val="0"/>
              <w:ind w:left="-105" w:leftChars="-50" w:right="-105" w:rightChars="-50"/>
              <w:jc w:val="center"/>
              <w:rPr>
                <w:color w:val="auto"/>
                <w:sz w:val="20"/>
              </w:rPr>
            </w:pPr>
            <w:r>
              <w:rPr>
                <w:color w:val="auto"/>
                <w:sz w:val="20"/>
              </w:rPr>
              <w:t>评价对象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restart"/>
            <w:noWrap w:val="0"/>
            <w:vAlign w:val="center"/>
          </w:tcPr>
          <w:p>
            <w:pPr>
              <w:widowControl w:val="0"/>
              <w:jc w:val="center"/>
              <w:rPr>
                <w:color w:val="auto"/>
                <w:sz w:val="20"/>
              </w:rPr>
            </w:pPr>
            <w:r>
              <w:rPr>
                <w:color w:val="auto"/>
                <w:sz w:val="20"/>
              </w:rPr>
              <w:t>GB3095-2012</w:t>
            </w:r>
          </w:p>
        </w:tc>
        <w:tc>
          <w:tcPr>
            <w:tcW w:w="816" w:type="pct"/>
            <w:vMerge w:val="restart"/>
            <w:noWrap w:val="0"/>
            <w:vAlign w:val="center"/>
          </w:tcPr>
          <w:p>
            <w:pPr>
              <w:widowControl w:val="0"/>
              <w:jc w:val="center"/>
              <w:rPr>
                <w:color w:val="auto"/>
                <w:sz w:val="20"/>
              </w:rPr>
            </w:pPr>
            <w:r>
              <w:rPr>
                <w:color w:val="auto"/>
                <w:sz w:val="20"/>
              </w:rPr>
              <w:t>《环境空气质量标准》二级</w:t>
            </w:r>
          </w:p>
        </w:tc>
        <w:tc>
          <w:tcPr>
            <w:tcW w:w="707" w:type="pct"/>
            <w:noWrap w:val="0"/>
            <w:vAlign w:val="center"/>
          </w:tcPr>
          <w:p>
            <w:pPr>
              <w:widowControl w:val="0"/>
              <w:jc w:val="center"/>
              <w:rPr>
                <w:color w:val="auto"/>
                <w:sz w:val="20"/>
              </w:rPr>
            </w:pPr>
            <w:r>
              <w:rPr>
                <w:color w:val="auto"/>
                <w:sz w:val="20"/>
              </w:rPr>
              <w:t>SO</w:t>
            </w:r>
            <w:r>
              <w:rPr>
                <w:color w:val="auto"/>
                <w:sz w:val="20"/>
                <w:vertAlign w:val="subscript"/>
              </w:rPr>
              <w:t>2</w:t>
            </w:r>
          </w:p>
        </w:tc>
        <w:tc>
          <w:tcPr>
            <w:tcW w:w="1145" w:type="pct"/>
            <w:noWrap w:val="0"/>
            <w:vAlign w:val="center"/>
          </w:tcPr>
          <w:p>
            <w:pPr>
              <w:widowControl w:val="0"/>
              <w:jc w:val="center"/>
              <w:rPr>
                <w:color w:val="auto"/>
                <w:sz w:val="20"/>
              </w:rPr>
            </w:pPr>
            <w:r>
              <w:rPr>
                <w:color w:val="auto"/>
                <w:sz w:val="20"/>
              </w:rPr>
              <w:t>年平均</w:t>
            </w:r>
          </w:p>
          <w:p>
            <w:pPr>
              <w:widowControl w:val="0"/>
              <w:jc w:val="center"/>
              <w:rPr>
                <w:color w:val="auto"/>
                <w:sz w:val="20"/>
              </w:rPr>
            </w:pPr>
            <w:r>
              <w:rPr>
                <w:color w:val="auto"/>
                <w:sz w:val="20"/>
              </w:rPr>
              <w:t>日平均</w:t>
            </w:r>
          </w:p>
          <w:p>
            <w:pPr>
              <w:widowControl w:val="0"/>
              <w:jc w:val="center"/>
              <w:rPr>
                <w:color w:val="auto"/>
                <w:sz w:val="20"/>
              </w:rPr>
            </w:pPr>
            <w:r>
              <w:rPr>
                <w:color w:val="auto"/>
                <w:sz w:val="20"/>
              </w:rPr>
              <w:t>1小时均值</w:t>
            </w:r>
          </w:p>
        </w:tc>
        <w:tc>
          <w:tcPr>
            <w:tcW w:w="1094" w:type="pct"/>
            <w:noWrap w:val="0"/>
            <w:vAlign w:val="center"/>
          </w:tcPr>
          <w:p>
            <w:pPr>
              <w:widowControl w:val="0"/>
              <w:jc w:val="center"/>
              <w:rPr>
                <w:color w:val="auto"/>
                <w:sz w:val="20"/>
              </w:rPr>
            </w:pPr>
            <w:r>
              <w:rPr>
                <w:color w:val="auto"/>
                <w:sz w:val="20"/>
              </w:rPr>
              <w:t>60μg/m</w:t>
            </w:r>
            <w:r>
              <w:rPr>
                <w:color w:val="auto"/>
                <w:sz w:val="20"/>
                <w:vertAlign w:val="superscript"/>
              </w:rPr>
              <w:t>3</w:t>
            </w:r>
          </w:p>
          <w:p>
            <w:pPr>
              <w:widowControl w:val="0"/>
              <w:jc w:val="center"/>
              <w:rPr>
                <w:color w:val="auto"/>
                <w:sz w:val="20"/>
              </w:rPr>
            </w:pPr>
            <w:r>
              <w:rPr>
                <w:color w:val="auto"/>
                <w:sz w:val="20"/>
              </w:rPr>
              <w:t>150μg/m</w:t>
            </w:r>
            <w:r>
              <w:rPr>
                <w:color w:val="auto"/>
                <w:sz w:val="20"/>
                <w:vertAlign w:val="superscript"/>
              </w:rPr>
              <w:t>3</w:t>
            </w:r>
          </w:p>
          <w:p>
            <w:pPr>
              <w:widowControl w:val="0"/>
              <w:jc w:val="center"/>
              <w:rPr>
                <w:color w:val="auto"/>
                <w:sz w:val="20"/>
              </w:rPr>
            </w:pPr>
            <w:r>
              <w:rPr>
                <w:color w:val="auto"/>
                <w:sz w:val="20"/>
              </w:rPr>
              <w:t>500μg/m</w:t>
            </w:r>
            <w:r>
              <w:rPr>
                <w:color w:val="auto"/>
                <w:sz w:val="20"/>
                <w:vertAlign w:val="superscript"/>
              </w:rPr>
              <w:t>3</w:t>
            </w:r>
          </w:p>
        </w:tc>
        <w:tc>
          <w:tcPr>
            <w:tcW w:w="715" w:type="pct"/>
            <w:vMerge w:val="restart"/>
            <w:tcBorders>
              <w:top w:val="single" w:color="auto" w:sz="6" w:space="0"/>
            </w:tcBorders>
            <w:noWrap w:val="0"/>
            <w:vAlign w:val="center"/>
          </w:tcPr>
          <w:p>
            <w:pPr>
              <w:widowControl w:val="0"/>
              <w:jc w:val="center"/>
              <w:rPr>
                <w:color w:val="auto"/>
                <w:sz w:val="20"/>
              </w:rPr>
            </w:pPr>
            <w:r>
              <w:rPr>
                <w:color w:val="auto"/>
                <w:sz w:val="20"/>
              </w:rPr>
              <w:t>评价区环境空气</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widowControl w:val="0"/>
              <w:jc w:val="center"/>
              <w:rPr>
                <w:color w:val="auto"/>
                <w:sz w:val="20"/>
              </w:rPr>
            </w:pPr>
            <w:r>
              <w:rPr>
                <w:color w:val="auto"/>
                <w:sz w:val="20"/>
              </w:rPr>
              <w:t>NO</w:t>
            </w:r>
            <w:r>
              <w:rPr>
                <w:color w:val="auto"/>
                <w:sz w:val="20"/>
                <w:vertAlign w:val="subscript"/>
              </w:rPr>
              <w:t>2</w:t>
            </w:r>
          </w:p>
        </w:tc>
        <w:tc>
          <w:tcPr>
            <w:tcW w:w="1145" w:type="pct"/>
            <w:noWrap w:val="0"/>
            <w:vAlign w:val="center"/>
          </w:tcPr>
          <w:p>
            <w:pPr>
              <w:widowControl w:val="0"/>
              <w:jc w:val="center"/>
              <w:rPr>
                <w:color w:val="auto"/>
                <w:sz w:val="20"/>
              </w:rPr>
            </w:pPr>
            <w:r>
              <w:rPr>
                <w:color w:val="auto"/>
                <w:sz w:val="20"/>
              </w:rPr>
              <w:t>年平均</w:t>
            </w:r>
          </w:p>
          <w:p>
            <w:pPr>
              <w:widowControl w:val="0"/>
              <w:jc w:val="center"/>
              <w:rPr>
                <w:color w:val="auto"/>
                <w:sz w:val="20"/>
              </w:rPr>
            </w:pPr>
            <w:r>
              <w:rPr>
                <w:color w:val="auto"/>
                <w:sz w:val="20"/>
              </w:rPr>
              <w:t>日平均</w:t>
            </w:r>
          </w:p>
          <w:p>
            <w:pPr>
              <w:widowControl w:val="0"/>
              <w:jc w:val="center"/>
              <w:rPr>
                <w:color w:val="auto"/>
                <w:sz w:val="20"/>
              </w:rPr>
            </w:pPr>
            <w:r>
              <w:rPr>
                <w:color w:val="auto"/>
                <w:sz w:val="20"/>
              </w:rPr>
              <w:t>1小时均值</w:t>
            </w:r>
          </w:p>
        </w:tc>
        <w:tc>
          <w:tcPr>
            <w:tcW w:w="1094" w:type="pct"/>
            <w:noWrap w:val="0"/>
            <w:vAlign w:val="center"/>
          </w:tcPr>
          <w:p>
            <w:pPr>
              <w:widowControl w:val="0"/>
              <w:jc w:val="center"/>
              <w:rPr>
                <w:color w:val="auto"/>
                <w:sz w:val="20"/>
              </w:rPr>
            </w:pPr>
            <w:r>
              <w:rPr>
                <w:color w:val="auto"/>
                <w:sz w:val="20"/>
              </w:rPr>
              <w:t>40μg/m</w:t>
            </w:r>
            <w:r>
              <w:rPr>
                <w:color w:val="auto"/>
                <w:sz w:val="20"/>
                <w:vertAlign w:val="superscript"/>
              </w:rPr>
              <w:t>3</w:t>
            </w:r>
          </w:p>
          <w:p>
            <w:pPr>
              <w:widowControl w:val="0"/>
              <w:jc w:val="center"/>
              <w:rPr>
                <w:color w:val="auto"/>
                <w:sz w:val="20"/>
              </w:rPr>
            </w:pPr>
            <w:r>
              <w:rPr>
                <w:color w:val="auto"/>
                <w:sz w:val="20"/>
              </w:rPr>
              <w:t>80μg/m</w:t>
            </w:r>
            <w:r>
              <w:rPr>
                <w:color w:val="auto"/>
                <w:sz w:val="20"/>
                <w:vertAlign w:val="superscript"/>
              </w:rPr>
              <w:t>3</w:t>
            </w:r>
          </w:p>
          <w:p>
            <w:pPr>
              <w:widowControl w:val="0"/>
              <w:jc w:val="center"/>
              <w:rPr>
                <w:color w:val="auto"/>
                <w:sz w:val="20"/>
              </w:rPr>
            </w:pPr>
            <w:r>
              <w:rPr>
                <w:color w:val="auto"/>
                <w:sz w:val="20"/>
              </w:rPr>
              <w:t>200μg/m</w:t>
            </w:r>
            <w:r>
              <w:rPr>
                <w:color w:val="auto"/>
                <w:sz w:val="20"/>
                <w:vertAlign w:val="superscript"/>
              </w:rPr>
              <w:t>3</w:t>
            </w:r>
          </w:p>
        </w:tc>
        <w:tc>
          <w:tcPr>
            <w:tcW w:w="715" w:type="pct"/>
            <w:vMerge w:val="continue"/>
            <w:noWrap w:val="0"/>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TSP</w:t>
            </w:r>
          </w:p>
        </w:tc>
        <w:tc>
          <w:tcPr>
            <w:tcW w:w="1145" w:type="pct"/>
            <w:noWrap w:val="0"/>
            <w:vAlign w:val="center"/>
          </w:tcPr>
          <w:p>
            <w:pPr>
              <w:widowControl w:val="0"/>
              <w:jc w:val="center"/>
              <w:rPr>
                <w:color w:val="auto"/>
                <w:sz w:val="20"/>
              </w:rPr>
            </w:pPr>
            <w:r>
              <w:rPr>
                <w:color w:val="auto"/>
                <w:sz w:val="20"/>
              </w:rPr>
              <w:t>年平均</w:t>
            </w:r>
          </w:p>
          <w:p>
            <w:pPr>
              <w:widowControl w:val="0"/>
              <w:jc w:val="center"/>
              <w:rPr>
                <w:rFonts w:ascii="Times New Roman" w:hAnsi="Times New Roman" w:eastAsia="宋体" w:cs="Times New Roman"/>
                <w:color w:val="auto"/>
                <w:kern w:val="2"/>
                <w:sz w:val="20"/>
                <w:lang w:val="en-US" w:eastAsia="zh-CN" w:bidi="ar-SA"/>
              </w:rPr>
            </w:pPr>
            <w:r>
              <w:rPr>
                <w:color w:val="auto"/>
                <w:sz w:val="20"/>
              </w:rPr>
              <w:t>日平均</w:t>
            </w:r>
          </w:p>
        </w:tc>
        <w:tc>
          <w:tcPr>
            <w:tcW w:w="1094" w:type="pct"/>
            <w:noWrap w:val="0"/>
            <w:vAlign w:val="center"/>
          </w:tcPr>
          <w:p>
            <w:pPr>
              <w:widowControl w:val="0"/>
              <w:jc w:val="center"/>
              <w:rPr>
                <w:color w:val="auto"/>
                <w:sz w:val="20"/>
              </w:rPr>
            </w:pPr>
            <w:r>
              <w:rPr>
                <w:rFonts w:hint="eastAsia"/>
                <w:color w:val="auto"/>
                <w:sz w:val="20"/>
                <w:lang w:val="en-US" w:eastAsia="zh-CN"/>
              </w:rPr>
              <w:t>200</w:t>
            </w:r>
            <w:r>
              <w:rPr>
                <w:color w:val="auto"/>
                <w:sz w:val="20"/>
              </w:rPr>
              <w:t>μg/m</w:t>
            </w:r>
            <w:r>
              <w:rPr>
                <w:color w:val="auto"/>
                <w:sz w:val="20"/>
                <w:vertAlign w:val="superscript"/>
              </w:rPr>
              <w:t>3</w:t>
            </w:r>
          </w:p>
          <w:p>
            <w:pPr>
              <w:widowControl w:val="0"/>
              <w:jc w:val="center"/>
              <w:rPr>
                <w:rFonts w:ascii="Times New Roman" w:hAnsi="Times New Roman" w:eastAsia="宋体" w:cs="Times New Roman"/>
                <w:color w:val="auto"/>
                <w:kern w:val="2"/>
                <w:sz w:val="20"/>
                <w:lang w:val="en-US" w:eastAsia="zh-CN" w:bidi="ar-SA"/>
              </w:rPr>
            </w:pPr>
            <w:r>
              <w:rPr>
                <w:rFonts w:hint="eastAsia"/>
                <w:color w:val="auto"/>
                <w:sz w:val="20"/>
                <w:lang w:val="en-US" w:eastAsia="zh-CN"/>
              </w:rPr>
              <w:t>300</w:t>
            </w:r>
            <w:r>
              <w:rPr>
                <w:color w:val="auto"/>
                <w:sz w:val="20"/>
              </w:rPr>
              <w:t>μg/m</w:t>
            </w:r>
            <w:r>
              <w:rPr>
                <w:color w:val="auto"/>
                <w:sz w:val="20"/>
                <w:vertAlign w:val="superscript"/>
              </w:rPr>
              <w:t>3</w:t>
            </w:r>
          </w:p>
        </w:tc>
        <w:tc>
          <w:tcPr>
            <w:tcW w:w="715" w:type="pct"/>
            <w:vMerge w:val="continue"/>
            <w:noWrap w:val="0"/>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widowControl w:val="0"/>
              <w:jc w:val="center"/>
              <w:rPr>
                <w:color w:val="auto"/>
                <w:sz w:val="20"/>
              </w:rPr>
            </w:pPr>
            <w:r>
              <w:rPr>
                <w:color w:val="auto"/>
                <w:sz w:val="20"/>
              </w:rPr>
              <w:t>PM</w:t>
            </w:r>
            <w:r>
              <w:rPr>
                <w:color w:val="auto"/>
                <w:sz w:val="20"/>
                <w:vertAlign w:val="subscript"/>
              </w:rPr>
              <w:t>10</w:t>
            </w:r>
          </w:p>
        </w:tc>
        <w:tc>
          <w:tcPr>
            <w:tcW w:w="1145" w:type="pct"/>
            <w:noWrap w:val="0"/>
            <w:vAlign w:val="center"/>
          </w:tcPr>
          <w:p>
            <w:pPr>
              <w:widowControl w:val="0"/>
              <w:jc w:val="center"/>
              <w:rPr>
                <w:color w:val="auto"/>
                <w:sz w:val="20"/>
              </w:rPr>
            </w:pPr>
            <w:r>
              <w:rPr>
                <w:color w:val="auto"/>
                <w:sz w:val="20"/>
              </w:rPr>
              <w:t>年平均</w:t>
            </w:r>
          </w:p>
          <w:p>
            <w:pPr>
              <w:widowControl w:val="0"/>
              <w:jc w:val="center"/>
              <w:rPr>
                <w:color w:val="auto"/>
                <w:sz w:val="20"/>
              </w:rPr>
            </w:pPr>
            <w:r>
              <w:rPr>
                <w:color w:val="auto"/>
                <w:sz w:val="20"/>
              </w:rPr>
              <w:t>日平均</w:t>
            </w:r>
          </w:p>
        </w:tc>
        <w:tc>
          <w:tcPr>
            <w:tcW w:w="1094" w:type="pct"/>
            <w:noWrap w:val="0"/>
            <w:vAlign w:val="center"/>
          </w:tcPr>
          <w:p>
            <w:pPr>
              <w:widowControl w:val="0"/>
              <w:jc w:val="center"/>
              <w:rPr>
                <w:color w:val="auto"/>
                <w:sz w:val="20"/>
              </w:rPr>
            </w:pPr>
            <w:r>
              <w:rPr>
                <w:color w:val="auto"/>
                <w:sz w:val="20"/>
              </w:rPr>
              <w:t>70μg/m</w:t>
            </w:r>
            <w:r>
              <w:rPr>
                <w:color w:val="auto"/>
                <w:sz w:val="20"/>
                <w:vertAlign w:val="superscript"/>
              </w:rPr>
              <w:t>3</w:t>
            </w:r>
          </w:p>
          <w:p>
            <w:pPr>
              <w:widowControl w:val="0"/>
              <w:jc w:val="center"/>
              <w:rPr>
                <w:color w:val="auto"/>
                <w:sz w:val="20"/>
              </w:rPr>
            </w:pPr>
            <w:r>
              <w:rPr>
                <w:color w:val="auto"/>
                <w:sz w:val="20"/>
              </w:rPr>
              <w:t>150μg/m</w:t>
            </w:r>
            <w:r>
              <w:rPr>
                <w:color w:val="auto"/>
                <w:sz w:val="20"/>
                <w:vertAlign w:val="superscript"/>
              </w:rPr>
              <w:t>3</w:t>
            </w:r>
          </w:p>
        </w:tc>
        <w:tc>
          <w:tcPr>
            <w:tcW w:w="715" w:type="pct"/>
            <w:vMerge w:val="continue"/>
            <w:noWrap w:val="0"/>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spacing w:line="260" w:lineRule="exact"/>
              <w:jc w:val="center"/>
              <w:rPr>
                <w:color w:val="auto"/>
                <w:sz w:val="20"/>
              </w:rPr>
            </w:pPr>
            <w:r>
              <w:rPr>
                <w:color w:val="auto"/>
                <w:sz w:val="20"/>
              </w:rPr>
              <w:t>PM</w:t>
            </w:r>
            <w:r>
              <w:rPr>
                <w:color w:val="auto"/>
                <w:sz w:val="20"/>
                <w:vertAlign w:val="subscript"/>
              </w:rPr>
              <w:t>2.5</w:t>
            </w:r>
          </w:p>
        </w:tc>
        <w:tc>
          <w:tcPr>
            <w:tcW w:w="1145" w:type="pct"/>
            <w:noWrap w:val="0"/>
            <w:vAlign w:val="center"/>
          </w:tcPr>
          <w:p>
            <w:pPr>
              <w:jc w:val="center"/>
              <w:rPr>
                <w:color w:val="auto"/>
                <w:sz w:val="20"/>
              </w:rPr>
            </w:pPr>
            <w:r>
              <w:rPr>
                <w:color w:val="auto"/>
                <w:sz w:val="20"/>
              </w:rPr>
              <w:t>年平均</w:t>
            </w:r>
          </w:p>
          <w:p>
            <w:pPr>
              <w:jc w:val="center"/>
              <w:rPr>
                <w:color w:val="auto"/>
                <w:sz w:val="20"/>
              </w:rPr>
            </w:pPr>
            <w:r>
              <w:rPr>
                <w:color w:val="auto"/>
                <w:sz w:val="20"/>
              </w:rPr>
              <w:t>24小时平均</w:t>
            </w:r>
          </w:p>
        </w:tc>
        <w:tc>
          <w:tcPr>
            <w:tcW w:w="1094" w:type="pct"/>
            <w:noWrap w:val="0"/>
            <w:vAlign w:val="center"/>
          </w:tcPr>
          <w:p>
            <w:pPr>
              <w:jc w:val="center"/>
              <w:rPr>
                <w:color w:val="auto"/>
                <w:sz w:val="20"/>
              </w:rPr>
            </w:pPr>
            <w:r>
              <w:rPr>
                <w:color w:val="auto"/>
                <w:sz w:val="20"/>
              </w:rPr>
              <w:t>35μg/m</w:t>
            </w:r>
            <w:r>
              <w:rPr>
                <w:color w:val="auto"/>
                <w:sz w:val="20"/>
                <w:vertAlign w:val="superscript"/>
              </w:rPr>
              <w:t>3</w:t>
            </w:r>
          </w:p>
          <w:p>
            <w:pPr>
              <w:jc w:val="center"/>
              <w:rPr>
                <w:color w:val="auto"/>
                <w:sz w:val="20"/>
              </w:rPr>
            </w:pPr>
            <w:r>
              <w:rPr>
                <w:color w:val="auto"/>
                <w:sz w:val="20"/>
              </w:rPr>
              <w:t>75μg/m</w:t>
            </w:r>
            <w:r>
              <w:rPr>
                <w:color w:val="auto"/>
                <w:sz w:val="20"/>
                <w:vertAlign w:val="superscript"/>
              </w:rPr>
              <w:t>3</w:t>
            </w:r>
          </w:p>
        </w:tc>
        <w:tc>
          <w:tcPr>
            <w:tcW w:w="715" w:type="pct"/>
            <w:vMerge w:val="continue"/>
            <w:noWrap w:val="0"/>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spacing w:line="260" w:lineRule="exact"/>
              <w:jc w:val="center"/>
              <w:rPr>
                <w:color w:val="auto"/>
                <w:sz w:val="20"/>
              </w:rPr>
            </w:pPr>
            <w:r>
              <w:rPr>
                <w:color w:val="auto"/>
                <w:sz w:val="20"/>
              </w:rPr>
              <w:t>CO</w:t>
            </w:r>
          </w:p>
        </w:tc>
        <w:tc>
          <w:tcPr>
            <w:tcW w:w="1145" w:type="pct"/>
            <w:noWrap w:val="0"/>
            <w:vAlign w:val="center"/>
          </w:tcPr>
          <w:p>
            <w:pPr>
              <w:jc w:val="center"/>
              <w:rPr>
                <w:color w:val="auto"/>
                <w:sz w:val="20"/>
              </w:rPr>
            </w:pPr>
            <w:r>
              <w:rPr>
                <w:color w:val="auto"/>
                <w:sz w:val="20"/>
              </w:rPr>
              <w:t>24小时平均</w:t>
            </w:r>
          </w:p>
          <w:p>
            <w:pPr>
              <w:jc w:val="center"/>
              <w:rPr>
                <w:color w:val="auto"/>
                <w:sz w:val="20"/>
              </w:rPr>
            </w:pPr>
            <w:r>
              <w:rPr>
                <w:color w:val="auto"/>
                <w:sz w:val="20"/>
              </w:rPr>
              <w:t>1小时平均</w:t>
            </w:r>
          </w:p>
        </w:tc>
        <w:tc>
          <w:tcPr>
            <w:tcW w:w="1094" w:type="pct"/>
            <w:noWrap w:val="0"/>
            <w:vAlign w:val="center"/>
          </w:tcPr>
          <w:p>
            <w:pPr>
              <w:jc w:val="center"/>
              <w:rPr>
                <w:color w:val="auto"/>
                <w:sz w:val="20"/>
              </w:rPr>
            </w:pPr>
            <w:r>
              <w:rPr>
                <w:color w:val="auto"/>
                <w:sz w:val="20"/>
              </w:rPr>
              <w:t>4mg/m</w:t>
            </w:r>
            <w:r>
              <w:rPr>
                <w:color w:val="auto"/>
                <w:sz w:val="20"/>
                <w:vertAlign w:val="superscript"/>
              </w:rPr>
              <w:t>3</w:t>
            </w:r>
          </w:p>
          <w:p>
            <w:pPr>
              <w:jc w:val="center"/>
              <w:rPr>
                <w:color w:val="auto"/>
                <w:sz w:val="20"/>
              </w:rPr>
            </w:pPr>
            <w:r>
              <w:rPr>
                <w:color w:val="auto"/>
                <w:sz w:val="20"/>
              </w:rPr>
              <w:t>10mg/m</w:t>
            </w:r>
            <w:r>
              <w:rPr>
                <w:color w:val="auto"/>
                <w:sz w:val="20"/>
                <w:vertAlign w:val="superscript"/>
              </w:rPr>
              <w:t>3</w:t>
            </w:r>
          </w:p>
        </w:tc>
        <w:tc>
          <w:tcPr>
            <w:tcW w:w="715" w:type="pct"/>
            <w:vMerge w:val="continue"/>
            <w:noWrap w:val="0"/>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0" w:type="pct"/>
            <w:vMerge w:val="continue"/>
            <w:noWrap w:val="0"/>
            <w:vAlign w:val="center"/>
          </w:tcPr>
          <w:p>
            <w:pPr>
              <w:widowControl w:val="0"/>
              <w:jc w:val="center"/>
              <w:rPr>
                <w:color w:val="auto"/>
                <w:sz w:val="20"/>
              </w:rPr>
            </w:pPr>
          </w:p>
        </w:tc>
        <w:tc>
          <w:tcPr>
            <w:tcW w:w="816" w:type="pct"/>
            <w:vMerge w:val="continue"/>
            <w:noWrap w:val="0"/>
            <w:vAlign w:val="center"/>
          </w:tcPr>
          <w:p>
            <w:pPr>
              <w:widowControl w:val="0"/>
              <w:jc w:val="center"/>
              <w:rPr>
                <w:color w:val="auto"/>
                <w:sz w:val="20"/>
              </w:rPr>
            </w:pPr>
          </w:p>
        </w:tc>
        <w:tc>
          <w:tcPr>
            <w:tcW w:w="707" w:type="pct"/>
            <w:noWrap w:val="0"/>
            <w:vAlign w:val="center"/>
          </w:tcPr>
          <w:p>
            <w:pPr>
              <w:spacing w:line="260" w:lineRule="exact"/>
              <w:jc w:val="center"/>
              <w:rPr>
                <w:color w:val="auto"/>
                <w:sz w:val="20"/>
              </w:rPr>
            </w:pPr>
            <w:r>
              <w:rPr>
                <w:color w:val="auto"/>
                <w:sz w:val="20"/>
              </w:rPr>
              <w:t>O</w:t>
            </w:r>
            <w:r>
              <w:rPr>
                <w:color w:val="auto"/>
                <w:sz w:val="20"/>
                <w:vertAlign w:val="subscript"/>
              </w:rPr>
              <w:t>3</w:t>
            </w:r>
          </w:p>
        </w:tc>
        <w:tc>
          <w:tcPr>
            <w:tcW w:w="1145" w:type="pct"/>
            <w:noWrap w:val="0"/>
            <w:vAlign w:val="center"/>
          </w:tcPr>
          <w:p>
            <w:pPr>
              <w:jc w:val="center"/>
              <w:rPr>
                <w:color w:val="auto"/>
                <w:sz w:val="20"/>
              </w:rPr>
            </w:pPr>
            <w:r>
              <w:rPr>
                <w:color w:val="auto"/>
                <w:sz w:val="20"/>
              </w:rPr>
              <w:t>日最大8小时平均</w:t>
            </w:r>
          </w:p>
          <w:p>
            <w:pPr>
              <w:jc w:val="center"/>
              <w:rPr>
                <w:color w:val="auto"/>
                <w:sz w:val="20"/>
              </w:rPr>
            </w:pPr>
            <w:r>
              <w:rPr>
                <w:color w:val="auto"/>
                <w:sz w:val="20"/>
              </w:rPr>
              <w:t>1小时平均</w:t>
            </w:r>
          </w:p>
        </w:tc>
        <w:tc>
          <w:tcPr>
            <w:tcW w:w="1094" w:type="pct"/>
            <w:noWrap w:val="0"/>
            <w:vAlign w:val="center"/>
          </w:tcPr>
          <w:p>
            <w:pPr>
              <w:jc w:val="center"/>
              <w:rPr>
                <w:color w:val="auto"/>
                <w:sz w:val="20"/>
              </w:rPr>
            </w:pPr>
            <w:r>
              <w:rPr>
                <w:color w:val="auto"/>
                <w:sz w:val="20"/>
              </w:rPr>
              <w:t>160μg/m</w:t>
            </w:r>
            <w:r>
              <w:rPr>
                <w:color w:val="auto"/>
                <w:sz w:val="20"/>
                <w:vertAlign w:val="superscript"/>
              </w:rPr>
              <w:t>3</w:t>
            </w:r>
          </w:p>
          <w:p>
            <w:pPr>
              <w:jc w:val="center"/>
              <w:rPr>
                <w:color w:val="auto"/>
                <w:sz w:val="20"/>
              </w:rPr>
            </w:pPr>
            <w:r>
              <w:rPr>
                <w:color w:val="auto"/>
                <w:sz w:val="20"/>
              </w:rPr>
              <w:t>200μg/m</w:t>
            </w:r>
            <w:r>
              <w:rPr>
                <w:color w:val="auto"/>
                <w:sz w:val="20"/>
                <w:vertAlign w:val="superscript"/>
              </w:rPr>
              <w:t>3</w:t>
            </w:r>
          </w:p>
        </w:tc>
        <w:tc>
          <w:tcPr>
            <w:tcW w:w="715" w:type="pct"/>
            <w:vMerge w:val="continue"/>
            <w:noWrap w:val="0"/>
            <w:vAlign w:val="center"/>
          </w:tcPr>
          <w:p>
            <w:pPr>
              <w:widowControl w:val="0"/>
              <w:jc w:val="center"/>
              <w:rPr>
                <w:color w:val="auto"/>
                <w:sz w:val="20"/>
              </w:rPr>
            </w:pPr>
          </w:p>
        </w:tc>
      </w:tr>
    </w:tbl>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 xml:space="preserve">2 </w:t>
      </w:r>
      <w:r>
        <w:rPr>
          <w:rFonts w:eastAsia="黑体"/>
          <w:b/>
          <w:color w:val="auto"/>
          <w:szCs w:val="21"/>
        </w:rPr>
        <w:t xml:space="preserve"> 废气污染物排放标准值</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20"/>
        <w:gridCol w:w="1860"/>
        <w:gridCol w:w="1407"/>
        <w:gridCol w:w="36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951" w:type="pct"/>
            <w:vMerge w:val="restart"/>
            <w:tcBorders>
              <w:top w:val="single" w:color="auto" w:sz="12" w:space="0"/>
            </w:tcBorders>
            <w:noWrap w:val="0"/>
            <w:vAlign w:val="center"/>
          </w:tcPr>
          <w:p>
            <w:pPr>
              <w:widowControl w:val="0"/>
              <w:jc w:val="center"/>
              <w:rPr>
                <w:color w:val="auto"/>
                <w:sz w:val="20"/>
              </w:rPr>
            </w:pPr>
            <w:r>
              <w:rPr>
                <w:color w:val="auto"/>
                <w:sz w:val="20"/>
              </w:rPr>
              <w:t>标准号</w:t>
            </w:r>
          </w:p>
        </w:tc>
        <w:tc>
          <w:tcPr>
            <w:tcW w:w="1092" w:type="pct"/>
            <w:vMerge w:val="restart"/>
            <w:tcBorders>
              <w:top w:val="single" w:color="auto" w:sz="12" w:space="0"/>
            </w:tcBorders>
            <w:noWrap w:val="0"/>
            <w:vAlign w:val="center"/>
          </w:tcPr>
          <w:p>
            <w:pPr>
              <w:widowControl w:val="0"/>
              <w:jc w:val="center"/>
              <w:rPr>
                <w:color w:val="auto"/>
                <w:sz w:val="20"/>
              </w:rPr>
            </w:pPr>
            <w:r>
              <w:rPr>
                <w:color w:val="auto"/>
                <w:sz w:val="20"/>
              </w:rPr>
              <w:t>排放标准</w:t>
            </w:r>
          </w:p>
        </w:tc>
        <w:tc>
          <w:tcPr>
            <w:tcW w:w="826" w:type="pct"/>
            <w:vMerge w:val="restart"/>
            <w:tcBorders>
              <w:top w:val="single" w:color="auto" w:sz="12" w:space="0"/>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污染物</w:t>
            </w:r>
          </w:p>
        </w:tc>
        <w:tc>
          <w:tcPr>
            <w:tcW w:w="2128" w:type="pct"/>
            <w:vMerge w:val="restart"/>
            <w:tcBorders>
              <w:top w:val="single" w:color="auto" w:sz="12" w:space="0"/>
            </w:tcBorders>
            <w:noWrap w:val="0"/>
            <w:vAlign w:val="center"/>
          </w:tcPr>
          <w:p>
            <w:pPr>
              <w:widowControl w:val="0"/>
              <w:jc w:val="center"/>
              <w:rPr>
                <w:color w:val="auto"/>
                <w:sz w:val="20"/>
              </w:rPr>
            </w:pPr>
            <w:r>
              <w:rPr>
                <w:rFonts w:hint="eastAsia"/>
                <w:color w:val="auto"/>
                <w:sz w:val="20"/>
                <w:lang w:val="en-US" w:eastAsia="zh-CN"/>
              </w:rPr>
              <w:t>无组织排放监控浓度限值点</w:t>
            </w:r>
            <w:r>
              <w:rPr>
                <w:color w:val="auto"/>
                <w:sz w:val="20"/>
              </w:rPr>
              <w:t>（mg/m</w:t>
            </w:r>
            <w:r>
              <w:rPr>
                <w:color w:val="auto"/>
                <w:sz w:val="20"/>
                <w:vertAlign w:val="superscript"/>
              </w:rPr>
              <w:t>3</w:t>
            </w:r>
            <w:r>
              <w:rPr>
                <w:color w:val="auto"/>
                <w:sz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951" w:type="pct"/>
            <w:vMerge w:val="continue"/>
            <w:tcBorders>
              <w:bottom w:val="single" w:color="auto" w:sz="12" w:space="0"/>
            </w:tcBorders>
            <w:noWrap w:val="0"/>
            <w:vAlign w:val="center"/>
          </w:tcPr>
          <w:p>
            <w:pPr>
              <w:widowControl w:val="0"/>
              <w:jc w:val="center"/>
              <w:rPr>
                <w:color w:val="auto"/>
              </w:rPr>
            </w:pPr>
          </w:p>
        </w:tc>
        <w:tc>
          <w:tcPr>
            <w:tcW w:w="1092" w:type="pct"/>
            <w:vMerge w:val="continue"/>
            <w:tcBorders>
              <w:bottom w:val="single" w:color="auto" w:sz="12" w:space="0"/>
            </w:tcBorders>
            <w:noWrap w:val="0"/>
            <w:vAlign w:val="center"/>
          </w:tcPr>
          <w:p>
            <w:pPr>
              <w:widowControl w:val="0"/>
              <w:jc w:val="center"/>
              <w:rPr>
                <w:color w:val="auto"/>
              </w:rPr>
            </w:pPr>
          </w:p>
        </w:tc>
        <w:tc>
          <w:tcPr>
            <w:tcW w:w="826" w:type="pct"/>
            <w:vMerge w:val="continue"/>
            <w:tcBorders>
              <w:bottom w:val="single" w:color="auto" w:sz="12" w:space="0"/>
            </w:tcBorders>
            <w:noWrap w:val="0"/>
            <w:vAlign w:val="center"/>
          </w:tcPr>
          <w:p>
            <w:pPr>
              <w:widowControl w:val="0"/>
              <w:jc w:val="center"/>
              <w:rPr>
                <w:color w:val="auto"/>
              </w:rPr>
            </w:pPr>
          </w:p>
        </w:tc>
        <w:tc>
          <w:tcPr>
            <w:tcW w:w="2128" w:type="pct"/>
            <w:vMerge w:val="continue"/>
            <w:tcBorders>
              <w:bottom w:val="single" w:color="auto" w:sz="12" w:space="0"/>
            </w:tcBorders>
            <w:noWrap w:val="0"/>
            <w:vAlign w:val="center"/>
          </w:tcPr>
          <w:p>
            <w:pPr>
              <w:widowControl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951" w:type="pct"/>
            <w:vMerge w:val="restart"/>
            <w:tcBorders>
              <w:top w:val="single" w:color="auto" w:sz="12" w:space="0"/>
            </w:tcBorders>
            <w:noWrap w:val="0"/>
            <w:vAlign w:val="center"/>
          </w:tcPr>
          <w:p>
            <w:pPr>
              <w:widowControl w:val="0"/>
              <w:jc w:val="center"/>
              <w:rPr>
                <w:rFonts w:hint="default" w:eastAsia="宋体"/>
                <w:bCs/>
                <w:color w:val="auto"/>
                <w:sz w:val="20"/>
                <w:lang w:val="en-US" w:eastAsia="zh-CN"/>
              </w:rPr>
            </w:pPr>
            <w:r>
              <w:rPr>
                <w:rFonts w:hint="eastAsia"/>
                <w:color w:val="auto"/>
                <w:sz w:val="20"/>
              </w:rPr>
              <w:t>GB</w:t>
            </w:r>
            <w:r>
              <w:rPr>
                <w:rFonts w:hint="eastAsia"/>
                <w:color w:val="auto"/>
                <w:sz w:val="20"/>
                <w:lang w:val="en-US" w:eastAsia="zh-CN"/>
              </w:rPr>
              <w:t>16297-1996</w:t>
            </w:r>
          </w:p>
        </w:tc>
        <w:tc>
          <w:tcPr>
            <w:tcW w:w="1092" w:type="pct"/>
            <w:vMerge w:val="restart"/>
            <w:tcBorders>
              <w:top w:val="single" w:color="auto" w:sz="12" w:space="0"/>
            </w:tcBorders>
            <w:noWrap w:val="0"/>
            <w:vAlign w:val="center"/>
          </w:tcPr>
          <w:p>
            <w:pPr>
              <w:widowControl w:val="0"/>
              <w:jc w:val="center"/>
              <w:rPr>
                <w:color w:val="auto"/>
                <w:sz w:val="20"/>
              </w:rPr>
            </w:pPr>
            <w:r>
              <w:rPr>
                <w:rFonts w:hint="eastAsia"/>
                <w:color w:val="auto"/>
                <w:sz w:val="20"/>
              </w:rPr>
              <w:t>《</w:t>
            </w:r>
            <w:r>
              <w:rPr>
                <w:rFonts w:hint="eastAsia"/>
                <w:color w:val="auto"/>
                <w:sz w:val="20"/>
                <w:lang w:val="en-US" w:eastAsia="zh-CN"/>
              </w:rPr>
              <w:t>大气污染物综合</w:t>
            </w:r>
            <w:r>
              <w:rPr>
                <w:rFonts w:hint="eastAsia"/>
                <w:color w:val="auto"/>
                <w:sz w:val="20"/>
              </w:rPr>
              <w:t>排放标准》</w:t>
            </w:r>
          </w:p>
        </w:tc>
        <w:tc>
          <w:tcPr>
            <w:tcW w:w="826" w:type="pct"/>
            <w:tcBorders>
              <w:top w:val="single" w:color="auto" w:sz="12" w:space="0"/>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颗粒物</w:t>
            </w:r>
          </w:p>
        </w:tc>
        <w:tc>
          <w:tcPr>
            <w:tcW w:w="2128"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周界外浓度最高点1.0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951" w:type="pct"/>
            <w:vMerge w:val="continue"/>
            <w:noWrap w:val="0"/>
            <w:vAlign w:val="center"/>
          </w:tcPr>
          <w:p>
            <w:pPr>
              <w:widowControl w:val="0"/>
              <w:jc w:val="center"/>
              <w:rPr>
                <w:rFonts w:hint="eastAsia"/>
                <w:color w:val="auto"/>
                <w:sz w:val="20"/>
              </w:rPr>
            </w:pPr>
          </w:p>
        </w:tc>
        <w:tc>
          <w:tcPr>
            <w:tcW w:w="1092" w:type="pct"/>
            <w:vMerge w:val="continue"/>
            <w:noWrap w:val="0"/>
            <w:vAlign w:val="center"/>
          </w:tcPr>
          <w:p>
            <w:pPr>
              <w:widowControl w:val="0"/>
              <w:jc w:val="center"/>
              <w:rPr>
                <w:rFonts w:hint="eastAsia"/>
                <w:color w:val="auto"/>
                <w:sz w:val="20"/>
              </w:rPr>
            </w:pPr>
          </w:p>
        </w:tc>
        <w:tc>
          <w:tcPr>
            <w:tcW w:w="826"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SO</w:t>
            </w:r>
            <w:r>
              <w:rPr>
                <w:rFonts w:hint="eastAsia"/>
                <w:color w:val="auto"/>
                <w:sz w:val="20"/>
                <w:vertAlign w:val="subscript"/>
                <w:lang w:val="en-US" w:eastAsia="zh-CN"/>
              </w:rPr>
              <w:t>2</w:t>
            </w:r>
          </w:p>
        </w:tc>
        <w:tc>
          <w:tcPr>
            <w:tcW w:w="2128" w:type="pct"/>
            <w:noWrap w:val="0"/>
            <w:vAlign w:val="center"/>
          </w:tcPr>
          <w:p>
            <w:pPr>
              <w:widowControl w:val="0"/>
              <w:jc w:val="center"/>
              <w:rPr>
                <w:rFonts w:hint="default"/>
                <w:color w:val="auto"/>
                <w:sz w:val="20"/>
                <w:lang w:val="en-US"/>
              </w:rPr>
            </w:pPr>
            <w:r>
              <w:rPr>
                <w:rFonts w:hint="eastAsia"/>
                <w:color w:val="auto"/>
                <w:sz w:val="20"/>
                <w:lang w:val="en-US" w:eastAsia="zh-CN"/>
              </w:rPr>
              <w:t>周界外浓度最高点0.40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951" w:type="pct"/>
            <w:vMerge w:val="continue"/>
            <w:noWrap w:val="0"/>
            <w:vAlign w:val="center"/>
          </w:tcPr>
          <w:p>
            <w:pPr>
              <w:widowControl w:val="0"/>
              <w:jc w:val="center"/>
              <w:rPr>
                <w:rFonts w:hint="eastAsia"/>
                <w:color w:val="auto"/>
                <w:sz w:val="20"/>
              </w:rPr>
            </w:pPr>
          </w:p>
        </w:tc>
        <w:tc>
          <w:tcPr>
            <w:tcW w:w="1092" w:type="pct"/>
            <w:vMerge w:val="continue"/>
            <w:noWrap w:val="0"/>
            <w:vAlign w:val="center"/>
          </w:tcPr>
          <w:p>
            <w:pPr>
              <w:widowControl w:val="0"/>
              <w:jc w:val="center"/>
              <w:rPr>
                <w:rFonts w:hint="eastAsia"/>
                <w:color w:val="auto"/>
                <w:sz w:val="20"/>
              </w:rPr>
            </w:pPr>
          </w:p>
        </w:tc>
        <w:tc>
          <w:tcPr>
            <w:tcW w:w="826"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NO</w:t>
            </w:r>
            <w:r>
              <w:rPr>
                <w:rFonts w:hint="eastAsia"/>
                <w:color w:val="auto"/>
                <w:sz w:val="20"/>
                <w:vertAlign w:val="subscript"/>
                <w:lang w:val="en-US" w:eastAsia="zh-CN"/>
              </w:rPr>
              <w:t>x</w:t>
            </w:r>
          </w:p>
        </w:tc>
        <w:tc>
          <w:tcPr>
            <w:tcW w:w="2128" w:type="pct"/>
            <w:noWrap w:val="0"/>
            <w:vAlign w:val="center"/>
          </w:tcPr>
          <w:p>
            <w:pPr>
              <w:widowControl w:val="0"/>
              <w:jc w:val="center"/>
              <w:rPr>
                <w:rFonts w:hint="default"/>
                <w:color w:val="auto"/>
                <w:sz w:val="20"/>
                <w:lang w:val="en-US"/>
              </w:rPr>
            </w:pPr>
            <w:r>
              <w:rPr>
                <w:rFonts w:hint="eastAsia"/>
                <w:color w:val="auto"/>
                <w:sz w:val="20"/>
                <w:lang w:val="en-US" w:eastAsia="zh-CN"/>
              </w:rPr>
              <w:t>周界外浓度最高点0.12</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1.</w:t>
      </w:r>
      <w:r>
        <w:rPr>
          <w:rFonts w:hint="eastAsia" w:eastAsia="黑体"/>
          <w:color w:val="auto"/>
          <w:szCs w:val="24"/>
          <w:lang w:val="en-US" w:eastAsia="zh-CN"/>
        </w:rPr>
        <w:t>3.2.2水环境</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w:t>
      </w:r>
      <w:r>
        <w:rPr>
          <w:rFonts w:hint="eastAsia" w:eastAsia="仿宋_GB2312" w:cs="Times New Roman"/>
          <w:color w:val="auto"/>
          <w:sz w:val="24"/>
          <w:lang w:val="en-US" w:eastAsia="zh-CN"/>
        </w:rPr>
        <w:t>技改项目</w:t>
      </w:r>
      <w:r>
        <w:rPr>
          <w:rFonts w:hint="eastAsia" w:ascii="Times New Roman" w:hAnsi="Times New Roman" w:eastAsia="仿宋_GB2312" w:cs="Times New Roman"/>
          <w:color w:val="auto"/>
          <w:sz w:val="24"/>
        </w:rPr>
        <w:t>所在长江</w:t>
      </w:r>
      <w:r>
        <w:rPr>
          <w:rFonts w:hint="eastAsia" w:eastAsia="仿宋_GB2312" w:cs="Times New Roman"/>
          <w:color w:val="auto"/>
          <w:sz w:val="24"/>
          <w:lang w:eastAsia="zh-CN"/>
        </w:rPr>
        <w:t>（</w:t>
      </w:r>
      <w:r>
        <w:rPr>
          <w:rFonts w:hint="eastAsia" w:eastAsia="仿宋_GB2312" w:cs="Times New Roman"/>
          <w:color w:val="auto"/>
          <w:sz w:val="24"/>
          <w:lang w:val="en-US" w:eastAsia="zh-CN"/>
        </w:rPr>
        <w:t>宜都</w:t>
      </w:r>
      <w:r>
        <w:rPr>
          <w:rFonts w:hint="eastAsia" w:ascii="Times New Roman" w:hAnsi="Times New Roman" w:eastAsia="仿宋_GB2312" w:cs="Times New Roman"/>
          <w:color w:val="auto"/>
          <w:sz w:val="24"/>
        </w:rPr>
        <w:t>段</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水环境执行《地表水环境质量标准》</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GB3838-2002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中Ⅱ类标准。</w:t>
      </w:r>
    </w:p>
    <w:p>
      <w:pPr>
        <w:widowControl w:val="0"/>
        <w:spacing w:line="360" w:lineRule="auto"/>
        <w:ind w:firstLine="480" w:firstLineChars="200"/>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码头人员生活污水进入各自趸船下方生活污水储存柜储存，委托海事部门认定的船舶污染物接收船定期统一处理；码头面冲洗废水和初期雨水经趸船收集坎收集后进入各自趸船下方初期雨水收集柜储存，委托海事部门认定的船舶污染物接收船定期统一处理</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rPr>
        <w:t>船舶污染物</w:t>
      </w:r>
      <w:r>
        <w:rPr>
          <w:rFonts w:hint="eastAsia" w:eastAsia="仿宋_GB2312" w:cs="Times New Roman"/>
          <w:color w:val="auto"/>
          <w:sz w:val="24"/>
          <w:lang w:val="en-US" w:eastAsia="zh-CN"/>
        </w:rPr>
        <w:t>直接交由</w:t>
      </w:r>
      <w:r>
        <w:rPr>
          <w:rFonts w:hint="eastAsia" w:ascii="Times New Roman" w:hAnsi="Times New Roman" w:eastAsia="仿宋_GB2312" w:cs="Times New Roman"/>
          <w:color w:val="auto"/>
          <w:sz w:val="24"/>
        </w:rPr>
        <w:t>船舶污染物收集船接收统一处理</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排放执行《船舶水污染物排放控制标准》</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GB3552-2018</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中相关标准，部分标准值见</w:t>
      </w:r>
      <w:r>
        <w:rPr>
          <w:rFonts w:hint="eastAsia" w:ascii="Times New Roman" w:hAnsi="Times New Roman" w:eastAsia="仿宋_GB2312" w:cs="Times New Roman"/>
          <w:color w:val="auto"/>
          <w:sz w:val="24"/>
          <w:lang w:val="en-US" w:eastAsia="zh-CN"/>
        </w:rPr>
        <w:t>下</w:t>
      </w:r>
      <w:r>
        <w:rPr>
          <w:rFonts w:hint="eastAsia" w:ascii="Times New Roman" w:hAnsi="Times New Roman" w:eastAsia="仿宋_GB2312" w:cs="Times New Roman"/>
          <w:color w:val="auto"/>
          <w:sz w:val="24"/>
        </w:rPr>
        <w:t>表</w:t>
      </w:r>
      <w:r>
        <w:rPr>
          <w:rFonts w:hint="eastAsia" w:ascii="Times New Roman" w:hAnsi="Times New Roman" w:eastAsia="仿宋_GB2312" w:cs="Times New Roman"/>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-3  地表水质量标准限值</w:t>
      </w:r>
      <w:r>
        <w:rPr>
          <w:rFonts w:hint="eastAsia" w:eastAsia="黑体"/>
          <w:b/>
          <w:color w:val="auto"/>
          <w:szCs w:val="21"/>
          <w:lang w:val="en-US" w:eastAsia="zh-CN"/>
        </w:rPr>
        <w:t xml:space="preserve">    单位：mg/L</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6"/>
        <w:gridCol w:w="1529"/>
        <w:gridCol w:w="1681"/>
        <w:gridCol w:w="2252"/>
        <w:gridCol w:w="16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tcBorders>
              <w:top w:val="single" w:color="auto" w:sz="12" w:space="0"/>
              <w:bottom w:val="single" w:color="auto" w:sz="12" w:space="0"/>
            </w:tcBorders>
            <w:noWrap w:val="0"/>
            <w:vAlign w:val="center"/>
          </w:tcPr>
          <w:p>
            <w:pPr>
              <w:widowControl w:val="0"/>
              <w:ind w:left="-105" w:right="-105"/>
              <w:jc w:val="center"/>
              <w:rPr>
                <w:color w:val="auto"/>
                <w:sz w:val="20"/>
              </w:rPr>
            </w:pPr>
            <w:r>
              <w:rPr>
                <w:color w:val="auto"/>
                <w:sz w:val="20"/>
              </w:rPr>
              <w:t>标准号</w:t>
            </w:r>
          </w:p>
        </w:tc>
        <w:tc>
          <w:tcPr>
            <w:tcW w:w="898" w:type="pct"/>
            <w:tcBorders>
              <w:top w:val="single" w:color="auto" w:sz="12" w:space="0"/>
              <w:bottom w:val="single" w:color="auto" w:sz="12" w:space="0"/>
            </w:tcBorders>
            <w:noWrap w:val="0"/>
            <w:vAlign w:val="center"/>
          </w:tcPr>
          <w:p>
            <w:pPr>
              <w:widowControl w:val="0"/>
              <w:ind w:left="-105" w:right="-105"/>
              <w:jc w:val="center"/>
              <w:rPr>
                <w:color w:val="auto"/>
                <w:sz w:val="20"/>
              </w:rPr>
            </w:pPr>
            <w:r>
              <w:rPr>
                <w:color w:val="auto"/>
                <w:sz w:val="20"/>
              </w:rPr>
              <w:t>标准名称</w:t>
            </w:r>
          </w:p>
        </w:tc>
        <w:tc>
          <w:tcPr>
            <w:tcW w:w="987" w:type="pct"/>
            <w:tcBorders>
              <w:top w:val="single" w:color="auto" w:sz="12" w:space="0"/>
              <w:bottom w:val="single" w:color="auto" w:sz="12" w:space="0"/>
            </w:tcBorders>
            <w:noWrap w:val="0"/>
            <w:vAlign w:val="center"/>
          </w:tcPr>
          <w:p>
            <w:pPr>
              <w:widowControl w:val="0"/>
              <w:ind w:left="-105" w:right="-105"/>
              <w:jc w:val="center"/>
              <w:rPr>
                <w:color w:val="auto"/>
                <w:sz w:val="20"/>
              </w:rPr>
            </w:pPr>
            <w:r>
              <w:rPr>
                <w:color w:val="auto"/>
                <w:sz w:val="20"/>
              </w:rPr>
              <w:t>评价因子</w:t>
            </w:r>
          </w:p>
        </w:tc>
        <w:tc>
          <w:tcPr>
            <w:tcW w:w="1322" w:type="pct"/>
            <w:tcBorders>
              <w:top w:val="single" w:color="auto" w:sz="12" w:space="0"/>
              <w:bottom w:val="single" w:color="auto" w:sz="12" w:space="0"/>
            </w:tcBorders>
            <w:shd w:val="clear" w:color="auto" w:fill="FABF8F" w:themeFill="accent6" w:themeFillTint="99"/>
            <w:noWrap w:val="0"/>
            <w:vAlign w:val="center"/>
          </w:tcPr>
          <w:p>
            <w:pPr>
              <w:pStyle w:val="312"/>
              <w:widowControl w:val="0"/>
              <w:spacing w:line="240" w:lineRule="atLeast"/>
              <w:ind w:left="-105" w:right="-105"/>
              <w:rPr>
                <w:rFonts w:hint="default" w:ascii="Times New Roman" w:hAnsi="Times New Roman" w:cs="Times New Roman"/>
                <w:color w:val="auto"/>
                <w:sz w:val="20"/>
              </w:rPr>
            </w:pPr>
            <w:r>
              <w:rPr>
                <w:rFonts w:hint="default" w:ascii="Times New Roman" w:hAnsi="Times New Roman" w:eastAsia="宋体" w:cs="Times New Roman"/>
                <w:color w:val="auto"/>
                <w:sz w:val="20"/>
              </w:rPr>
              <w:t>Ⅱ</w:t>
            </w:r>
            <w:r>
              <w:rPr>
                <w:rFonts w:hint="default" w:ascii="Times New Roman" w:hAnsi="Times New Roman" w:cs="Times New Roman"/>
                <w:color w:val="auto"/>
                <w:sz w:val="20"/>
              </w:rPr>
              <w:t>类</w:t>
            </w:r>
          </w:p>
        </w:tc>
        <w:tc>
          <w:tcPr>
            <w:tcW w:w="977" w:type="pct"/>
            <w:tcBorders>
              <w:top w:val="single" w:color="auto" w:sz="12" w:space="0"/>
              <w:bottom w:val="single" w:color="auto" w:sz="12" w:space="0"/>
            </w:tcBorders>
            <w:noWrap w:val="0"/>
            <w:vAlign w:val="center"/>
          </w:tcPr>
          <w:p>
            <w:pPr>
              <w:widowControl w:val="0"/>
              <w:ind w:left="-105" w:right="-105"/>
              <w:jc w:val="center"/>
              <w:rPr>
                <w:color w:val="auto"/>
                <w:sz w:val="20"/>
              </w:rPr>
            </w:pPr>
            <w:r>
              <w:rPr>
                <w:color w:val="auto"/>
                <w:sz w:val="20"/>
              </w:rPr>
              <w:t>评价对象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restart"/>
            <w:tcBorders>
              <w:top w:val="single" w:color="auto" w:sz="12" w:space="0"/>
            </w:tcBorders>
            <w:noWrap w:val="0"/>
            <w:vAlign w:val="center"/>
          </w:tcPr>
          <w:p>
            <w:pPr>
              <w:widowControl w:val="0"/>
              <w:ind w:left="-105" w:right="-105"/>
              <w:jc w:val="center"/>
              <w:rPr>
                <w:color w:val="auto"/>
                <w:sz w:val="20"/>
              </w:rPr>
            </w:pPr>
            <w:r>
              <w:rPr>
                <w:color w:val="auto"/>
                <w:sz w:val="20"/>
              </w:rPr>
              <w:t>GB3838-2002</w:t>
            </w:r>
          </w:p>
        </w:tc>
        <w:tc>
          <w:tcPr>
            <w:tcW w:w="898" w:type="pct"/>
            <w:vMerge w:val="restart"/>
            <w:tcBorders>
              <w:top w:val="single" w:color="auto" w:sz="12" w:space="0"/>
            </w:tcBorders>
            <w:noWrap w:val="0"/>
            <w:vAlign w:val="center"/>
          </w:tcPr>
          <w:p>
            <w:pPr>
              <w:widowControl w:val="0"/>
              <w:spacing w:line="260" w:lineRule="exact"/>
              <w:jc w:val="center"/>
              <w:rPr>
                <w:color w:val="auto"/>
                <w:sz w:val="20"/>
              </w:rPr>
            </w:pPr>
            <w:r>
              <w:rPr>
                <w:color w:val="auto"/>
                <w:sz w:val="20"/>
              </w:rPr>
              <w:t>《地表水环境质量标准》</w:t>
            </w:r>
          </w:p>
        </w:tc>
        <w:tc>
          <w:tcPr>
            <w:tcW w:w="987" w:type="pct"/>
            <w:tcBorders>
              <w:top w:val="single" w:color="auto" w:sz="12" w:space="0"/>
            </w:tcBorders>
            <w:noWrap w:val="0"/>
            <w:vAlign w:val="center"/>
          </w:tcPr>
          <w:p>
            <w:pPr>
              <w:widowControl w:val="0"/>
              <w:ind w:left="-105" w:right="-105"/>
              <w:jc w:val="center"/>
              <w:rPr>
                <w:color w:val="auto"/>
                <w:sz w:val="20"/>
              </w:rPr>
            </w:pPr>
            <w:r>
              <w:rPr>
                <w:rFonts w:hint="eastAsia"/>
                <w:color w:val="auto"/>
                <w:sz w:val="20"/>
              </w:rPr>
              <w:t>水温</w:t>
            </w:r>
          </w:p>
        </w:tc>
        <w:tc>
          <w:tcPr>
            <w:tcW w:w="1322" w:type="pct"/>
            <w:tcBorders>
              <w:top w:val="single" w:color="auto" w:sz="12" w:space="0"/>
            </w:tcBorders>
            <w:shd w:val="clear" w:color="auto" w:fill="FABF8F" w:themeFill="accent6" w:themeFillTint="99"/>
            <w:noWrap w:val="0"/>
            <w:vAlign w:val="center"/>
          </w:tcPr>
          <w:p>
            <w:pPr>
              <w:pStyle w:val="312"/>
              <w:widowControl w:val="0"/>
              <w:spacing w:line="240" w:lineRule="atLeast"/>
              <w:ind w:left="-105" w:right="-105"/>
              <w:rPr>
                <w:rFonts w:hint="default" w:ascii="Times New Roman" w:hAnsi="Times New Roman" w:cs="Times New Roman"/>
                <w:color w:val="auto"/>
                <w:sz w:val="20"/>
              </w:rPr>
            </w:pPr>
            <w:r>
              <w:rPr>
                <w:rFonts w:hint="default" w:ascii="Times New Roman" w:hAnsi="Times New Roman" w:cs="Times New Roman"/>
                <w:color w:val="auto"/>
                <w:sz w:val="20"/>
              </w:rPr>
              <w:t>人为造成的环境水温变化应限制在:</w:t>
            </w:r>
          </w:p>
          <w:p>
            <w:pPr>
              <w:pStyle w:val="312"/>
              <w:widowControl w:val="0"/>
              <w:spacing w:line="240" w:lineRule="atLeast"/>
              <w:ind w:left="-105" w:right="-105"/>
              <w:rPr>
                <w:rFonts w:hint="default" w:ascii="Times New Roman" w:hAnsi="Times New Roman" w:cs="Times New Roman"/>
                <w:color w:val="auto"/>
                <w:sz w:val="20"/>
              </w:rPr>
            </w:pPr>
            <w:r>
              <w:rPr>
                <w:rFonts w:hint="default" w:ascii="Times New Roman" w:hAnsi="Times New Roman" w:cs="Times New Roman"/>
                <w:color w:val="auto"/>
                <w:sz w:val="20"/>
              </w:rPr>
              <w:t>周平均最大温升≤1</w:t>
            </w:r>
          </w:p>
          <w:p>
            <w:pPr>
              <w:pStyle w:val="312"/>
              <w:widowControl w:val="0"/>
              <w:spacing w:line="240" w:lineRule="atLeast"/>
              <w:ind w:left="-105" w:right="-105"/>
              <w:rPr>
                <w:rFonts w:hint="default" w:ascii="Times New Roman" w:hAnsi="Times New Roman" w:cs="Times New Roman"/>
                <w:color w:val="auto"/>
                <w:sz w:val="20"/>
              </w:rPr>
            </w:pPr>
            <w:r>
              <w:rPr>
                <w:rFonts w:hint="default" w:ascii="Times New Roman" w:hAnsi="Times New Roman" w:cs="Times New Roman"/>
                <w:color w:val="auto"/>
                <w:sz w:val="20"/>
              </w:rPr>
              <w:t>周平均最大温降≤2</w:t>
            </w:r>
          </w:p>
        </w:tc>
        <w:tc>
          <w:tcPr>
            <w:tcW w:w="977" w:type="pct"/>
            <w:vMerge w:val="restart"/>
            <w:tcBorders>
              <w:top w:val="single" w:color="auto" w:sz="12" w:space="0"/>
            </w:tcBorders>
            <w:noWrap w:val="0"/>
            <w:vAlign w:val="center"/>
          </w:tcPr>
          <w:p>
            <w:pPr>
              <w:widowControl w:val="0"/>
              <w:spacing w:line="260" w:lineRule="exact"/>
              <w:jc w:val="center"/>
              <w:rPr>
                <w:rFonts w:hint="default" w:eastAsia="宋体"/>
                <w:color w:val="auto"/>
                <w:sz w:val="20"/>
                <w:lang w:val="en-US" w:eastAsia="zh-CN"/>
              </w:rPr>
            </w:pPr>
            <w:r>
              <w:rPr>
                <w:rFonts w:hint="eastAsia"/>
                <w:color w:val="auto"/>
                <w:sz w:val="20"/>
                <w:lang w:val="en-US" w:eastAsia="zh-CN"/>
              </w:rPr>
              <w:t>长江（宜都段）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widowControl w:val="0"/>
              <w:ind w:left="-105" w:right="-105"/>
              <w:jc w:val="center"/>
              <w:rPr>
                <w:color w:val="auto"/>
                <w:sz w:val="20"/>
              </w:rPr>
            </w:pPr>
          </w:p>
        </w:tc>
        <w:tc>
          <w:tcPr>
            <w:tcW w:w="898" w:type="pct"/>
            <w:vMerge w:val="continue"/>
            <w:noWrap w:val="0"/>
            <w:vAlign w:val="center"/>
          </w:tcPr>
          <w:p>
            <w:pPr>
              <w:widowControl w:val="0"/>
              <w:spacing w:line="260" w:lineRule="exact"/>
              <w:jc w:val="center"/>
              <w:rPr>
                <w:color w:val="auto"/>
                <w:sz w:val="20"/>
              </w:rPr>
            </w:pPr>
          </w:p>
        </w:tc>
        <w:tc>
          <w:tcPr>
            <w:tcW w:w="987" w:type="pct"/>
            <w:noWrap w:val="0"/>
            <w:vAlign w:val="center"/>
          </w:tcPr>
          <w:p>
            <w:pPr>
              <w:widowControl w:val="0"/>
              <w:adjustRightInd w:val="0"/>
              <w:snapToGrid w:val="0"/>
              <w:jc w:val="center"/>
              <w:rPr>
                <w:color w:val="auto"/>
                <w:sz w:val="20"/>
              </w:rPr>
            </w:pPr>
            <w:r>
              <w:rPr>
                <w:color w:val="auto"/>
                <w:sz w:val="20"/>
              </w:rPr>
              <w:t>pH</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rPr>
            </w:pPr>
            <w:r>
              <w:rPr>
                <w:rFonts w:hint="default" w:ascii="Times New Roman" w:hAnsi="Times New Roman" w:cs="Times New Roman"/>
                <w:color w:val="auto"/>
                <w:sz w:val="20"/>
              </w:rPr>
              <w:t>6～9</w:t>
            </w:r>
          </w:p>
        </w:tc>
        <w:tc>
          <w:tcPr>
            <w:tcW w:w="977" w:type="pct"/>
            <w:vMerge w:val="continue"/>
            <w:noWrap w:val="0"/>
            <w:vAlign w:val="center"/>
          </w:tcPr>
          <w:p>
            <w:pPr>
              <w:widowControl w:val="0"/>
              <w:spacing w:line="260" w:lineRule="exac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widowControl w:val="0"/>
              <w:ind w:left="-105" w:right="-105"/>
              <w:jc w:val="center"/>
              <w:rPr>
                <w:color w:val="auto"/>
                <w:sz w:val="20"/>
              </w:rPr>
            </w:pPr>
          </w:p>
        </w:tc>
        <w:tc>
          <w:tcPr>
            <w:tcW w:w="898" w:type="pct"/>
            <w:vMerge w:val="continue"/>
            <w:noWrap w:val="0"/>
            <w:vAlign w:val="center"/>
          </w:tcPr>
          <w:p>
            <w:pPr>
              <w:widowControl w:val="0"/>
              <w:spacing w:line="260" w:lineRule="exact"/>
              <w:jc w:val="center"/>
              <w:rPr>
                <w:color w:val="auto"/>
                <w:sz w:val="20"/>
              </w:rPr>
            </w:pPr>
          </w:p>
        </w:tc>
        <w:tc>
          <w:tcPr>
            <w:tcW w:w="987" w:type="pct"/>
            <w:noWrap w:val="0"/>
            <w:vAlign w:val="center"/>
          </w:tcPr>
          <w:p>
            <w:pPr>
              <w:widowControl w:val="0"/>
              <w:adjustRightInd w:val="0"/>
              <w:snapToGrid w:val="0"/>
              <w:jc w:val="center"/>
              <w:rPr>
                <w:color w:val="auto"/>
                <w:sz w:val="20"/>
              </w:rPr>
            </w:pPr>
            <w:r>
              <w:rPr>
                <w:rFonts w:hint="eastAsia"/>
                <w:color w:val="auto"/>
                <w:kern w:val="0"/>
                <w:sz w:val="20"/>
              </w:rPr>
              <w:t>溶解氧</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rPr>
            </w:pPr>
            <w:r>
              <w:rPr>
                <w:rFonts w:hint="default" w:ascii="Times New Roman" w:hAnsi="Times New Roman" w:cs="Times New Roman"/>
                <w:color w:val="auto"/>
                <w:sz w:val="20"/>
              </w:rPr>
              <w:t>≥</w:t>
            </w:r>
            <w:r>
              <w:rPr>
                <w:rFonts w:hint="eastAsia" w:ascii="Times New Roman" w:hAnsi="Times New Roman" w:cs="Times New Roman"/>
                <w:color w:val="auto"/>
                <w:sz w:val="20"/>
                <w:lang w:val="en-US" w:eastAsia="zh-CN"/>
              </w:rPr>
              <w:t>6</w:t>
            </w:r>
          </w:p>
        </w:tc>
        <w:tc>
          <w:tcPr>
            <w:tcW w:w="977" w:type="pct"/>
            <w:vMerge w:val="continue"/>
            <w:noWrap w:val="0"/>
            <w:vAlign w:val="center"/>
          </w:tcPr>
          <w:p>
            <w:pPr>
              <w:widowControl w:val="0"/>
              <w:spacing w:line="260" w:lineRule="exact"/>
              <w:jc w:val="center"/>
              <w:rPr>
                <w:rFonts w:hint="eastAsia"/>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adjustRightInd w:val="0"/>
              <w:snapToGrid w:val="0"/>
              <w:jc w:val="center"/>
              <w:rPr>
                <w:color w:val="auto"/>
                <w:sz w:val="20"/>
              </w:rPr>
            </w:pPr>
            <w:r>
              <w:rPr>
                <w:color w:val="auto"/>
                <w:sz w:val="20"/>
              </w:rPr>
              <w:t>COD</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w:t>
            </w:r>
            <w:r>
              <w:rPr>
                <w:rFonts w:hint="default" w:ascii="Times New Roman" w:hAnsi="Times New Roman" w:cs="Times New Roman"/>
                <w:color w:val="auto"/>
                <w:sz w:val="20"/>
                <w:lang w:val="en-US" w:eastAsia="zh-CN"/>
              </w:rPr>
              <w:t>15</w:t>
            </w:r>
          </w:p>
        </w:tc>
        <w:tc>
          <w:tcPr>
            <w:tcW w:w="977" w:type="pct"/>
            <w:vMerge w:val="continue"/>
            <w:noWrap w:val="0"/>
            <w:vAlign w:val="center"/>
          </w:tcPr>
          <w:p>
            <w:pPr>
              <w:widowControl w:val="0"/>
              <w:spacing w:line="260" w:lineRule="exac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adjustRightInd w:val="0"/>
              <w:snapToGrid w:val="0"/>
              <w:jc w:val="center"/>
              <w:rPr>
                <w:color w:val="auto"/>
                <w:sz w:val="20"/>
              </w:rPr>
            </w:pPr>
            <w:r>
              <w:rPr>
                <w:color w:val="auto"/>
                <w:sz w:val="20"/>
              </w:rPr>
              <w:t>BOD</w:t>
            </w:r>
            <w:r>
              <w:rPr>
                <w:color w:val="auto"/>
                <w:sz w:val="20"/>
                <w:vertAlign w:val="subscript"/>
              </w:rPr>
              <w:t>5</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w:t>
            </w:r>
            <w:r>
              <w:rPr>
                <w:rFonts w:hint="default" w:ascii="Times New Roman" w:hAnsi="Times New Roman" w:cs="Times New Roman"/>
                <w:color w:val="auto"/>
                <w:sz w:val="20"/>
                <w:lang w:val="en-US" w:eastAsia="zh-CN"/>
              </w:rPr>
              <w:t>3</w:t>
            </w:r>
          </w:p>
        </w:tc>
        <w:tc>
          <w:tcPr>
            <w:tcW w:w="977" w:type="pct"/>
            <w:vMerge w:val="continue"/>
            <w:noWrap w:val="0"/>
            <w:vAlign w:val="center"/>
          </w:tcPr>
          <w:p>
            <w:pPr>
              <w:widowControl w:val="0"/>
              <w:spacing w:line="260" w:lineRule="exac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adjustRightInd w:val="0"/>
              <w:snapToGrid w:val="0"/>
              <w:jc w:val="center"/>
              <w:rPr>
                <w:color w:val="auto"/>
                <w:sz w:val="20"/>
              </w:rPr>
            </w:pPr>
            <w:r>
              <w:rPr>
                <w:color w:val="auto"/>
                <w:sz w:val="20"/>
              </w:rPr>
              <w:t>氨氮</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w:t>
            </w:r>
            <w:r>
              <w:rPr>
                <w:rFonts w:hint="default" w:ascii="Times New Roman" w:hAnsi="Times New Roman" w:cs="Times New Roman"/>
                <w:color w:val="auto"/>
                <w:sz w:val="20"/>
                <w:lang w:val="en-US" w:eastAsia="zh-CN"/>
              </w:rPr>
              <w:t>0.5</w:t>
            </w:r>
          </w:p>
        </w:tc>
        <w:tc>
          <w:tcPr>
            <w:tcW w:w="977" w:type="pct"/>
            <w:vMerge w:val="continue"/>
            <w:noWrap w:val="0"/>
            <w:vAlign w:val="center"/>
          </w:tcPr>
          <w:p>
            <w:pPr>
              <w:widowControl w:val="0"/>
              <w:spacing w:line="260" w:lineRule="exac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adjustRightInd w:val="0"/>
              <w:snapToGrid w:val="0"/>
              <w:jc w:val="center"/>
              <w:rPr>
                <w:color w:val="auto"/>
                <w:sz w:val="20"/>
              </w:rPr>
            </w:pPr>
            <w:r>
              <w:rPr>
                <w:color w:val="auto"/>
                <w:sz w:val="20"/>
              </w:rPr>
              <w:t>总磷</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w:t>
            </w:r>
            <w:r>
              <w:rPr>
                <w:rFonts w:hint="default" w:ascii="Times New Roman" w:hAnsi="Times New Roman" w:cs="Times New Roman"/>
                <w:color w:val="auto"/>
                <w:sz w:val="20"/>
                <w:lang w:val="en-US" w:eastAsia="zh-CN"/>
              </w:rPr>
              <w:t>0.1</w:t>
            </w:r>
          </w:p>
        </w:tc>
        <w:tc>
          <w:tcPr>
            <w:tcW w:w="977" w:type="pct"/>
            <w:vMerge w:val="continue"/>
            <w:noWrap w:val="0"/>
            <w:vAlign w:val="center"/>
          </w:tcPr>
          <w:p>
            <w:pPr>
              <w:widowControl w:val="0"/>
              <w:spacing w:line="260" w:lineRule="exac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adjustRightInd w:val="0"/>
              <w:snapToGrid w:val="0"/>
              <w:jc w:val="center"/>
              <w:rPr>
                <w:color w:val="auto"/>
                <w:sz w:val="20"/>
              </w:rPr>
            </w:pPr>
            <w:r>
              <w:rPr>
                <w:rFonts w:hint="eastAsia"/>
                <w:color w:val="auto"/>
                <w:kern w:val="0"/>
                <w:sz w:val="20"/>
              </w:rPr>
              <w:t>高锰酸盐指数</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w:t>
            </w:r>
            <w:r>
              <w:rPr>
                <w:rFonts w:hint="default" w:ascii="Times New Roman" w:hAnsi="Times New Roman" w:cs="Times New Roman"/>
                <w:color w:val="auto"/>
                <w:sz w:val="20"/>
                <w:lang w:val="en-US" w:eastAsia="zh-CN"/>
              </w:rPr>
              <w:t>4</w:t>
            </w:r>
          </w:p>
        </w:tc>
        <w:tc>
          <w:tcPr>
            <w:tcW w:w="977" w:type="pct"/>
            <w:vMerge w:val="continue"/>
            <w:noWrap w:val="0"/>
            <w:vAlign w:val="center"/>
          </w:tcPr>
          <w:p>
            <w:pPr>
              <w:pStyle w:val="312"/>
              <w:widowControl w:val="0"/>
              <w:ind w:left="-105" w:right="-105"/>
              <w:rPr>
                <w:rFonts w:ascii="Times New Roman" w:hAnsi="Times New Roman"/>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noWrap w:val="0"/>
            <w:vAlign w:val="center"/>
          </w:tcPr>
          <w:p>
            <w:pPr>
              <w:pStyle w:val="312"/>
              <w:widowControl w:val="0"/>
              <w:ind w:left="-105" w:right="-105"/>
              <w:rPr>
                <w:rFonts w:ascii="Times New Roman" w:hAnsi="Times New Roman"/>
                <w:color w:val="auto"/>
                <w:sz w:val="20"/>
              </w:rPr>
            </w:pPr>
          </w:p>
        </w:tc>
        <w:tc>
          <w:tcPr>
            <w:tcW w:w="898" w:type="pct"/>
            <w:vMerge w:val="continue"/>
            <w:noWrap w:val="0"/>
            <w:vAlign w:val="center"/>
          </w:tcPr>
          <w:p>
            <w:pPr>
              <w:pStyle w:val="312"/>
              <w:widowControl w:val="0"/>
              <w:ind w:left="-105" w:right="-105"/>
              <w:rPr>
                <w:rFonts w:ascii="Times New Roman" w:hAnsi="Times New Roman"/>
                <w:color w:val="auto"/>
                <w:sz w:val="20"/>
              </w:rPr>
            </w:pPr>
          </w:p>
        </w:tc>
        <w:tc>
          <w:tcPr>
            <w:tcW w:w="987" w:type="pct"/>
            <w:noWrap w:val="0"/>
            <w:vAlign w:val="center"/>
          </w:tcPr>
          <w:p>
            <w:pPr>
              <w:widowControl w:val="0"/>
              <w:jc w:val="center"/>
              <w:rPr>
                <w:color w:val="auto"/>
                <w:kern w:val="0"/>
                <w:sz w:val="20"/>
              </w:rPr>
            </w:pPr>
            <w:r>
              <w:rPr>
                <w:color w:val="auto"/>
                <w:kern w:val="0"/>
                <w:sz w:val="20"/>
              </w:rPr>
              <w:t>石油类</w:t>
            </w:r>
          </w:p>
        </w:tc>
        <w:tc>
          <w:tcPr>
            <w:tcW w:w="1322" w:type="pct"/>
            <w:shd w:val="clear" w:color="auto" w:fill="FABF8F" w:themeFill="accent6" w:themeFillTint="99"/>
            <w:noWrap w:val="0"/>
            <w:vAlign w:val="center"/>
          </w:tcPr>
          <w:p>
            <w:pPr>
              <w:widowControl w:val="0"/>
              <w:ind w:left="-105" w:right="-105"/>
              <w:jc w:val="center"/>
              <w:rPr>
                <w:rFonts w:hint="default" w:ascii="Times New Roman" w:hAnsi="Times New Roman" w:cs="Times New Roman"/>
                <w:color w:val="auto"/>
                <w:sz w:val="20"/>
                <w:lang w:val="en-US" w:eastAsia="zh-CN"/>
              </w:rPr>
            </w:pPr>
            <w:r>
              <w:rPr>
                <w:rFonts w:hint="default" w:ascii="Times New Roman" w:hAnsi="Times New Roman" w:cs="Times New Roman"/>
                <w:color w:val="auto"/>
                <w:sz w:val="20"/>
              </w:rPr>
              <w:t>≤0.</w:t>
            </w:r>
            <w:r>
              <w:rPr>
                <w:rFonts w:hint="default" w:ascii="Times New Roman" w:hAnsi="Times New Roman" w:cs="Times New Roman"/>
                <w:color w:val="auto"/>
                <w:sz w:val="20"/>
                <w:lang w:val="en-US" w:eastAsia="zh-CN"/>
              </w:rPr>
              <w:t>05</w:t>
            </w:r>
          </w:p>
        </w:tc>
        <w:tc>
          <w:tcPr>
            <w:tcW w:w="977" w:type="pct"/>
            <w:vMerge w:val="continue"/>
            <w:noWrap w:val="0"/>
            <w:vAlign w:val="center"/>
          </w:tcPr>
          <w:p>
            <w:pPr>
              <w:pStyle w:val="312"/>
              <w:widowControl w:val="0"/>
              <w:ind w:left="-105" w:right="-105"/>
              <w:rPr>
                <w:rFonts w:ascii="Times New Roman" w:hAnsi="Times New Roman"/>
                <w:color w:val="auto"/>
                <w:sz w:val="20"/>
              </w:rPr>
            </w:pPr>
          </w:p>
        </w:tc>
      </w:tr>
    </w:tbl>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  </w:t>
      </w:r>
      <w:r>
        <w:rPr>
          <w:rFonts w:hint="eastAsia" w:eastAsia="黑体"/>
          <w:b/>
          <w:color w:val="auto"/>
          <w:szCs w:val="21"/>
        </w:rPr>
        <w:t>《船舶水污染物排放控制标准》（GB3552-2018）</w:t>
      </w:r>
      <w:r>
        <w:rPr>
          <w:rFonts w:hint="eastAsia" w:eastAsia="黑体"/>
          <w:b/>
          <w:color w:val="auto"/>
          <w:szCs w:val="21"/>
          <w:lang w:val="en-US" w:eastAsia="zh-CN"/>
        </w:rPr>
        <w:t xml:space="preserve">    单位：mg/L</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10"/>
        <w:gridCol w:w="1004"/>
        <w:gridCol w:w="975"/>
        <w:gridCol w:w="52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9" w:type="pct"/>
            <w:tcBorders>
              <w:top w:val="single" w:color="auto" w:sz="12" w:space="0"/>
              <w:bottom w:val="single" w:color="auto" w:sz="12" w:space="0"/>
            </w:tcBorders>
            <w:noWrap w:val="0"/>
            <w:vAlign w:val="center"/>
          </w:tcPr>
          <w:p>
            <w:pPr>
              <w:pStyle w:val="312"/>
              <w:widowControl w:val="0"/>
              <w:spacing w:line="240" w:lineRule="auto"/>
              <w:ind w:left="0" w:right="0"/>
              <w:rPr>
                <w:rFonts w:ascii="Times New Roman" w:hAnsi="Times New Roman"/>
                <w:color w:val="auto"/>
                <w:sz w:val="20"/>
              </w:rPr>
            </w:pPr>
            <w:r>
              <w:rPr>
                <w:rFonts w:ascii="Times New Roman" w:hAnsi="Times New Roman"/>
                <w:color w:val="auto"/>
                <w:sz w:val="20"/>
              </w:rPr>
              <w:t>标准号</w:t>
            </w:r>
          </w:p>
        </w:tc>
        <w:tc>
          <w:tcPr>
            <w:tcW w:w="589" w:type="pct"/>
            <w:tcBorders>
              <w:top w:val="single" w:color="auto" w:sz="12" w:space="0"/>
              <w:bottom w:val="single" w:color="auto" w:sz="12" w:space="0"/>
            </w:tcBorders>
            <w:noWrap w:val="0"/>
            <w:vAlign w:val="center"/>
          </w:tcPr>
          <w:p>
            <w:pPr>
              <w:pStyle w:val="312"/>
              <w:widowControl w:val="0"/>
              <w:spacing w:line="240" w:lineRule="auto"/>
              <w:ind w:left="0" w:right="0"/>
              <w:rPr>
                <w:rFonts w:ascii="Times New Roman" w:hAnsi="Times New Roman"/>
                <w:color w:val="auto"/>
                <w:sz w:val="20"/>
              </w:rPr>
            </w:pPr>
            <w:r>
              <w:rPr>
                <w:rFonts w:ascii="Times New Roman" w:hAnsi="Times New Roman"/>
                <w:color w:val="auto"/>
                <w:sz w:val="20"/>
              </w:rPr>
              <w:t>排放标准</w:t>
            </w:r>
          </w:p>
        </w:tc>
        <w:tc>
          <w:tcPr>
            <w:tcW w:w="572" w:type="pct"/>
            <w:tcBorders>
              <w:top w:val="single" w:color="auto" w:sz="12" w:space="0"/>
              <w:bottom w:val="single" w:color="auto" w:sz="12" w:space="0"/>
            </w:tcBorders>
            <w:noWrap w:val="0"/>
            <w:vAlign w:val="center"/>
          </w:tcPr>
          <w:p>
            <w:pPr>
              <w:pStyle w:val="312"/>
              <w:widowControl w:val="0"/>
              <w:spacing w:line="240" w:lineRule="auto"/>
              <w:ind w:left="0" w:right="0"/>
              <w:rPr>
                <w:rFonts w:hint="eastAsia" w:ascii="Times New Roman" w:hAnsi="Times New Roman" w:eastAsia="宋体"/>
                <w:color w:val="auto"/>
                <w:sz w:val="20"/>
                <w:lang w:val="en-US" w:eastAsia="zh-CN"/>
              </w:rPr>
            </w:pPr>
            <w:r>
              <w:rPr>
                <w:rFonts w:ascii="Times New Roman" w:hAnsi="Times New Roman"/>
                <w:color w:val="auto"/>
                <w:sz w:val="20"/>
              </w:rPr>
              <w:t>污染</w:t>
            </w:r>
            <w:r>
              <w:rPr>
                <w:rFonts w:hint="eastAsia" w:ascii="Times New Roman" w:hAnsi="Times New Roman"/>
                <w:color w:val="auto"/>
                <w:sz w:val="20"/>
                <w:lang w:val="en-US" w:eastAsia="zh-CN"/>
              </w:rPr>
              <w:t>物</w:t>
            </w:r>
          </w:p>
        </w:tc>
        <w:tc>
          <w:tcPr>
            <w:tcW w:w="3067" w:type="pct"/>
            <w:tcBorders>
              <w:top w:val="single" w:color="auto" w:sz="12" w:space="0"/>
              <w:bottom w:val="single" w:color="auto" w:sz="12" w:space="0"/>
            </w:tcBorders>
            <w:noWrap w:val="0"/>
            <w:vAlign w:val="center"/>
          </w:tcPr>
          <w:p>
            <w:pPr>
              <w:pStyle w:val="312"/>
              <w:widowControl w:val="0"/>
              <w:spacing w:line="240" w:lineRule="auto"/>
              <w:ind w:left="0" w:right="0"/>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9" w:type="pct"/>
            <w:vMerge w:val="restart"/>
            <w:tcBorders>
              <w:top w:val="single" w:color="auto" w:sz="12" w:space="0"/>
            </w:tcBorders>
            <w:noWrap w:val="0"/>
            <w:vAlign w:val="center"/>
          </w:tcPr>
          <w:p>
            <w:pPr>
              <w:pStyle w:val="312"/>
              <w:widowControl w:val="0"/>
              <w:spacing w:line="240" w:lineRule="auto"/>
              <w:ind w:left="0" w:right="0"/>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GB3552-2018</w:t>
            </w:r>
          </w:p>
        </w:tc>
        <w:tc>
          <w:tcPr>
            <w:tcW w:w="589" w:type="pct"/>
            <w:vMerge w:val="restart"/>
            <w:tcBorders>
              <w:top w:val="single" w:color="auto" w:sz="12" w:space="0"/>
            </w:tcBorders>
            <w:noWrap w:val="0"/>
            <w:vAlign w:val="center"/>
          </w:tcPr>
          <w:p>
            <w:pPr>
              <w:pStyle w:val="312"/>
              <w:widowControl w:val="0"/>
              <w:spacing w:line="240" w:lineRule="auto"/>
              <w:ind w:left="0" w:right="0"/>
              <w:rPr>
                <w:rFonts w:ascii="Times New Roman" w:hAnsi="Times New Roman"/>
                <w:color w:val="auto"/>
                <w:sz w:val="20"/>
              </w:rPr>
            </w:pPr>
            <w:r>
              <w:rPr>
                <w:rFonts w:hint="eastAsia" w:ascii="Times New Roman" w:hAnsi="Times New Roman"/>
                <w:color w:val="auto"/>
                <w:sz w:val="20"/>
                <w:lang w:val="en-US" w:eastAsia="zh-CN"/>
              </w:rPr>
              <w:t>船舶水污染物排放控制标准</w:t>
            </w:r>
          </w:p>
        </w:tc>
        <w:tc>
          <w:tcPr>
            <w:tcW w:w="572" w:type="pct"/>
            <w:tcBorders>
              <w:top w:val="single" w:color="auto" w:sz="12" w:space="0"/>
            </w:tcBorders>
            <w:noWrap w:val="0"/>
            <w:vAlign w:val="center"/>
          </w:tcPr>
          <w:p>
            <w:pPr>
              <w:pStyle w:val="312"/>
              <w:widowControl w:val="0"/>
              <w:spacing w:line="240" w:lineRule="auto"/>
              <w:ind w:left="0" w:leftChars="0" w:right="0" w:rightChars="0"/>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船舶含油污水</w:t>
            </w:r>
          </w:p>
        </w:tc>
        <w:tc>
          <w:tcPr>
            <w:tcW w:w="3067" w:type="pct"/>
            <w:tcBorders>
              <w:top w:val="single" w:color="auto" w:sz="12" w:space="0"/>
            </w:tcBorders>
            <w:noWrap w:val="0"/>
            <w:vAlign w:val="center"/>
          </w:tcPr>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内河，机器处所油污水，2021年1月1日之前建造的船舶，执行石油类最高容许浓度≤15mg/L或收集并排入接收设施；</w:t>
            </w:r>
          </w:p>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2021年1月1日及以后建造的船舶，收集并排入接收设施。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9" w:type="pct"/>
            <w:vMerge w:val="continue"/>
            <w:noWrap w:val="0"/>
            <w:vAlign w:val="center"/>
          </w:tcPr>
          <w:p>
            <w:pPr>
              <w:pStyle w:val="312"/>
              <w:widowControl w:val="0"/>
              <w:spacing w:line="240" w:lineRule="auto"/>
              <w:ind w:left="0" w:right="0"/>
              <w:rPr>
                <w:rFonts w:ascii="Times New Roman" w:hAnsi="Times New Roman"/>
                <w:color w:val="auto"/>
                <w:sz w:val="20"/>
              </w:rPr>
            </w:pPr>
          </w:p>
        </w:tc>
        <w:tc>
          <w:tcPr>
            <w:tcW w:w="589" w:type="pct"/>
            <w:vMerge w:val="continue"/>
            <w:noWrap w:val="0"/>
            <w:vAlign w:val="center"/>
          </w:tcPr>
          <w:p>
            <w:pPr>
              <w:pStyle w:val="312"/>
              <w:widowControl w:val="0"/>
              <w:spacing w:line="240" w:lineRule="auto"/>
              <w:ind w:left="0" w:right="0"/>
              <w:rPr>
                <w:rFonts w:ascii="Times New Roman" w:hAnsi="Times New Roman"/>
                <w:color w:val="auto"/>
                <w:sz w:val="20"/>
              </w:rPr>
            </w:pPr>
          </w:p>
        </w:tc>
        <w:tc>
          <w:tcPr>
            <w:tcW w:w="572" w:type="pct"/>
            <w:noWrap w:val="0"/>
            <w:vAlign w:val="center"/>
          </w:tcPr>
          <w:p>
            <w:pPr>
              <w:pStyle w:val="312"/>
              <w:widowControl w:val="0"/>
              <w:spacing w:line="240" w:lineRule="auto"/>
              <w:ind w:left="0" w:leftChars="0" w:right="0" w:rightChars="0"/>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船舶生活污水</w:t>
            </w:r>
          </w:p>
        </w:tc>
        <w:tc>
          <w:tcPr>
            <w:tcW w:w="3067" w:type="pct"/>
            <w:noWrap w:val="0"/>
            <w:vAlign w:val="center"/>
          </w:tcPr>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内河，利用船载收集装置收集，排入接收设施。</w:t>
            </w:r>
          </w:p>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或利用船载生活污水处理装置处理，达到如下标准排放：</w:t>
            </w:r>
          </w:p>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2012年1月1日以前安装（含更换）生活污水处理装置的船舶，执行BOD</w:t>
            </w:r>
            <w:r>
              <w:rPr>
                <w:rFonts w:hint="eastAsia" w:ascii="Times New Roman" w:hAnsi="Times New Roman" w:eastAsia="宋体" w:cs="Times New Roman"/>
                <w:color w:val="auto"/>
                <w:kern w:val="2"/>
                <w:sz w:val="20"/>
                <w:vertAlign w:val="subscript"/>
                <w:lang w:val="en-US" w:eastAsia="zh-CN" w:bidi="ar-SA"/>
              </w:rPr>
              <w:t>5</w:t>
            </w:r>
            <w:r>
              <w:rPr>
                <w:rFonts w:hint="eastAsia" w:ascii="Times New Roman" w:hAnsi="Times New Roman" w:eastAsia="宋体" w:cs="Times New Roman"/>
                <w:color w:val="auto"/>
                <w:kern w:val="2"/>
                <w:sz w:val="20"/>
                <w:lang w:val="en-US" w:eastAsia="zh-CN" w:bidi="ar-SA"/>
              </w:rPr>
              <w:t>最高容许浓度≤50mg/L；</w:t>
            </w:r>
          </w:p>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2012年1月1日及以后安装（含更换）生活污水处理装置的船舶，执行BOD</w:t>
            </w:r>
            <w:r>
              <w:rPr>
                <w:rFonts w:hint="eastAsia" w:ascii="Times New Roman" w:hAnsi="Times New Roman" w:eastAsia="宋体" w:cs="Times New Roman"/>
                <w:color w:val="auto"/>
                <w:kern w:val="2"/>
                <w:sz w:val="20"/>
                <w:vertAlign w:val="subscript"/>
                <w:lang w:val="en-US" w:eastAsia="zh-CN" w:bidi="ar-SA"/>
              </w:rPr>
              <w:t>5</w:t>
            </w:r>
            <w:r>
              <w:rPr>
                <w:rFonts w:hint="eastAsia" w:ascii="Times New Roman" w:hAnsi="Times New Roman" w:eastAsia="宋体" w:cs="Times New Roman"/>
                <w:color w:val="auto"/>
                <w:kern w:val="2"/>
                <w:sz w:val="20"/>
                <w:lang w:val="en-US" w:eastAsia="zh-CN" w:bidi="ar-SA"/>
              </w:rPr>
              <w:t>最高容许浓度≤25mg/L、CODCR最高容许浓度≤125mg/L。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69" w:type="pct"/>
            <w:vMerge w:val="continue"/>
            <w:noWrap w:val="0"/>
            <w:vAlign w:val="center"/>
          </w:tcPr>
          <w:p>
            <w:pPr>
              <w:pStyle w:val="312"/>
              <w:widowControl w:val="0"/>
              <w:spacing w:line="240" w:lineRule="auto"/>
              <w:ind w:left="0" w:right="0"/>
              <w:rPr>
                <w:rFonts w:ascii="Times New Roman" w:hAnsi="Times New Roman"/>
                <w:color w:val="auto"/>
                <w:sz w:val="20"/>
              </w:rPr>
            </w:pPr>
          </w:p>
        </w:tc>
        <w:tc>
          <w:tcPr>
            <w:tcW w:w="589" w:type="pct"/>
            <w:vMerge w:val="continue"/>
            <w:noWrap w:val="0"/>
            <w:vAlign w:val="center"/>
          </w:tcPr>
          <w:p>
            <w:pPr>
              <w:pStyle w:val="312"/>
              <w:widowControl w:val="0"/>
              <w:spacing w:line="240" w:lineRule="auto"/>
              <w:ind w:left="0" w:right="0"/>
              <w:rPr>
                <w:rFonts w:ascii="Times New Roman" w:hAnsi="Times New Roman"/>
                <w:color w:val="auto"/>
                <w:sz w:val="20"/>
              </w:rPr>
            </w:pPr>
          </w:p>
        </w:tc>
        <w:tc>
          <w:tcPr>
            <w:tcW w:w="572" w:type="pct"/>
            <w:noWrap w:val="0"/>
            <w:vAlign w:val="center"/>
          </w:tcPr>
          <w:p>
            <w:pPr>
              <w:pStyle w:val="312"/>
              <w:widowControl w:val="0"/>
              <w:spacing w:line="240" w:lineRule="auto"/>
              <w:ind w:left="0" w:leftChars="0" w:right="0" w:rightChars="0"/>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船舶垃圾</w:t>
            </w:r>
          </w:p>
        </w:tc>
        <w:tc>
          <w:tcPr>
            <w:tcW w:w="3067" w:type="pct"/>
            <w:noWrap w:val="0"/>
            <w:vAlign w:val="center"/>
          </w:tcPr>
          <w:p>
            <w:pPr>
              <w:pStyle w:val="312"/>
              <w:widowControl w:val="0"/>
              <w:spacing w:line="240" w:lineRule="auto"/>
              <w:ind w:left="0" w:leftChars="0" w:right="0" w:rightChars="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内河禁止倾倒船舶垃圾。</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1.</w:t>
      </w:r>
      <w:r>
        <w:rPr>
          <w:rFonts w:hint="eastAsia" w:eastAsia="黑体"/>
          <w:color w:val="auto"/>
          <w:szCs w:val="24"/>
          <w:lang w:val="en-US" w:eastAsia="zh-CN"/>
        </w:rPr>
        <w:t>3.2.3声环境</w:t>
      </w:r>
    </w:p>
    <w:p>
      <w:pPr>
        <w:widowControl w:val="0"/>
        <w:spacing w:line="360" w:lineRule="auto"/>
        <w:ind w:firstLine="480" w:firstLineChars="200"/>
        <w:rPr>
          <w:rFonts w:hint="eastAsia"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）根据宜昌市人民政府办公室《关于同意宜昌市地表水、环境空气、声环境功能区类别划分方案（修编）的批复》（宜府办函</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lang w:eastAsia="zh-CN"/>
        </w:rPr>
        <w:t>2013</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lang w:eastAsia="zh-CN"/>
        </w:rPr>
        <w:t>46号）、《声环境功能区划分技术规范》（GB/T15190-2014）要求，临航道及红东公路的建筑以高于3层楼房以上（含3层）建筑为主，沿线区域第一排建筑物面向交通干线一侧至交通干线边界线</w:t>
      </w:r>
      <w:r>
        <w:rPr>
          <w:rFonts w:hint="eastAsia" w:ascii="Times New Roman" w:hAnsi="Times New Roman" w:eastAsia="仿宋_GB2312" w:cs="Times New Roman"/>
          <w:color w:val="auto"/>
          <w:sz w:val="24"/>
          <w:highlight w:val="none"/>
          <w:lang w:eastAsia="zh-CN"/>
        </w:rPr>
        <w:t>的区域采用4a类标准；第一排建筑背对交通干线一侧、第二排及以后区域采用2类标准。</w:t>
      </w:r>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highlight w:val="none"/>
          <w:lang w:val="en-US" w:eastAsia="zh-CN"/>
        </w:rPr>
        <w:t>（2）施工期执行《建筑施工场界</w:t>
      </w:r>
      <w:r>
        <w:rPr>
          <w:rFonts w:hint="eastAsia" w:ascii="Times New Roman" w:hAnsi="Times New Roman" w:eastAsia="仿宋_GB2312" w:cs="Times New Roman"/>
          <w:color w:val="auto"/>
          <w:sz w:val="24"/>
          <w:lang w:val="en-US" w:eastAsia="zh-CN"/>
        </w:rPr>
        <w:t>环境噪声排放标准》（GB12523-2011），</w:t>
      </w:r>
      <w:r>
        <w:rPr>
          <w:rFonts w:hint="eastAsia" w:eastAsia="仿宋_GB2312" w:cs="Times New Roman"/>
          <w:color w:val="auto"/>
          <w:sz w:val="24"/>
          <w:lang w:val="en-US" w:eastAsia="zh-CN"/>
        </w:rPr>
        <w:t>运营期</w:t>
      </w:r>
      <w:r>
        <w:rPr>
          <w:rFonts w:hint="eastAsia" w:ascii="Times New Roman" w:hAnsi="Times New Roman" w:eastAsia="仿宋_GB2312" w:cs="Times New Roman"/>
          <w:color w:val="auto"/>
          <w:sz w:val="24"/>
          <w:lang w:val="en-US" w:eastAsia="zh-CN"/>
        </w:rPr>
        <w:t>东、西侧</w:t>
      </w:r>
      <w:r>
        <w:rPr>
          <w:rFonts w:hint="eastAsia" w:ascii="Times New Roman" w:hAnsi="Times New Roman" w:eastAsia="仿宋_GB2312" w:cs="Times New Roman"/>
          <w:color w:val="auto"/>
          <w:sz w:val="24"/>
          <w:lang w:eastAsia="zh-CN"/>
        </w:rPr>
        <w:t>厂界噪声执行《工业企业厂界环境噪声排放标准》（GB12348-2008）</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lang w:eastAsia="zh-CN"/>
        </w:rPr>
        <w:t>类标准，</w:t>
      </w:r>
      <w:r>
        <w:rPr>
          <w:rFonts w:hint="eastAsia" w:eastAsia="仿宋_GB2312" w:cs="Times New Roman"/>
          <w:color w:val="auto"/>
          <w:sz w:val="24"/>
          <w:lang w:val="en-US" w:eastAsia="zh-CN"/>
        </w:rPr>
        <w:t>南、北侧厂界临长江航道25m范围内</w:t>
      </w:r>
      <w:r>
        <w:rPr>
          <w:rFonts w:hint="eastAsia" w:ascii="Times New Roman" w:hAnsi="Times New Roman" w:eastAsia="仿宋_GB2312" w:cs="Times New Roman"/>
          <w:color w:val="auto"/>
          <w:sz w:val="24"/>
          <w:lang w:eastAsia="zh-CN"/>
        </w:rPr>
        <w:t>，执行4类标准。</w:t>
      </w:r>
      <w:r>
        <w:rPr>
          <w:rFonts w:hint="eastAsia" w:ascii="Times New Roman" w:hAnsi="Times New Roman" w:eastAsia="仿宋_GB2312" w:cs="Times New Roman"/>
          <w:color w:val="auto"/>
          <w:sz w:val="24"/>
          <w:lang w:val="en-US" w:eastAsia="zh-CN"/>
        </w:rPr>
        <w:t>标准值见表1.</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lang w:val="en-US" w:eastAsia="zh-CN"/>
        </w:rPr>
        <w:t>-</w:t>
      </w:r>
      <w:r>
        <w:rPr>
          <w:rFonts w:hint="eastAsia" w:eastAsia="仿宋_GB2312" w:cs="Times New Roman"/>
          <w:color w:val="auto"/>
          <w:sz w:val="24"/>
          <w:lang w:val="en-US" w:eastAsia="zh-CN"/>
        </w:rPr>
        <w:t>5，表1.3-6</w:t>
      </w:r>
      <w:r>
        <w:rPr>
          <w:rFonts w:hint="eastAsia" w:ascii="Times New Roman" w:hAnsi="Times New Roman" w:eastAsia="仿宋_GB2312" w:cs="Times New Roman"/>
          <w:color w:val="auto"/>
          <w:sz w:val="24"/>
          <w:lang w:val="en-US" w:eastAsia="zh-CN"/>
        </w:rPr>
        <w:t>。</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5</w:t>
      </w:r>
      <w:r>
        <w:rPr>
          <w:rFonts w:eastAsia="黑体"/>
          <w:b/>
          <w:color w:val="auto"/>
          <w:szCs w:val="21"/>
        </w:rPr>
        <w:t xml:space="preserve">  区域环境噪声标准值（dB(A)）</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010"/>
        <w:gridCol w:w="2606"/>
        <w:gridCol w:w="1768"/>
        <w:gridCol w:w="1090"/>
        <w:gridCol w:w="103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80" w:type="pct"/>
            <w:tcBorders>
              <w:top w:val="single" w:color="auto" w:sz="12" w:space="0"/>
              <w:bottom w:val="single" w:color="auto" w:sz="12" w:space="0"/>
            </w:tcBorders>
            <w:noWrap w:val="0"/>
            <w:vAlign w:val="center"/>
          </w:tcPr>
          <w:p>
            <w:pPr>
              <w:pStyle w:val="312"/>
              <w:widowControl w:val="0"/>
              <w:spacing w:line="240" w:lineRule="auto"/>
              <w:ind w:left="-105" w:right="-105"/>
              <w:rPr>
                <w:rFonts w:ascii="Times New Roman" w:hAnsi="Times New Roman"/>
                <w:color w:val="auto"/>
                <w:sz w:val="20"/>
              </w:rPr>
            </w:pPr>
            <w:r>
              <w:rPr>
                <w:rFonts w:ascii="Times New Roman" w:hAnsi="Times New Roman"/>
                <w:color w:val="auto"/>
                <w:sz w:val="20"/>
              </w:rPr>
              <w:t>标准号</w:t>
            </w:r>
          </w:p>
        </w:tc>
        <w:tc>
          <w:tcPr>
            <w:tcW w:w="1530" w:type="pct"/>
            <w:tcBorders>
              <w:top w:val="single" w:color="auto" w:sz="12" w:space="0"/>
              <w:bottom w:val="single" w:color="auto" w:sz="12" w:space="0"/>
            </w:tcBorders>
            <w:noWrap w:val="0"/>
            <w:vAlign w:val="center"/>
          </w:tcPr>
          <w:p>
            <w:pPr>
              <w:pStyle w:val="312"/>
              <w:widowControl w:val="0"/>
              <w:spacing w:line="240" w:lineRule="auto"/>
              <w:ind w:left="-105" w:right="-105"/>
              <w:rPr>
                <w:rFonts w:ascii="Times New Roman" w:hAnsi="Times New Roman"/>
                <w:color w:val="auto"/>
                <w:sz w:val="20"/>
              </w:rPr>
            </w:pPr>
            <w:r>
              <w:rPr>
                <w:rFonts w:ascii="Times New Roman" w:hAnsi="Times New Roman"/>
                <w:color w:val="auto"/>
                <w:sz w:val="20"/>
              </w:rPr>
              <w:t>标准名称</w:t>
            </w:r>
          </w:p>
        </w:tc>
        <w:tc>
          <w:tcPr>
            <w:tcW w:w="1038" w:type="pct"/>
            <w:tcBorders>
              <w:top w:val="single" w:color="auto" w:sz="12" w:space="0"/>
              <w:bottom w:val="single" w:color="auto" w:sz="12" w:space="0"/>
            </w:tcBorders>
            <w:noWrap w:val="0"/>
            <w:vAlign w:val="center"/>
          </w:tcPr>
          <w:p>
            <w:pPr>
              <w:pStyle w:val="312"/>
              <w:widowControl w:val="0"/>
              <w:spacing w:line="240" w:lineRule="auto"/>
              <w:ind w:left="-105" w:right="-105"/>
              <w:rPr>
                <w:rFonts w:ascii="Times New Roman" w:hAnsi="Times New Roman"/>
                <w:color w:val="auto"/>
                <w:sz w:val="20"/>
              </w:rPr>
            </w:pPr>
            <w:r>
              <w:rPr>
                <w:rFonts w:ascii="Times New Roman" w:hAnsi="Times New Roman"/>
                <w:color w:val="auto"/>
                <w:sz w:val="20"/>
              </w:rPr>
              <w:t>评价因子</w:t>
            </w:r>
          </w:p>
        </w:tc>
        <w:tc>
          <w:tcPr>
            <w:tcW w:w="640" w:type="pct"/>
            <w:tcBorders>
              <w:top w:val="single" w:color="auto" w:sz="12" w:space="0"/>
              <w:bottom w:val="single" w:color="auto" w:sz="12" w:space="0"/>
            </w:tcBorders>
            <w:noWrap w:val="0"/>
            <w:vAlign w:val="center"/>
          </w:tcPr>
          <w:p>
            <w:pPr>
              <w:pStyle w:val="312"/>
              <w:widowControl w:val="0"/>
              <w:spacing w:line="240" w:lineRule="auto"/>
              <w:ind w:left="-105" w:right="-105"/>
              <w:rPr>
                <w:rFonts w:ascii="Times New Roman" w:hAnsi="Times New Roman"/>
                <w:color w:val="auto"/>
                <w:sz w:val="20"/>
              </w:rPr>
            </w:pPr>
            <w:r>
              <w:rPr>
                <w:rFonts w:ascii="Times New Roman" w:hAnsi="Times New Roman"/>
                <w:color w:val="auto"/>
                <w:sz w:val="20"/>
              </w:rPr>
              <w:t>昼间</w:t>
            </w:r>
          </w:p>
        </w:tc>
        <w:tc>
          <w:tcPr>
            <w:tcW w:w="610" w:type="pct"/>
            <w:tcBorders>
              <w:top w:val="single" w:color="auto" w:sz="12" w:space="0"/>
              <w:bottom w:val="single" w:color="auto" w:sz="12" w:space="0"/>
            </w:tcBorders>
            <w:noWrap w:val="0"/>
            <w:vAlign w:val="center"/>
          </w:tcPr>
          <w:p>
            <w:pPr>
              <w:pStyle w:val="312"/>
              <w:widowControl w:val="0"/>
              <w:spacing w:line="240" w:lineRule="auto"/>
              <w:ind w:left="-105" w:right="-105"/>
              <w:rPr>
                <w:rFonts w:ascii="Times New Roman" w:hAnsi="Times New Roman"/>
                <w:color w:val="auto"/>
                <w:sz w:val="20"/>
              </w:rPr>
            </w:pPr>
            <w:r>
              <w:rPr>
                <w:rFonts w:ascii="Times New Roman" w:hAnsi="Times New Roman"/>
                <w:color w:val="auto"/>
                <w:sz w:val="20"/>
              </w:rPr>
              <w:t>夜间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80" w:type="pct"/>
            <w:vMerge w:val="restart"/>
            <w:tcBorders>
              <w:top w:val="single" w:color="auto" w:sz="12" w:space="0"/>
            </w:tcBorders>
            <w:noWrap w:val="0"/>
            <w:vAlign w:val="center"/>
          </w:tcPr>
          <w:p>
            <w:pPr>
              <w:pStyle w:val="312"/>
              <w:widowControl w:val="0"/>
              <w:spacing w:line="240" w:lineRule="auto"/>
              <w:ind w:left="-108" w:right="-108"/>
              <w:rPr>
                <w:rFonts w:ascii="Times New Roman" w:hAnsi="Times New Roman"/>
                <w:color w:val="auto"/>
                <w:sz w:val="20"/>
              </w:rPr>
            </w:pPr>
            <w:r>
              <w:rPr>
                <w:rFonts w:ascii="Times New Roman" w:hAnsi="Times New Roman"/>
                <w:color w:val="auto"/>
                <w:sz w:val="20"/>
              </w:rPr>
              <w:t>GB3096-2008</w:t>
            </w:r>
          </w:p>
        </w:tc>
        <w:tc>
          <w:tcPr>
            <w:tcW w:w="1530" w:type="pct"/>
            <w:vMerge w:val="restart"/>
            <w:tcBorders>
              <w:top w:val="single" w:color="auto" w:sz="12" w:space="0"/>
            </w:tcBorders>
            <w:noWrap w:val="0"/>
            <w:vAlign w:val="center"/>
          </w:tcPr>
          <w:p>
            <w:pPr>
              <w:pStyle w:val="312"/>
              <w:widowControl w:val="0"/>
              <w:spacing w:line="240" w:lineRule="auto"/>
              <w:ind w:left="-108" w:right="-108"/>
              <w:rPr>
                <w:rFonts w:ascii="Times New Roman" w:hAnsi="Times New Roman"/>
                <w:color w:val="auto"/>
                <w:sz w:val="20"/>
              </w:rPr>
            </w:pPr>
            <w:r>
              <w:rPr>
                <w:rFonts w:ascii="Times New Roman" w:hAnsi="Times New Roman"/>
                <w:color w:val="auto"/>
                <w:sz w:val="20"/>
              </w:rPr>
              <w:t>《声环境质量标准》</w:t>
            </w:r>
          </w:p>
        </w:tc>
        <w:tc>
          <w:tcPr>
            <w:tcW w:w="1038" w:type="pct"/>
            <w:vMerge w:val="restart"/>
            <w:tcBorders>
              <w:top w:val="single" w:color="auto" w:sz="12" w:space="0"/>
            </w:tcBorders>
            <w:noWrap w:val="0"/>
            <w:vAlign w:val="center"/>
          </w:tcPr>
          <w:p>
            <w:pPr>
              <w:pStyle w:val="312"/>
              <w:widowControl w:val="0"/>
              <w:spacing w:line="240" w:lineRule="auto"/>
              <w:ind w:left="-108" w:right="-108"/>
              <w:rPr>
                <w:rFonts w:ascii="Times New Roman" w:hAnsi="Times New Roman"/>
                <w:color w:val="auto"/>
                <w:sz w:val="20"/>
              </w:rPr>
            </w:pPr>
            <w:r>
              <w:rPr>
                <w:rFonts w:ascii="Times New Roman" w:hAnsi="Times New Roman"/>
                <w:color w:val="auto"/>
                <w:sz w:val="20"/>
              </w:rPr>
              <w:t>等效声级L</w:t>
            </w:r>
            <w:r>
              <w:rPr>
                <w:rFonts w:ascii="Times New Roman" w:hAnsi="Times New Roman"/>
                <w:color w:val="auto"/>
                <w:sz w:val="20"/>
                <w:vertAlign w:val="subscript"/>
              </w:rPr>
              <w:t>Aeq</w:t>
            </w:r>
          </w:p>
        </w:tc>
        <w:tc>
          <w:tcPr>
            <w:tcW w:w="640" w:type="pct"/>
            <w:tcBorders>
              <w:top w:val="single" w:color="auto" w:sz="12" w:space="0"/>
              <w:bottom w:val="single" w:color="auto" w:sz="4" w:space="0"/>
            </w:tcBorders>
            <w:noWrap w:val="0"/>
            <w:vAlign w:val="center"/>
          </w:tcPr>
          <w:p>
            <w:pPr>
              <w:pStyle w:val="312"/>
              <w:widowControl w:val="0"/>
              <w:spacing w:line="240" w:lineRule="auto"/>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60</w:t>
            </w:r>
          </w:p>
        </w:tc>
        <w:tc>
          <w:tcPr>
            <w:tcW w:w="610" w:type="pct"/>
            <w:tcBorders>
              <w:top w:val="single" w:color="auto" w:sz="12" w:space="0"/>
              <w:bottom w:val="single" w:color="auto" w:sz="4" w:space="0"/>
            </w:tcBorders>
            <w:noWrap w:val="0"/>
            <w:vAlign w:val="center"/>
          </w:tcPr>
          <w:p>
            <w:pPr>
              <w:pStyle w:val="312"/>
              <w:widowControl w:val="0"/>
              <w:spacing w:line="240" w:lineRule="auto"/>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80" w:type="pct"/>
            <w:vMerge w:val="continue"/>
            <w:noWrap w:val="0"/>
            <w:vAlign w:val="center"/>
          </w:tcPr>
          <w:p>
            <w:pPr>
              <w:pStyle w:val="312"/>
              <w:widowControl w:val="0"/>
              <w:spacing w:line="240" w:lineRule="auto"/>
              <w:ind w:left="-108" w:right="-108"/>
              <w:rPr>
                <w:rFonts w:ascii="Times New Roman" w:hAnsi="Times New Roman"/>
                <w:color w:val="auto"/>
                <w:sz w:val="20"/>
              </w:rPr>
            </w:pPr>
          </w:p>
        </w:tc>
        <w:tc>
          <w:tcPr>
            <w:tcW w:w="1530" w:type="pct"/>
            <w:vMerge w:val="continue"/>
            <w:noWrap w:val="0"/>
            <w:vAlign w:val="center"/>
          </w:tcPr>
          <w:p>
            <w:pPr>
              <w:pStyle w:val="312"/>
              <w:widowControl w:val="0"/>
              <w:spacing w:line="240" w:lineRule="auto"/>
              <w:ind w:left="-108" w:right="-108"/>
              <w:rPr>
                <w:rFonts w:ascii="Times New Roman" w:hAnsi="Times New Roman"/>
                <w:color w:val="auto"/>
                <w:sz w:val="20"/>
              </w:rPr>
            </w:pPr>
          </w:p>
        </w:tc>
        <w:tc>
          <w:tcPr>
            <w:tcW w:w="1038" w:type="pct"/>
            <w:vMerge w:val="continue"/>
            <w:noWrap w:val="0"/>
            <w:vAlign w:val="center"/>
          </w:tcPr>
          <w:p>
            <w:pPr>
              <w:pStyle w:val="312"/>
              <w:widowControl w:val="0"/>
              <w:spacing w:line="240" w:lineRule="auto"/>
              <w:ind w:left="-108" w:right="-108"/>
              <w:rPr>
                <w:rFonts w:ascii="Times New Roman" w:hAnsi="Times New Roman"/>
                <w:color w:val="auto"/>
                <w:sz w:val="20"/>
              </w:rPr>
            </w:pPr>
          </w:p>
        </w:tc>
        <w:tc>
          <w:tcPr>
            <w:tcW w:w="640" w:type="pct"/>
            <w:tcBorders>
              <w:top w:val="single" w:color="auto" w:sz="4" w:space="0"/>
            </w:tcBorders>
            <w:noWrap w:val="0"/>
            <w:vAlign w:val="center"/>
          </w:tcPr>
          <w:p>
            <w:pPr>
              <w:pStyle w:val="312"/>
              <w:widowControl w:val="0"/>
              <w:spacing w:line="240" w:lineRule="auto"/>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70</w:t>
            </w:r>
          </w:p>
        </w:tc>
        <w:tc>
          <w:tcPr>
            <w:tcW w:w="610" w:type="pct"/>
            <w:tcBorders>
              <w:top w:val="single" w:color="auto" w:sz="4" w:space="0"/>
            </w:tcBorders>
            <w:noWrap w:val="0"/>
            <w:vAlign w:val="center"/>
          </w:tcPr>
          <w:p>
            <w:pPr>
              <w:pStyle w:val="312"/>
              <w:widowControl w:val="0"/>
              <w:spacing w:line="240" w:lineRule="auto"/>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55</w:t>
            </w:r>
          </w:p>
        </w:tc>
      </w:tr>
    </w:tbl>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 xml:space="preserve">6 </w:t>
      </w:r>
      <w:r>
        <w:rPr>
          <w:rFonts w:eastAsia="黑体"/>
          <w:b/>
          <w:color w:val="auto"/>
          <w:szCs w:val="21"/>
        </w:rPr>
        <w:t xml:space="preserve"> 噪声污染控制标准值（dB(A)）</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1"/>
        <w:gridCol w:w="1994"/>
        <w:gridCol w:w="1391"/>
        <w:gridCol w:w="961"/>
        <w:gridCol w:w="930"/>
        <w:gridCol w:w="16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16" w:type="pct"/>
            <w:tcBorders>
              <w:top w:val="single" w:color="auto" w:sz="12" w:space="0"/>
              <w:bottom w:val="single" w:color="auto" w:sz="12" w:space="0"/>
              <w:right w:val="single" w:color="auto" w:sz="2" w:space="0"/>
            </w:tcBorders>
            <w:noWrap w:val="0"/>
            <w:vAlign w:val="center"/>
          </w:tcPr>
          <w:p>
            <w:pPr>
              <w:pStyle w:val="312"/>
              <w:widowControl w:val="0"/>
              <w:ind w:left="-105" w:right="-105"/>
              <w:rPr>
                <w:rFonts w:ascii="Times New Roman" w:hAnsi="Times New Roman"/>
                <w:color w:val="auto"/>
                <w:sz w:val="20"/>
              </w:rPr>
            </w:pPr>
            <w:r>
              <w:rPr>
                <w:rFonts w:ascii="Times New Roman" w:hAnsi="Times New Roman"/>
                <w:color w:val="auto"/>
                <w:sz w:val="20"/>
              </w:rPr>
              <w:t>标准号</w:t>
            </w:r>
          </w:p>
        </w:tc>
        <w:tc>
          <w:tcPr>
            <w:tcW w:w="1170" w:type="pct"/>
            <w:tcBorders>
              <w:top w:val="single" w:color="auto" w:sz="12" w:space="0"/>
              <w:left w:val="single" w:color="auto" w:sz="2" w:space="0"/>
              <w:bottom w:val="single" w:color="auto" w:sz="12" w:space="0"/>
              <w:right w:val="single" w:color="auto" w:sz="2" w:space="0"/>
            </w:tcBorders>
            <w:noWrap w:val="0"/>
            <w:vAlign w:val="center"/>
          </w:tcPr>
          <w:p>
            <w:pPr>
              <w:pStyle w:val="312"/>
              <w:widowControl w:val="0"/>
              <w:ind w:left="-105" w:right="-105"/>
              <w:rPr>
                <w:rFonts w:ascii="Times New Roman" w:hAnsi="Times New Roman"/>
                <w:color w:val="auto"/>
                <w:sz w:val="20"/>
              </w:rPr>
            </w:pPr>
            <w:r>
              <w:rPr>
                <w:rFonts w:ascii="Times New Roman" w:hAnsi="Times New Roman"/>
                <w:color w:val="auto"/>
                <w:sz w:val="20"/>
              </w:rPr>
              <w:t>控制标准</w:t>
            </w:r>
          </w:p>
        </w:tc>
        <w:tc>
          <w:tcPr>
            <w:tcW w:w="816" w:type="pct"/>
            <w:tcBorders>
              <w:top w:val="single" w:color="auto" w:sz="12" w:space="0"/>
              <w:left w:val="single" w:color="auto" w:sz="2" w:space="0"/>
              <w:bottom w:val="single" w:color="auto" w:sz="12" w:space="0"/>
              <w:right w:val="single" w:color="auto" w:sz="2" w:space="0"/>
            </w:tcBorders>
            <w:noWrap w:val="0"/>
            <w:vAlign w:val="center"/>
          </w:tcPr>
          <w:p>
            <w:pPr>
              <w:pStyle w:val="312"/>
              <w:widowControl w:val="0"/>
              <w:ind w:left="-105" w:right="-105"/>
              <w:rPr>
                <w:rFonts w:ascii="Times New Roman" w:hAnsi="Times New Roman"/>
                <w:color w:val="auto"/>
                <w:sz w:val="20"/>
              </w:rPr>
            </w:pPr>
            <w:r>
              <w:rPr>
                <w:rFonts w:ascii="Times New Roman" w:hAnsi="Times New Roman"/>
                <w:color w:val="auto"/>
                <w:sz w:val="20"/>
              </w:rPr>
              <w:t>控制对象</w:t>
            </w:r>
          </w:p>
        </w:tc>
        <w:tc>
          <w:tcPr>
            <w:tcW w:w="564" w:type="pct"/>
            <w:tcBorders>
              <w:top w:val="single" w:color="auto" w:sz="12" w:space="0"/>
              <w:left w:val="single" w:color="auto" w:sz="2" w:space="0"/>
              <w:bottom w:val="single" w:color="auto" w:sz="12" w:space="0"/>
              <w:right w:val="single" w:color="auto" w:sz="2" w:space="0"/>
            </w:tcBorders>
            <w:noWrap w:val="0"/>
            <w:vAlign w:val="center"/>
          </w:tcPr>
          <w:p>
            <w:pPr>
              <w:pStyle w:val="312"/>
              <w:widowControl w:val="0"/>
              <w:ind w:left="-105" w:right="-105"/>
              <w:rPr>
                <w:rFonts w:ascii="Times New Roman" w:hAnsi="Times New Roman"/>
                <w:color w:val="auto"/>
                <w:sz w:val="20"/>
              </w:rPr>
            </w:pPr>
            <w:r>
              <w:rPr>
                <w:rFonts w:ascii="Times New Roman" w:hAnsi="Times New Roman"/>
                <w:color w:val="auto"/>
                <w:sz w:val="20"/>
              </w:rPr>
              <w:t>昼间</w:t>
            </w:r>
          </w:p>
        </w:tc>
        <w:tc>
          <w:tcPr>
            <w:tcW w:w="546" w:type="pct"/>
            <w:tcBorders>
              <w:top w:val="single" w:color="auto" w:sz="12" w:space="0"/>
              <w:left w:val="single" w:color="auto" w:sz="2" w:space="0"/>
              <w:bottom w:val="single" w:color="auto" w:sz="12" w:space="0"/>
              <w:right w:val="single" w:color="auto" w:sz="2" w:space="0"/>
            </w:tcBorders>
            <w:noWrap w:val="0"/>
            <w:vAlign w:val="center"/>
          </w:tcPr>
          <w:p>
            <w:pPr>
              <w:pStyle w:val="312"/>
              <w:widowControl w:val="0"/>
              <w:ind w:left="-105" w:right="-105"/>
              <w:rPr>
                <w:rFonts w:ascii="Times New Roman" w:hAnsi="Times New Roman"/>
                <w:color w:val="auto"/>
                <w:sz w:val="20"/>
              </w:rPr>
            </w:pPr>
            <w:r>
              <w:rPr>
                <w:rFonts w:ascii="Times New Roman" w:hAnsi="Times New Roman"/>
                <w:color w:val="auto"/>
                <w:sz w:val="20"/>
              </w:rPr>
              <w:t>夜间</w:t>
            </w:r>
          </w:p>
        </w:tc>
        <w:tc>
          <w:tcPr>
            <w:tcW w:w="985" w:type="pct"/>
            <w:tcBorders>
              <w:top w:val="single" w:color="auto" w:sz="12" w:space="0"/>
              <w:left w:val="single" w:color="auto" w:sz="2" w:space="0"/>
              <w:bottom w:val="single" w:color="auto" w:sz="12" w:space="0"/>
            </w:tcBorders>
            <w:noWrap w:val="0"/>
            <w:vAlign w:val="center"/>
          </w:tcPr>
          <w:p>
            <w:pPr>
              <w:pStyle w:val="312"/>
              <w:widowControl w:val="0"/>
              <w:ind w:left="-105" w:right="-105"/>
              <w:rPr>
                <w:rFonts w:hint="eastAsia" w:ascii="Times New Roman" w:hAnsi="Times New Roman" w:eastAsia="宋体"/>
                <w:color w:val="auto"/>
                <w:sz w:val="20"/>
                <w:lang w:eastAsia="zh-CN"/>
              </w:rPr>
            </w:pPr>
            <w:r>
              <w:rPr>
                <w:rFonts w:hint="eastAsia" w:ascii="Times New Roman" w:hAnsi="Times New Roman"/>
                <w:color w:val="auto"/>
                <w:sz w:val="20"/>
                <w:lang w:val="en-US" w:eastAsia="zh-CN"/>
              </w:rPr>
              <w:t>评价对象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16" w:type="pct"/>
            <w:tcBorders>
              <w:top w:val="single" w:color="auto" w:sz="12" w:space="0"/>
            </w:tcBorders>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GB12523-2011</w:t>
            </w:r>
          </w:p>
        </w:tc>
        <w:tc>
          <w:tcPr>
            <w:tcW w:w="1170" w:type="pct"/>
            <w:tcBorders>
              <w:top w:val="single" w:color="auto" w:sz="12" w:space="0"/>
            </w:tcBorders>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建筑施工场界环境噪声排放标准</w:t>
            </w:r>
          </w:p>
        </w:tc>
        <w:tc>
          <w:tcPr>
            <w:tcW w:w="816" w:type="pct"/>
            <w:tcBorders>
              <w:top w:val="single" w:color="auto" w:sz="12" w:space="0"/>
            </w:tcBorders>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施工场界噪声</w:t>
            </w:r>
          </w:p>
        </w:tc>
        <w:tc>
          <w:tcPr>
            <w:tcW w:w="564" w:type="pct"/>
            <w:tcBorders>
              <w:top w:val="single" w:color="auto" w:sz="12" w:space="0"/>
            </w:tcBorders>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70</w:t>
            </w:r>
          </w:p>
        </w:tc>
        <w:tc>
          <w:tcPr>
            <w:tcW w:w="546" w:type="pct"/>
            <w:tcBorders>
              <w:top w:val="single" w:color="auto" w:sz="12" w:space="0"/>
            </w:tcBorders>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55</w:t>
            </w:r>
          </w:p>
        </w:tc>
        <w:tc>
          <w:tcPr>
            <w:tcW w:w="985" w:type="pct"/>
            <w:tcBorders>
              <w:top w:val="single" w:color="auto" w:sz="12" w:space="0"/>
            </w:tcBorders>
            <w:noWrap w:val="0"/>
            <w:vAlign w:val="center"/>
          </w:tcPr>
          <w:p>
            <w:pPr>
              <w:pStyle w:val="312"/>
              <w:widowControl w:val="0"/>
              <w:spacing w:line="260" w:lineRule="atLeast"/>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项目边界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16" w:type="pct"/>
            <w:vMerge w:val="restart"/>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GB12348-2008</w:t>
            </w:r>
          </w:p>
        </w:tc>
        <w:tc>
          <w:tcPr>
            <w:tcW w:w="1170" w:type="pct"/>
            <w:vMerge w:val="restart"/>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工业企业厂界环境噪声排放标准</w:t>
            </w:r>
          </w:p>
        </w:tc>
        <w:tc>
          <w:tcPr>
            <w:tcW w:w="816" w:type="pct"/>
            <w:vMerge w:val="restart"/>
            <w:noWrap w:val="0"/>
            <w:vAlign w:val="center"/>
          </w:tcPr>
          <w:p>
            <w:pPr>
              <w:pStyle w:val="312"/>
              <w:widowControl w:val="0"/>
              <w:spacing w:line="260" w:lineRule="atLeast"/>
              <w:ind w:left="-108" w:right="-108"/>
              <w:rPr>
                <w:rFonts w:ascii="Times New Roman" w:hAnsi="Times New Roman"/>
                <w:color w:val="auto"/>
                <w:sz w:val="20"/>
              </w:rPr>
            </w:pPr>
            <w:r>
              <w:rPr>
                <w:rFonts w:ascii="Times New Roman" w:hAnsi="Times New Roman"/>
                <w:color w:val="auto"/>
                <w:sz w:val="20"/>
              </w:rPr>
              <w:t>厂界噪声</w:t>
            </w:r>
          </w:p>
        </w:tc>
        <w:tc>
          <w:tcPr>
            <w:tcW w:w="564" w:type="pct"/>
            <w:noWrap w:val="0"/>
            <w:vAlign w:val="center"/>
          </w:tcPr>
          <w:p>
            <w:pPr>
              <w:pStyle w:val="312"/>
              <w:widowControl w:val="0"/>
              <w:spacing w:line="260" w:lineRule="atLeast"/>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65</w:t>
            </w:r>
          </w:p>
        </w:tc>
        <w:tc>
          <w:tcPr>
            <w:tcW w:w="546" w:type="pct"/>
            <w:noWrap w:val="0"/>
            <w:vAlign w:val="center"/>
          </w:tcPr>
          <w:p>
            <w:pPr>
              <w:pStyle w:val="312"/>
              <w:widowControl w:val="0"/>
              <w:spacing w:line="260" w:lineRule="atLeast"/>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55</w:t>
            </w:r>
          </w:p>
        </w:tc>
        <w:tc>
          <w:tcPr>
            <w:tcW w:w="985" w:type="pct"/>
            <w:noWrap w:val="0"/>
            <w:vAlign w:val="center"/>
          </w:tcPr>
          <w:p>
            <w:pPr>
              <w:pStyle w:val="312"/>
              <w:widowControl w:val="0"/>
              <w:spacing w:line="240" w:lineRule="auto"/>
              <w:ind w:left="-108" w:leftChars="0" w:right="-108" w:rightChars="0"/>
              <w:rPr>
                <w:rFonts w:ascii="Times New Roman" w:hAnsi="Times New Roman"/>
                <w:color w:val="auto"/>
                <w:sz w:val="20"/>
              </w:rPr>
            </w:pPr>
            <w:r>
              <w:rPr>
                <w:rFonts w:hint="eastAsia" w:ascii="Times New Roman" w:hAnsi="Times New Roman"/>
                <w:color w:val="auto"/>
                <w:sz w:val="20"/>
                <w:lang w:val="en-US" w:eastAsia="zh-CN"/>
              </w:rPr>
              <w:t>东、西侧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16" w:type="pct"/>
            <w:vMerge w:val="continue"/>
            <w:noWrap w:val="0"/>
            <w:vAlign w:val="center"/>
          </w:tcPr>
          <w:p>
            <w:pPr>
              <w:pStyle w:val="312"/>
              <w:widowControl w:val="0"/>
              <w:spacing w:line="260" w:lineRule="atLeast"/>
              <w:ind w:left="-108" w:right="-108"/>
              <w:rPr>
                <w:rFonts w:ascii="Times New Roman" w:hAnsi="Times New Roman"/>
                <w:color w:val="auto"/>
                <w:sz w:val="20"/>
              </w:rPr>
            </w:pPr>
          </w:p>
        </w:tc>
        <w:tc>
          <w:tcPr>
            <w:tcW w:w="1170" w:type="pct"/>
            <w:vMerge w:val="continue"/>
            <w:noWrap w:val="0"/>
            <w:vAlign w:val="center"/>
          </w:tcPr>
          <w:p>
            <w:pPr>
              <w:pStyle w:val="312"/>
              <w:widowControl w:val="0"/>
              <w:spacing w:line="260" w:lineRule="atLeast"/>
              <w:ind w:left="-108" w:right="-108"/>
              <w:rPr>
                <w:rFonts w:ascii="Times New Roman" w:hAnsi="Times New Roman"/>
                <w:color w:val="auto"/>
                <w:sz w:val="20"/>
              </w:rPr>
            </w:pPr>
          </w:p>
        </w:tc>
        <w:tc>
          <w:tcPr>
            <w:tcW w:w="816" w:type="pct"/>
            <w:vMerge w:val="continue"/>
            <w:noWrap w:val="0"/>
            <w:vAlign w:val="center"/>
          </w:tcPr>
          <w:p>
            <w:pPr>
              <w:pStyle w:val="312"/>
              <w:widowControl w:val="0"/>
              <w:spacing w:line="260" w:lineRule="atLeast"/>
              <w:ind w:left="-108" w:right="-108"/>
              <w:rPr>
                <w:rFonts w:ascii="Times New Roman" w:hAnsi="Times New Roman"/>
                <w:color w:val="auto"/>
                <w:sz w:val="20"/>
              </w:rPr>
            </w:pPr>
          </w:p>
        </w:tc>
        <w:tc>
          <w:tcPr>
            <w:tcW w:w="564" w:type="pct"/>
            <w:noWrap w:val="0"/>
            <w:vAlign w:val="center"/>
          </w:tcPr>
          <w:p>
            <w:pPr>
              <w:pStyle w:val="312"/>
              <w:widowControl w:val="0"/>
              <w:spacing w:line="260" w:lineRule="atLeast"/>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70</w:t>
            </w:r>
          </w:p>
        </w:tc>
        <w:tc>
          <w:tcPr>
            <w:tcW w:w="546" w:type="pct"/>
            <w:noWrap w:val="0"/>
            <w:vAlign w:val="center"/>
          </w:tcPr>
          <w:p>
            <w:pPr>
              <w:pStyle w:val="312"/>
              <w:widowControl w:val="0"/>
              <w:spacing w:line="260" w:lineRule="atLeast"/>
              <w:ind w:left="-108" w:right="-108"/>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55</w:t>
            </w:r>
          </w:p>
        </w:tc>
        <w:tc>
          <w:tcPr>
            <w:tcW w:w="985" w:type="pct"/>
            <w:noWrap w:val="0"/>
            <w:vAlign w:val="center"/>
          </w:tcPr>
          <w:p>
            <w:pPr>
              <w:pStyle w:val="312"/>
              <w:widowControl w:val="0"/>
              <w:spacing w:line="240" w:lineRule="auto"/>
              <w:ind w:left="-108" w:leftChars="0" w:right="-108" w:rightChars="0"/>
              <w:rPr>
                <w:rFonts w:ascii="Times New Roman" w:hAnsi="Times New Roman"/>
                <w:color w:val="auto"/>
                <w:sz w:val="20"/>
              </w:rPr>
            </w:pPr>
            <w:r>
              <w:rPr>
                <w:rFonts w:hint="eastAsia" w:ascii="Times New Roman" w:hAnsi="Times New Roman"/>
                <w:color w:val="auto"/>
                <w:sz w:val="20"/>
                <w:lang w:val="en-US" w:eastAsia="zh-CN"/>
              </w:rPr>
              <w:t>南、北侧</w:t>
            </w:r>
          </w:p>
        </w:tc>
      </w:tr>
      <w:bookmarkEnd w:id="235"/>
    </w:tbl>
    <w:p>
      <w:pPr>
        <w:pStyle w:val="8"/>
        <w:widowControl w:val="0"/>
        <w:spacing w:before="120" w:after="120" w:line="360" w:lineRule="auto"/>
        <w:rPr>
          <w:rFonts w:ascii="Times New Roman" w:hAnsi="Times New Roman"/>
          <w:b w:val="0"/>
          <w:color w:val="auto"/>
          <w:szCs w:val="32"/>
        </w:rPr>
      </w:pPr>
      <w:bookmarkStart w:id="236" w:name="_Toc138079904"/>
      <w:bookmarkStart w:id="237" w:name="_Toc11709"/>
      <w:r>
        <w:rPr>
          <w:rFonts w:ascii="Times New Roman" w:hAnsi="Times New Roman"/>
          <w:b w:val="0"/>
          <w:color w:val="auto"/>
          <w:szCs w:val="32"/>
        </w:rPr>
        <w:t>1.</w:t>
      </w:r>
      <w:r>
        <w:rPr>
          <w:rFonts w:hint="eastAsia" w:ascii="Times New Roman" w:hAnsi="Times New Roman"/>
          <w:b w:val="0"/>
          <w:color w:val="auto"/>
          <w:szCs w:val="32"/>
          <w:lang w:val="en-US" w:eastAsia="zh-CN"/>
        </w:rPr>
        <w:t>4</w:t>
      </w:r>
      <w:r>
        <w:rPr>
          <w:rFonts w:ascii="Times New Roman" w:hAnsi="Times New Roman"/>
          <w:b w:val="0"/>
          <w:color w:val="auto"/>
          <w:szCs w:val="32"/>
        </w:rPr>
        <w:t>评价工作等级与评价范围</w:t>
      </w:r>
      <w:bookmarkEnd w:id="236"/>
      <w:bookmarkEnd w:id="237"/>
    </w:p>
    <w:p>
      <w:pPr>
        <w:pStyle w:val="9"/>
        <w:widowControl w:val="0"/>
        <w:spacing w:before="120" w:after="120" w:line="360" w:lineRule="auto"/>
        <w:rPr>
          <w:rFonts w:eastAsia="黑体"/>
          <w:b w:val="0"/>
          <w:color w:val="auto"/>
          <w:sz w:val="24"/>
        </w:rPr>
      </w:pPr>
      <w:bookmarkStart w:id="238" w:name="_Toc24327"/>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.1环境空气</w:t>
      </w:r>
      <w:bookmarkEnd w:id="238"/>
    </w:p>
    <w:p>
      <w:pPr>
        <w:pStyle w:val="2"/>
        <w:widowControl w:val="0"/>
        <w:ind w:firstLine="480" w:firstLineChars="200"/>
        <w:jc w:val="left"/>
        <w:rPr>
          <w:rFonts w:eastAsia="仿宋_GB2312"/>
          <w:color w:val="auto"/>
          <w:sz w:val="24"/>
        </w:rPr>
      </w:pPr>
      <w:r>
        <w:rPr>
          <w:rFonts w:eastAsia="仿宋_GB2312"/>
          <w:color w:val="auto"/>
          <w:sz w:val="24"/>
        </w:rPr>
        <w:t>（1）工作等级</w:t>
      </w:r>
    </w:p>
    <w:p>
      <w:pPr>
        <w:pStyle w:val="2"/>
        <w:widowControl w:val="0"/>
        <w:adjustRightInd/>
        <w:ind w:firstLine="480" w:firstLineChars="200"/>
        <w:jc w:val="left"/>
        <w:rPr>
          <w:rFonts w:eastAsia="仿宋_GB2312"/>
          <w:color w:val="auto"/>
          <w:sz w:val="24"/>
        </w:rPr>
      </w:pPr>
      <w:r>
        <w:rPr>
          <w:rFonts w:eastAsia="仿宋_GB2312"/>
          <w:color w:val="auto"/>
          <w:sz w:val="24"/>
        </w:rPr>
        <w:t>根据工程分析，</w:t>
      </w:r>
      <w:r>
        <w:rPr>
          <w:rFonts w:hint="eastAsia" w:eastAsia="仿宋_GB2312"/>
          <w:color w:val="auto"/>
          <w:sz w:val="24"/>
        </w:rPr>
        <w:t>选取正常排放的主要污染物，</w:t>
      </w:r>
      <w:r>
        <w:rPr>
          <w:rFonts w:eastAsia="仿宋_GB2312"/>
          <w:color w:val="auto"/>
          <w:sz w:val="24"/>
        </w:rPr>
        <w:t>按照《环境影响评价技术导则 大气环境》（HJ2.2-2018）规定，分别计算每一种污染物的最大地面浓度占标率P</w:t>
      </w:r>
      <w:r>
        <w:rPr>
          <w:rFonts w:eastAsia="仿宋_GB2312"/>
          <w:color w:val="auto"/>
          <w:sz w:val="24"/>
          <w:vertAlign w:val="subscript"/>
        </w:rPr>
        <w:t>i</w:t>
      </w:r>
      <w:r>
        <w:rPr>
          <w:rFonts w:eastAsia="仿宋_GB2312"/>
          <w:color w:val="auto"/>
          <w:sz w:val="24"/>
        </w:rPr>
        <w:t>（第i个污染物），及第i个污染物的地面浓度达标准限值10%时所对应的最远距离D</w:t>
      </w:r>
      <w:r>
        <w:rPr>
          <w:rFonts w:eastAsia="仿宋_GB2312"/>
          <w:color w:val="auto"/>
          <w:sz w:val="24"/>
          <w:vertAlign w:val="subscript"/>
        </w:rPr>
        <w:t>10%</w:t>
      </w:r>
      <w:r>
        <w:rPr>
          <w:rFonts w:eastAsia="仿宋_GB2312"/>
          <w:color w:val="auto"/>
          <w:sz w:val="24"/>
        </w:rPr>
        <w:t>，其中P</w:t>
      </w:r>
      <w:r>
        <w:rPr>
          <w:rFonts w:eastAsia="仿宋_GB2312"/>
          <w:color w:val="auto"/>
          <w:sz w:val="24"/>
          <w:vertAlign w:val="subscript"/>
        </w:rPr>
        <w:t>i</w:t>
      </w:r>
      <w:r>
        <w:rPr>
          <w:rFonts w:eastAsia="仿宋_GB2312"/>
          <w:color w:val="auto"/>
          <w:sz w:val="24"/>
        </w:rPr>
        <w:t>定义为：</w:t>
      </w:r>
    </w:p>
    <w:p>
      <w:pPr>
        <w:widowControl w:val="0"/>
        <w:spacing w:line="360" w:lineRule="auto"/>
        <w:jc w:val="center"/>
        <w:rPr>
          <w:color w:val="auto"/>
          <w:sz w:val="24"/>
        </w:rPr>
      </w:pPr>
      <w:r>
        <w:rPr>
          <w:color w:val="auto"/>
          <w:sz w:val="24"/>
        </w:rPr>
        <w:t>P</w:t>
      </w:r>
      <w:r>
        <w:rPr>
          <w:color w:val="auto"/>
          <w:sz w:val="24"/>
          <w:vertAlign w:val="subscript"/>
        </w:rPr>
        <w:t>i</w:t>
      </w:r>
      <w:r>
        <w:rPr>
          <w:color w:val="auto"/>
          <w:sz w:val="24"/>
        </w:rPr>
        <w:t>＝(C</w:t>
      </w:r>
      <w:r>
        <w:rPr>
          <w:color w:val="auto"/>
          <w:sz w:val="24"/>
          <w:vertAlign w:val="subscript"/>
        </w:rPr>
        <w:t>i</w:t>
      </w:r>
      <w:r>
        <w:rPr>
          <w:color w:val="auto"/>
          <w:sz w:val="24"/>
        </w:rPr>
        <w:t>/C</w:t>
      </w:r>
      <w:r>
        <w:rPr>
          <w:color w:val="auto"/>
          <w:sz w:val="24"/>
          <w:vertAlign w:val="subscript"/>
        </w:rPr>
        <w:t>0i</w:t>
      </w:r>
      <w:r>
        <w:rPr>
          <w:color w:val="auto"/>
          <w:sz w:val="24"/>
        </w:rPr>
        <w:t>)×100%</w:t>
      </w:r>
    </w:p>
    <w:p>
      <w:pPr>
        <w:pStyle w:val="2"/>
        <w:widowControl w:val="0"/>
        <w:adjustRightInd/>
        <w:ind w:firstLine="480" w:firstLineChars="200"/>
        <w:jc w:val="left"/>
        <w:rPr>
          <w:rFonts w:eastAsia="仿宋_GB2312"/>
          <w:color w:val="auto"/>
          <w:sz w:val="24"/>
        </w:rPr>
      </w:pPr>
      <w:r>
        <w:rPr>
          <w:rFonts w:eastAsia="仿宋_GB2312"/>
          <w:color w:val="auto"/>
          <w:sz w:val="24"/>
        </w:rPr>
        <w:t>式中：P</w:t>
      </w:r>
      <w:r>
        <w:rPr>
          <w:rFonts w:eastAsia="仿宋_GB2312"/>
          <w:color w:val="auto"/>
          <w:sz w:val="24"/>
          <w:vertAlign w:val="subscript"/>
        </w:rPr>
        <w:t>i</w:t>
      </w:r>
      <w:r>
        <w:rPr>
          <w:rFonts w:eastAsia="仿宋_GB2312"/>
          <w:color w:val="auto"/>
          <w:sz w:val="24"/>
        </w:rPr>
        <w:t>－第i个污染物的最大地面浓度占标率，%；</w:t>
      </w:r>
    </w:p>
    <w:p>
      <w:pPr>
        <w:pStyle w:val="2"/>
        <w:widowControl w:val="0"/>
        <w:adjustRightInd/>
        <w:ind w:firstLine="1200" w:firstLineChars="500"/>
        <w:jc w:val="left"/>
        <w:rPr>
          <w:rFonts w:eastAsia="仿宋_GB2312"/>
          <w:color w:val="auto"/>
          <w:sz w:val="24"/>
        </w:rPr>
      </w:pPr>
      <w:r>
        <w:rPr>
          <w:rFonts w:eastAsia="仿宋_GB2312"/>
          <w:color w:val="auto"/>
          <w:sz w:val="24"/>
        </w:rPr>
        <w:t>C</w:t>
      </w:r>
      <w:r>
        <w:rPr>
          <w:rFonts w:eastAsia="仿宋_GB2312"/>
          <w:color w:val="auto"/>
          <w:sz w:val="24"/>
          <w:vertAlign w:val="subscript"/>
        </w:rPr>
        <w:t>i</w:t>
      </w:r>
      <w:r>
        <w:rPr>
          <w:rFonts w:eastAsia="仿宋_GB2312"/>
          <w:color w:val="auto"/>
          <w:sz w:val="24"/>
        </w:rPr>
        <w:t>－采用估算模式计算出的第i个污染物的最大1h地面空气质量浓度，mg/m</w:t>
      </w:r>
      <w:r>
        <w:rPr>
          <w:rFonts w:eastAsia="仿宋_GB2312"/>
          <w:color w:val="auto"/>
          <w:sz w:val="24"/>
          <w:vertAlign w:val="superscript"/>
        </w:rPr>
        <w:t>3</w:t>
      </w:r>
      <w:r>
        <w:rPr>
          <w:rFonts w:eastAsia="仿宋_GB2312"/>
          <w:color w:val="auto"/>
          <w:sz w:val="24"/>
        </w:rPr>
        <w:t>；</w:t>
      </w:r>
    </w:p>
    <w:p>
      <w:pPr>
        <w:pStyle w:val="2"/>
        <w:widowControl w:val="0"/>
        <w:ind w:firstLine="1200" w:firstLineChars="500"/>
        <w:jc w:val="left"/>
        <w:rPr>
          <w:rFonts w:eastAsia="仿宋_GB2312"/>
          <w:color w:val="auto"/>
          <w:sz w:val="24"/>
        </w:rPr>
      </w:pPr>
      <w:r>
        <w:rPr>
          <w:rFonts w:eastAsia="仿宋_GB2312"/>
          <w:color w:val="auto"/>
          <w:sz w:val="24"/>
        </w:rPr>
        <w:t>C</w:t>
      </w:r>
      <w:r>
        <w:rPr>
          <w:rFonts w:eastAsia="仿宋_GB2312"/>
          <w:color w:val="auto"/>
          <w:sz w:val="24"/>
          <w:vertAlign w:val="subscript"/>
        </w:rPr>
        <w:t>0i</w:t>
      </w:r>
      <w:r>
        <w:rPr>
          <w:rFonts w:eastAsia="仿宋_GB2312"/>
          <w:color w:val="auto"/>
          <w:sz w:val="24"/>
        </w:rPr>
        <w:t>－第i个污染物的环境空气质量浓度标准，mg/m</w:t>
      </w:r>
      <w:r>
        <w:rPr>
          <w:rFonts w:eastAsia="仿宋_GB2312"/>
          <w:color w:val="auto"/>
          <w:sz w:val="24"/>
          <w:vertAlign w:val="superscript"/>
        </w:rPr>
        <w:t>3</w:t>
      </w:r>
      <w:r>
        <w:rPr>
          <w:rFonts w:eastAsia="仿宋_GB2312"/>
          <w:color w:val="auto"/>
          <w:sz w:val="24"/>
        </w:rPr>
        <w:t>。</w:t>
      </w:r>
    </w:p>
    <w:p>
      <w:pPr>
        <w:pStyle w:val="2"/>
        <w:keepNext w:val="0"/>
        <w:keepLines w:val="0"/>
        <w:pageBreakBefore w:val="0"/>
        <w:widowControl w:val="0"/>
        <w:kinsoku/>
        <w:wordWrap/>
        <w:overflowPunct w:val="0"/>
        <w:topLinePunct w:val="0"/>
        <w:autoSpaceDE w:val="0"/>
        <w:autoSpaceDN w:val="0"/>
        <w:bidi w:val="0"/>
        <w:adjustRightInd w:val="0"/>
        <w:snapToGrid/>
        <w:ind w:left="0" w:leftChars="0" w:firstLine="480" w:firstLineChars="200"/>
        <w:jc w:val="left"/>
        <w:textAlignment w:val="baseline"/>
        <w:rPr>
          <w:rFonts w:eastAsia="仿宋_GB2312"/>
          <w:color w:val="auto"/>
          <w:sz w:val="24"/>
        </w:rPr>
      </w:pPr>
      <w:r>
        <w:rPr>
          <w:rFonts w:eastAsia="仿宋_GB2312"/>
          <w:color w:val="auto"/>
          <w:sz w:val="24"/>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pStyle w:val="2"/>
        <w:widowControl w:val="0"/>
        <w:adjustRightInd/>
        <w:ind w:firstLine="480" w:firstLineChars="200"/>
        <w:jc w:val="left"/>
        <w:rPr>
          <w:rFonts w:eastAsia="仿宋_GB2312"/>
          <w:color w:val="auto"/>
          <w:sz w:val="24"/>
        </w:rPr>
      </w:pPr>
      <w:r>
        <w:rPr>
          <w:rFonts w:eastAsia="仿宋_GB2312"/>
          <w:color w:val="auto"/>
          <w:sz w:val="24"/>
        </w:rPr>
        <w:t>评价工作等级的判定依据见表1.</w:t>
      </w:r>
      <w:r>
        <w:rPr>
          <w:rFonts w:hint="eastAsia" w:eastAsia="仿宋_GB2312"/>
          <w:color w:val="auto"/>
          <w:sz w:val="24"/>
          <w:lang w:val="en-US" w:eastAsia="zh-CN"/>
        </w:rPr>
        <w:t>4</w:t>
      </w:r>
      <w:r>
        <w:rPr>
          <w:rFonts w:eastAsia="仿宋_GB2312"/>
          <w:color w:val="auto"/>
          <w:sz w:val="24"/>
        </w:rPr>
        <w:t>-1。</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4</w:t>
      </w:r>
      <w:r>
        <w:rPr>
          <w:rFonts w:eastAsia="黑体"/>
          <w:b/>
          <w:color w:val="auto"/>
          <w:szCs w:val="21"/>
        </w:rPr>
        <w:t>-1  评价工作等级</w:t>
      </w:r>
    </w:p>
    <w:tbl>
      <w:tblPr>
        <w:tblStyle w:val="92"/>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486"/>
        <w:gridCol w:w="502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exact"/>
          <w:jc w:val="center"/>
        </w:trPr>
        <w:tc>
          <w:tcPr>
            <w:tcW w:w="2047" w:type="pct"/>
            <w:tcBorders>
              <w:top w:val="single" w:color="auto" w:sz="12" w:space="0"/>
              <w:bottom w:val="single" w:color="auto" w:sz="12" w:space="0"/>
            </w:tcBorders>
            <w:noWrap w:val="0"/>
            <w:vAlign w:val="center"/>
          </w:tcPr>
          <w:p>
            <w:pPr>
              <w:widowControl w:val="0"/>
              <w:adjustRightInd w:val="0"/>
              <w:snapToGrid w:val="0"/>
              <w:jc w:val="center"/>
              <w:rPr>
                <w:color w:val="auto"/>
                <w:sz w:val="20"/>
                <w:szCs w:val="18"/>
              </w:rPr>
            </w:pPr>
            <w:r>
              <w:rPr>
                <w:color w:val="auto"/>
                <w:sz w:val="20"/>
                <w:szCs w:val="18"/>
              </w:rPr>
              <w:t>评价工作等级</w:t>
            </w:r>
          </w:p>
        </w:tc>
        <w:tc>
          <w:tcPr>
            <w:tcW w:w="2952" w:type="pct"/>
            <w:tcBorders>
              <w:top w:val="single" w:color="auto" w:sz="12" w:space="0"/>
              <w:bottom w:val="single" w:color="auto" w:sz="12" w:space="0"/>
            </w:tcBorders>
            <w:noWrap w:val="0"/>
            <w:vAlign w:val="center"/>
          </w:tcPr>
          <w:p>
            <w:pPr>
              <w:widowControl w:val="0"/>
              <w:adjustRightInd w:val="0"/>
              <w:snapToGrid w:val="0"/>
              <w:jc w:val="center"/>
              <w:rPr>
                <w:color w:val="auto"/>
                <w:sz w:val="20"/>
                <w:szCs w:val="18"/>
              </w:rPr>
            </w:pPr>
            <w:r>
              <w:rPr>
                <w:color w:val="auto"/>
                <w:sz w:val="20"/>
                <w:szCs w:val="18"/>
              </w:rPr>
              <w:t>评价工作等级判据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exact"/>
          <w:jc w:val="center"/>
        </w:trPr>
        <w:tc>
          <w:tcPr>
            <w:tcW w:w="2047" w:type="pct"/>
            <w:tcBorders>
              <w:top w:val="single" w:color="auto" w:sz="12" w:space="0"/>
            </w:tcBorders>
            <w:noWrap w:val="0"/>
            <w:vAlign w:val="center"/>
          </w:tcPr>
          <w:p>
            <w:pPr>
              <w:widowControl w:val="0"/>
              <w:adjustRightInd w:val="0"/>
              <w:snapToGrid w:val="0"/>
              <w:jc w:val="center"/>
              <w:rPr>
                <w:color w:val="auto"/>
                <w:sz w:val="20"/>
                <w:szCs w:val="18"/>
              </w:rPr>
            </w:pPr>
            <w:r>
              <w:rPr>
                <w:color w:val="auto"/>
                <w:sz w:val="20"/>
                <w:szCs w:val="18"/>
              </w:rPr>
              <w:t>一级</w:t>
            </w:r>
          </w:p>
        </w:tc>
        <w:tc>
          <w:tcPr>
            <w:tcW w:w="2952" w:type="pct"/>
            <w:tcBorders>
              <w:top w:val="single" w:color="auto" w:sz="12" w:space="0"/>
            </w:tcBorders>
            <w:noWrap w:val="0"/>
            <w:vAlign w:val="center"/>
          </w:tcPr>
          <w:p>
            <w:pPr>
              <w:widowControl w:val="0"/>
              <w:adjustRightInd w:val="0"/>
              <w:snapToGrid w:val="0"/>
              <w:jc w:val="center"/>
              <w:rPr>
                <w:color w:val="auto"/>
                <w:sz w:val="20"/>
                <w:szCs w:val="18"/>
              </w:rPr>
            </w:pPr>
            <w:r>
              <w:rPr>
                <w:color w:val="auto"/>
                <w:sz w:val="20"/>
                <w:szCs w:val="18"/>
              </w:rPr>
              <w:t>Pmax≥10%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exact"/>
          <w:jc w:val="center"/>
        </w:trPr>
        <w:tc>
          <w:tcPr>
            <w:tcW w:w="2047" w:type="pct"/>
            <w:noWrap w:val="0"/>
            <w:vAlign w:val="center"/>
          </w:tcPr>
          <w:p>
            <w:pPr>
              <w:widowControl w:val="0"/>
              <w:adjustRightInd w:val="0"/>
              <w:snapToGrid w:val="0"/>
              <w:jc w:val="center"/>
              <w:rPr>
                <w:color w:val="auto"/>
                <w:sz w:val="20"/>
                <w:szCs w:val="18"/>
              </w:rPr>
            </w:pPr>
            <w:r>
              <w:rPr>
                <w:color w:val="auto"/>
                <w:sz w:val="20"/>
                <w:szCs w:val="18"/>
              </w:rPr>
              <w:t>二级</w:t>
            </w:r>
          </w:p>
        </w:tc>
        <w:tc>
          <w:tcPr>
            <w:tcW w:w="2952" w:type="pct"/>
            <w:noWrap w:val="0"/>
            <w:vAlign w:val="center"/>
          </w:tcPr>
          <w:p>
            <w:pPr>
              <w:widowControl w:val="0"/>
              <w:adjustRightInd w:val="0"/>
              <w:snapToGrid w:val="0"/>
              <w:jc w:val="center"/>
              <w:rPr>
                <w:color w:val="auto"/>
                <w:sz w:val="20"/>
                <w:szCs w:val="18"/>
              </w:rPr>
            </w:pPr>
            <w:r>
              <w:rPr>
                <w:color w:val="auto"/>
                <w:sz w:val="20"/>
                <w:szCs w:val="18"/>
              </w:rPr>
              <w:t>1%≤Pmax&lt;10%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exact"/>
          <w:jc w:val="center"/>
        </w:trPr>
        <w:tc>
          <w:tcPr>
            <w:tcW w:w="2047" w:type="pct"/>
            <w:noWrap w:val="0"/>
            <w:vAlign w:val="center"/>
          </w:tcPr>
          <w:p>
            <w:pPr>
              <w:widowControl w:val="0"/>
              <w:adjustRightInd w:val="0"/>
              <w:snapToGrid w:val="0"/>
              <w:jc w:val="center"/>
              <w:rPr>
                <w:color w:val="auto"/>
                <w:sz w:val="20"/>
                <w:szCs w:val="18"/>
              </w:rPr>
            </w:pPr>
            <w:r>
              <w:rPr>
                <w:color w:val="auto"/>
                <w:sz w:val="20"/>
                <w:szCs w:val="18"/>
              </w:rPr>
              <w:t>三级</w:t>
            </w:r>
          </w:p>
        </w:tc>
        <w:tc>
          <w:tcPr>
            <w:tcW w:w="2952" w:type="pct"/>
            <w:noWrap w:val="0"/>
            <w:vAlign w:val="center"/>
          </w:tcPr>
          <w:p>
            <w:pPr>
              <w:widowControl w:val="0"/>
              <w:adjustRightInd w:val="0"/>
              <w:snapToGrid w:val="0"/>
              <w:jc w:val="center"/>
              <w:rPr>
                <w:color w:val="auto"/>
                <w:sz w:val="20"/>
                <w:szCs w:val="18"/>
              </w:rPr>
            </w:pPr>
            <w:r>
              <w:rPr>
                <w:color w:val="auto"/>
                <w:sz w:val="20"/>
                <w:szCs w:val="18"/>
              </w:rPr>
              <w:t>Pmax&lt;1%</w:t>
            </w:r>
          </w:p>
        </w:tc>
      </w:tr>
    </w:tbl>
    <w:p>
      <w:pPr>
        <w:pStyle w:val="2"/>
        <w:widowControl w:val="0"/>
        <w:ind w:firstLine="480" w:firstLineChars="200"/>
        <w:jc w:val="left"/>
        <w:rPr>
          <w:rFonts w:hint="eastAsia" w:ascii="宋体" w:cs="宋体"/>
          <w:color w:val="auto"/>
          <w:sz w:val="24"/>
        </w:rPr>
      </w:pPr>
      <w:r>
        <w:rPr>
          <w:rFonts w:hint="eastAsia" w:eastAsia="仿宋_GB2312"/>
          <w:color w:val="auto"/>
          <w:sz w:val="24"/>
        </w:rPr>
        <w:t>根据导则，采用</w:t>
      </w:r>
      <w:r>
        <w:rPr>
          <w:rFonts w:eastAsia="仿宋_GB2312"/>
          <w:color w:val="auto"/>
          <w:sz w:val="24"/>
        </w:rPr>
        <w:t>AerScreen</w:t>
      </w:r>
      <w:r>
        <w:rPr>
          <w:rFonts w:hint="eastAsia" w:eastAsia="仿宋_GB2312"/>
          <w:color w:val="auto"/>
          <w:sz w:val="24"/>
        </w:rPr>
        <w:t>估算模型进行评价等级筛选，估算模型参数见表1.</w:t>
      </w:r>
      <w:r>
        <w:rPr>
          <w:rFonts w:hint="eastAsia" w:eastAsia="仿宋_GB2312"/>
          <w:color w:val="auto"/>
          <w:sz w:val="24"/>
          <w:lang w:val="en-US" w:eastAsia="zh-CN"/>
        </w:rPr>
        <w:t>4</w:t>
      </w:r>
      <w:r>
        <w:rPr>
          <w:rFonts w:hint="eastAsia" w:eastAsia="仿宋_GB2312"/>
          <w:color w:val="auto"/>
          <w:sz w:val="24"/>
        </w:rPr>
        <w:t>-2，大气评价等级判断参数见表1.</w:t>
      </w:r>
      <w:r>
        <w:rPr>
          <w:rFonts w:hint="eastAsia" w:eastAsia="仿宋_GB2312"/>
          <w:color w:val="auto"/>
          <w:sz w:val="24"/>
          <w:lang w:val="en-US" w:eastAsia="zh-CN"/>
        </w:rPr>
        <w:t>4</w:t>
      </w:r>
      <w:r>
        <w:rPr>
          <w:rFonts w:eastAsia="仿宋_GB2312"/>
          <w:color w:val="auto"/>
          <w:sz w:val="24"/>
        </w:rPr>
        <w:t>-</w:t>
      </w:r>
      <w:r>
        <w:rPr>
          <w:rFonts w:hint="eastAsia" w:eastAsia="仿宋_GB2312"/>
          <w:color w:val="auto"/>
          <w:sz w:val="24"/>
          <w:lang w:val="en-US" w:eastAsia="zh-CN"/>
        </w:rPr>
        <w:t>3</w:t>
      </w:r>
      <w:r>
        <w:rPr>
          <w:rFonts w:hint="eastAsia" w:eastAsia="仿宋_GB2312"/>
          <w:color w:val="auto"/>
          <w:sz w:val="24"/>
        </w:rPr>
        <w:t>。</w:t>
      </w:r>
    </w:p>
    <w:p>
      <w:pPr>
        <w:widowControl w:val="0"/>
        <w:spacing w:line="360" w:lineRule="auto"/>
        <w:jc w:val="center"/>
        <w:rPr>
          <w:rFonts w:hint="eastAsia" w:eastAsia="黑体"/>
          <w:b/>
          <w:color w:val="auto"/>
          <w:szCs w:val="21"/>
        </w:rPr>
      </w:pPr>
      <w:r>
        <w:rPr>
          <w:rFonts w:hint="eastAsia" w:eastAsia="黑体"/>
          <w:b/>
          <w:color w:val="auto"/>
          <w:szCs w:val="21"/>
        </w:rPr>
        <w:t>表1.</w:t>
      </w:r>
      <w:r>
        <w:rPr>
          <w:rFonts w:hint="eastAsia" w:eastAsia="黑体"/>
          <w:b/>
          <w:color w:val="auto"/>
          <w:szCs w:val="21"/>
          <w:lang w:val="en-US" w:eastAsia="zh-CN"/>
        </w:rPr>
        <w:t>4</w:t>
      </w:r>
      <w:r>
        <w:rPr>
          <w:rFonts w:hint="eastAsia" w:eastAsia="黑体"/>
          <w:b/>
          <w:color w:val="auto"/>
          <w:szCs w:val="21"/>
        </w:rPr>
        <w:t>-2  估算模型参数表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802"/>
        <w:gridCol w:w="497"/>
        <w:gridCol w:w="2328"/>
        <w:gridCol w:w="388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824" w:type="dxa"/>
            <w:gridSpan w:val="3"/>
            <w:tcBorders>
              <w:top w:val="single" w:color="auto" w:sz="12" w:space="0"/>
              <w:bottom w:val="single" w:color="auto" w:sz="12" w:space="0"/>
            </w:tcBorders>
            <w:noWrap w:val="0"/>
            <w:vAlign w:val="center"/>
          </w:tcPr>
          <w:p>
            <w:pPr>
              <w:widowControl w:val="0"/>
              <w:jc w:val="center"/>
              <w:rPr>
                <w:rFonts w:hint="eastAsia" w:ascii="宋体" w:hAnsi="宋体" w:cs="宋体"/>
                <w:color w:val="auto"/>
                <w:kern w:val="0"/>
                <w:sz w:val="20"/>
              </w:rPr>
            </w:pPr>
            <w:r>
              <w:rPr>
                <w:b/>
                <w:bCs/>
                <w:color w:val="auto"/>
                <w:kern w:val="0"/>
                <w:sz w:val="20"/>
              </w:rPr>
              <w:t>参数</w:t>
            </w:r>
          </w:p>
        </w:tc>
        <w:tc>
          <w:tcPr>
            <w:tcW w:w="4083" w:type="dxa"/>
            <w:tcBorders>
              <w:top w:val="single" w:color="auto" w:sz="12" w:space="0"/>
              <w:bottom w:val="single" w:color="auto" w:sz="12" w:space="0"/>
            </w:tcBorders>
            <w:noWrap w:val="0"/>
            <w:vAlign w:val="center"/>
          </w:tcPr>
          <w:p>
            <w:pPr>
              <w:widowControl w:val="0"/>
              <w:jc w:val="center"/>
              <w:rPr>
                <w:rFonts w:hint="eastAsia" w:ascii="宋体" w:hAnsi="宋体" w:cs="宋体"/>
                <w:color w:val="auto"/>
                <w:kern w:val="0"/>
                <w:sz w:val="20"/>
              </w:rPr>
            </w:pPr>
            <w:r>
              <w:rPr>
                <w:b/>
                <w:bCs/>
                <w:color w:val="auto"/>
                <w:kern w:val="0"/>
                <w:sz w:val="20"/>
              </w:rPr>
              <w:t>取值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884" w:type="dxa"/>
            <w:vMerge w:val="restart"/>
            <w:tcBorders>
              <w:top w:val="single" w:color="auto" w:sz="12" w:space="0"/>
            </w:tcBorders>
            <w:noWrap w:val="0"/>
            <w:vAlign w:val="center"/>
          </w:tcPr>
          <w:p>
            <w:pPr>
              <w:widowControl w:val="0"/>
              <w:adjustRightInd w:val="0"/>
              <w:snapToGrid w:val="0"/>
              <w:jc w:val="center"/>
              <w:rPr>
                <w:color w:val="auto"/>
              </w:rPr>
            </w:pPr>
            <w:r>
              <w:rPr>
                <w:color w:val="auto"/>
                <w:kern w:val="0"/>
                <w:sz w:val="20"/>
              </w:rPr>
              <w:t>城市/农村选项</w:t>
            </w:r>
          </w:p>
        </w:tc>
        <w:tc>
          <w:tcPr>
            <w:tcW w:w="2940" w:type="dxa"/>
            <w:gridSpan w:val="2"/>
            <w:tcBorders>
              <w:top w:val="single" w:color="auto" w:sz="12" w:space="0"/>
            </w:tcBorders>
            <w:noWrap w:val="0"/>
            <w:vAlign w:val="center"/>
          </w:tcPr>
          <w:p>
            <w:pPr>
              <w:widowControl w:val="0"/>
              <w:jc w:val="center"/>
              <w:rPr>
                <w:rFonts w:hint="eastAsia" w:ascii="宋体" w:hAnsi="宋体" w:cs="宋体"/>
                <w:color w:val="auto"/>
                <w:kern w:val="0"/>
                <w:sz w:val="20"/>
              </w:rPr>
            </w:pPr>
            <w:r>
              <w:rPr>
                <w:color w:val="auto"/>
                <w:kern w:val="0"/>
                <w:sz w:val="20"/>
              </w:rPr>
              <w:t>城市/农村</w:t>
            </w:r>
          </w:p>
        </w:tc>
        <w:tc>
          <w:tcPr>
            <w:tcW w:w="4083" w:type="dxa"/>
            <w:tcBorders>
              <w:top w:val="single" w:color="auto" w:sz="12" w:space="0"/>
            </w:tcBorders>
            <w:noWrap w:val="0"/>
            <w:vAlign w:val="center"/>
          </w:tcPr>
          <w:p>
            <w:pPr>
              <w:widowControl w:val="0"/>
              <w:jc w:val="center"/>
              <w:rPr>
                <w:rFonts w:hint="eastAsia" w:ascii="宋体" w:hAnsi="宋体" w:cs="宋体"/>
                <w:color w:val="auto"/>
                <w:kern w:val="0"/>
                <w:sz w:val="20"/>
              </w:rPr>
            </w:pPr>
            <w:r>
              <w:rPr>
                <w:rFonts w:hint="eastAsia"/>
                <w:color w:val="auto"/>
                <w:kern w:val="0"/>
                <w:sz w:val="20"/>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884" w:type="dxa"/>
            <w:vMerge w:val="continue"/>
            <w:noWrap w:val="0"/>
            <w:vAlign w:val="center"/>
          </w:tcPr>
          <w:p>
            <w:pPr>
              <w:widowControl w:val="0"/>
              <w:adjustRightInd w:val="0"/>
              <w:snapToGrid w:val="0"/>
              <w:jc w:val="center"/>
              <w:rPr>
                <w:color w:val="auto"/>
              </w:rPr>
            </w:pPr>
          </w:p>
        </w:tc>
        <w:tc>
          <w:tcPr>
            <w:tcW w:w="2940" w:type="dxa"/>
            <w:gridSpan w:val="2"/>
            <w:noWrap w:val="0"/>
            <w:vAlign w:val="center"/>
          </w:tcPr>
          <w:p>
            <w:pPr>
              <w:widowControl w:val="0"/>
              <w:jc w:val="center"/>
              <w:rPr>
                <w:rFonts w:hint="eastAsia" w:ascii="宋体" w:hAnsi="宋体" w:cs="宋体"/>
                <w:color w:val="auto"/>
                <w:kern w:val="0"/>
                <w:sz w:val="20"/>
              </w:rPr>
            </w:pPr>
            <w:r>
              <w:rPr>
                <w:color w:val="auto"/>
                <w:kern w:val="0"/>
                <w:sz w:val="20"/>
              </w:rPr>
              <w:t>人口数（城市选项时）</w:t>
            </w:r>
          </w:p>
        </w:tc>
        <w:tc>
          <w:tcPr>
            <w:tcW w:w="4083" w:type="dxa"/>
            <w:noWrap w:val="0"/>
            <w:vAlign w:val="center"/>
          </w:tcPr>
          <w:p>
            <w:pPr>
              <w:widowControl w:val="0"/>
              <w:jc w:val="center"/>
              <w:rPr>
                <w:rFonts w:hint="eastAsia" w:ascii="宋体" w:hAnsi="宋体" w:cs="宋体"/>
                <w:color w:val="auto"/>
                <w:kern w:val="0"/>
                <w:sz w:val="20"/>
              </w:rPr>
            </w:pPr>
            <w:r>
              <w:rPr>
                <w:rFonts w:hint="eastAsia"/>
                <w:color w:val="auto"/>
                <w:kern w:val="0"/>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824" w:type="dxa"/>
            <w:gridSpan w:val="3"/>
            <w:noWrap w:val="0"/>
            <w:vAlign w:val="center"/>
          </w:tcPr>
          <w:p>
            <w:pPr>
              <w:widowControl w:val="0"/>
              <w:jc w:val="center"/>
              <w:rPr>
                <w:rFonts w:hint="eastAsia" w:ascii="宋体" w:hAnsi="宋体" w:cs="宋体"/>
                <w:color w:val="auto"/>
                <w:kern w:val="0"/>
                <w:sz w:val="20"/>
              </w:rPr>
            </w:pPr>
            <w:r>
              <w:rPr>
                <w:color w:val="auto"/>
                <w:kern w:val="0"/>
                <w:sz w:val="20"/>
              </w:rPr>
              <w:t>最高环境温度（℃）</w:t>
            </w:r>
          </w:p>
        </w:tc>
        <w:tc>
          <w:tcPr>
            <w:tcW w:w="4083" w:type="dxa"/>
            <w:noWrap w:val="0"/>
            <w:vAlign w:val="center"/>
          </w:tcPr>
          <w:p>
            <w:pPr>
              <w:widowControl w:val="0"/>
              <w:jc w:val="center"/>
              <w:rPr>
                <w:color w:val="auto"/>
                <w:kern w:val="0"/>
                <w:sz w:val="20"/>
              </w:rPr>
            </w:pPr>
            <w:r>
              <w:rPr>
                <w:rFonts w:hint="eastAsia"/>
                <w:color w:val="auto"/>
                <w:kern w:val="0"/>
                <w:sz w:val="20"/>
                <w:szCs w:val="22"/>
                <w:lang w:val="en-US" w:eastAsia="zh-CN"/>
              </w:rPr>
              <w:t>40.8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824" w:type="dxa"/>
            <w:gridSpan w:val="3"/>
            <w:noWrap w:val="0"/>
            <w:vAlign w:val="center"/>
          </w:tcPr>
          <w:p>
            <w:pPr>
              <w:widowControl w:val="0"/>
              <w:jc w:val="center"/>
              <w:rPr>
                <w:rFonts w:hint="eastAsia" w:ascii="宋体" w:hAnsi="宋体" w:cs="宋体"/>
                <w:color w:val="auto"/>
                <w:kern w:val="0"/>
                <w:sz w:val="20"/>
              </w:rPr>
            </w:pPr>
            <w:r>
              <w:rPr>
                <w:color w:val="auto"/>
                <w:kern w:val="0"/>
                <w:sz w:val="20"/>
              </w:rPr>
              <w:t>最低环境温度（℃）</w:t>
            </w:r>
          </w:p>
        </w:tc>
        <w:tc>
          <w:tcPr>
            <w:tcW w:w="4083" w:type="dxa"/>
            <w:noWrap w:val="0"/>
            <w:vAlign w:val="center"/>
          </w:tcPr>
          <w:p>
            <w:pPr>
              <w:widowControl w:val="0"/>
              <w:jc w:val="center"/>
              <w:rPr>
                <w:color w:val="auto"/>
                <w:kern w:val="0"/>
                <w:sz w:val="20"/>
              </w:rPr>
            </w:pPr>
            <w:r>
              <w:rPr>
                <w:color w:val="auto"/>
                <w:kern w:val="0"/>
                <w:sz w:val="20"/>
              </w:rPr>
              <w:t>-</w:t>
            </w:r>
            <w:r>
              <w:rPr>
                <w:rFonts w:hint="eastAsia"/>
                <w:color w:val="auto"/>
                <w:kern w:val="0"/>
                <w:sz w:val="20"/>
                <w:lang w:val="en-US" w:eastAsia="zh-CN"/>
              </w:rPr>
              <w:t>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824" w:type="dxa"/>
            <w:gridSpan w:val="3"/>
            <w:noWrap w:val="0"/>
            <w:vAlign w:val="center"/>
          </w:tcPr>
          <w:p>
            <w:pPr>
              <w:widowControl w:val="0"/>
              <w:jc w:val="center"/>
              <w:rPr>
                <w:rFonts w:hint="eastAsia" w:ascii="宋体" w:hAnsi="宋体" w:cs="宋体"/>
                <w:color w:val="auto"/>
                <w:kern w:val="0"/>
                <w:sz w:val="20"/>
              </w:rPr>
            </w:pPr>
            <w:r>
              <w:rPr>
                <w:color w:val="auto"/>
                <w:kern w:val="0"/>
                <w:sz w:val="20"/>
              </w:rPr>
              <w:t>土地利用类型</w:t>
            </w:r>
          </w:p>
        </w:tc>
        <w:tc>
          <w:tcPr>
            <w:tcW w:w="4083" w:type="dxa"/>
            <w:noWrap w:val="0"/>
            <w:vAlign w:val="center"/>
          </w:tcPr>
          <w:p>
            <w:pPr>
              <w:widowControl w:val="0"/>
              <w:jc w:val="center"/>
              <w:rPr>
                <w:rFonts w:hint="eastAsia" w:eastAsia="宋体"/>
                <w:color w:val="auto"/>
                <w:kern w:val="0"/>
                <w:sz w:val="20"/>
                <w:lang w:eastAsia="zh-CN"/>
              </w:rPr>
            </w:pPr>
            <w:r>
              <w:rPr>
                <w:color w:val="auto"/>
                <w:kern w:val="0"/>
                <w:sz w:val="20"/>
              </w:rPr>
              <w:t>城市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824" w:type="dxa"/>
            <w:gridSpan w:val="3"/>
            <w:noWrap w:val="0"/>
            <w:vAlign w:val="center"/>
          </w:tcPr>
          <w:p>
            <w:pPr>
              <w:widowControl w:val="0"/>
              <w:jc w:val="center"/>
              <w:rPr>
                <w:rFonts w:hint="eastAsia" w:ascii="宋体" w:hAnsi="宋体" w:cs="宋体"/>
                <w:color w:val="auto"/>
                <w:kern w:val="0"/>
                <w:sz w:val="20"/>
              </w:rPr>
            </w:pPr>
            <w:r>
              <w:rPr>
                <w:color w:val="auto"/>
                <w:kern w:val="0"/>
                <w:sz w:val="20"/>
              </w:rPr>
              <w:t>区域湿度条件</w:t>
            </w:r>
          </w:p>
        </w:tc>
        <w:tc>
          <w:tcPr>
            <w:tcW w:w="4083" w:type="dxa"/>
            <w:noWrap w:val="0"/>
            <w:vAlign w:val="center"/>
          </w:tcPr>
          <w:p>
            <w:pPr>
              <w:widowControl w:val="0"/>
              <w:jc w:val="center"/>
              <w:rPr>
                <w:color w:val="auto"/>
                <w:kern w:val="0"/>
                <w:sz w:val="20"/>
              </w:rPr>
            </w:pPr>
            <w:r>
              <w:rPr>
                <w:color w:val="auto"/>
                <w:kern w:val="0"/>
                <w:sz w:val="20"/>
              </w:rPr>
              <w:t>潮湿</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2410" w:type="dxa"/>
            <w:gridSpan w:val="2"/>
            <w:vMerge w:val="restart"/>
            <w:noWrap w:val="0"/>
            <w:vAlign w:val="center"/>
          </w:tcPr>
          <w:p>
            <w:pPr>
              <w:widowControl w:val="0"/>
              <w:jc w:val="center"/>
              <w:rPr>
                <w:rFonts w:hint="eastAsia" w:ascii="宋体" w:hAnsi="宋体" w:cs="宋体"/>
                <w:color w:val="auto"/>
                <w:kern w:val="0"/>
                <w:sz w:val="20"/>
              </w:rPr>
            </w:pPr>
            <w:r>
              <w:rPr>
                <w:color w:val="auto"/>
                <w:kern w:val="0"/>
                <w:sz w:val="20"/>
              </w:rPr>
              <w:t>是否考虑地形</w:t>
            </w:r>
          </w:p>
        </w:tc>
        <w:tc>
          <w:tcPr>
            <w:tcW w:w="2414" w:type="dxa"/>
            <w:noWrap w:val="0"/>
            <w:vAlign w:val="center"/>
          </w:tcPr>
          <w:p>
            <w:pPr>
              <w:widowControl w:val="0"/>
              <w:jc w:val="center"/>
              <w:rPr>
                <w:rFonts w:hint="eastAsia" w:ascii="宋体" w:hAnsi="宋体" w:cs="宋体"/>
                <w:color w:val="auto"/>
                <w:kern w:val="0"/>
                <w:sz w:val="20"/>
              </w:rPr>
            </w:pPr>
            <w:r>
              <w:rPr>
                <w:color w:val="auto"/>
                <w:kern w:val="0"/>
                <w:sz w:val="20"/>
              </w:rPr>
              <w:t>考虑地形</w:t>
            </w:r>
          </w:p>
        </w:tc>
        <w:tc>
          <w:tcPr>
            <w:tcW w:w="4083" w:type="dxa"/>
            <w:noWrap w:val="0"/>
            <w:vAlign w:val="center"/>
          </w:tcPr>
          <w:p>
            <w:pPr>
              <w:widowControl w:val="0"/>
              <w:jc w:val="center"/>
              <w:rPr>
                <w:rFonts w:hint="eastAsia" w:ascii="宋体" w:hAnsi="宋体" w:cs="宋体"/>
                <w:color w:val="auto"/>
                <w:kern w:val="0"/>
                <w:sz w:val="20"/>
              </w:rPr>
            </w:pPr>
            <w:r>
              <w:rPr>
                <w:color w:val="auto"/>
                <w:kern w:val="0"/>
                <w:sz w:val="20"/>
                <w:szCs w:val="22"/>
              </w:rPr>
              <w:t>考虑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2410" w:type="dxa"/>
            <w:gridSpan w:val="2"/>
            <w:vMerge w:val="continue"/>
            <w:noWrap w:val="0"/>
            <w:vAlign w:val="center"/>
          </w:tcPr>
          <w:p>
            <w:pPr>
              <w:widowControl w:val="0"/>
              <w:jc w:val="center"/>
              <w:rPr>
                <w:rFonts w:hint="eastAsia" w:ascii="宋体" w:hAnsi="宋体" w:cs="宋体"/>
                <w:color w:val="auto"/>
                <w:kern w:val="0"/>
                <w:sz w:val="20"/>
              </w:rPr>
            </w:pPr>
          </w:p>
        </w:tc>
        <w:tc>
          <w:tcPr>
            <w:tcW w:w="2414" w:type="dxa"/>
            <w:noWrap w:val="0"/>
            <w:vAlign w:val="center"/>
          </w:tcPr>
          <w:p>
            <w:pPr>
              <w:widowControl w:val="0"/>
              <w:jc w:val="center"/>
              <w:rPr>
                <w:rFonts w:hint="eastAsia" w:ascii="宋体" w:hAnsi="宋体" w:cs="宋体"/>
                <w:color w:val="auto"/>
                <w:kern w:val="0"/>
                <w:sz w:val="20"/>
              </w:rPr>
            </w:pPr>
            <w:r>
              <w:rPr>
                <w:color w:val="auto"/>
                <w:kern w:val="0"/>
                <w:sz w:val="20"/>
              </w:rPr>
              <w:t>地形数据分辨率（m）</w:t>
            </w:r>
          </w:p>
        </w:tc>
        <w:tc>
          <w:tcPr>
            <w:tcW w:w="4083" w:type="dxa"/>
            <w:noWrap w:val="0"/>
            <w:vAlign w:val="center"/>
          </w:tcPr>
          <w:p>
            <w:pPr>
              <w:widowControl w:val="0"/>
              <w:jc w:val="center"/>
              <w:rPr>
                <w:rFonts w:hint="eastAsia" w:ascii="宋体" w:hAnsi="宋体" w:cs="宋体"/>
                <w:color w:val="auto"/>
                <w:kern w:val="0"/>
                <w:sz w:val="20"/>
              </w:rPr>
            </w:pPr>
            <w:r>
              <w:rPr>
                <w:color w:val="auto"/>
                <w:kern w:val="0"/>
                <w:sz w:val="20"/>
                <w:szCs w:val="22"/>
              </w:rPr>
              <w:t>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2410" w:type="dxa"/>
            <w:gridSpan w:val="2"/>
            <w:vMerge w:val="restart"/>
            <w:noWrap w:val="0"/>
            <w:vAlign w:val="center"/>
          </w:tcPr>
          <w:p>
            <w:pPr>
              <w:widowControl w:val="0"/>
              <w:jc w:val="center"/>
              <w:rPr>
                <w:rFonts w:hint="eastAsia" w:ascii="宋体" w:hAnsi="宋体" w:cs="宋体"/>
                <w:color w:val="auto"/>
                <w:kern w:val="0"/>
                <w:sz w:val="20"/>
              </w:rPr>
            </w:pPr>
            <w:r>
              <w:rPr>
                <w:color w:val="auto"/>
                <w:kern w:val="0"/>
                <w:sz w:val="20"/>
              </w:rPr>
              <w:t>是否考虑岸线熏烟</w:t>
            </w:r>
          </w:p>
        </w:tc>
        <w:tc>
          <w:tcPr>
            <w:tcW w:w="2414" w:type="dxa"/>
            <w:noWrap w:val="0"/>
            <w:vAlign w:val="center"/>
          </w:tcPr>
          <w:p>
            <w:pPr>
              <w:widowControl w:val="0"/>
              <w:jc w:val="center"/>
              <w:rPr>
                <w:rFonts w:hint="eastAsia" w:ascii="宋体" w:hAnsi="宋体" w:cs="宋体"/>
                <w:color w:val="auto"/>
                <w:kern w:val="0"/>
                <w:sz w:val="20"/>
              </w:rPr>
            </w:pPr>
            <w:r>
              <w:rPr>
                <w:color w:val="auto"/>
                <w:kern w:val="0"/>
                <w:sz w:val="20"/>
              </w:rPr>
              <w:t>考虑岸线熏烟</w:t>
            </w:r>
          </w:p>
        </w:tc>
        <w:tc>
          <w:tcPr>
            <w:tcW w:w="4083" w:type="dxa"/>
            <w:noWrap w:val="0"/>
            <w:vAlign w:val="center"/>
          </w:tcPr>
          <w:p>
            <w:pPr>
              <w:widowControl w:val="0"/>
              <w:jc w:val="center"/>
              <w:rPr>
                <w:rFonts w:hint="eastAsia" w:ascii="宋体" w:hAnsi="宋体" w:cs="宋体"/>
                <w:color w:val="auto"/>
                <w:kern w:val="0"/>
                <w:sz w:val="20"/>
              </w:rPr>
            </w:pPr>
            <w:r>
              <w:rPr>
                <w:color w:val="auto"/>
                <w:kern w:val="0"/>
                <w:sz w:val="20"/>
              </w:rPr>
              <w:t>不考虑（本项目3km范围内无海和湖）</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2410" w:type="dxa"/>
            <w:gridSpan w:val="2"/>
            <w:vMerge w:val="continue"/>
            <w:noWrap w:val="0"/>
            <w:vAlign w:val="center"/>
          </w:tcPr>
          <w:p>
            <w:pPr>
              <w:widowControl w:val="0"/>
              <w:jc w:val="center"/>
              <w:rPr>
                <w:rFonts w:hint="eastAsia" w:ascii="宋体" w:hAnsi="宋体" w:cs="宋体"/>
                <w:color w:val="auto"/>
                <w:kern w:val="0"/>
                <w:sz w:val="20"/>
              </w:rPr>
            </w:pPr>
          </w:p>
        </w:tc>
        <w:tc>
          <w:tcPr>
            <w:tcW w:w="2414" w:type="dxa"/>
            <w:noWrap w:val="0"/>
            <w:vAlign w:val="center"/>
          </w:tcPr>
          <w:p>
            <w:pPr>
              <w:widowControl w:val="0"/>
              <w:jc w:val="center"/>
              <w:rPr>
                <w:rFonts w:hint="eastAsia" w:ascii="宋体" w:hAnsi="宋体" w:cs="宋体"/>
                <w:color w:val="auto"/>
                <w:kern w:val="0"/>
                <w:sz w:val="20"/>
              </w:rPr>
            </w:pPr>
            <w:r>
              <w:rPr>
                <w:color w:val="auto"/>
                <w:kern w:val="0"/>
                <w:sz w:val="20"/>
              </w:rPr>
              <w:t>岸线距离（km）</w:t>
            </w:r>
          </w:p>
        </w:tc>
        <w:tc>
          <w:tcPr>
            <w:tcW w:w="4083" w:type="dxa"/>
            <w:noWrap w:val="0"/>
            <w:vAlign w:val="center"/>
          </w:tcPr>
          <w:p>
            <w:pPr>
              <w:widowControl w:val="0"/>
              <w:jc w:val="center"/>
              <w:rPr>
                <w:rFonts w:hint="eastAsia" w:ascii="宋体" w:hAnsi="宋体" w:cs="宋体"/>
                <w:color w:val="auto"/>
                <w:kern w:val="0"/>
                <w:sz w:val="20"/>
              </w:rPr>
            </w:pPr>
            <w:r>
              <w:rPr>
                <w:color w:val="auto"/>
                <w:kern w:val="0"/>
                <w:sz w:val="20"/>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2410" w:type="dxa"/>
            <w:gridSpan w:val="2"/>
            <w:vMerge w:val="continue"/>
            <w:tcBorders>
              <w:bottom w:val="single" w:color="auto" w:sz="12" w:space="0"/>
            </w:tcBorders>
            <w:noWrap w:val="0"/>
            <w:vAlign w:val="center"/>
          </w:tcPr>
          <w:p>
            <w:pPr>
              <w:widowControl w:val="0"/>
              <w:jc w:val="center"/>
              <w:rPr>
                <w:rFonts w:hint="eastAsia" w:ascii="宋体" w:hAnsi="宋体" w:cs="宋体"/>
                <w:color w:val="auto"/>
                <w:kern w:val="0"/>
                <w:sz w:val="20"/>
              </w:rPr>
            </w:pPr>
          </w:p>
        </w:tc>
        <w:tc>
          <w:tcPr>
            <w:tcW w:w="2414" w:type="dxa"/>
            <w:tcBorders>
              <w:bottom w:val="single" w:color="auto" w:sz="12" w:space="0"/>
            </w:tcBorders>
            <w:noWrap w:val="0"/>
            <w:vAlign w:val="center"/>
          </w:tcPr>
          <w:p>
            <w:pPr>
              <w:widowControl w:val="0"/>
              <w:jc w:val="center"/>
              <w:rPr>
                <w:rFonts w:hint="eastAsia" w:ascii="宋体" w:hAnsi="宋体" w:cs="宋体"/>
                <w:color w:val="auto"/>
                <w:kern w:val="0"/>
                <w:sz w:val="20"/>
              </w:rPr>
            </w:pPr>
            <w:r>
              <w:rPr>
                <w:color w:val="auto"/>
                <w:kern w:val="0"/>
                <w:sz w:val="20"/>
              </w:rPr>
              <w:t>岸线方向（º）</w:t>
            </w:r>
          </w:p>
        </w:tc>
        <w:tc>
          <w:tcPr>
            <w:tcW w:w="4083" w:type="dxa"/>
            <w:tcBorders>
              <w:bottom w:val="single" w:color="auto" w:sz="12" w:space="0"/>
            </w:tcBorders>
            <w:noWrap w:val="0"/>
            <w:vAlign w:val="center"/>
          </w:tcPr>
          <w:p>
            <w:pPr>
              <w:widowControl w:val="0"/>
              <w:jc w:val="center"/>
              <w:rPr>
                <w:color w:val="auto"/>
                <w:kern w:val="0"/>
                <w:sz w:val="20"/>
              </w:rPr>
            </w:pPr>
            <w:r>
              <w:rPr>
                <w:color w:val="auto"/>
                <w:kern w:val="0"/>
                <w:sz w:val="20"/>
              </w:rPr>
              <w:t>/</w:t>
            </w:r>
          </w:p>
        </w:tc>
      </w:tr>
    </w:tbl>
    <w:p>
      <w:pPr>
        <w:widowControl w:val="0"/>
        <w:spacing w:line="360" w:lineRule="auto"/>
        <w:jc w:val="center"/>
        <w:rPr>
          <w:rFonts w:hint="eastAsia" w:eastAsia="黑体"/>
          <w:b/>
          <w:color w:val="auto"/>
          <w:szCs w:val="21"/>
        </w:rPr>
      </w:pPr>
      <w:r>
        <w:rPr>
          <w:rFonts w:eastAsia="黑体"/>
          <w:b/>
          <w:color w:val="auto"/>
          <w:szCs w:val="21"/>
        </w:rPr>
        <w:t>表1.</w:t>
      </w:r>
      <w:r>
        <w:rPr>
          <w:rFonts w:hint="eastAsia" w:eastAsia="黑体"/>
          <w:b/>
          <w:color w:val="auto"/>
          <w:szCs w:val="21"/>
          <w:lang w:val="en-US" w:eastAsia="zh-CN"/>
        </w:rPr>
        <w:t>4</w:t>
      </w:r>
      <w:r>
        <w:rPr>
          <w:rFonts w:eastAsia="黑体"/>
          <w:b/>
          <w:color w:val="auto"/>
          <w:szCs w:val="21"/>
        </w:rPr>
        <w:t>-3  拟建项目大气评价等级判断参数表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6"/>
        <w:gridCol w:w="633"/>
        <w:gridCol w:w="1276"/>
        <w:gridCol w:w="746"/>
        <w:gridCol w:w="1133"/>
        <w:gridCol w:w="1233"/>
        <w:gridCol w:w="1396"/>
        <w:gridCol w:w="14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3" w:hRule="atLeast"/>
        </w:trPr>
        <w:tc>
          <w:tcPr>
            <w:tcW w:w="397" w:type="pct"/>
            <w:tcBorders>
              <w:top w:val="single" w:color="auto" w:sz="12" w:space="0"/>
              <w:bottom w:val="single" w:color="auto" w:sz="6" w:space="0"/>
            </w:tcBorders>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序号</w:t>
            </w:r>
          </w:p>
        </w:tc>
        <w:tc>
          <w:tcPr>
            <w:tcW w:w="371" w:type="pct"/>
            <w:tcBorders>
              <w:top w:val="single" w:color="auto" w:sz="12" w:space="0"/>
              <w:bottom w:val="single" w:color="auto" w:sz="6" w:space="0"/>
            </w:tcBorders>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类型</w:t>
            </w:r>
          </w:p>
        </w:tc>
        <w:tc>
          <w:tcPr>
            <w:tcW w:w="749" w:type="pct"/>
            <w:tcBorders>
              <w:top w:val="single" w:color="auto" w:sz="12" w:space="0"/>
            </w:tcBorders>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污染源名称</w:t>
            </w:r>
          </w:p>
        </w:tc>
        <w:tc>
          <w:tcPr>
            <w:tcW w:w="438" w:type="pct"/>
            <w:tcBorders>
              <w:top w:val="single" w:color="auto" w:sz="12" w:space="0"/>
              <w:bottom w:val="single" w:color="auto" w:sz="6" w:space="0"/>
            </w:tcBorders>
            <w:noWrap w:val="0"/>
            <w:vAlign w:val="center"/>
          </w:tcPr>
          <w:p>
            <w:pPr>
              <w:jc w:val="center"/>
              <w:rPr>
                <w:rFonts w:hint="eastAsia" w:ascii="Times New Roman" w:hAnsi="Times New Roman" w:eastAsia="宋体" w:cs="Times New Roman"/>
                <w:color w:val="auto"/>
                <w:kern w:val="0"/>
                <w:sz w:val="20"/>
                <w:lang w:eastAsia="zh-CN"/>
              </w:rPr>
            </w:pPr>
            <w:r>
              <w:rPr>
                <w:rFonts w:hint="eastAsia" w:ascii="Times New Roman" w:hAnsi="Times New Roman" w:cs="Times New Roman"/>
                <w:color w:val="auto"/>
                <w:kern w:val="0"/>
                <w:sz w:val="20"/>
                <w:lang w:val="en-US" w:eastAsia="zh-CN"/>
              </w:rPr>
              <w:t>评价因子</w:t>
            </w:r>
          </w:p>
        </w:tc>
        <w:tc>
          <w:tcPr>
            <w:tcW w:w="665"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评价标准（ug/m</w:t>
            </w:r>
            <w:r>
              <w:rPr>
                <w:rFonts w:hint="eastAsia" w:ascii="Times New Roman" w:hAnsi="Times New Roman" w:cs="Times New Roman"/>
                <w:color w:val="auto"/>
                <w:kern w:val="0"/>
                <w:sz w:val="20"/>
                <w:vertAlign w:val="superscript"/>
                <w:lang w:val="en-US" w:eastAsia="zh-CN"/>
              </w:rPr>
              <w:t>3</w:t>
            </w:r>
            <w:r>
              <w:rPr>
                <w:rFonts w:hint="eastAsia" w:ascii="Times New Roman" w:hAnsi="Times New Roman" w:cs="Times New Roman"/>
                <w:color w:val="auto"/>
                <w:kern w:val="0"/>
                <w:sz w:val="20"/>
                <w:lang w:val="en-US" w:eastAsia="zh-CN"/>
              </w:rPr>
              <w:t>）</w:t>
            </w:r>
          </w:p>
        </w:tc>
        <w:tc>
          <w:tcPr>
            <w:tcW w:w="724" w:type="pct"/>
            <w:tcBorders>
              <w:top w:val="single" w:color="auto" w:sz="12" w:space="0"/>
            </w:tcBorders>
            <w:noWrap w:val="0"/>
            <w:vAlign w:val="center"/>
          </w:tcPr>
          <w:p>
            <w:pPr>
              <w:widowControl w:val="0"/>
              <w:ind w:left="-105" w:leftChars="-50" w:right="-105" w:rightChars="-50"/>
              <w:jc w:val="center"/>
              <w:rPr>
                <w:rFonts w:hint="eastAsia" w:ascii="Times New Roman" w:hAnsi="Times New Roman" w:eastAsia="宋体" w:cs="Times New Roman"/>
                <w:color w:val="auto"/>
                <w:kern w:val="0"/>
                <w:sz w:val="20"/>
                <w:lang w:val="en-US" w:eastAsia="zh-CN"/>
              </w:rPr>
            </w:pPr>
            <w:r>
              <w:rPr>
                <w:rFonts w:hint="eastAsia"/>
                <w:color w:val="auto"/>
                <w:sz w:val="20"/>
                <w:lang w:val="en-US" w:eastAsia="zh-CN"/>
              </w:rPr>
              <w:t>C</w:t>
            </w:r>
            <w:r>
              <w:rPr>
                <w:rFonts w:hint="eastAsia"/>
                <w:color w:val="auto"/>
                <w:sz w:val="20"/>
                <w:vertAlign w:val="subscript"/>
                <w:lang w:val="en-US" w:eastAsia="zh-CN"/>
              </w:rPr>
              <w:t>max</w:t>
            </w:r>
          </w:p>
        </w:tc>
        <w:tc>
          <w:tcPr>
            <w:tcW w:w="820" w:type="pct"/>
            <w:tcBorders>
              <w:top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0"/>
                <w:sz w:val="20"/>
                <w:lang w:val="en-US" w:eastAsia="zh-CN"/>
              </w:rPr>
            </w:pPr>
            <w:r>
              <w:rPr>
                <w:rFonts w:hint="eastAsia"/>
                <w:color w:val="auto"/>
                <w:sz w:val="20"/>
                <w:lang w:val="en-US" w:eastAsia="zh-CN"/>
              </w:rPr>
              <w:t>P</w:t>
            </w:r>
            <w:r>
              <w:rPr>
                <w:rFonts w:hint="eastAsia"/>
                <w:color w:val="auto"/>
                <w:sz w:val="20"/>
                <w:vertAlign w:val="subscript"/>
                <w:lang w:val="en-US" w:eastAsia="zh-CN"/>
              </w:rPr>
              <w:t>max</w:t>
            </w:r>
          </w:p>
        </w:tc>
        <w:tc>
          <w:tcPr>
            <w:tcW w:w="833" w:type="pct"/>
            <w:tcBorders>
              <w:top w:val="single" w:color="auto" w:sz="12" w:space="0"/>
              <w:bottom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0"/>
                <w:sz w:val="20"/>
                <w:lang w:val="en-US" w:eastAsia="zh-CN"/>
              </w:rPr>
            </w:pPr>
            <w:r>
              <w:rPr>
                <w:rFonts w:hint="eastAsia"/>
                <w:color w:val="auto"/>
                <w:sz w:val="20"/>
                <w:lang w:val="en-US" w:eastAsia="zh-CN"/>
              </w:rPr>
              <w:t>D</w:t>
            </w:r>
            <w:r>
              <w:rPr>
                <w:rFonts w:hint="eastAsia"/>
                <w:color w:val="auto"/>
                <w:sz w:val="20"/>
                <w:vertAlign w:val="subscript"/>
                <w:lang w:val="en-US" w:eastAsia="zh-CN"/>
              </w:rPr>
              <w:t>10%</w:t>
            </w:r>
            <w:r>
              <w:rPr>
                <w:rFonts w:hint="eastAsia"/>
                <w:color w:val="auto"/>
                <w:sz w:val="20"/>
                <w:lang w:val="en-US" w:eastAsia="zh-CN"/>
              </w:rPr>
              <w:t>出现的最远距离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1</w:t>
            </w:r>
          </w:p>
        </w:tc>
        <w:tc>
          <w:tcPr>
            <w:tcW w:w="371" w:type="pct"/>
            <w:vMerge w:val="restart"/>
            <w:tcBorders>
              <w:top w:val="single" w:color="auto" w:sz="12" w:space="0"/>
            </w:tcBorders>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面源</w:t>
            </w:r>
          </w:p>
        </w:tc>
        <w:tc>
          <w:tcPr>
            <w:tcW w:w="749" w:type="pct"/>
            <w:vMerge w:val="restar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cs="Times New Roman"/>
                <w:color w:val="auto"/>
                <w:kern w:val="0"/>
                <w:sz w:val="20"/>
              </w:rPr>
              <w:t>1</w:t>
            </w:r>
            <w:r>
              <w:rPr>
                <w:rFonts w:hint="default" w:ascii="Times New Roman" w:hAnsi="Times New Roman" w:cs="Times New Roman"/>
                <w:color w:val="auto"/>
                <w:kern w:val="0"/>
                <w:sz w:val="20"/>
                <w:lang w:val="en-US" w:eastAsia="zh-CN"/>
              </w:rPr>
              <w:t>#泊位</w:t>
            </w:r>
          </w:p>
        </w:tc>
        <w:tc>
          <w:tcPr>
            <w:tcW w:w="438"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TSP</w:t>
            </w:r>
          </w:p>
        </w:tc>
        <w:tc>
          <w:tcPr>
            <w:tcW w:w="665"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900</w:t>
            </w:r>
          </w:p>
        </w:tc>
        <w:tc>
          <w:tcPr>
            <w:tcW w:w="724"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0.009584</w:t>
            </w:r>
          </w:p>
        </w:tc>
        <w:tc>
          <w:tcPr>
            <w:tcW w:w="820"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1.06</w:t>
            </w:r>
          </w:p>
        </w:tc>
        <w:tc>
          <w:tcPr>
            <w:tcW w:w="833" w:type="pct"/>
            <w:tcBorders>
              <w:top w:val="single" w:color="auto" w:sz="12" w:space="0"/>
            </w:tcBorders>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438" w:type="pct"/>
            <w:noWrap w:val="0"/>
            <w:vAlign w:val="center"/>
          </w:tcPr>
          <w:p>
            <w:pPr>
              <w:jc w:val="center"/>
              <w:rPr>
                <w:rFonts w:hint="eastAsia" w:ascii="Times New Roman" w:hAnsi="Times New Roman" w:cs="Times New Roman"/>
                <w:color w:val="auto"/>
                <w:kern w:val="0"/>
                <w:sz w:val="20"/>
                <w:lang w:val="en-US" w:eastAsia="zh-CN"/>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default" w:ascii="Times New Roman" w:hAnsi="Times New Roman" w:cs="Times New Roman"/>
                <w:color w:val="auto"/>
                <w:kern w:val="0"/>
                <w:sz w:val="20"/>
                <w:lang w:val="en-US" w:eastAsia="zh-CN"/>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0.004313</w:t>
            </w:r>
          </w:p>
        </w:tc>
        <w:tc>
          <w:tcPr>
            <w:tcW w:w="820" w:type="pct"/>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0.96</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438"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0.0004792</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0.21</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2</w:t>
            </w:r>
          </w:p>
        </w:tc>
        <w:tc>
          <w:tcPr>
            <w:tcW w:w="371" w:type="pct"/>
            <w:vMerge w:val="restart"/>
            <w:noWrap w:val="0"/>
            <w:vAlign w:val="center"/>
          </w:tcPr>
          <w:p>
            <w:pPr>
              <w:jc w:val="center"/>
              <w:rPr>
                <w:rFonts w:hint="default" w:ascii="Times New Roman" w:hAnsi="Times New Roman" w:cs="Times New Roman"/>
                <w:color w:val="auto"/>
                <w:kern w:val="0"/>
                <w:sz w:val="20"/>
                <w:lang w:val="en-US" w:eastAsia="zh-CN" w:bidi="ar-SA"/>
              </w:rPr>
            </w:pPr>
            <w:r>
              <w:rPr>
                <w:rFonts w:hint="default" w:ascii="Times New Roman" w:hAnsi="Times New Roman" w:cs="Times New Roman"/>
                <w:color w:val="auto"/>
                <w:kern w:val="0"/>
                <w:sz w:val="20"/>
              </w:rPr>
              <w:t>面源</w:t>
            </w:r>
          </w:p>
        </w:tc>
        <w:tc>
          <w:tcPr>
            <w:tcW w:w="749" w:type="pct"/>
            <w:vMerge w:val="restart"/>
            <w:noWrap w:val="0"/>
            <w:vAlign w:val="center"/>
          </w:tcPr>
          <w:p>
            <w:pPr>
              <w:jc w:val="center"/>
              <w:rPr>
                <w:rFonts w:hint="default" w:ascii="Times New Roman" w:hAnsi="Times New Roman" w:eastAsia="宋体" w:cs="Times New Roman"/>
                <w:color w:val="auto"/>
                <w:kern w:val="0"/>
                <w:sz w:val="20"/>
                <w:lang w:val="en-US" w:eastAsia="zh-CN" w:bidi="ar-SA"/>
              </w:rPr>
            </w:pPr>
            <w:r>
              <w:rPr>
                <w:rFonts w:hint="default" w:ascii="Times New Roman" w:hAnsi="Times New Roman" w:cs="Times New Roman"/>
                <w:color w:val="auto"/>
                <w:kern w:val="0"/>
                <w:sz w:val="20"/>
                <w:lang w:val="en-US" w:eastAsia="zh-CN"/>
              </w:rPr>
              <w:t>2#泊位</w:t>
            </w: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TSP</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900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0.009584</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1.06</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eastAsia" w:ascii="Times New Roman" w:hAnsi="Times New Roman" w:cs="Times New Roman"/>
                <w:color w:val="auto"/>
                <w:kern w:val="0"/>
                <w:sz w:val="20"/>
                <w:lang w:val="en-US" w:eastAsia="zh-CN"/>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0.004313</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0.96</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eastAsia" w:ascii="Times New Roman" w:hAnsi="Times New Roman" w:cs="Times New Roman"/>
                <w:color w:val="auto"/>
                <w:kern w:val="0"/>
                <w:sz w:val="20"/>
                <w:lang w:val="en-US" w:eastAsia="zh-CN"/>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0.0004792</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0.21</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3</w:t>
            </w:r>
          </w:p>
        </w:tc>
        <w:tc>
          <w:tcPr>
            <w:tcW w:w="371" w:type="pct"/>
            <w:vMerge w:val="restart"/>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面源</w:t>
            </w:r>
          </w:p>
        </w:tc>
        <w:tc>
          <w:tcPr>
            <w:tcW w:w="749" w:type="pct"/>
            <w:vMerge w:val="restart"/>
            <w:noWrap w:val="0"/>
            <w:vAlign w:val="center"/>
          </w:tcPr>
          <w:p>
            <w:pPr>
              <w:jc w:val="center"/>
              <w:rPr>
                <w:rFonts w:hint="default" w:ascii="Times New Roman" w:hAnsi="Times New Roman" w:cs="Times New Roman"/>
                <w:color w:val="auto"/>
                <w:kern w:val="0"/>
                <w:sz w:val="20"/>
                <w:lang w:val="en-US" w:eastAsia="zh-CN"/>
              </w:rPr>
            </w:pPr>
            <w:r>
              <w:rPr>
                <w:rFonts w:hint="default" w:ascii="Times New Roman" w:hAnsi="Times New Roman" w:cs="Times New Roman"/>
                <w:color w:val="auto"/>
                <w:kern w:val="0"/>
                <w:sz w:val="20"/>
                <w:lang w:val="en-US" w:eastAsia="zh-CN"/>
              </w:rPr>
              <w:t>1号转运</w:t>
            </w:r>
            <w:r>
              <w:rPr>
                <w:rFonts w:hint="eastAsia" w:cs="Times New Roman"/>
                <w:color w:val="auto"/>
                <w:kern w:val="0"/>
                <w:sz w:val="20"/>
                <w:lang w:val="en-US" w:eastAsia="zh-CN"/>
              </w:rPr>
              <w:t>楼</w:t>
            </w: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TSP</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900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0.001255</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eastAsia" w:ascii="Times New Roman" w:hAnsi="Times New Roman" w:cs="Times New Roman"/>
                <w:color w:val="auto"/>
                <w:kern w:val="0"/>
                <w:sz w:val="20"/>
                <w:lang w:val="en-US" w:eastAsia="zh-CN"/>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0.0005794</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0.000087</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cs="Times New Roman"/>
                <w:color w:val="auto"/>
                <w:kern w:val="0"/>
                <w:sz w:val="20"/>
                <w:lang w:val="en-US" w:eastAsia="zh-CN"/>
              </w:rPr>
              <w:t>4</w:t>
            </w:r>
          </w:p>
        </w:tc>
        <w:tc>
          <w:tcPr>
            <w:tcW w:w="371" w:type="pct"/>
            <w:vMerge w:val="restart"/>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面源</w:t>
            </w:r>
          </w:p>
        </w:tc>
        <w:tc>
          <w:tcPr>
            <w:tcW w:w="749" w:type="pct"/>
            <w:vMerge w:val="restart"/>
            <w:noWrap w:val="0"/>
            <w:vAlign w:val="center"/>
          </w:tcPr>
          <w:p>
            <w:pPr>
              <w:jc w:val="center"/>
              <w:rPr>
                <w:rFonts w:hint="default" w:ascii="Times New Roman" w:hAnsi="Times New Roman" w:cs="Times New Roman"/>
                <w:color w:val="auto"/>
                <w:kern w:val="0"/>
                <w:sz w:val="20"/>
                <w:lang w:val="en-US" w:eastAsia="zh-CN"/>
              </w:rPr>
            </w:pPr>
            <w:r>
              <w:rPr>
                <w:rFonts w:hint="eastAsia" w:ascii="Times New Roman" w:hAnsi="Times New Roman" w:cs="Times New Roman"/>
                <w:color w:val="auto"/>
                <w:kern w:val="0"/>
                <w:sz w:val="20"/>
                <w:lang w:val="en-US" w:eastAsia="zh-CN"/>
              </w:rPr>
              <w:t>2</w:t>
            </w:r>
            <w:r>
              <w:rPr>
                <w:rFonts w:hint="default" w:ascii="Times New Roman" w:hAnsi="Times New Roman" w:cs="Times New Roman"/>
                <w:color w:val="auto"/>
                <w:kern w:val="0"/>
                <w:sz w:val="20"/>
                <w:lang w:val="en-US" w:eastAsia="zh-CN"/>
              </w:rPr>
              <w:t>号转运</w:t>
            </w:r>
            <w:r>
              <w:rPr>
                <w:rFonts w:hint="eastAsia" w:cs="Times New Roman"/>
                <w:color w:val="auto"/>
                <w:kern w:val="0"/>
                <w:sz w:val="20"/>
                <w:lang w:val="en-US" w:eastAsia="zh-CN"/>
              </w:rPr>
              <w:t>楼</w:t>
            </w: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TSP</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900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0.002414</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0.27</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eastAsia" w:ascii="Times New Roman" w:hAnsi="Times New Roman" w:cs="Times New Roman"/>
                <w:color w:val="auto"/>
                <w:kern w:val="0"/>
                <w:sz w:val="20"/>
                <w:lang w:val="en-US" w:eastAsia="zh-CN"/>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eastAsia"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0.0009657</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0.21</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0.000097</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noWrap w:val="0"/>
            <w:vAlign w:val="center"/>
          </w:tcPr>
          <w:p>
            <w:pPr>
              <w:jc w:val="center"/>
              <w:rPr>
                <w:rFonts w:hint="default" w:ascii="Times New Roman" w:hAnsi="Times New Roman" w:cs="Times New Roman"/>
                <w:color w:val="auto"/>
                <w:kern w:val="0"/>
                <w:sz w:val="20"/>
              </w:rPr>
            </w:pPr>
            <w:r>
              <w:rPr>
                <w:rFonts w:hint="eastAsia" w:cs="Times New Roman"/>
                <w:color w:val="auto"/>
                <w:kern w:val="0"/>
                <w:sz w:val="20"/>
                <w:lang w:val="en-US" w:eastAsia="zh-CN"/>
              </w:rPr>
              <w:t>5</w:t>
            </w:r>
          </w:p>
        </w:tc>
        <w:tc>
          <w:tcPr>
            <w:tcW w:w="371" w:type="pct"/>
            <w:vMerge w:val="restart"/>
            <w:noWrap w:val="0"/>
            <w:vAlign w:val="center"/>
          </w:tcPr>
          <w:p>
            <w:pPr>
              <w:jc w:val="center"/>
              <w:rPr>
                <w:rFonts w:hint="default" w:ascii="Times New Roman" w:hAnsi="Times New Roman" w:cs="Times New Roman"/>
                <w:color w:val="auto"/>
                <w:kern w:val="0"/>
                <w:sz w:val="20"/>
              </w:rPr>
            </w:pPr>
            <w:r>
              <w:rPr>
                <w:rFonts w:hint="default" w:ascii="Times New Roman" w:hAnsi="Times New Roman" w:cs="Times New Roman"/>
                <w:color w:val="auto"/>
                <w:kern w:val="0"/>
                <w:sz w:val="20"/>
              </w:rPr>
              <w:t>面源</w:t>
            </w:r>
          </w:p>
        </w:tc>
        <w:tc>
          <w:tcPr>
            <w:tcW w:w="749" w:type="pct"/>
            <w:vMerge w:val="restart"/>
            <w:noWrap w:val="0"/>
            <w:vAlign w:val="center"/>
          </w:tcPr>
          <w:p>
            <w:pPr>
              <w:jc w:val="center"/>
              <w:rPr>
                <w:rFonts w:hint="default" w:ascii="Times New Roman" w:hAnsi="Times New Roman" w:cs="Times New Roman"/>
                <w:color w:val="auto"/>
                <w:kern w:val="0"/>
                <w:sz w:val="20"/>
                <w:lang w:val="en-US" w:eastAsia="zh-CN"/>
              </w:rPr>
            </w:pPr>
            <w:r>
              <w:rPr>
                <w:rFonts w:hint="eastAsia" w:cs="Times New Roman"/>
                <w:color w:val="auto"/>
                <w:kern w:val="0"/>
                <w:sz w:val="20"/>
                <w:lang w:val="en-US" w:eastAsia="zh-CN"/>
              </w:rPr>
              <w:t>1#趸船转运平台</w:t>
            </w: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TSP</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900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0.001255</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0.0005794</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0.000087</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restar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6</w:t>
            </w:r>
          </w:p>
        </w:tc>
        <w:tc>
          <w:tcPr>
            <w:tcW w:w="371" w:type="pct"/>
            <w:vMerge w:val="restart"/>
            <w:noWrap w:val="0"/>
            <w:vAlign w:val="center"/>
          </w:tcPr>
          <w:p>
            <w:pPr>
              <w:jc w:val="center"/>
              <w:rPr>
                <w:rFonts w:hint="default" w:ascii="Times New Roman" w:hAnsi="Times New Roman" w:eastAsia="宋体" w:cs="Times New Roman"/>
                <w:color w:val="auto"/>
                <w:kern w:val="0"/>
                <w:sz w:val="20"/>
                <w:lang w:val="en-US" w:eastAsia="zh-CN" w:bidi="ar-SA"/>
              </w:rPr>
            </w:pPr>
            <w:r>
              <w:rPr>
                <w:rFonts w:hint="default" w:ascii="Times New Roman" w:hAnsi="Times New Roman" w:cs="Times New Roman"/>
                <w:color w:val="auto"/>
                <w:kern w:val="0"/>
                <w:sz w:val="20"/>
              </w:rPr>
              <w:t>面源</w:t>
            </w:r>
          </w:p>
        </w:tc>
        <w:tc>
          <w:tcPr>
            <w:tcW w:w="749" w:type="pct"/>
            <w:vMerge w:val="restart"/>
            <w:noWrap w:val="0"/>
            <w:vAlign w:val="center"/>
          </w:tcPr>
          <w:p>
            <w:pPr>
              <w:jc w:val="center"/>
              <w:rPr>
                <w:rFonts w:hint="default" w:ascii="Times New Roman" w:hAnsi="Times New Roman" w:cs="Times New Roman"/>
                <w:color w:val="auto"/>
                <w:kern w:val="0"/>
                <w:sz w:val="20"/>
                <w:lang w:val="en-US" w:eastAsia="zh-CN"/>
              </w:rPr>
            </w:pPr>
            <w:r>
              <w:rPr>
                <w:rFonts w:hint="eastAsia" w:cs="Times New Roman"/>
                <w:color w:val="auto"/>
                <w:kern w:val="0"/>
                <w:sz w:val="20"/>
                <w:lang w:val="en-US" w:eastAsia="zh-CN"/>
              </w:rPr>
              <w:t>2#趸船转运平台</w:t>
            </w: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TSP</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900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0.001255</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ascii="Times New Roman" w:hAnsi="Times New Roman" w:cs="Times New Roman"/>
                <w:color w:val="auto"/>
                <w:kern w:val="0"/>
                <w:sz w:val="20"/>
                <w:vertAlign w:val="subscript"/>
                <w:lang w:val="en-US" w:eastAsia="zh-CN"/>
              </w:rPr>
              <w:t>10</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450</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0.0005794</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833" w:type="pct"/>
            <w:noWrap w:val="0"/>
            <w:vAlign w:val="center"/>
          </w:tcPr>
          <w:p>
            <w:pPr>
              <w:jc w:val="center"/>
              <w:rPr>
                <w:rFonts w:hint="eastAsia"/>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97" w:type="pct"/>
            <w:vMerge w:val="continue"/>
            <w:noWrap w:val="0"/>
            <w:vAlign w:val="center"/>
          </w:tcPr>
          <w:p>
            <w:pPr>
              <w:jc w:val="center"/>
              <w:rPr>
                <w:rFonts w:hint="default" w:ascii="Times New Roman" w:hAnsi="Times New Roman" w:cs="Times New Roman"/>
                <w:color w:val="auto"/>
                <w:kern w:val="0"/>
                <w:sz w:val="20"/>
              </w:rPr>
            </w:pPr>
          </w:p>
        </w:tc>
        <w:tc>
          <w:tcPr>
            <w:tcW w:w="371" w:type="pct"/>
            <w:vMerge w:val="continue"/>
            <w:noWrap w:val="0"/>
            <w:vAlign w:val="center"/>
          </w:tcPr>
          <w:p>
            <w:pPr>
              <w:jc w:val="center"/>
              <w:rPr>
                <w:rFonts w:hint="default" w:ascii="Times New Roman" w:hAnsi="Times New Roman" w:cs="Times New Roman"/>
                <w:color w:val="auto"/>
                <w:kern w:val="0"/>
                <w:sz w:val="20"/>
              </w:rPr>
            </w:pPr>
          </w:p>
        </w:tc>
        <w:tc>
          <w:tcPr>
            <w:tcW w:w="749" w:type="pct"/>
            <w:vMerge w:val="continue"/>
            <w:noWrap w:val="0"/>
            <w:vAlign w:val="center"/>
          </w:tcPr>
          <w:p>
            <w:pPr>
              <w:jc w:val="center"/>
              <w:rPr>
                <w:rFonts w:hint="default" w:ascii="Times New Roman" w:hAnsi="Times New Roman" w:cs="Times New Roman"/>
                <w:color w:val="auto"/>
                <w:kern w:val="0"/>
                <w:sz w:val="20"/>
                <w:lang w:val="en-US" w:eastAsia="zh-CN"/>
              </w:rPr>
            </w:pPr>
          </w:p>
        </w:tc>
        <w:tc>
          <w:tcPr>
            <w:tcW w:w="438"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cs="Times New Roman"/>
                <w:color w:val="auto"/>
                <w:kern w:val="0"/>
                <w:sz w:val="20"/>
                <w:lang w:val="en-US" w:eastAsia="zh-CN"/>
              </w:rPr>
              <w:t>PM</w:t>
            </w:r>
            <w:r>
              <w:rPr>
                <w:rFonts w:hint="eastAsia" w:cs="Times New Roman"/>
                <w:color w:val="auto"/>
                <w:kern w:val="0"/>
                <w:sz w:val="20"/>
                <w:vertAlign w:val="subscript"/>
                <w:lang w:val="en-US" w:eastAsia="zh-CN"/>
              </w:rPr>
              <w:t>2.5</w:t>
            </w:r>
          </w:p>
        </w:tc>
        <w:tc>
          <w:tcPr>
            <w:tcW w:w="665" w:type="pct"/>
            <w:noWrap w:val="0"/>
            <w:vAlign w:val="center"/>
          </w:tcPr>
          <w:p>
            <w:pPr>
              <w:jc w:val="center"/>
              <w:rPr>
                <w:rFonts w:hint="eastAsia"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225</w:t>
            </w:r>
          </w:p>
        </w:tc>
        <w:tc>
          <w:tcPr>
            <w:tcW w:w="724"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0.000087</w:t>
            </w:r>
          </w:p>
        </w:tc>
        <w:tc>
          <w:tcPr>
            <w:tcW w:w="820" w:type="pct"/>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833" w:type="pct"/>
            <w:noWrap w:val="0"/>
            <w:vAlign w:val="center"/>
          </w:tcPr>
          <w:p>
            <w:pPr>
              <w:jc w:val="center"/>
              <w:rPr>
                <w:rFonts w:hint="default" w:ascii="Times New Roman" w:hAnsi="Times New Roman" w:cs="Times New Roman"/>
                <w:color w:val="auto"/>
                <w:kern w:val="0"/>
                <w:sz w:val="20"/>
              </w:rPr>
            </w:pPr>
            <w:r>
              <w:rPr>
                <w:rFonts w:hint="eastAsia"/>
                <w:color w:val="auto"/>
                <w:sz w:val="20"/>
                <w:szCs w:val="20"/>
                <w:lang w:val="en-US" w:eastAsia="zh-CN"/>
              </w:rPr>
              <w:t>/</w:t>
            </w:r>
          </w:p>
        </w:tc>
      </w:tr>
    </w:tbl>
    <w:p>
      <w:pPr>
        <w:pStyle w:val="2"/>
        <w:widowControl w:val="0"/>
        <w:ind w:firstLine="480" w:firstLineChars="200"/>
        <w:jc w:val="left"/>
        <w:rPr>
          <w:rFonts w:hint="eastAsia" w:eastAsia="仿宋_GB2312"/>
          <w:color w:val="auto"/>
          <w:sz w:val="24"/>
        </w:rPr>
      </w:pPr>
      <w:r>
        <w:rPr>
          <w:rFonts w:hint="eastAsia" w:eastAsia="仿宋_GB2312"/>
          <w:color w:val="auto"/>
          <w:sz w:val="24"/>
        </w:rPr>
        <w:t>从上表可知，生产区无组织排放的</w:t>
      </w:r>
      <w:r>
        <w:rPr>
          <w:rFonts w:hint="eastAsia" w:eastAsia="仿宋_GB2312"/>
          <w:color w:val="auto"/>
          <w:sz w:val="24"/>
          <w:lang w:val="en-US" w:eastAsia="zh-CN"/>
        </w:rPr>
        <w:t>TSP</w:t>
      </w:r>
      <w:r>
        <w:rPr>
          <w:rFonts w:hint="eastAsia" w:eastAsia="仿宋_GB2312"/>
          <w:color w:val="auto"/>
          <w:sz w:val="24"/>
        </w:rPr>
        <w:t>占标率最大，P</w:t>
      </w:r>
      <w:r>
        <w:rPr>
          <w:rFonts w:hint="eastAsia" w:eastAsia="仿宋_GB2312"/>
          <w:color w:val="auto"/>
          <w:sz w:val="24"/>
          <w:vertAlign w:val="subscript"/>
        </w:rPr>
        <w:t>max</w:t>
      </w:r>
      <w:r>
        <w:rPr>
          <w:rFonts w:hint="eastAsia" w:eastAsia="仿宋_GB2312"/>
          <w:color w:val="auto"/>
          <w:sz w:val="24"/>
        </w:rPr>
        <w:t>=</w:t>
      </w:r>
      <w:r>
        <w:rPr>
          <w:rFonts w:hint="eastAsia" w:eastAsia="仿宋_GB2312"/>
          <w:color w:val="auto"/>
          <w:sz w:val="24"/>
          <w:lang w:val="en-US" w:eastAsia="zh-CN"/>
        </w:rPr>
        <w:t>1.06</w:t>
      </w:r>
      <w:r>
        <w:rPr>
          <w:rFonts w:hint="eastAsia" w:eastAsia="仿宋_GB2312"/>
          <w:color w:val="auto"/>
          <w:sz w:val="24"/>
        </w:rPr>
        <w:t>%，1%≤P</w:t>
      </w:r>
      <w:r>
        <w:rPr>
          <w:rFonts w:hint="eastAsia" w:eastAsia="仿宋_GB2312"/>
          <w:color w:val="auto"/>
          <w:sz w:val="24"/>
          <w:vertAlign w:val="subscript"/>
        </w:rPr>
        <w:t>max</w:t>
      </w:r>
      <w:r>
        <w:rPr>
          <w:rFonts w:hint="eastAsia" w:eastAsia="仿宋_GB2312"/>
          <w:color w:val="auto"/>
          <w:sz w:val="24"/>
        </w:rPr>
        <w:t>&lt;10%。根据表1.5-1评价工作等级判定表，确定本项目环境空气评价工作等级为二级。</w:t>
      </w:r>
    </w:p>
    <w:p>
      <w:pPr>
        <w:pStyle w:val="2"/>
        <w:widowControl w:val="0"/>
        <w:ind w:firstLine="480" w:firstLineChars="200"/>
        <w:jc w:val="left"/>
        <w:rPr>
          <w:rFonts w:eastAsia="仿宋_GB2312"/>
          <w:color w:val="auto"/>
          <w:sz w:val="24"/>
        </w:rPr>
      </w:pPr>
      <w:r>
        <w:rPr>
          <w:rFonts w:eastAsia="仿宋_GB2312"/>
          <w:color w:val="auto"/>
          <w:sz w:val="24"/>
        </w:rPr>
        <w:t>（2）评价范围</w:t>
      </w:r>
    </w:p>
    <w:p>
      <w:pPr>
        <w:pStyle w:val="2"/>
        <w:widowControl w:val="0"/>
        <w:ind w:firstLine="480" w:firstLineChars="200"/>
        <w:jc w:val="left"/>
        <w:rPr>
          <w:rFonts w:eastAsia="仿宋_GB2312"/>
          <w:color w:val="auto"/>
          <w:sz w:val="24"/>
        </w:rPr>
      </w:pPr>
      <w:r>
        <w:rPr>
          <w:rFonts w:hint="eastAsia" w:eastAsia="仿宋_GB2312"/>
          <w:color w:val="auto"/>
          <w:sz w:val="24"/>
        </w:rPr>
        <w:t>本项目</w:t>
      </w:r>
      <w:r>
        <w:rPr>
          <w:rFonts w:eastAsia="仿宋_GB2312"/>
          <w:color w:val="auto"/>
          <w:sz w:val="24"/>
        </w:rPr>
        <w:t>评价范围</w:t>
      </w:r>
      <w:r>
        <w:rPr>
          <w:rFonts w:hint="eastAsia" w:eastAsia="仿宋_GB2312"/>
          <w:color w:val="auto"/>
          <w:sz w:val="24"/>
        </w:rPr>
        <w:t>确定为</w:t>
      </w:r>
      <w:r>
        <w:rPr>
          <w:rFonts w:eastAsia="仿宋_GB2312"/>
          <w:color w:val="auto"/>
          <w:sz w:val="24"/>
        </w:rPr>
        <w:t>以</w:t>
      </w:r>
      <w:r>
        <w:rPr>
          <w:rFonts w:hint="eastAsia" w:eastAsia="仿宋_GB2312"/>
          <w:color w:val="auto"/>
          <w:sz w:val="24"/>
          <w:lang w:val="en-US" w:eastAsia="zh-CN"/>
        </w:rPr>
        <w:t>码头作业区</w:t>
      </w:r>
      <w:r>
        <w:rPr>
          <w:rFonts w:eastAsia="仿宋_GB2312"/>
          <w:color w:val="auto"/>
          <w:sz w:val="24"/>
        </w:rPr>
        <w:t>为中心，边长为5km的矩形区域，总面积25km</w:t>
      </w:r>
      <w:r>
        <w:rPr>
          <w:rFonts w:eastAsia="仿宋_GB2312"/>
          <w:color w:val="auto"/>
          <w:sz w:val="24"/>
          <w:vertAlign w:val="superscript"/>
        </w:rPr>
        <w:t>2</w:t>
      </w:r>
      <w:r>
        <w:rPr>
          <w:rFonts w:eastAsia="仿宋_GB2312"/>
          <w:color w:val="auto"/>
          <w:sz w:val="24"/>
        </w:rPr>
        <w:t>。</w:t>
      </w:r>
    </w:p>
    <w:p>
      <w:pPr>
        <w:pStyle w:val="9"/>
        <w:widowControl w:val="0"/>
        <w:spacing w:before="120" w:after="120" w:line="360" w:lineRule="auto"/>
        <w:rPr>
          <w:rFonts w:eastAsia="黑体"/>
          <w:b w:val="0"/>
          <w:color w:val="auto"/>
          <w:sz w:val="24"/>
        </w:rPr>
      </w:pPr>
      <w:bookmarkStart w:id="239" w:name="_Toc337642885"/>
      <w:bookmarkStart w:id="240" w:name="_Toc306031197"/>
      <w:bookmarkStart w:id="241" w:name="_Toc3923"/>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.2地表水环境</w:t>
      </w:r>
      <w:bookmarkEnd w:id="239"/>
      <w:bookmarkEnd w:id="240"/>
      <w:bookmarkEnd w:id="241"/>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根据《环境影响评价技术导则 地表水环境》（HJ2.3-2018）中的分级原则，水环境影响评价等级划分主要从建设项目影响类型、排放方式、排放量或影响情况、受纳水体环境质量现状、水环境保护目标等方面综合确定。</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rPr>
        <w:t>（1）</w:t>
      </w:r>
      <w:r>
        <w:rPr>
          <w:rFonts w:hint="eastAsia" w:eastAsia="仿宋_GB2312"/>
          <w:color w:val="auto"/>
          <w:sz w:val="24"/>
          <w:lang w:val="en-US" w:eastAsia="zh-CN"/>
        </w:rPr>
        <w:t>工作等级</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工程项目按照水污染影响型建设项目，根据排放方式和废水排放量划分评价等级</w:t>
      </w:r>
      <w:r>
        <w:rPr>
          <w:rFonts w:hint="eastAsia" w:eastAsia="仿宋_GB2312"/>
          <w:color w:val="auto"/>
          <w:sz w:val="24"/>
          <w:lang w:eastAsia="zh-CN"/>
        </w:rPr>
        <w:t>。</w:t>
      </w:r>
      <w:r>
        <w:rPr>
          <w:rFonts w:hint="eastAsia" w:eastAsia="仿宋_GB2312"/>
          <w:color w:val="auto"/>
          <w:sz w:val="24"/>
          <w:lang w:val="en-US" w:eastAsia="zh-CN"/>
        </w:rPr>
        <w:t>码头人员生活污水通过</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趸船收集坎收集后进入初期雨水收集柜储存，委托海事部门认定的船舶污染物接收船定期统一处理；</w:t>
      </w: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r>
        <w:rPr>
          <w:rFonts w:hint="eastAsia" w:eastAsia="仿宋_GB2312"/>
          <w:color w:val="auto"/>
          <w:sz w:val="24"/>
        </w:rPr>
        <w:t>因此项目地表水水污染影响型评价工作等级按三级B评价</w:t>
      </w:r>
      <w:r>
        <w:rPr>
          <w:rFonts w:hint="eastAsia" w:eastAsia="仿宋_GB2312"/>
          <w:color w:val="auto"/>
          <w:sz w:val="24"/>
          <w:lang w:eastAsia="zh-CN"/>
        </w:rPr>
        <w:t>。</w:t>
      </w:r>
    </w:p>
    <w:p>
      <w:pPr>
        <w:pStyle w:val="321"/>
        <w:widowControl w:val="0"/>
        <w:adjustRightInd/>
        <w:spacing w:before="0" w:after="0" w:line="360" w:lineRule="auto"/>
        <w:rPr>
          <w:rFonts w:ascii="Times New Roman"/>
          <w:color w:val="auto"/>
        </w:rPr>
      </w:pPr>
      <w:r>
        <w:rPr>
          <w:rFonts w:ascii="Times New Roman"/>
          <w:color w:val="auto"/>
        </w:rPr>
        <w:t>表1.</w:t>
      </w:r>
      <w:r>
        <w:rPr>
          <w:rFonts w:hint="eastAsia" w:ascii="Times New Roman"/>
          <w:color w:val="auto"/>
          <w:lang w:val="en-US" w:eastAsia="zh-CN"/>
        </w:rPr>
        <w:t>4-4</w:t>
      </w:r>
      <w:r>
        <w:rPr>
          <w:rFonts w:ascii="Times New Roman"/>
          <w:color w:val="auto"/>
        </w:rPr>
        <w:t xml:space="preserve">  </w:t>
      </w:r>
      <w:r>
        <w:rPr>
          <w:rFonts w:hint="eastAsia" w:ascii="Times New Roman"/>
          <w:color w:val="auto"/>
          <w:lang w:val="en-US" w:eastAsia="zh-CN"/>
        </w:rPr>
        <w:t>水污染影响型建设项目评价</w:t>
      </w:r>
      <w:r>
        <w:rPr>
          <w:rFonts w:ascii="Times New Roman"/>
          <w:color w:val="auto"/>
        </w:rPr>
        <w:t>等级判定表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49"/>
        <w:gridCol w:w="1548"/>
        <w:gridCol w:w="56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vMerge w:val="restart"/>
            <w:tcBorders>
              <w:top w:val="single" w:color="auto" w:sz="12" w:space="0"/>
              <w:bottom w:val="single" w:color="auto" w:sz="6" w:space="0"/>
            </w:tcBorders>
            <w:noWrap w:val="0"/>
            <w:vAlign w:val="center"/>
          </w:tcPr>
          <w:p>
            <w:pPr>
              <w:pStyle w:val="327"/>
              <w:widowControl w:val="0"/>
              <w:rPr>
                <w:color w:val="auto"/>
                <w:sz w:val="20"/>
                <w:szCs w:val="20"/>
              </w:rPr>
            </w:pPr>
            <w:r>
              <w:rPr>
                <w:rFonts w:hint="eastAsia"/>
                <w:color w:val="auto"/>
                <w:sz w:val="20"/>
                <w:szCs w:val="20"/>
              </w:rPr>
              <w:t>评价等级</w:t>
            </w:r>
          </w:p>
        </w:tc>
        <w:tc>
          <w:tcPr>
            <w:tcW w:w="4207" w:type="pct"/>
            <w:gridSpan w:val="2"/>
            <w:tcBorders>
              <w:top w:val="single" w:color="auto" w:sz="12" w:space="0"/>
              <w:bottom w:val="single" w:color="auto" w:sz="6" w:space="0"/>
            </w:tcBorders>
            <w:noWrap w:val="0"/>
            <w:vAlign w:val="center"/>
          </w:tcPr>
          <w:p>
            <w:pPr>
              <w:pStyle w:val="327"/>
              <w:widowControl w:val="0"/>
              <w:rPr>
                <w:color w:val="auto"/>
                <w:sz w:val="20"/>
                <w:szCs w:val="20"/>
              </w:rPr>
            </w:pPr>
            <w:r>
              <w:rPr>
                <w:rFonts w:hint="eastAsia"/>
                <w:color w:val="auto"/>
                <w:sz w:val="20"/>
                <w:szCs w:val="20"/>
              </w:rPr>
              <w:t>判定依据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vMerge w:val="continue"/>
            <w:tcBorders>
              <w:top w:val="single" w:color="auto" w:sz="6" w:space="0"/>
              <w:bottom w:val="single" w:color="auto" w:sz="12" w:space="0"/>
            </w:tcBorders>
            <w:noWrap w:val="0"/>
            <w:vAlign w:val="center"/>
          </w:tcPr>
          <w:p>
            <w:pPr>
              <w:pStyle w:val="327"/>
              <w:widowControl w:val="0"/>
              <w:rPr>
                <w:color w:val="auto"/>
                <w:sz w:val="20"/>
                <w:szCs w:val="20"/>
              </w:rPr>
            </w:pPr>
          </w:p>
        </w:tc>
        <w:tc>
          <w:tcPr>
            <w:tcW w:w="909" w:type="pct"/>
            <w:tcBorders>
              <w:top w:val="single" w:color="auto" w:sz="6" w:space="0"/>
              <w:bottom w:val="single" w:color="auto" w:sz="12" w:space="0"/>
            </w:tcBorders>
            <w:noWrap w:val="0"/>
            <w:vAlign w:val="center"/>
          </w:tcPr>
          <w:p>
            <w:pPr>
              <w:pStyle w:val="327"/>
              <w:widowControl w:val="0"/>
              <w:rPr>
                <w:color w:val="auto"/>
                <w:sz w:val="20"/>
                <w:szCs w:val="20"/>
              </w:rPr>
            </w:pPr>
            <w:r>
              <w:rPr>
                <w:rFonts w:hint="eastAsia"/>
                <w:color w:val="auto"/>
                <w:sz w:val="20"/>
                <w:szCs w:val="20"/>
              </w:rPr>
              <w:t>排放方式</w:t>
            </w:r>
          </w:p>
        </w:tc>
        <w:tc>
          <w:tcPr>
            <w:tcW w:w="3297" w:type="pct"/>
            <w:tcBorders>
              <w:top w:val="single" w:color="auto" w:sz="6" w:space="0"/>
              <w:bottom w:val="single" w:color="auto" w:sz="12" w:space="0"/>
            </w:tcBorders>
            <w:noWrap w:val="0"/>
            <w:vAlign w:val="center"/>
          </w:tcPr>
          <w:p>
            <w:pPr>
              <w:pStyle w:val="327"/>
              <w:widowControl w:val="0"/>
              <w:rPr>
                <w:color w:val="auto"/>
                <w:sz w:val="20"/>
                <w:szCs w:val="20"/>
              </w:rPr>
            </w:pPr>
            <w:r>
              <w:rPr>
                <w:rFonts w:hint="eastAsia"/>
                <w:color w:val="auto"/>
                <w:sz w:val="20"/>
                <w:szCs w:val="20"/>
              </w:rPr>
              <w:t>废水排放量Q/（m</w:t>
            </w:r>
            <w:r>
              <w:rPr>
                <w:rFonts w:hint="eastAsia"/>
                <w:color w:val="auto"/>
                <w:sz w:val="20"/>
                <w:szCs w:val="20"/>
                <w:vertAlign w:val="superscript"/>
              </w:rPr>
              <w:t>3</w:t>
            </w:r>
            <w:r>
              <w:rPr>
                <w:rFonts w:hint="eastAsia"/>
                <w:color w:val="auto"/>
                <w:sz w:val="20"/>
                <w:szCs w:val="20"/>
              </w:rPr>
              <w:t>/d）；水污染物当量数W/（无量纲）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一级</w:t>
            </w:r>
          </w:p>
        </w:tc>
        <w:tc>
          <w:tcPr>
            <w:tcW w:w="909"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直接排放</w:t>
            </w:r>
          </w:p>
        </w:tc>
        <w:tc>
          <w:tcPr>
            <w:tcW w:w="3297"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Q≥20000或W≥600000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noWrap w:val="0"/>
            <w:vAlign w:val="center"/>
          </w:tcPr>
          <w:p>
            <w:pPr>
              <w:pStyle w:val="327"/>
              <w:widowControl w:val="0"/>
              <w:rPr>
                <w:color w:val="auto"/>
                <w:sz w:val="20"/>
                <w:szCs w:val="20"/>
              </w:rPr>
            </w:pPr>
            <w:r>
              <w:rPr>
                <w:rFonts w:hint="eastAsia"/>
                <w:color w:val="auto"/>
                <w:sz w:val="20"/>
                <w:szCs w:val="20"/>
              </w:rPr>
              <w:t>二级</w:t>
            </w:r>
          </w:p>
        </w:tc>
        <w:tc>
          <w:tcPr>
            <w:tcW w:w="909" w:type="pct"/>
            <w:noWrap w:val="0"/>
            <w:vAlign w:val="center"/>
          </w:tcPr>
          <w:p>
            <w:pPr>
              <w:pStyle w:val="327"/>
              <w:widowControl w:val="0"/>
              <w:rPr>
                <w:color w:val="auto"/>
                <w:sz w:val="20"/>
                <w:szCs w:val="20"/>
              </w:rPr>
            </w:pPr>
            <w:r>
              <w:rPr>
                <w:rFonts w:hint="eastAsia"/>
                <w:color w:val="auto"/>
                <w:sz w:val="20"/>
                <w:szCs w:val="20"/>
              </w:rPr>
              <w:t>直接排放</w:t>
            </w:r>
          </w:p>
        </w:tc>
        <w:tc>
          <w:tcPr>
            <w:tcW w:w="3297" w:type="pct"/>
            <w:noWrap w:val="0"/>
            <w:vAlign w:val="center"/>
          </w:tcPr>
          <w:p>
            <w:pPr>
              <w:pStyle w:val="327"/>
              <w:widowControl w:val="0"/>
              <w:rPr>
                <w:color w:val="auto"/>
                <w:sz w:val="20"/>
                <w:szCs w:val="20"/>
              </w:rPr>
            </w:pPr>
            <w:r>
              <w:rPr>
                <w:rFonts w:hint="eastAsia"/>
                <w:color w:val="auto"/>
                <w:sz w:val="20"/>
                <w:szCs w:val="20"/>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noWrap w:val="0"/>
            <w:vAlign w:val="center"/>
          </w:tcPr>
          <w:p>
            <w:pPr>
              <w:pStyle w:val="327"/>
              <w:widowControl w:val="0"/>
              <w:rPr>
                <w:color w:val="auto"/>
                <w:sz w:val="20"/>
                <w:szCs w:val="20"/>
              </w:rPr>
            </w:pPr>
            <w:r>
              <w:rPr>
                <w:rFonts w:hint="eastAsia"/>
                <w:color w:val="auto"/>
                <w:sz w:val="20"/>
                <w:szCs w:val="20"/>
              </w:rPr>
              <w:t>三级A</w:t>
            </w:r>
          </w:p>
        </w:tc>
        <w:tc>
          <w:tcPr>
            <w:tcW w:w="909" w:type="pct"/>
            <w:noWrap w:val="0"/>
            <w:vAlign w:val="center"/>
          </w:tcPr>
          <w:p>
            <w:pPr>
              <w:pStyle w:val="327"/>
              <w:widowControl w:val="0"/>
              <w:rPr>
                <w:color w:val="auto"/>
                <w:sz w:val="20"/>
                <w:szCs w:val="20"/>
              </w:rPr>
            </w:pPr>
            <w:r>
              <w:rPr>
                <w:rFonts w:hint="eastAsia"/>
                <w:color w:val="auto"/>
                <w:sz w:val="20"/>
                <w:szCs w:val="20"/>
              </w:rPr>
              <w:t>直接排放</w:t>
            </w:r>
          </w:p>
        </w:tc>
        <w:tc>
          <w:tcPr>
            <w:tcW w:w="3297" w:type="pct"/>
            <w:noWrap w:val="0"/>
            <w:vAlign w:val="center"/>
          </w:tcPr>
          <w:p>
            <w:pPr>
              <w:pStyle w:val="327"/>
              <w:widowControl w:val="0"/>
              <w:rPr>
                <w:color w:val="auto"/>
                <w:sz w:val="20"/>
                <w:szCs w:val="20"/>
              </w:rPr>
            </w:pPr>
            <w:r>
              <w:rPr>
                <w:rFonts w:hint="eastAsia"/>
                <w:color w:val="auto"/>
                <w:sz w:val="20"/>
                <w:szCs w:val="20"/>
              </w:rPr>
              <w:t>Q＜200且W＜6000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92" w:type="pct"/>
            <w:noWrap w:val="0"/>
            <w:vAlign w:val="center"/>
          </w:tcPr>
          <w:p>
            <w:pPr>
              <w:pStyle w:val="327"/>
              <w:widowControl w:val="0"/>
              <w:rPr>
                <w:color w:val="auto"/>
                <w:sz w:val="20"/>
                <w:szCs w:val="20"/>
              </w:rPr>
            </w:pPr>
            <w:r>
              <w:rPr>
                <w:rFonts w:hint="eastAsia"/>
                <w:color w:val="auto"/>
                <w:sz w:val="20"/>
                <w:szCs w:val="20"/>
              </w:rPr>
              <w:t>三级B</w:t>
            </w:r>
          </w:p>
        </w:tc>
        <w:tc>
          <w:tcPr>
            <w:tcW w:w="909" w:type="pct"/>
            <w:noWrap w:val="0"/>
            <w:vAlign w:val="center"/>
          </w:tcPr>
          <w:p>
            <w:pPr>
              <w:pStyle w:val="327"/>
              <w:widowControl w:val="0"/>
              <w:rPr>
                <w:color w:val="auto"/>
                <w:sz w:val="20"/>
                <w:szCs w:val="20"/>
              </w:rPr>
            </w:pPr>
            <w:r>
              <w:rPr>
                <w:rFonts w:hint="eastAsia"/>
                <w:color w:val="auto"/>
                <w:sz w:val="20"/>
                <w:szCs w:val="20"/>
              </w:rPr>
              <w:t>间接排放</w:t>
            </w:r>
          </w:p>
        </w:tc>
        <w:tc>
          <w:tcPr>
            <w:tcW w:w="3297" w:type="pct"/>
            <w:noWrap w:val="0"/>
            <w:vAlign w:val="center"/>
          </w:tcPr>
          <w:p>
            <w:pPr>
              <w:pStyle w:val="327"/>
              <w:widowControl w:val="0"/>
              <w:rPr>
                <w:color w:val="auto"/>
                <w:sz w:val="20"/>
                <w:szCs w:val="20"/>
              </w:rPr>
            </w:pPr>
            <w:r>
              <w:rPr>
                <w:rFonts w:hint="eastAsia"/>
                <w:color w:val="auto"/>
                <w:sz w:val="20"/>
                <w:szCs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3"/>
            <w:noWrap w:val="0"/>
            <w:vAlign w:val="center"/>
          </w:tcPr>
          <w:p>
            <w:pPr>
              <w:pStyle w:val="327"/>
              <w:widowControl w:val="0"/>
              <w:jc w:val="left"/>
              <w:rPr>
                <w:rFonts w:hint="eastAsia"/>
                <w:color w:val="auto"/>
                <w:sz w:val="20"/>
                <w:szCs w:val="20"/>
              </w:rPr>
            </w:pPr>
            <w:r>
              <w:rPr>
                <w:rFonts w:hint="eastAsia"/>
                <w:color w:val="auto"/>
                <w:sz w:val="20"/>
                <w:szCs w:val="20"/>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327"/>
              <w:widowControl w:val="0"/>
              <w:jc w:val="left"/>
              <w:rPr>
                <w:rFonts w:hint="eastAsia"/>
                <w:color w:val="auto"/>
                <w:sz w:val="20"/>
                <w:szCs w:val="20"/>
              </w:rPr>
            </w:pPr>
            <w:r>
              <w:rPr>
                <w:rFonts w:hint="eastAsia"/>
                <w:color w:val="auto"/>
                <w:sz w:val="20"/>
                <w:szCs w:val="20"/>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327"/>
              <w:widowControl w:val="0"/>
              <w:jc w:val="left"/>
              <w:rPr>
                <w:rFonts w:hint="eastAsia"/>
                <w:color w:val="auto"/>
                <w:sz w:val="20"/>
                <w:szCs w:val="20"/>
              </w:rPr>
            </w:pPr>
            <w:r>
              <w:rPr>
                <w:rFonts w:hint="eastAsia"/>
                <w:color w:val="auto"/>
                <w:sz w:val="20"/>
                <w:szCs w:val="20"/>
              </w:rPr>
              <w:t>注3：厂区存在堆积物（露天堆放的原料、燃料、废渣等以及垃圾堆放场）、降尘污染的，应将初期雨污水纳入废水排放量，相应的主要污染物纳入水污染当量计算。</w:t>
            </w:r>
          </w:p>
          <w:p>
            <w:pPr>
              <w:pStyle w:val="327"/>
              <w:widowControl w:val="0"/>
              <w:jc w:val="left"/>
              <w:rPr>
                <w:rFonts w:hint="eastAsia"/>
                <w:color w:val="auto"/>
                <w:sz w:val="20"/>
                <w:szCs w:val="20"/>
              </w:rPr>
            </w:pPr>
            <w:r>
              <w:rPr>
                <w:rFonts w:hint="eastAsia"/>
                <w:color w:val="auto"/>
                <w:sz w:val="20"/>
                <w:szCs w:val="20"/>
              </w:rPr>
              <w:t>注4：建设项目直接排放第一类污染物的，其评价等级为一级；建设项目直接排放的污染物为受纳水体超标因子的，评价等级不低于二级。</w:t>
            </w:r>
          </w:p>
          <w:p>
            <w:pPr>
              <w:pStyle w:val="327"/>
              <w:widowControl w:val="0"/>
              <w:jc w:val="left"/>
              <w:rPr>
                <w:rFonts w:hint="eastAsia"/>
                <w:color w:val="auto"/>
                <w:sz w:val="20"/>
                <w:szCs w:val="20"/>
              </w:rPr>
            </w:pPr>
            <w:r>
              <w:rPr>
                <w:rFonts w:hint="eastAsia"/>
                <w:color w:val="auto"/>
                <w:sz w:val="20"/>
                <w:szCs w:val="20"/>
              </w:rPr>
              <w:t>注5：直接排放受纳水体影响范围涉及饮用水水源保护区、饮用水取水口、重点保护与珍稀水生生物的栖息地、重要水生生物的自然产卵场等保护目标时，评价等级不低于二级。</w:t>
            </w:r>
          </w:p>
          <w:p>
            <w:pPr>
              <w:pStyle w:val="327"/>
              <w:widowControl w:val="0"/>
              <w:jc w:val="left"/>
              <w:rPr>
                <w:rFonts w:hint="eastAsia"/>
                <w:color w:val="auto"/>
                <w:sz w:val="20"/>
                <w:szCs w:val="20"/>
              </w:rPr>
            </w:pPr>
            <w:r>
              <w:rPr>
                <w:rFonts w:hint="eastAsia"/>
                <w:color w:val="auto"/>
                <w:sz w:val="20"/>
                <w:szCs w:val="20"/>
              </w:rPr>
              <w:t>注6：建设项目向河流、湖库排放温排水引起受纳水体水温变化超过水环境质量标准要求，且评价范围有水温敏感目标时，评价等级为一级。</w:t>
            </w:r>
          </w:p>
          <w:p>
            <w:pPr>
              <w:pStyle w:val="327"/>
              <w:widowControl w:val="0"/>
              <w:jc w:val="left"/>
              <w:rPr>
                <w:rFonts w:hint="eastAsia"/>
                <w:color w:val="auto"/>
                <w:sz w:val="20"/>
                <w:szCs w:val="20"/>
              </w:rPr>
            </w:pPr>
            <w:r>
              <w:rPr>
                <w:rFonts w:hint="eastAsia"/>
                <w:color w:val="auto"/>
                <w:sz w:val="20"/>
                <w:szCs w:val="20"/>
              </w:rPr>
              <w:t>注7：建设项目利用海水作为调节温度介质，排水量≥500万m</w:t>
            </w:r>
            <w:r>
              <w:rPr>
                <w:rFonts w:hint="eastAsia"/>
                <w:color w:val="auto"/>
                <w:sz w:val="20"/>
                <w:szCs w:val="20"/>
                <w:vertAlign w:val="superscript"/>
              </w:rPr>
              <w:t>3</w:t>
            </w:r>
            <w:r>
              <w:rPr>
                <w:rFonts w:hint="eastAsia"/>
                <w:color w:val="auto"/>
                <w:sz w:val="20"/>
                <w:szCs w:val="20"/>
              </w:rPr>
              <w:t>/d，评价等级为一级；排水量&lt;500万m</w:t>
            </w:r>
            <w:r>
              <w:rPr>
                <w:rFonts w:hint="eastAsia"/>
                <w:color w:val="auto"/>
                <w:sz w:val="20"/>
                <w:szCs w:val="20"/>
                <w:vertAlign w:val="superscript"/>
              </w:rPr>
              <w:t>3</w:t>
            </w:r>
            <w:r>
              <w:rPr>
                <w:rFonts w:hint="eastAsia"/>
                <w:color w:val="auto"/>
                <w:sz w:val="20"/>
                <w:szCs w:val="20"/>
              </w:rPr>
              <w:t>/d，评价等级为二级。</w:t>
            </w:r>
          </w:p>
          <w:p>
            <w:pPr>
              <w:pStyle w:val="327"/>
              <w:widowControl w:val="0"/>
              <w:jc w:val="left"/>
              <w:rPr>
                <w:rFonts w:hint="eastAsia"/>
                <w:color w:val="auto"/>
                <w:sz w:val="20"/>
                <w:szCs w:val="20"/>
              </w:rPr>
            </w:pPr>
            <w:r>
              <w:rPr>
                <w:rFonts w:hint="eastAsia"/>
                <w:color w:val="auto"/>
                <w:sz w:val="20"/>
                <w:szCs w:val="20"/>
              </w:rPr>
              <w:t>注8：仅涉及清净下水排放的，如其排放水质满足受纳水体水环境质量标准要求的，评价等级为三级A。</w:t>
            </w:r>
          </w:p>
          <w:p>
            <w:pPr>
              <w:pStyle w:val="327"/>
              <w:widowControl w:val="0"/>
              <w:jc w:val="left"/>
              <w:rPr>
                <w:rFonts w:hint="eastAsia"/>
                <w:color w:val="auto"/>
                <w:sz w:val="20"/>
                <w:szCs w:val="20"/>
              </w:rPr>
            </w:pPr>
            <w:r>
              <w:rPr>
                <w:rFonts w:hint="eastAsia"/>
                <w:color w:val="auto"/>
                <w:sz w:val="20"/>
                <w:szCs w:val="20"/>
              </w:rPr>
              <w:t>注9：依托现有排放口，且对外环境未新增排放污染物的直接排放建设项目，评价等级参照间接排放，定为三级B。</w:t>
            </w:r>
          </w:p>
          <w:p>
            <w:pPr>
              <w:pStyle w:val="327"/>
              <w:widowControl w:val="0"/>
              <w:jc w:val="left"/>
              <w:rPr>
                <w:rFonts w:hint="eastAsia" w:eastAsia="宋体"/>
                <w:color w:val="auto"/>
                <w:sz w:val="20"/>
                <w:szCs w:val="20"/>
                <w:lang w:eastAsia="zh-CN"/>
              </w:rPr>
            </w:pPr>
            <w:r>
              <w:rPr>
                <w:rFonts w:hint="eastAsia"/>
                <w:color w:val="auto"/>
                <w:sz w:val="20"/>
                <w:szCs w:val="20"/>
                <w:lang w:val="en-US" w:eastAsia="zh-CN"/>
              </w:rPr>
              <w:t>注10</w:t>
            </w:r>
            <w:r>
              <w:rPr>
                <w:rFonts w:hint="eastAsia"/>
                <w:color w:val="auto"/>
                <w:sz w:val="20"/>
                <w:szCs w:val="20"/>
              </w:rPr>
              <w:t>：建设项目生产工艺中有废水产生，但作为回水利用，不排放到外环境的，按三级B评价</w:t>
            </w:r>
            <w:r>
              <w:rPr>
                <w:rFonts w:hint="eastAsia"/>
                <w:color w:val="auto"/>
                <w:sz w:val="20"/>
                <w:szCs w:val="20"/>
                <w:lang w:eastAsia="zh-CN"/>
              </w:rPr>
              <w:t>。</w:t>
            </w:r>
          </w:p>
        </w:tc>
      </w:tr>
    </w:tbl>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工程项目按照水文要素影响型建设项目，根据水温、径流与受影响地表水域等三类水文要素的影响程度进行判定，判定依据见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pStyle w:val="321"/>
        <w:widowControl w:val="0"/>
        <w:adjustRightInd/>
        <w:spacing w:before="0" w:after="0" w:line="360" w:lineRule="auto"/>
        <w:rPr>
          <w:rFonts w:ascii="Times New Roman"/>
          <w:color w:val="auto"/>
        </w:rPr>
      </w:pPr>
      <w:r>
        <w:rPr>
          <w:rFonts w:ascii="Times New Roman"/>
          <w:color w:val="auto"/>
        </w:rPr>
        <w:t>表1.</w:t>
      </w:r>
      <w:r>
        <w:rPr>
          <w:rFonts w:hint="eastAsia" w:ascii="Times New Roman"/>
          <w:color w:val="auto"/>
          <w:lang w:val="en-US" w:eastAsia="zh-CN"/>
        </w:rPr>
        <w:t>4</w:t>
      </w:r>
      <w:r>
        <w:rPr>
          <w:rFonts w:ascii="Times New Roman"/>
          <w:color w:val="auto"/>
        </w:rPr>
        <w:t>-</w:t>
      </w:r>
      <w:r>
        <w:rPr>
          <w:rFonts w:hint="eastAsia" w:ascii="Times New Roman"/>
          <w:color w:val="auto"/>
          <w:lang w:val="en-US" w:eastAsia="zh-CN"/>
        </w:rPr>
        <w:t>5</w:t>
      </w:r>
      <w:r>
        <w:rPr>
          <w:rFonts w:ascii="Times New Roman"/>
          <w:color w:val="auto"/>
        </w:rPr>
        <w:t xml:space="preserve">  </w:t>
      </w:r>
      <w:r>
        <w:rPr>
          <w:rFonts w:hint="eastAsia" w:ascii="Times New Roman"/>
          <w:color w:val="auto"/>
          <w:lang w:val="en-US" w:eastAsia="zh-CN"/>
        </w:rPr>
        <w:t>水文要素影响型建设项目评价</w:t>
      </w:r>
      <w:r>
        <w:rPr>
          <w:rFonts w:ascii="Times New Roman"/>
          <w:color w:val="auto"/>
        </w:rPr>
        <w:t>等级判定表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56"/>
        <w:gridCol w:w="1678"/>
        <w:gridCol w:w="1865"/>
        <w:gridCol w:w="1397"/>
        <w:gridCol w:w="2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79" w:type="pct"/>
            <w:vMerge w:val="restart"/>
            <w:tcBorders>
              <w:top w:val="single" w:color="auto" w:sz="12" w:space="0"/>
            </w:tcBorders>
            <w:noWrap w:val="0"/>
            <w:vAlign w:val="center"/>
          </w:tcPr>
          <w:p>
            <w:pPr>
              <w:pStyle w:val="327"/>
              <w:widowControl w:val="0"/>
              <w:rPr>
                <w:rFonts w:hint="eastAsia" w:eastAsia="宋体"/>
                <w:color w:val="auto"/>
                <w:sz w:val="20"/>
                <w:szCs w:val="20"/>
                <w:lang w:val="en-US" w:eastAsia="zh-CN"/>
              </w:rPr>
            </w:pPr>
            <w:r>
              <w:rPr>
                <w:rFonts w:hint="eastAsia"/>
                <w:color w:val="auto"/>
                <w:sz w:val="20"/>
                <w:szCs w:val="20"/>
                <w:lang w:val="en-US" w:eastAsia="zh-CN"/>
              </w:rPr>
              <w:t>评价等级</w:t>
            </w:r>
          </w:p>
        </w:tc>
        <w:tc>
          <w:tcPr>
            <w:tcW w:w="985" w:type="pct"/>
            <w:tcBorders>
              <w:top w:val="single" w:color="auto" w:sz="12" w:space="0"/>
              <w:bottom w:val="single" w:color="auto" w:sz="6" w:space="0"/>
            </w:tcBorders>
            <w:noWrap w:val="0"/>
            <w:vAlign w:val="center"/>
          </w:tcPr>
          <w:p>
            <w:pPr>
              <w:pStyle w:val="327"/>
              <w:widowControl w:val="0"/>
              <w:rPr>
                <w:rFonts w:hint="eastAsia" w:eastAsia="宋体"/>
                <w:color w:val="auto"/>
                <w:sz w:val="20"/>
                <w:szCs w:val="20"/>
                <w:lang w:val="en-US" w:eastAsia="zh-CN"/>
              </w:rPr>
            </w:pPr>
            <w:r>
              <w:rPr>
                <w:rFonts w:hint="eastAsia"/>
                <w:color w:val="auto"/>
                <w:sz w:val="20"/>
                <w:szCs w:val="20"/>
                <w:lang w:val="en-US" w:eastAsia="zh-CN"/>
              </w:rPr>
              <w:t>水温</w:t>
            </w:r>
          </w:p>
        </w:tc>
        <w:tc>
          <w:tcPr>
            <w:tcW w:w="1915" w:type="pct"/>
            <w:gridSpan w:val="2"/>
            <w:tcBorders>
              <w:top w:val="single" w:color="auto" w:sz="12" w:space="0"/>
              <w:bottom w:val="single" w:color="auto" w:sz="6" w:space="0"/>
            </w:tcBorders>
            <w:noWrap w:val="0"/>
            <w:vAlign w:val="center"/>
          </w:tcPr>
          <w:p>
            <w:pPr>
              <w:pStyle w:val="327"/>
              <w:widowControl w:val="0"/>
              <w:rPr>
                <w:rFonts w:hint="default" w:eastAsia="宋体"/>
                <w:color w:val="auto"/>
                <w:sz w:val="20"/>
                <w:szCs w:val="20"/>
                <w:lang w:val="en-US" w:eastAsia="zh-CN"/>
              </w:rPr>
            </w:pPr>
            <w:r>
              <w:rPr>
                <w:rFonts w:hint="eastAsia"/>
                <w:color w:val="auto"/>
                <w:sz w:val="20"/>
                <w:szCs w:val="20"/>
                <w:lang w:val="en-US" w:eastAsia="zh-CN"/>
              </w:rPr>
              <w:t>径流</w:t>
            </w:r>
          </w:p>
        </w:tc>
        <w:tc>
          <w:tcPr>
            <w:tcW w:w="1419" w:type="pct"/>
            <w:tcBorders>
              <w:top w:val="single" w:color="auto" w:sz="12" w:space="0"/>
              <w:bottom w:val="single" w:color="auto" w:sz="6" w:space="0"/>
            </w:tcBorders>
            <w:noWrap w:val="0"/>
            <w:vAlign w:val="center"/>
          </w:tcPr>
          <w:p>
            <w:pPr>
              <w:pStyle w:val="327"/>
              <w:widowControl w:val="0"/>
              <w:rPr>
                <w:color w:val="auto"/>
                <w:sz w:val="20"/>
                <w:szCs w:val="20"/>
              </w:rPr>
            </w:pPr>
            <w:r>
              <w:rPr>
                <w:rFonts w:hint="eastAsia"/>
                <w:color w:val="auto"/>
                <w:sz w:val="20"/>
                <w:szCs w:val="20"/>
                <w:lang w:val="en-US" w:eastAsia="zh-CN"/>
              </w:rPr>
              <w:t>受影响地表水域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79" w:type="pct"/>
            <w:vMerge w:val="continue"/>
            <w:tcBorders>
              <w:bottom w:val="single" w:color="auto" w:sz="12" w:space="0"/>
            </w:tcBorders>
            <w:noWrap w:val="0"/>
            <w:vAlign w:val="center"/>
          </w:tcPr>
          <w:p>
            <w:pPr>
              <w:pStyle w:val="327"/>
              <w:widowControl w:val="0"/>
              <w:rPr>
                <w:color w:val="auto"/>
                <w:sz w:val="20"/>
                <w:szCs w:val="20"/>
              </w:rPr>
            </w:pPr>
          </w:p>
        </w:tc>
        <w:tc>
          <w:tcPr>
            <w:tcW w:w="985" w:type="pct"/>
            <w:tcBorders>
              <w:top w:val="single" w:color="auto" w:sz="6" w:space="0"/>
              <w:bottom w:val="single" w:color="auto" w:sz="12" w:space="0"/>
            </w:tcBorders>
            <w:noWrap w:val="0"/>
            <w:vAlign w:val="center"/>
          </w:tcPr>
          <w:p>
            <w:pPr>
              <w:pStyle w:val="327"/>
              <w:widowControl w:val="0"/>
              <w:rPr>
                <w:color w:val="auto"/>
                <w:sz w:val="20"/>
                <w:szCs w:val="20"/>
              </w:rPr>
            </w:pPr>
            <w:r>
              <w:rPr>
                <w:rFonts w:hint="eastAsia"/>
                <w:color w:val="auto"/>
                <w:sz w:val="20"/>
                <w:szCs w:val="20"/>
              </w:rPr>
              <w:t>年径流量与总库容百分比α/%</w:t>
            </w:r>
          </w:p>
        </w:tc>
        <w:tc>
          <w:tcPr>
            <w:tcW w:w="1095" w:type="pct"/>
            <w:tcBorders>
              <w:top w:val="single" w:color="auto" w:sz="6" w:space="0"/>
              <w:bottom w:val="single" w:color="auto" w:sz="12" w:space="0"/>
            </w:tcBorders>
            <w:noWrap w:val="0"/>
            <w:vAlign w:val="center"/>
          </w:tcPr>
          <w:p>
            <w:pPr>
              <w:pStyle w:val="327"/>
              <w:widowControl w:val="0"/>
              <w:rPr>
                <w:color w:val="auto"/>
                <w:sz w:val="20"/>
                <w:szCs w:val="20"/>
              </w:rPr>
            </w:pPr>
            <w:r>
              <w:rPr>
                <w:rFonts w:hint="eastAsia"/>
                <w:color w:val="auto"/>
                <w:sz w:val="20"/>
                <w:szCs w:val="20"/>
              </w:rPr>
              <w:t>兴利库容与年径流量百分比β/%</w:t>
            </w:r>
          </w:p>
        </w:tc>
        <w:tc>
          <w:tcPr>
            <w:tcW w:w="819" w:type="pct"/>
            <w:tcBorders>
              <w:top w:val="single" w:color="auto" w:sz="6" w:space="0"/>
              <w:bottom w:val="single" w:color="auto" w:sz="12" w:space="0"/>
            </w:tcBorders>
            <w:noWrap w:val="0"/>
            <w:vAlign w:val="center"/>
          </w:tcPr>
          <w:p>
            <w:pPr>
              <w:pStyle w:val="327"/>
              <w:widowControl w:val="0"/>
              <w:rPr>
                <w:color w:val="auto"/>
                <w:sz w:val="20"/>
                <w:szCs w:val="20"/>
              </w:rPr>
            </w:pPr>
            <w:r>
              <w:rPr>
                <w:rFonts w:hint="eastAsia"/>
                <w:color w:val="auto"/>
                <w:sz w:val="20"/>
                <w:szCs w:val="20"/>
              </w:rPr>
              <w:t>取水量占多年平均径流量百分比γ/%</w:t>
            </w:r>
          </w:p>
        </w:tc>
        <w:tc>
          <w:tcPr>
            <w:tcW w:w="1419" w:type="pct"/>
            <w:tcBorders>
              <w:top w:val="single" w:color="auto" w:sz="6" w:space="0"/>
              <w:bottom w:val="single" w:color="auto" w:sz="12" w:space="0"/>
            </w:tcBorders>
            <w:noWrap w:val="0"/>
            <w:vAlign w:val="center"/>
          </w:tcPr>
          <w:p>
            <w:pPr>
              <w:pStyle w:val="327"/>
              <w:widowControl w:val="0"/>
              <w:rPr>
                <w:rFonts w:hint="eastAsia"/>
                <w:color w:val="auto"/>
                <w:sz w:val="20"/>
                <w:szCs w:val="20"/>
              </w:rPr>
            </w:pPr>
            <w:r>
              <w:rPr>
                <w:rFonts w:hint="eastAsia"/>
                <w:color w:val="auto"/>
                <w:sz w:val="20"/>
                <w:szCs w:val="20"/>
              </w:rPr>
              <w:t>工程垂直投影面积及外扩范围A1/km</w:t>
            </w:r>
            <w:r>
              <w:rPr>
                <w:rFonts w:hint="eastAsia"/>
                <w:color w:val="auto"/>
                <w:sz w:val="20"/>
                <w:szCs w:val="20"/>
                <w:vertAlign w:val="superscript"/>
              </w:rPr>
              <w:t>2</w:t>
            </w:r>
            <w:r>
              <w:rPr>
                <w:rFonts w:hint="eastAsia"/>
                <w:color w:val="auto"/>
                <w:sz w:val="20"/>
                <w:szCs w:val="20"/>
              </w:rPr>
              <w:t>；工程扰动水底面积A2/km</w:t>
            </w:r>
            <w:r>
              <w:rPr>
                <w:rFonts w:hint="eastAsia"/>
                <w:color w:val="auto"/>
                <w:sz w:val="20"/>
                <w:szCs w:val="20"/>
                <w:vertAlign w:val="superscript"/>
              </w:rPr>
              <w:t>2</w:t>
            </w:r>
            <w:r>
              <w:rPr>
                <w:rFonts w:hint="eastAsia"/>
                <w:color w:val="auto"/>
                <w:sz w:val="20"/>
                <w:szCs w:val="20"/>
              </w:rPr>
              <w:t>；</w:t>
            </w:r>
          </w:p>
          <w:p>
            <w:pPr>
              <w:pStyle w:val="327"/>
              <w:widowControl w:val="0"/>
              <w:rPr>
                <w:color w:val="auto"/>
                <w:sz w:val="20"/>
                <w:szCs w:val="20"/>
              </w:rPr>
            </w:pPr>
            <w:r>
              <w:rPr>
                <w:rFonts w:hint="eastAsia"/>
                <w:color w:val="auto"/>
                <w:sz w:val="20"/>
                <w:szCs w:val="20"/>
              </w:rPr>
              <w:t>过水断面宽度占用比例或占用水域面积比例R/%</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79" w:type="pct"/>
            <w:tcBorders>
              <w:top w:val="single" w:color="auto" w:sz="12" w:space="0"/>
            </w:tcBorders>
            <w:noWrap w:val="0"/>
            <w:vAlign w:val="center"/>
          </w:tcPr>
          <w:p>
            <w:pPr>
              <w:pStyle w:val="327"/>
              <w:widowControl w:val="0"/>
              <w:rPr>
                <w:rFonts w:hint="eastAsia" w:eastAsia="宋体"/>
                <w:color w:val="auto"/>
                <w:sz w:val="20"/>
                <w:szCs w:val="20"/>
                <w:lang w:val="en-US" w:eastAsia="zh-CN"/>
              </w:rPr>
            </w:pPr>
            <w:r>
              <w:rPr>
                <w:rFonts w:hint="eastAsia"/>
                <w:color w:val="auto"/>
                <w:sz w:val="20"/>
                <w:szCs w:val="20"/>
                <w:lang w:val="en-US" w:eastAsia="zh-CN"/>
              </w:rPr>
              <w:t>一级</w:t>
            </w:r>
          </w:p>
        </w:tc>
        <w:tc>
          <w:tcPr>
            <w:tcW w:w="985"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α≤10；或稳定分层</w:t>
            </w:r>
          </w:p>
        </w:tc>
        <w:tc>
          <w:tcPr>
            <w:tcW w:w="1095"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β≥20；或完全年调节与多年调节</w:t>
            </w:r>
          </w:p>
        </w:tc>
        <w:tc>
          <w:tcPr>
            <w:tcW w:w="819"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γ≥30</w:t>
            </w:r>
          </w:p>
        </w:tc>
        <w:tc>
          <w:tcPr>
            <w:tcW w:w="1419" w:type="pct"/>
            <w:tcBorders>
              <w:top w:val="single" w:color="auto" w:sz="12" w:space="0"/>
            </w:tcBorders>
            <w:noWrap w:val="0"/>
            <w:vAlign w:val="center"/>
          </w:tcPr>
          <w:p>
            <w:pPr>
              <w:pStyle w:val="327"/>
              <w:widowControl w:val="0"/>
              <w:rPr>
                <w:color w:val="auto"/>
                <w:sz w:val="20"/>
                <w:szCs w:val="20"/>
              </w:rPr>
            </w:pPr>
            <w:r>
              <w:rPr>
                <w:rFonts w:hint="eastAsia"/>
                <w:color w:val="auto"/>
                <w:sz w:val="20"/>
                <w:szCs w:val="20"/>
              </w:rPr>
              <w:t>A1≥0.3；或A2≥1.5；或 R≥10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79" w:type="pct"/>
            <w:noWrap w:val="0"/>
            <w:vAlign w:val="center"/>
          </w:tcPr>
          <w:p>
            <w:pPr>
              <w:pStyle w:val="327"/>
              <w:widowControl w:val="0"/>
              <w:rPr>
                <w:rFonts w:hint="eastAsia" w:eastAsia="宋体"/>
                <w:color w:val="auto"/>
                <w:sz w:val="20"/>
                <w:szCs w:val="20"/>
                <w:lang w:val="en-US" w:eastAsia="zh-CN"/>
              </w:rPr>
            </w:pPr>
            <w:r>
              <w:rPr>
                <w:rFonts w:hint="eastAsia"/>
                <w:color w:val="auto"/>
                <w:sz w:val="20"/>
                <w:szCs w:val="20"/>
                <w:lang w:val="en-US" w:eastAsia="zh-CN"/>
              </w:rPr>
              <w:t>二级</w:t>
            </w:r>
          </w:p>
        </w:tc>
        <w:tc>
          <w:tcPr>
            <w:tcW w:w="985" w:type="pct"/>
            <w:noWrap w:val="0"/>
            <w:vAlign w:val="center"/>
          </w:tcPr>
          <w:p>
            <w:pPr>
              <w:pStyle w:val="327"/>
              <w:widowControl w:val="0"/>
              <w:rPr>
                <w:color w:val="auto"/>
                <w:sz w:val="20"/>
                <w:szCs w:val="20"/>
              </w:rPr>
            </w:pPr>
            <w:r>
              <w:rPr>
                <w:rFonts w:hint="eastAsia"/>
                <w:color w:val="auto"/>
                <w:sz w:val="20"/>
                <w:szCs w:val="20"/>
              </w:rPr>
              <w:t>20＞α＞10；或不稳定分层</w:t>
            </w:r>
          </w:p>
        </w:tc>
        <w:tc>
          <w:tcPr>
            <w:tcW w:w="1095" w:type="pct"/>
            <w:noWrap w:val="0"/>
            <w:vAlign w:val="center"/>
          </w:tcPr>
          <w:p>
            <w:pPr>
              <w:pStyle w:val="327"/>
              <w:widowControl w:val="0"/>
              <w:rPr>
                <w:color w:val="auto"/>
                <w:sz w:val="20"/>
                <w:szCs w:val="20"/>
              </w:rPr>
            </w:pPr>
            <w:r>
              <w:rPr>
                <w:rFonts w:hint="eastAsia"/>
                <w:color w:val="auto"/>
                <w:sz w:val="20"/>
                <w:szCs w:val="20"/>
              </w:rPr>
              <w:t>20＞β＞2；或季调节与不完全年调节</w:t>
            </w:r>
          </w:p>
        </w:tc>
        <w:tc>
          <w:tcPr>
            <w:tcW w:w="819" w:type="pct"/>
            <w:noWrap w:val="0"/>
            <w:vAlign w:val="center"/>
          </w:tcPr>
          <w:p>
            <w:pPr>
              <w:pStyle w:val="327"/>
              <w:widowControl w:val="0"/>
              <w:rPr>
                <w:color w:val="auto"/>
                <w:sz w:val="20"/>
                <w:szCs w:val="20"/>
              </w:rPr>
            </w:pPr>
            <w:r>
              <w:rPr>
                <w:rFonts w:hint="eastAsia"/>
                <w:color w:val="auto"/>
                <w:sz w:val="20"/>
                <w:szCs w:val="20"/>
              </w:rPr>
              <w:t>30＞γ＞10</w:t>
            </w:r>
          </w:p>
        </w:tc>
        <w:tc>
          <w:tcPr>
            <w:tcW w:w="1419" w:type="pct"/>
            <w:noWrap w:val="0"/>
            <w:vAlign w:val="center"/>
          </w:tcPr>
          <w:p>
            <w:pPr>
              <w:pStyle w:val="327"/>
              <w:widowControl w:val="0"/>
              <w:rPr>
                <w:color w:val="auto"/>
                <w:sz w:val="20"/>
                <w:szCs w:val="20"/>
              </w:rPr>
            </w:pPr>
            <w:r>
              <w:rPr>
                <w:rFonts w:hint="eastAsia"/>
                <w:color w:val="auto"/>
                <w:sz w:val="20"/>
                <w:szCs w:val="20"/>
              </w:rPr>
              <w:t>0.3＞A1＞0.05；或1.5＞A2＞0.2；或10＞R＞5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79" w:type="pct"/>
            <w:noWrap w:val="0"/>
            <w:vAlign w:val="center"/>
          </w:tcPr>
          <w:p>
            <w:pPr>
              <w:pStyle w:val="327"/>
              <w:widowControl w:val="0"/>
              <w:rPr>
                <w:rFonts w:hint="eastAsia" w:eastAsia="宋体"/>
                <w:color w:val="auto"/>
                <w:sz w:val="20"/>
                <w:szCs w:val="20"/>
                <w:lang w:val="en-US" w:eastAsia="zh-CN"/>
              </w:rPr>
            </w:pPr>
            <w:r>
              <w:rPr>
                <w:rFonts w:hint="eastAsia"/>
                <w:color w:val="auto"/>
                <w:sz w:val="20"/>
                <w:szCs w:val="20"/>
                <w:lang w:val="en-US" w:eastAsia="zh-CN"/>
              </w:rPr>
              <w:t>三级</w:t>
            </w:r>
          </w:p>
        </w:tc>
        <w:tc>
          <w:tcPr>
            <w:tcW w:w="985" w:type="pct"/>
            <w:noWrap w:val="0"/>
            <w:vAlign w:val="center"/>
          </w:tcPr>
          <w:p>
            <w:pPr>
              <w:pStyle w:val="327"/>
              <w:widowControl w:val="0"/>
              <w:rPr>
                <w:color w:val="auto"/>
                <w:sz w:val="20"/>
                <w:szCs w:val="20"/>
              </w:rPr>
            </w:pPr>
            <w:r>
              <w:rPr>
                <w:rFonts w:hint="eastAsia"/>
                <w:color w:val="auto"/>
                <w:sz w:val="20"/>
                <w:szCs w:val="20"/>
              </w:rPr>
              <w:t>α≥20；或混合型</w:t>
            </w:r>
          </w:p>
        </w:tc>
        <w:tc>
          <w:tcPr>
            <w:tcW w:w="1095" w:type="pct"/>
            <w:noWrap w:val="0"/>
            <w:vAlign w:val="center"/>
          </w:tcPr>
          <w:p>
            <w:pPr>
              <w:pStyle w:val="327"/>
              <w:widowControl w:val="0"/>
              <w:rPr>
                <w:color w:val="auto"/>
                <w:sz w:val="20"/>
                <w:szCs w:val="20"/>
              </w:rPr>
            </w:pPr>
            <w:r>
              <w:rPr>
                <w:rFonts w:hint="eastAsia"/>
                <w:color w:val="auto"/>
                <w:sz w:val="20"/>
                <w:szCs w:val="20"/>
              </w:rPr>
              <w:t>β≤2；或无调节</w:t>
            </w:r>
          </w:p>
        </w:tc>
        <w:tc>
          <w:tcPr>
            <w:tcW w:w="819" w:type="pct"/>
            <w:noWrap w:val="0"/>
            <w:vAlign w:val="center"/>
          </w:tcPr>
          <w:p>
            <w:pPr>
              <w:pStyle w:val="327"/>
              <w:widowControl w:val="0"/>
              <w:rPr>
                <w:color w:val="auto"/>
                <w:sz w:val="20"/>
                <w:szCs w:val="20"/>
              </w:rPr>
            </w:pPr>
            <w:r>
              <w:rPr>
                <w:rFonts w:hint="eastAsia"/>
                <w:color w:val="auto"/>
                <w:sz w:val="20"/>
                <w:szCs w:val="20"/>
              </w:rPr>
              <w:t>γ≤10</w:t>
            </w:r>
          </w:p>
        </w:tc>
        <w:tc>
          <w:tcPr>
            <w:tcW w:w="1419" w:type="pct"/>
            <w:noWrap w:val="0"/>
            <w:vAlign w:val="center"/>
          </w:tcPr>
          <w:p>
            <w:pPr>
              <w:pStyle w:val="327"/>
              <w:widowControl w:val="0"/>
              <w:rPr>
                <w:rFonts w:hint="eastAsia" w:eastAsia="宋体"/>
                <w:color w:val="auto"/>
                <w:sz w:val="20"/>
                <w:szCs w:val="20"/>
                <w:lang w:val="en-US" w:eastAsia="zh-CN"/>
              </w:rPr>
            </w:pPr>
            <w:r>
              <w:rPr>
                <w:rFonts w:hint="eastAsia"/>
                <w:color w:val="auto"/>
                <w:sz w:val="20"/>
                <w:szCs w:val="20"/>
              </w:rPr>
              <w:t>A1≤0.05；或A2≤0.2；或R≤</w:t>
            </w:r>
            <w:r>
              <w:rPr>
                <w:rFonts w:hint="eastAsia"/>
                <w:color w:val="auto"/>
                <w:sz w:val="20"/>
                <w:szCs w:val="20"/>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5000" w:type="pct"/>
            <w:gridSpan w:val="5"/>
            <w:noWrap w:val="0"/>
            <w:vAlign w:val="center"/>
          </w:tcPr>
          <w:p>
            <w:pPr>
              <w:pStyle w:val="327"/>
              <w:widowControl w:val="0"/>
              <w:jc w:val="left"/>
              <w:rPr>
                <w:rFonts w:hint="eastAsia"/>
                <w:color w:val="auto"/>
                <w:sz w:val="20"/>
                <w:szCs w:val="20"/>
              </w:rPr>
            </w:pPr>
            <w:r>
              <w:rPr>
                <w:rFonts w:hint="eastAsia"/>
                <w:color w:val="auto"/>
                <w:sz w:val="20"/>
                <w:szCs w:val="20"/>
              </w:rPr>
              <w:t>注1：影响范围涉及饮用水水源保护区、重点保护与珍稀水生生物的栖息地、重要水生生物的自然产卵场、自然保护区等保护目标，评价等级应不低于二级。</w:t>
            </w:r>
          </w:p>
          <w:p>
            <w:pPr>
              <w:pStyle w:val="327"/>
              <w:widowControl w:val="0"/>
              <w:jc w:val="left"/>
              <w:rPr>
                <w:rFonts w:hint="eastAsia"/>
                <w:color w:val="auto"/>
                <w:sz w:val="20"/>
                <w:szCs w:val="20"/>
              </w:rPr>
            </w:pPr>
            <w:r>
              <w:rPr>
                <w:rFonts w:hint="eastAsia"/>
                <w:color w:val="auto"/>
                <w:sz w:val="20"/>
                <w:szCs w:val="20"/>
              </w:rPr>
              <w:t>注2：跨流域调水、引水式电站、可能受到河流感潮河段影响，评价等级不低于二级。</w:t>
            </w:r>
          </w:p>
          <w:p>
            <w:pPr>
              <w:pStyle w:val="327"/>
              <w:widowControl w:val="0"/>
              <w:jc w:val="left"/>
              <w:rPr>
                <w:rFonts w:hint="eastAsia"/>
                <w:color w:val="auto"/>
                <w:sz w:val="20"/>
                <w:szCs w:val="20"/>
              </w:rPr>
            </w:pPr>
            <w:r>
              <w:rPr>
                <w:rFonts w:hint="eastAsia"/>
                <w:color w:val="auto"/>
                <w:sz w:val="20"/>
                <w:szCs w:val="20"/>
              </w:rPr>
              <w:t>注3：造成入海河口（湾口）宽度束窄（束窄尺度达到原宽度的 5%以上），评价等级应不低于二级。</w:t>
            </w:r>
          </w:p>
          <w:p>
            <w:pPr>
              <w:pStyle w:val="327"/>
              <w:widowControl w:val="0"/>
              <w:jc w:val="left"/>
              <w:rPr>
                <w:rFonts w:hint="eastAsia"/>
                <w:color w:val="auto"/>
                <w:sz w:val="20"/>
                <w:szCs w:val="20"/>
              </w:rPr>
            </w:pPr>
            <w:r>
              <w:rPr>
                <w:rFonts w:hint="eastAsia"/>
                <w:color w:val="auto"/>
                <w:sz w:val="20"/>
                <w:szCs w:val="20"/>
              </w:rPr>
              <w:t>注4：对不透水的单方向建筑尺度较长的水工建筑物（如防波堤、导流堤等），其与潮流或水流主流向切线垂直方向投影长度大于2km时，评价等级应不低于二级。</w:t>
            </w:r>
          </w:p>
          <w:p>
            <w:pPr>
              <w:pStyle w:val="327"/>
              <w:widowControl w:val="0"/>
              <w:jc w:val="left"/>
              <w:rPr>
                <w:rFonts w:hint="eastAsia"/>
                <w:color w:val="auto"/>
                <w:sz w:val="20"/>
                <w:szCs w:val="20"/>
              </w:rPr>
            </w:pPr>
            <w:r>
              <w:rPr>
                <w:rFonts w:hint="eastAsia"/>
                <w:color w:val="auto"/>
                <w:sz w:val="20"/>
                <w:szCs w:val="20"/>
              </w:rPr>
              <w:t>注5：允许在一类海域建设的项目，评价等级为一级。</w:t>
            </w:r>
          </w:p>
          <w:p>
            <w:pPr>
              <w:pStyle w:val="327"/>
              <w:widowControl w:val="0"/>
              <w:jc w:val="left"/>
              <w:rPr>
                <w:rFonts w:hint="eastAsia" w:eastAsia="宋体"/>
                <w:color w:val="auto"/>
                <w:sz w:val="20"/>
                <w:szCs w:val="20"/>
                <w:lang w:eastAsia="zh-CN"/>
              </w:rPr>
            </w:pPr>
            <w:r>
              <w:rPr>
                <w:rFonts w:hint="eastAsia"/>
                <w:color w:val="auto"/>
                <w:sz w:val="20"/>
                <w:szCs w:val="20"/>
              </w:rPr>
              <w:t>注6：同时存在多个水文要素影响的建设项目，分别判定各水文要素影响评价等级，并取其中最高等级作为水文要素影响型建设项目评价等级</w:t>
            </w:r>
            <w:r>
              <w:rPr>
                <w:rFonts w:hint="eastAsia"/>
                <w:color w:val="auto"/>
                <w:sz w:val="20"/>
                <w:szCs w:val="20"/>
                <w:lang w:eastAsia="zh-CN"/>
              </w:rPr>
              <w:t>。</w:t>
            </w:r>
          </w:p>
        </w:tc>
      </w:tr>
    </w:tbl>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工程对水温、径流基本无影响，工程2个泊位均采用顺岸式布置形式，无清淤工程。</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工程垂直投影面积及外扩范围A1为0.0</w:t>
      </w:r>
      <w:r>
        <w:rPr>
          <w:rFonts w:hint="eastAsia" w:eastAsia="仿宋_GB2312"/>
          <w:color w:val="auto"/>
          <w:sz w:val="24"/>
          <w:lang w:val="en-US" w:eastAsia="zh-CN"/>
        </w:rPr>
        <w:t>0</w:t>
      </w:r>
      <w:r>
        <w:rPr>
          <w:rFonts w:hint="eastAsia" w:eastAsia="仿宋_GB2312"/>
          <w:color w:val="auto"/>
          <w:sz w:val="24"/>
        </w:rPr>
        <w:t>0</w:t>
      </w:r>
      <w:r>
        <w:rPr>
          <w:rFonts w:hint="eastAsia" w:eastAsia="仿宋_GB2312"/>
          <w:color w:val="auto"/>
          <w:sz w:val="24"/>
          <w:lang w:val="en-US" w:eastAsia="zh-CN"/>
        </w:rPr>
        <w:t>6</w:t>
      </w:r>
      <w:r>
        <w:rPr>
          <w:rFonts w:hint="eastAsia" w:eastAsia="仿宋_GB2312"/>
          <w:color w:val="auto"/>
          <w:sz w:val="24"/>
        </w:rPr>
        <w:t>km</w:t>
      </w:r>
      <w:r>
        <w:rPr>
          <w:rFonts w:hint="eastAsia" w:eastAsia="仿宋_GB2312"/>
          <w:color w:val="auto"/>
          <w:sz w:val="24"/>
          <w:vertAlign w:val="superscript"/>
        </w:rPr>
        <w:t>2</w:t>
      </w:r>
      <w:r>
        <w:rPr>
          <w:rFonts w:hint="eastAsia" w:eastAsia="仿宋_GB2312"/>
          <w:color w:val="auto"/>
          <w:sz w:val="24"/>
        </w:rPr>
        <w:t>，工程扰动水底面积A2为0.000</w:t>
      </w:r>
      <w:r>
        <w:rPr>
          <w:rFonts w:hint="eastAsia" w:eastAsia="仿宋_GB2312"/>
          <w:color w:val="auto"/>
          <w:sz w:val="24"/>
          <w:lang w:val="en-US" w:eastAsia="zh-CN"/>
        </w:rPr>
        <w:t>2</w:t>
      </w:r>
      <w:r>
        <w:rPr>
          <w:rFonts w:hint="eastAsia" w:eastAsia="仿宋_GB2312"/>
          <w:color w:val="auto"/>
          <w:sz w:val="24"/>
        </w:rPr>
        <w:t>km</w:t>
      </w:r>
      <w:r>
        <w:rPr>
          <w:rFonts w:hint="eastAsia" w:eastAsia="仿宋_GB2312"/>
          <w:color w:val="auto"/>
          <w:sz w:val="24"/>
          <w:vertAlign w:val="superscript"/>
        </w:rPr>
        <w:t>2</w:t>
      </w:r>
      <w:r>
        <w:rPr>
          <w:rFonts w:hint="eastAsia" w:eastAsia="仿宋_GB2312"/>
          <w:color w:val="auto"/>
          <w:sz w:val="24"/>
        </w:rPr>
        <w:t>，过水断面宽度占用比例或占用水域面积比例为0.0</w:t>
      </w:r>
      <w:r>
        <w:rPr>
          <w:rFonts w:hint="eastAsia" w:eastAsia="仿宋_GB2312"/>
          <w:color w:val="auto"/>
          <w:sz w:val="24"/>
          <w:lang w:val="en-US" w:eastAsia="zh-CN"/>
        </w:rPr>
        <w:t>26</w:t>
      </w:r>
      <w:r>
        <w:rPr>
          <w:rFonts w:hint="eastAsia" w:eastAsia="仿宋_GB2312"/>
          <w:color w:val="auto"/>
          <w:sz w:val="24"/>
        </w:rPr>
        <w:t>%，水文影响评价工作等级为三级</w:t>
      </w:r>
      <w:r>
        <w:rPr>
          <w:rFonts w:eastAsia="仿宋_GB2312"/>
          <w:color w:val="auto"/>
          <w:sz w:val="24"/>
        </w:rPr>
        <w:t>。</w:t>
      </w:r>
    </w:p>
    <w:p>
      <w:pPr>
        <w:pStyle w:val="2"/>
        <w:widowControl w:val="0"/>
        <w:ind w:firstLine="480" w:firstLineChars="200"/>
        <w:jc w:val="left"/>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（2）评价范围</w:t>
      </w:r>
    </w:p>
    <w:p>
      <w:pPr>
        <w:pStyle w:val="2"/>
        <w:widowControl w:val="0"/>
        <w:ind w:firstLine="480" w:firstLineChars="200"/>
        <w:jc w:val="left"/>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码头上游端线上游</w:t>
      </w:r>
      <w:r>
        <w:rPr>
          <w:rFonts w:hint="eastAsia" w:ascii="Times New Roman" w:hAnsi="Times New Roman" w:eastAsia="仿宋_GB2312" w:cs="Times New Roman"/>
          <w:color w:val="auto"/>
          <w:sz w:val="24"/>
          <w:lang w:val="en-US" w:eastAsia="zh-CN"/>
        </w:rPr>
        <w:t>0.5k</w:t>
      </w:r>
      <w:r>
        <w:rPr>
          <w:rFonts w:hint="default" w:ascii="Times New Roman" w:hAnsi="Times New Roman" w:eastAsia="仿宋_GB2312" w:cs="Times New Roman"/>
          <w:color w:val="auto"/>
          <w:sz w:val="24"/>
          <w:lang w:val="en-US" w:eastAsia="zh-CN"/>
        </w:rPr>
        <w:t>m至下游端</w:t>
      </w:r>
      <w:r>
        <w:rPr>
          <w:rFonts w:hint="default" w:ascii="Times New Roman" w:hAnsi="Times New Roman" w:eastAsia="仿宋_GB2312" w:cs="Times New Roman"/>
          <w:color w:val="auto"/>
          <w:kern w:val="2"/>
          <w:sz w:val="24"/>
          <w:lang w:val="en-US" w:eastAsia="zh-CN" w:bidi="ar-SA"/>
        </w:rPr>
        <w:t>线下游</w:t>
      </w:r>
      <w:r>
        <w:rPr>
          <w:rFonts w:hint="eastAsia" w:ascii="Times New Roman" w:hAnsi="Times New Roman" w:eastAsia="仿宋_GB2312" w:cs="Times New Roman"/>
          <w:color w:val="auto"/>
          <w:kern w:val="2"/>
          <w:sz w:val="24"/>
          <w:lang w:val="en-US" w:eastAsia="zh-CN" w:bidi="ar-SA"/>
        </w:rPr>
        <w:t>22.3</w:t>
      </w:r>
      <w:r>
        <w:rPr>
          <w:rFonts w:hint="default" w:ascii="Times New Roman" w:hAnsi="Times New Roman" w:eastAsia="仿宋_GB2312" w:cs="Times New Roman"/>
          <w:color w:val="auto"/>
          <w:kern w:val="2"/>
          <w:sz w:val="24"/>
          <w:lang w:val="en-US" w:eastAsia="zh-CN" w:bidi="ar-SA"/>
        </w:rPr>
        <w:t>km的</w:t>
      </w:r>
      <w:r>
        <w:rPr>
          <w:rFonts w:hint="eastAsia" w:ascii="Times New Roman" w:hAnsi="Times New Roman" w:eastAsia="仿宋_GB2312" w:cs="Times New Roman"/>
          <w:color w:val="auto"/>
          <w:kern w:val="2"/>
          <w:sz w:val="24"/>
          <w:lang w:val="en-US" w:eastAsia="zh-CN" w:bidi="ar-SA"/>
        </w:rPr>
        <w:t>长</w:t>
      </w:r>
      <w:r>
        <w:rPr>
          <w:rFonts w:hint="eastAsia" w:ascii="Times New Roman" w:hAnsi="Times New Roman" w:eastAsia="仿宋_GB2312" w:cs="Times New Roman"/>
          <w:color w:val="auto"/>
          <w:sz w:val="24"/>
          <w:lang w:val="en-US" w:eastAsia="zh-CN"/>
        </w:rPr>
        <w:t>江</w:t>
      </w:r>
      <w:r>
        <w:rPr>
          <w:rFonts w:hint="default" w:ascii="Times New Roman" w:hAnsi="Times New Roman" w:eastAsia="仿宋_GB2312" w:cs="Times New Roman"/>
          <w:color w:val="auto"/>
          <w:sz w:val="24"/>
          <w:lang w:val="en-US" w:eastAsia="zh-CN"/>
        </w:rPr>
        <w:t>河段</w:t>
      </w:r>
      <w:r>
        <w:rPr>
          <w:rFonts w:hint="eastAsia" w:ascii="Times New Roman" w:hAnsi="Times New Roman" w:eastAsia="仿宋_GB2312" w:cs="Times New Roman"/>
          <w:color w:val="auto"/>
          <w:sz w:val="24"/>
          <w:lang w:val="en-US" w:eastAsia="zh-CN"/>
        </w:rPr>
        <w:t>。</w:t>
      </w:r>
    </w:p>
    <w:p>
      <w:pPr>
        <w:pStyle w:val="9"/>
        <w:widowControl w:val="0"/>
        <w:spacing w:before="120" w:after="120" w:line="360" w:lineRule="auto"/>
        <w:rPr>
          <w:rFonts w:eastAsia="黑体"/>
          <w:b w:val="0"/>
          <w:color w:val="auto"/>
          <w:sz w:val="24"/>
        </w:rPr>
      </w:pPr>
      <w:bookmarkStart w:id="242" w:name="_Toc337642887"/>
      <w:bookmarkStart w:id="243" w:name="_Toc306031198"/>
      <w:bookmarkStart w:id="244" w:name="_Toc934"/>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w:t>
      </w:r>
      <w:r>
        <w:rPr>
          <w:rFonts w:hint="eastAsia" w:eastAsia="黑体"/>
          <w:b w:val="0"/>
          <w:color w:val="auto"/>
          <w:sz w:val="24"/>
          <w:lang w:val="en-US" w:eastAsia="zh-CN"/>
        </w:rPr>
        <w:t>3</w:t>
      </w:r>
      <w:r>
        <w:rPr>
          <w:rFonts w:eastAsia="黑体"/>
          <w:b w:val="0"/>
          <w:color w:val="auto"/>
          <w:sz w:val="24"/>
        </w:rPr>
        <w:t>声环境</w:t>
      </w:r>
      <w:bookmarkEnd w:id="242"/>
      <w:bookmarkEnd w:id="243"/>
      <w:bookmarkEnd w:id="244"/>
    </w:p>
    <w:p>
      <w:pPr>
        <w:widowControl w:val="0"/>
        <w:spacing w:line="360" w:lineRule="auto"/>
        <w:ind w:firstLine="480" w:firstLineChars="200"/>
        <w:rPr>
          <w:rFonts w:eastAsia="仿宋_GB2312"/>
          <w:color w:val="auto"/>
          <w:sz w:val="24"/>
        </w:rPr>
      </w:pPr>
      <w:r>
        <w:rPr>
          <w:rFonts w:eastAsia="仿宋_GB2312"/>
          <w:color w:val="auto"/>
          <w:sz w:val="24"/>
        </w:rPr>
        <w:t>（1）工作等级</w:t>
      </w:r>
    </w:p>
    <w:p>
      <w:pPr>
        <w:widowControl w:val="0"/>
        <w:spacing w:line="360" w:lineRule="auto"/>
        <w:ind w:firstLine="480" w:firstLineChars="200"/>
        <w:rPr>
          <w:rFonts w:eastAsia="仿宋_GB2312"/>
          <w:color w:val="auto"/>
          <w:sz w:val="24"/>
        </w:rPr>
      </w:pPr>
      <w:r>
        <w:rPr>
          <w:rFonts w:hint="eastAsia" w:eastAsia="仿宋_GB2312"/>
          <w:color w:val="auto"/>
          <w:sz w:val="24"/>
        </w:rPr>
        <w:t>根据项目类型、所在地声环境功能区，对照《环境影响评价技术导则 声环境》（HJ2.4-2021）中“5.1评价等级”规定，判定本项目声环境影响评价工作等级为三级</w:t>
      </w:r>
      <w:r>
        <w:rPr>
          <w:rFonts w:hint="eastAsia" w:eastAsia="仿宋_GB2312"/>
          <w:color w:val="auto"/>
          <w:sz w:val="24"/>
          <w:lang w:eastAsia="zh-CN"/>
        </w:rPr>
        <w:t>，</w:t>
      </w:r>
      <w:r>
        <w:rPr>
          <w:rFonts w:hint="eastAsia" w:eastAsia="仿宋_GB2312"/>
          <w:color w:val="auto"/>
          <w:sz w:val="24"/>
          <w:lang w:val="en-US" w:eastAsia="zh-CN"/>
        </w:rPr>
        <w:t>详见下表</w:t>
      </w:r>
      <w:r>
        <w:rPr>
          <w:rFonts w:eastAsia="仿宋_GB2312"/>
          <w:color w:val="auto"/>
          <w:sz w:val="24"/>
        </w:rPr>
        <w:t>。</w:t>
      </w:r>
    </w:p>
    <w:p>
      <w:pPr>
        <w:widowControl w:val="0"/>
        <w:spacing w:line="360" w:lineRule="auto"/>
        <w:jc w:val="center"/>
        <w:rPr>
          <w:rFonts w:hint="eastAsia" w:eastAsia="黑体"/>
          <w:b/>
          <w:color w:val="auto"/>
          <w:szCs w:val="21"/>
          <w:lang w:val="en-US" w:eastAsia="zh-CN"/>
        </w:rPr>
      </w:pPr>
      <w:r>
        <w:rPr>
          <w:rFonts w:eastAsia="黑体"/>
          <w:b/>
          <w:color w:val="auto"/>
          <w:szCs w:val="21"/>
        </w:rPr>
        <w:t>表1.</w:t>
      </w:r>
      <w:r>
        <w:rPr>
          <w:rFonts w:hint="eastAsia" w:eastAsia="黑体"/>
          <w:b/>
          <w:color w:val="auto"/>
          <w:szCs w:val="21"/>
          <w:lang w:val="en-US" w:eastAsia="zh-CN"/>
        </w:rPr>
        <w:t>4</w:t>
      </w:r>
      <w:r>
        <w:rPr>
          <w:rFonts w:eastAsia="黑体"/>
          <w:b/>
          <w:color w:val="auto"/>
          <w:szCs w:val="21"/>
        </w:rPr>
        <w:t>-</w:t>
      </w:r>
      <w:r>
        <w:rPr>
          <w:rFonts w:hint="eastAsia" w:eastAsia="黑体"/>
          <w:b/>
          <w:color w:val="auto"/>
          <w:szCs w:val="21"/>
          <w:lang w:val="en-US" w:eastAsia="zh-CN"/>
        </w:rPr>
        <w:t>6</w:t>
      </w:r>
      <w:r>
        <w:rPr>
          <w:rFonts w:eastAsia="黑体"/>
          <w:b/>
          <w:color w:val="auto"/>
          <w:szCs w:val="21"/>
        </w:rPr>
        <w:t xml:space="preserve">  </w:t>
      </w:r>
      <w:r>
        <w:rPr>
          <w:rFonts w:hint="eastAsia" w:eastAsia="黑体"/>
          <w:b/>
          <w:color w:val="auto"/>
          <w:szCs w:val="21"/>
          <w:lang w:val="en-US" w:eastAsia="zh-CN"/>
        </w:rPr>
        <w:t>声环境</w:t>
      </w:r>
      <w:r>
        <w:rPr>
          <w:rFonts w:eastAsia="黑体"/>
          <w:b/>
          <w:color w:val="auto"/>
          <w:szCs w:val="21"/>
        </w:rPr>
        <w:t>评价工作等级</w:t>
      </w:r>
      <w:r>
        <w:rPr>
          <w:rFonts w:hint="eastAsia" w:eastAsia="黑体"/>
          <w:b/>
          <w:color w:val="auto"/>
          <w:szCs w:val="21"/>
          <w:lang w:val="en-US" w:eastAsia="zh-CN"/>
        </w:rPr>
        <w:t>判定表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486"/>
        <w:gridCol w:w="1665"/>
        <w:gridCol w:w="2952"/>
        <w:gridCol w:w="140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0" w:type="pct"/>
            <w:tcBorders>
              <w:top w:val="single" w:color="auto" w:sz="12" w:space="0"/>
              <w:bottom w:val="single" w:color="auto" w:sz="12" w:space="0"/>
            </w:tcBorders>
            <w:noWrap w:val="0"/>
            <w:vAlign w:val="center"/>
          </w:tcPr>
          <w:p>
            <w:pPr>
              <w:widowControl w:val="0"/>
              <w:adjustRightInd w:val="0"/>
              <w:snapToGrid w:val="0"/>
              <w:jc w:val="center"/>
              <w:rPr>
                <w:rFonts w:hint="eastAsia" w:eastAsia="宋体"/>
                <w:color w:val="auto"/>
                <w:sz w:val="20"/>
                <w:szCs w:val="18"/>
                <w:lang w:val="en-US" w:eastAsia="zh-CN"/>
              </w:rPr>
            </w:pPr>
            <w:r>
              <w:rPr>
                <w:rFonts w:hint="eastAsia"/>
                <w:color w:val="auto"/>
                <w:sz w:val="20"/>
                <w:szCs w:val="18"/>
                <w:lang w:val="en-US" w:eastAsia="zh-CN"/>
              </w:rPr>
              <w:t>因素</w:t>
            </w:r>
          </w:p>
        </w:tc>
        <w:tc>
          <w:tcPr>
            <w:tcW w:w="978"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color w:val="auto"/>
                <w:sz w:val="20"/>
                <w:szCs w:val="18"/>
                <w:lang w:val="en-US" w:eastAsia="zh-CN"/>
              </w:rPr>
              <w:t>声环境功能区</w:t>
            </w:r>
          </w:p>
        </w:tc>
        <w:tc>
          <w:tcPr>
            <w:tcW w:w="1734"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color w:val="auto"/>
                <w:sz w:val="20"/>
                <w:szCs w:val="18"/>
                <w:lang w:val="en-US" w:eastAsia="zh-CN"/>
              </w:rPr>
              <w:t>声环境保护目标噪声级增量</w:t>
            </w:r>
          </w:p>
        </w:tc>
        <w:tc>
          <w:tcPr>
            <w:tcW w:w="827"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color w:val="auto"/>
                <w:sz w:val="20"/>
                <w:szCs w:val="18"/>
                <w:lang w:val="en-US" w:eastAsia="zh-CN"/>
              </w:rPr>
              <w:t>受影响人口数量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0" w:type="pct"/>
            <w:tcBorders>
              <w:top w:val="single" w:color="auto" w:sz="12" w:space="0"/>
            </w:tcBorders>
            <w:noWrap w:val="0"/>
            <w:vAlign w:val="center"/>
          </w:tcPr>
          <w:p>
            <w:pPr>
              <w:widowControl w:val="0"/>
              <w:adjustRightInd w:val="0"/>
              <w:snapToGrid w:val="0"/>
              <w:jc w:val="center"/>
              <w:rPr>
                <w:rFonts w:hint="eastAsia" w:eastAsia="宋体"/>
                <w:color w:val="auto"/>
                <w:sz w:val="20"/>
                <w:szCs w:val="18"/>
                <w:lang w:val="en-US" w:eastAsia="zh-CN"/>
              </w:rPr>
            </w:pPr>
            <w:r>
              <w:rPr>
                <w:rFonts w:hint="eastAsia"/>
                <w:color w:val="auto"/>
                <w:sz w:val="20"/>
                <w:szCs w:val="18"/>
                <w:lang w:val="en-US" w:eastAsia="zh-CN"/>
              </w:rPr>
              <w:t>内容</w:t>
            </w:r>
          </w:p>
        </w:tc>
        <w:tc>
          <w:tcPr>
            <w:tcW w:w="978" w:type="pct"/>
            <w:tcBorders>
              <w:top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color w:val="auto"/>
                <w:sz w:val="20"/>
                <w:szCs w:val="18"/>
                <w:lang w:val="en-US" w:eastAsia="zh-CN"/>
              </w:rPr>
              <w:t>4a类、3类</w:t>
            </w:r>
          </w:p>
        </w:tc>
        <w:tc>
          <w:tcPr>
            <w:tcW w:w="1734" w:type="pct"/>
            <w:tcBorders>
              <w:top w:val="single" w:color="auto" w:sz="12" w:space="0"/>
            </w:tcBorders>
            <w:noWrap w:val="0"/>
            <w:vAlign w:val="center"/>
          </w:tcPr>
          <w:p>
            <w:pPr>
              <w:widowControl w:val="0"/>
              <w:adjustRightInd w:val="0"/>
              <w:snapToGrid w:val="0"/>
              <w:jc w:val="center"/>
              <w:rPr>
                <w:color w:val="auto"/>
                <w:sz w:val="20"/>
                <w:szCs w:val="18"/>
              </w:rPr>
            </w:pPr>
            <w:r>
              <w:rPr>
                <w:rFonts w:hint="eastAsia"/>
                <w:color w:val="auto"/>
                <w:sz w:val="20"/>
                <w:szCs w:val="18"/>
              </w:rPr>
              <w:t>3dB（A）以内</w:t>
            </w:r>
          </w:p>
        </w:tc>
        <w:tc>
          <w:tcPr>
            <w:tcW w:w="827" w:type="pct"/>
            <w:tcBorders>
              <w:top w:val="single" w:color="auto" w:sz="12" w:space="0"/>
            </w:tcBorders>
            <w:noWrap w:val="0"/>
            <w:vAlign w:val="center"/>
          </w:tcPr>
          <w:p>
            <w:pPr>
              <w:widowControl w:val="0"/>
              <w:adjustRightInd w:val="0"/>
              <w:snapToGrid w:val="0"/>
              <w:jc w:val="center"/>
              <w:rPr>
                <w:rFonts w:hint="eastAsia" w:eastAsia="宋体"/>
                <w:color w:val="auto"/>
                <w:sz w:val="20"/>
                <w:szCs w:val="18"/>
                <w:lang w:val="en-US" w:eastAsia="zh-CN"/>
              </w:rPr>
            </w:pPr>
            <w:r>
              <w:rPr>
                <w:rFonts w:hint="eastAsia"/>
                <w:color w:val="auto"/>
                <w:sz w:val="20"/>
                <w:szCs w:val="18"/>
                <w:lang w:val="en-US" w:eastAsia="zh-CN"/>
              </w:rPr>
              <w:t>变化不大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0" w:type="pct"/>
            <w:noWrap w:val="0"/>
            <w:vAlign w:val="center"/>
          </w:tcPr>
          <w:p>
            <w:pPr>
              <w:widowControl w:val="0"/>
              <w:adjustRightInd w:val="0"/>
              <w:snapToGrid w:val="0"/>
              <w:jc w:val="center"/>
              <w:rPr>
                <w:rFonts w:hint="eastAsia" w:eastAsia="宋体"/>
                <w:color w:val="auto"/>
                <w:sz w:val="20"/>
                <w:szCs w:val="18"/>
                <w:lang w:val="en-US" w:eastAsia="zh-CN"/>
              </w:rPr>
            </w:pPr>
            <w:r>
              <w:rPr>
                <w:rFonts w:hint="eastAsia"/>
                <w:color w:val="auto"/>
                <w:sz w:val="20"/>
                <w:szCs w:val="18"/>
                <w:lang w:val="en-US" w:eastAsia="zh-CN"/>
              </w:rPr>
              <w:t>单项等级判定</w:t>
            </w:r>
          </w:p>
        </w:tc>
        <w:tc>
          <w:tcPr>
            <w:tcW w:w="978" w:type="pct"/>
            <w:noWrap w:val="0"/>
            <w:vAlign w:val="center"/>
          </w:tcPr>
          <w:p>
            <w:pPr>
              <w:widowControl w:val="0"/>
              <w:adjustRightInd w:val="0"/>
              <w:snapToGrid w:val="0"/>
              <w:jc w:val="center"/>
              <w:rPr>
                <w:color w:val="auto"/>
                <w:sz w:val="20"/>
                <w:szCs w:val="18"/>
              </w:rPr>
            </w:pPr>
            <w:r>
              <w:rPr>
                <w:rFonts w:hint="eastAsia"/>
                <w:color w:val="auto"/>
                <w:sz w:val="20"/>
                <w:szCs w:val="18"/>
                <w:lang w:val="en-US" w:eastAsia="zh-CN"/>
              </w:rPr>
              <w:t>三级</w:t>
            </w:r>
          </w:p>
        </w:tc>
        <w:tc>
          <w:tcPr>
            <w:tcW w:w="1734" w:type="pct"/>
            <w:noWrap w:val="0"/>
            <w:vAlign w:val="center"/>
          </w:tcPr>
          <w:p>
            <w:pPr>
              <w:widowControl w:val="0"/>
              <w:adjustRightInd w:val="0"/>
              <w:snapToGrid w:val="0"/>
              <w:jc w:val="center"/>
              <w:rPr>
                <w:color w:val="auto"/>
                <w:sz w:val="20"/>
                <w:szCs w:val="18"/>
              </w:rPr>
            </w:pPr>
            <w:r>
              <w:rPr>
                <w:rFonts w:hint="eastAsia"/>
                <w:color w:val="auto"/>
                <w:sz w:val="20"/>
                <w:szCs w:val="18"/>
                <w:lang w:val="en-US" w:eastAsia="zh-CN"/>
              </w:rPr>
              <w:t>三级</w:t>
            </w:r>
          </w:p>
        </w:tc>
        <w:tc>
          <w:tcPr>
            <w:tcW w:w="827" w:type="pct"/>
            <w:noWrap w:val="0"/>
            <w:vAlign w:val="center"/>
          </w:tcPr>
          <w:p>
            <w:pPr>
              <w:widowControl w:val="0"/>
              <w:adjustRightInd w:val="0"/>
              <w:snapToGrid w:val="0"/>
              <w:jc w:val="center"/>
              <w:rPr>
                <w:color w:val="auto"/>
                <w:sz w:val="20"/>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0" w:type="pct"/>
            <w:noWrap w:val="0"/>
            <w:vAlign w:val="center"/>
          </w:tcPr>
          <w:p>
            <w:pPr>
              <w:widowControl w:val="0"/>
              <w:adjustRightInd w:val="0"/>
              <w:snapToGrid w:val="0"/>
              <w:jc w:val="center"/>
              <w:rPr>
                <w:rFonts w:hint="default" w:eastAsia="宋体"/>
                <w:color w:val="auto"/>
                <w:sz w:val="20"/>
                <w:szCs w:val="18"/>
                <w:lang w:val="en-US" w:eastAsia="zh-CN"/>
              </w:rPr>
            </w:pPr>
            <w:r>
              <w:rPr>
                <w:rFonts w:hint="eastAsia"/>
                <w:color w:val="auto"/>
                <w:sz w:val="20"/>
                <w:szCs w:val="18"/>
                <w:lang w:val="en-US" w:eastAsia="zh-CN"/>
              </w:rPr>
              <w:t>最终评价工作等级判定</w:t>
            </w:r>
          </w:p>
        </w:tc>
        <w:tc>
          <w:tcPr>
            <w:tcW w:w="3539" w:type="pct"/>
            <w:gridSpan w:val="3"/>
            <w:noWrap w:val="0"/>
            <w:vAlign w:val="center"/>
          </w:tcPr>
          <w:p>
            <w:pPr>
              <w:widowControl w:val="0"/>
              <w:adjustRightInd w:val="0"/>
              <w:snapToGrid w:val="0"/>
              <w:jc w:val="center"/>
              <w:rPr>
                <w:b/>
                <w:bCs/>
                <w:color w:val="auto"/>
                <w:sz w:val="20"/>
                <w:szCs w:val="18"/>
              </w:rPr>
            </w:pPr>
            <w:r>
              <w:rPr>
                <w:rFonts w:hint="eastAsia"/>
                <w:color w:val="auto"/>
                <w:sz w:val="20"/>
                <w:szCs w:val="18"/>
                <w:lang w:val="en-US" w:eastAsia="zh-CN"/>
              </w:rPr>
              <w:t>三级</w:t>
            </w:r>
          </w:p>
        </w:tc>
      </w:tr>
    </w:tbl>
    <w:p>
      <w:pPr>
        <w:widowControl w:val="0"/>
        <w:numPr>
          <w:ilvl w:val="0"/>
          <w:numId w:val="7"/>
        </w:numPr>
        <w:spacing w:line="360" w:lineRule="auto"/>
        <w:ind w:firstLine="480" w:firstLineChars="200"/>
        <w:rPr>
          <w:rFonts w:eastAsia="仿宋_GB2312"/>
          <w:color w:val="auto"/>
          <w:sz w:val="24"/>
        </w:rPr>
      </w:pPr>
      <w:r>
        <w:rPr>
          <w:rFonts w:eastAsia="仿宋_GB2312"/>
          <w:color w:val="auto"/>
          <w:sz w:val="24"/>
        </w:rPr>
        <w:t>评价范围</w:t>
      </w:r>
    </w:p>
    <w:p>
      <w:pPr>
        <w:widowControl w:val="0"/>
        <w:spacing w:line="360" w:lineRule="auto"/>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码头厂</w:t>
      </w:r>
      <w:r>
        <w:rPr>
          <w:rFonts w:ascii="Times New Roman" w:hAnsi="Times New Roman" w:eastAsia="仿宋_GB2312" w:cs="Times New Roman"/>
          <w:color w:val="auto"/>
          <w:sz w:val="24"/>
        </w:rPr>
        <w:t>界</w:t>
      </w:r>
      <w:r>
        <w:rPr>
          <w:rFonts w:hint="eastAsia" w:ascii="Times New Roman" w:hAnsi="Times New Roman" w:eastAsia="仿宋_GB2312" w:cs="Times New Roman"/>
          <w:color w:val="auto"/>
          <w:sz w:val="24"/>
          <w:lang w:val="en-US" w:eastAsia="zh-CN"/>
        </w:rPr>
        <w:t>外</w:t>
      </w:r>
      <w:r>
        <w:rPr>
          <w:rFonts w:ascii="Times New Roman" w:hAnsi="Times New Roman" w:eastAsia="仿宋_GB2312" w:cs="Times New Roman"/>
          <w:color w:val="auto"/>
          <w:sz w:val="24"/>
        </w:rPr>
        <w:t>200m范围内</w:t>
      </w:r>
      <w:r>
        <w:rPr>
          <w:rFonts w:hint="eastAsia" w:eastAsia="仿宋_GB2312" w:cs="Times New Roman"/>
          <w:color w:val="auto"/>
          <w:sz w:val="24"/>
          <w:lang w:val="en-US" w:eastAsia="zh-CN"/>
        </w:rPr>
        <w:t>区域</w:t>
      </w:r>
      <w:r>
        <w:rPr>
          <w:rFonts w:ascii="Times New Roman" w:hAnsi="Times New Roman" w:eastAsia="仿宋_GB2312" w:cs="Times New Roman"/>
          <w:color w:val="auto"/>
          <w:sz w:val="24"/>
        </w:rPr>
        <w:t>。</w:t>
      </w:r>
    </w:p>
    <w:p>
      <w:pPr>
        <w:pStyle w:val="9"/>
        <w:widowControl w:val="0"/>
        <w:spacing w:before="120" w:after="120" w:line="360" w:lineRule="auto"/>
        <w:rPr>
          <w:rFonts w:eastAsia="黑体"/>
          <w:b w:val="0"/>
          <w:color w:val="auto"/>
          <w:sz w:val="24"/>
        </w:rPr>
      </w:pPr>
      <w:bookmarkStart w:id="245" w:name="_Toc25082"/>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w:t>
      </w:r>
      <w:r>
        <w:rPr>
          <w:rFonts w:hint="eastAsia" w:eastAsia="黑体"/>
          <w:b w:val="0"/>
          <w:color w:val="auto"/>
          <w:sz w:val="24"/>
          <w:lang w:val="en-US" w:eastAsia="zh-CN"/>
        </w:rPr>
        <w:t>4地下水</w:t>
      </w:r>
      <w:r>
        <w:rPr>
          <w:rFonts w:eastAsia="黑体"/>
          <w:b w:val="0"/>
          <w:color w:val="auto"/>
          <w:sz w:val="24"/>
        </w:rPr>
        <w:t>环境</w:t>
      </w:r>
      <w:bookmarkEnd w:id="245"/>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根据《环境影响评价技术导则 地下水环境》（HJ610-2016）附录A，本项目属于“S水运130、干散货（含煤炭、矿石）、件杂、多用途、通用码头”报告书项目，为地下水环境影响评价Ⅳ类项目，不需开展地下水环境影响评价</w:t>
      </w:r>
      <w:r>
        <w:rPr>
          <w:rFonts w:hint="eastAsia" w:ascii="Times New Roman" w:hAnsi="Times New Roman" w:eastAsia="仿宋_GB2312" w:cs="Times New Roman"/>
          <w:color w:val="auto"/>
          <w:sz w:val="24"/>
          <w:lang w:eastAsia="zh-CN"/>
        </w:rPr>
        <w:t>。</w:t>
      </w:r>
    </w:p>
    <w:p>
      <w:pPr>
        <w:pStyle w:val="9"/>
        <w:widowControl w:val="0"/>
        <w:spacing w:before="120" w:after="120" w:line="360" w:lineRule="auto"/>
        <w:rPr>
          <w:rFonts w:eastAsia="黑体"/>
          <w:b w:val="0"/>
          <w:color w:val="auto"/>
          <w:sz w:val="24"/>
        </w:rPr>
      </w:pPr>
      <w:bookmarkStart w:id="246" w:name="_Toc29765"/>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w:t>
      </w:r>
      <w:r>
        <w:rPr>
          <w:rFonts w:hint="eastAsia" w:eastAsia="黑体"/>
          <w:b w:val="0"/>
          <w:color w:val="auto"/>
          <w:sz w:val="24"/>
          <w:lang w:val="en-US" w:eastAsia="zh-CN"/>
        </w:rPr>
        <w:t>5土壤</w:t>
      </w:r>
      <w:r>
        <w:rPr>
          <w:rFonts w:eastAsia="黑体"/>
          <w:b w:val="0"/>
          <w:color w:val="auto"/>
          <w:sz w:val="24"/>
        </w:rPr>
        <w:t>环境</w:t>
      </w:r>
      <w:bookmarkEnd w:id="246"/>
    </w:p>
    <w:p>
      <w:pPr>
        <w:widowControl w:val="0"/>
        <w:spacing w:line="360" w:lineRule="auto"/>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根据《环境影响评价技术导则 土壤环境（试行）》（HJ964-2018）附录A，本项目码头不涉及危险品、化学品、石油、成品油储罐区，为土壤环境影响评价Ⅳ类项目，不需开展土壤环境影响评价</w:t>
      </w:r>
      <w:r>
        <w:rPr>
          <w:rFonts w:hint="eastAsia" w:ascii="Times New Roman" w:hAnsi="Times New Roman" w:eastAsia="仿宋_GB2312" w:cs="Times New Roman"/>
          <w:color w:val="auto"/>
          <w:sz w:val="24"/>
          <w:lang w:eastAsia="zh-CN"/>
        </w:rPr>
        <w:t>。</w:t>
      </w:r>
    </w:p>
    <w:p>
      <w:pPr>
        <w:pStyle w:val="9"/>
        <w:widowControl w:val="0"/>
        <w:spacing w:before="120" w:after="120" w:line="360" w:lineRule="auto"/>
        <w:rPr>
          <w:rFonts w:ascii="Times New Roman" w:hAnsi="Times New Roman" w:eastAsia="黑体" w:cs="Times New Roman"/>
          <w:b w:val="0"/>
          <w:bCs/>
          <w:color w:val="auto"/>
          <w:sz w:val="24"/>
        </w:rPr>
      </w:pPr>
      <w:bookmarkStart w:id="247" w:name="_Toc22529"/>
      <w:bookmarkStart w:id="248" w:name="_Toc495428286"/>
      <w:r>
        <w:rPr>
          <w:rFonts w:ascii="Times New Roman" w:hAnsi="Times New Roman" w:eastAsia="黑体" w:cs="Times New Roman"/>
          <w:b w:val="0"/>
          <w:bCs/>
          <w:color w:val="auto"/>
          <w:sz w:val="24"/>
        </w:rPr>
        <w:t>1.</w:t>
      </w:r>
      <w:r>
        <w:rPr>
          <w:rFonts w:hint="eastAsia" w:eastAsia="黑体" w:cs="Times New Roman"/>
          <w:b w:val="0"/>
          <w:bCs/>
          <w:color w:val="auto"/>
          <w:sz w:val="24"/>
          <w:lang w:val="en-US" w:eastAsia="zh-CN"/>
        </w:rPr>
        <w:t>4</w:t>
      </w:r>
      <w:r>
        <w:rPr>
          <w:rFonts w:ascii="Times New Roman" w:hAnsi="Times New Roman" w:eastAsia="黑体" w:cs="Times New Roman"/>
          <w:b w:val="0"/>
          <w:bCs/>
          <w:color w:val="auto"/>
          <w:sz w:val="24"/>
        </w:rPr>
        <w:t>.</w:t>
      </w:r>
      <w:r>
        <w:rPr>
          <w:rFonts w:hint="eastAsia" w:ascii="Times New Roman" w:hAnsi="Times New Roman" w:eastAsia="黑体" w:cs="Times New Roman"/>
          <w:b w:val="0"/>
          <w:bCs/>
          <w:color w:val="auto"/>
          <w:sz w:val="24"/>
          <w:lang w:val="en-US" w:eastAsia="zh-CN"/>
        </w:rPr>
        <w:t>6</w:t>
      </w:r>
      <w:r>
        <w:rPr>
          <w:rFonts w:ascii="Times New Roman" w:hAnsi="Times New Roman" w:eastAsia="黑体" w:cs="Times New Roman"/>
          <w:b w:val="0"/>
          <w:bCs/>
          <w:color w:val="auto"/>
          <w:sz w:val="24"/>
        </w:rPr>
        <w:t>生态环境影响</w:t>
      </w:r>
      <w:bookmarkEnd w:id="247"/>
      <w:bookmarkEnd w:id="248"/>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工作等级</w:t>
      </w:r>
    </w:p>
    <w:p>
      <w:pPr>
        <w:widowControl w:val="0"/>
        <w:spacing w:line="360" w:lineRule="auto"/>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根据《环境影响评价技术导则 生态影响》（HJ19-2022）中第6.1条规定，依据建设项目影响区域的生态敏感性和影响程度，评价等级划分为一级、二级和三级，具体见表1.</w:t>
      </w:r>
      <w:r>
        <w:rPr>
          <w:rFonts w:hint="eastAsia" w:eastAsia="仿宋_GB2312" w:cs="Times New Roman"/>
          <w:color w:val="auto"/>
          <w:sz w:val="24"/>
          <w:lang w:val="en-US" w:eastAsia="zh-CN"/>
        </w:rPr>
        <w:t>4</w:t>
      </w:r>
      <w:r>
        <w:rPr>
          <w:rFonts w:hint="eastAsia" w:ascii="Times New Roman" w:hAnsi="Times New Roman" w:eastAsia="仿宋_GB2312" w:cs="Times New Roman"/>
          <w:color w:val="auto"/>
          <w:sz w:val="24"/>
          <w:lang w:val="en-US" w:eastAsia="zh-CN"/>
        </w:rPr>
        <w:t>-7</w:t>
      </w:r>
      <w:r>
        <w:rPr>
          <w:rFonts w:hint="eastAsia" w:ascii="Times New Roman" w:hAnsi="Times New Roman" w:eastAsia="仿宋_GB2312" w:cs="Times New Roman"/>
          <w:color w:val="auto"/>
          <w:sz w:val="24"/>
        </w:rPr>
        <w:t>。</w:t>
      </w:r>
    </w:p>
    <w:p>
      <w:pPr>
        <w:widowControl w:val="0"/>
        <w:spacing w:line="360" w:lineRule="auto"/>
        <w:jc w:val="center"/>
        <w:rPr>
          <w:rFonts w:ascii="Times New Roman" w:hAnsi="Times New Roman" w:eastAsia="黑体" w:cs="Times New Roman"/>
          <w:b/>
          <w:color w:val="auto"/>
          <w:szCs w:val="21"/>
        </w:rPr>
      </w:pPr>
      <w:r>
        <w:rPr>
          <w:rFonts w:ascii="Times New Roman" w:hAnsi="Times New Roman" w:eastAsia="黑体" w:cs="Times New Roman"/>
          <w:b/>
          <w:color w:val="auto"/>
          <w:szCs w:val="21"/>
        </w:rPr>
        <w:t>表</w:t>
      </w:r>
      <w:r>
        <w:rPr>
          <w:rFonts w:hint="eastAsia" w:ascii="Times New Roman" w:hAnsi="Times New Roman" w:eastAsia="黑体" w:cs="Times New Roman"/>
          <w:b/>
          <w:color w:val="auto"/>
          <w:szCs w:val="21"/>
        </w:rPr>
        <w:t>1</w:t>
      </w:r>
      <w:r>
        <w:rPr>
          <w:rFonts w:hint="eastAsia" w:eastAsia="黑体" w:cs="Times New Roman"/>
          <w:b/>
          <w:color w:val="auto"/>
          <w:szCs w:val="21"/>
          <w:lang w:val="en-US" w:eastAsia="zh-CN"/>
        </w:rPr>
        <w:t>.4</w:t>
      </w:r>
      <w:r>
        <w:rPr>
          <w:rFonts w:hint="eastAsia" w:ascii="Times New Roman" w:hAnsi="Times New Roman" w:eastAsia="黑体" w:cs="Times New Roman"/>
          <w:b/>
          <w:color w:val="auto"/>
          <w:szCs w:val="21"/>
        </w:rPr>
        <w:t>-</w:t>
      </w:r>
      <w:r>
        <w:rPr>
          <w:rFonts w:hint="eastAsia" w:ascii="Times New Roman" w:hAnsi="Times New Roman" w:eastAsia="黑体" w:cs="Times New Roman"/>
          <w:b/>
          <w:color w:val="auto"/>
          <w:szCs w:val="21"/>
          <w:lang w:val="en-US" w:eastAsia="zh-CN"/>
        </w:rPr>
        <w:t>7</w:t>
      </w:r>
      <w:r>
        <w:rPr>
          <w:rFonts w:hint="eastAsia" w:ascii="Times New Roman" w:hAnsi="Times New Roman" w:eastAsia="黑体" w:cs="Times New Roman"/>
          <w:b/>
          <w:color w:val="auto"/>
          <w:szCs w:val="21"/>
        </w:rPr>
        <w:t xml:space="preserve"> </w:t>
      </w:r>
      <w:r>
        <w:rPr>
          <w:rFonts w:ascii="Times New Roman" w:hAnsi="Times New Roman" w:eastAsia="黑体" w:cs="Times New Roman"/>
          <w:b/>
          <w:color w:val="auto"/>
          <w:szCs w:val="21"/>
        </w:rPr>
        <w:t xml:space="preserve"> 生态环境影响评价工作等级划分表</w:t>
      </w:r>
    </w:p>
    <w:tbl>
      <w:tblPr>
        <w:tblStyle w:val="92"/>
        <w:tblW w:w="0" w:type="auto"/>
        <w:jc w:val="center"/>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631"/>
        <w:gridCol w:w="3545"/>
        <w:gridCol w:w="1645"/>
      </w:tblGrid>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12" w:space="0"/>
              <w:bottom w:val="single" w:color="auto" w:sz="4" w:space="0"/>
            </w:tcBorders>
            <w:noWrap w:val="0"/>
            <w:vAlign w:val="center"/>
          </w:tcPr>
          <w:p>
            <w:pPr>
              <w:spacing w:line="240" w:lineRule="auto"/>
              <w:jc w:val="center"/>
              <w:rPr>
                <w:rFonts w:eastAsia="宋体"/>
                <w:b w:val="0"/>
                <w:bCs w:val="0"/>
                <w:color w:val="auto"/>
                <w:sz w:val="20"/>
                <w:szCs w:val="20"/>
              </w:rPr>
            </w:pPr>
            <w:r>
              <w:rPr>
                <w:rFonts w:hint="eastAsia" w:eastAsia="宋体"/>
                <w:b w:val="0"/>
                <w:bCs w:val="0"/>
                <w:color w:val="auto"/>
                <w:sz w:val="20"/>
                <w:szCs w:val="20"/>
              </w:rPr>
              <w:t>评价等级划分原则</w:t>
            </w:r>
          </w:p>
        </w:tc>
        <w:tc>
          <w:tcPr>
            <w:tcW w:w="3545" w:type="dxa"/>
            <w:tcBorders>
              <w:top w:val="single" w:color="auto" w:sz="12" w:space="0"/>
              <w:bottom w:val="single" w:color="auto" w:sz="4" w:space="0"/>
            </w:tcBorders>
            <w:noWrap w:val="0"/>
            <w:vAlign w:val="center"/>
          </w:tcPr>
          <w:p>
            <w:pPr>
              <w:spacing w:line="240" w:lineRule="auto"/>
              <w:jc w:val="center"/>
              <w:rPr>
                <w:rFonts w:eastAsia="宋体"/>
                <w:b w:val="0"/>
                <w:bCs w:val="0"/>
                <w:color w:val="auto"/>
                <w:sz w:val="20"/>
                <w:szCs w:val="20"/>
              </w:rPr>
            </w:pPr>
            <w:r>
              <w:rPr>
                <w:rFonts w:hint="eastAsia" w:eastAsia="宋体"/>
                <w:b w:val="0"/>
                <w:bCs w:val="0"/>
                <w:color w:val="auto"/>
                <w:sz w:val="20"/>
                <w:szCs w:val="20"/>
              </w:rPr>
              <w:t>评价等级的判定</w:t>
            </w:r>
          </w:p>
        </w:tc>
        <w:tc>
          <w:tcPr>
            <w:tcW w:w="1645" w:type="dxa"/>
            <w:tcBorders>
              <w:top w:val="single" w:color="auto" w:sz="12" w:space="0"/>
              <w:bottom w:val="single" w:color="auto" w:sz="4" w:space="0"/>
            </w:tcBorders>
            <w:noWrap w:val="0"/>
            <w:vAlign w:val="center"/>
          </w:tcPr>
          <w:p>
            <w:pPr>
              <w:spacing w:line="240" w:lineRule="auto"/>
              <w:jc w:val="center"/>
              <w:rPr>
                <w:rFonts w:eastAsia="宋体"/>
                <w:b w:val="0"/>
                <w:bCs w:val="0"/>
                <w:color w:val="auto"/>
                <w:sz w:val="20"/>
                <w:szCs w:val="20"/>
              </w:rPr>
            </w:pPr>
            <w:r>
              <w:rPr>
                <w:rFonts w:hint="eastAsia" w:eastAsia="宋体"/>
                <w:b w:val="0"/>
                <w:bCs w:val="0"/>
                <w:color w:val="auto"/>
                <w:sz w:val="20"/>
                <w:szCs w:val="20"/>
              </w:rPr>
              <w:t>评价等级的确定</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a）涉及国家公园、自然保护区、世界自然遗产、重要生境时，评价等级为一级；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项目位于</w:t>
            </w:r>
            <w:r>
              <w:rPr>
                <w:rFonts w:hint="eastAsia"/>
                <w:color w:val="auto"/>
                <w:sz w:val="20"/>
                <w:szCs w:val="20"/>
                <w:lang w:val="en-US" w:eastAsia="zh-CN"/>
              </w:rPr>
              <w:t>枝城镇</w:t>
            </w:r>
            <w:r>
              <w:rPr>
                <w:rFonts w:hint="eastAsia" w:eastAsia="宋体"/>
                <w:color w:val="auto"/>
                <w:sz w:val="20"/>
                <w:szCs w:val="20"/>
              </w:rPr>
              <w:t>宜昌港宜都港区枝城作业区关洲水道右岸，不涉及国家公园、自然保护区、世界自然遗产、重要生境</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b）涉及自然公园时，评价等级为二级；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项目用地不涉及自然公园</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c）涉及生态保护红线时，评价等级不低于二级；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项目用地不涉及生态保护红线</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d）根据HJ 2.3判断属于水文要素影响型且地表水评价等级不低于二级的建设项目，生态影响评价等级不低于二级；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根据《环境影响评价技术导则 地表水环境》（HJ 3.3-2018），项目属于水文要素影响型建设项目，且地表水环境影响评价工作等级为三级</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e）根据HJ 610、HJ 964判断地下水水位或土壤影响范围内分布有天然林、公益林、湿地等生态保护目标的建设项目，生态影响评价等级不低于二级；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根据《环境影响评价技术导则 地下水环境》（HJ610-2016）、《环境影响评价技术导则 土壤环境（试行）》（HJ 964-2018），项目所在地地下水水位或土壤影响范围内无天然林、公益林、湿地等生态保护目标</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f）当工程占地规模大于20km</w:t>
            </w:r>
            <w:r>
              <w:rPr>
                <w:rFonts w:hint="eastAsia" w:eastAsia="宋体"/>
                <w:color w:val="auto"/>
                <w:sz w:val="20"/>
                <w:szCs w:val="20"/>
                <w:vertAlign w:val="superscript"/>
              </w:rPr>
              <w:t>2</w:t>
            </w:r>
            <w:r>
              <w:rPr>
                <w:rFonts w:hint="eastAsia" w:eastAsia="宋体"/>
                <w:color w:val="auto"/>
                <w:sz w:val="20"/>
                <w:szCs w:val="20"/>
              </w:rPr>
              <w:t>时（包括永久和临时占用陆域和水域），评价等级不低于二级；改扩建项目的占地范围以新增占地（包括陆域和水域）确定；</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工程垂直投影面积约0.00</w:t>
            </w:r>
            <w:r>
              <w:rPr>
                <w:rFonts w:hint="eastAsia" w:eastAsia="宋体"/>
                <w:color w:val="auto"/>
                <w:sz w:val="20"/>
                <w:szCs w:val="20"/>
                <w:lang w:val="en-US" w:eastAsia="zh-CN"/>
              </w:rPr>
              <w:t>06</w:t>
            </w:r>
            <w:r>
              <w:rPr>
                <w:rFonts w:hint="eastAsia" w:eastAsia="宋体"/>
                <w:color w:val="auto"/>
                <w:sz w:val="20"/>
                <w:szCs w:val="20"/>
              </w:rPr>
              <w:t>km</w:t>
            </w:r>
            <w:r>
              <w:rPr>
                <w:rFonts w:hint="eastAsia" w:eastAsia="宋体"/>
                <w:color w:val="auto"/>
                <w:sz w:val="20"/>
                <w:szCs w:val="20"/>
                <w:vertAlign w:val="superscript"/>
              </w:rPr>
              <w:t>2</w:t>
            </w:r>
            <w:r>
              <w:rPr>
                <w:rFonts w:hint="eastAsia" w:eastAsia="宋体"/>
                <w:color w:val="auto"/>
                <w:sz w:val="20"/>
                <w:szCs w:val="20"/>
              </w:rPr>
              <w:t>＜2km</w:t>
            </w:r>
            <w:r>
              <w:rPr>
                <w:rFonts w:hint="eastAsia" w:eastAsia="宋体"/>
                <w:color w:val="auto"/>
                <w:sz w:val="20"/>
                <w:szCs w:val="20"/>
                <w:vertAlign w:val="superscript"/>
              </w:rPr>
              <w:t>2</w:t>
            </w:r>
            <w:r>
              <w:rPr>
                <w:rFonts w:hint="eastAsia" w:eastAsia="宋体"/>
                <w:color w:val="auto"/>
                <w:sz w:val="20"/>
                <w:szCs w:val="20"/>
              </w:rPr>
              <w:t>；</w:t>
            </w:r>
            <w:r>
              <w:rPr>
                <w:rFonts w:hint="eastAsia" w:eastAsia="宋体"/>
                <w:color w:val="auto"/>
                <w:sz w:val="20"/>
                <w:szCs w:val="20"/>
                <w:lang w:val="en-US" w:eastAsia="zh-CN"/>
              </w:rPr>
              <w:t>项目</w:t>
            </w:r>
            <w:r>
              <w:rPr>
                <w:rFonts w:hint="eastAsia"/>
                <w:color w:val="auto"/>
                <w:sz w:val="20"/>
                <w:szCs w:val="20"/>
                <w:lang w:val="en-US" w:eastAsia="zh-CN"/>
              </w:rPr>
              <w:t>技改</w:t>
            </w:r>
            <w:r>
              <w:rPr>
                <w:rFonts w:hint="eastAsia" w:eastAsia="宋体"/>
                <w:color w:val="auto"/>
                <w:sz w:val="20"/>
                <w:szCs w:val="20"/>
                <w:lang w:val="en-US" w:eastAsia="zh-CN"/>
              </w:rPr>
              <w:t>不新增</w:t>
            </w:r>
            <w:r>
              <w:rPr>
                <w:rFonts w:hint="eastAsia" w:eastAsia="宋体"/>
                <w:color w:val="auto"/>
                <w:sz w:val="20"/>
                <w:szCs w:val="20"/>
              </w:rPr>
              <w:t>占地范围</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不属于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4" w:space="0"/>
            </w:tcBorders>
            <w:noWrap w:val="0"/>
            <w:vAlign w:val="center"/>
          </w:tcPr>
          <w:p>
            <w:pPr>
              <w:widowControl/>
              <w:spacing w:line="240" w:lineRule="auto"/>
              <w:rPr>
                <w:rFonts w:eastAsia="宋体"/>
                <w:color w:val="auto"/>
                <w:sz w:val="20"/>
                <w:szCs w:val="20"/>
              </w:rPr>
            </w:pPr>
            <w:r>
              <w:rPr>
                <w:rFonts w:hint="eastAsia" w:eastAsia="宋体"/>
                <w:color w:val="auto"/>
                <w:sz w:val="20"/>
                <w:szCs w:val="20"/>
              </w:rPr>
              <w:t>g）除本条a）、b）、c）、d）、e）、f）以外的情况，评价等级为三级；</w:t>
            </w:r>
          </w:p>
        </w:tc>
        <w:tc>
          <w:tcPr>
            <w:tcW w:w="35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项目生态环境影响评价为除本条a）、b）、c）、d）、e）、f）以外的情况</w:t>
            </w:r>
          </w:p>
        </w:tc>
        <w:tc>
          <w:tcPr>
            <w:tcW w:w="1645" w:type="dxa"/>
            <w:tcBorders>
              <w:top w:val="single" w:color="auto" w:sz="4" w:space="0"/>
              <w:bottom w:val="single" w:color="auto" w:sz="4" w:space="0"/>
            </w:tcBorders>
            <w:noWrap w:val="0"/>
            <w:vAlign w:val="center"/>
          </w:tcPr>
          <w:p>
            <w:pPr>
              <w:spacing w:line="240" w:lineRule="auto"/>
              <w:jc w:val="center"/>
              <w:rPr>
                <w:rFonts w:eastAsia="宋体"/>
                <w:color w:val="auto"/>
                <w:sz w:val="20"/>
                <w:szCs w:val="20"/>
              </w:rPr>
            </w:pPr>
            <w:r>
              <w:rPr>
                <w:rFonts w:hint="eastAsia" w:eastAsia="宋体"/>
                <w:b/>
                <w:bCs/>
                <w:color w:val="auto"/>
                <w:sz w:val="20"/>
                <w:szCs w:val="20"/>
              </w:rPr>
              <w:t>属于</w:t>
            </w:r>
          </w:p>
        </w:tc>
      </w:tr>
      <w:tr>
        <w:tblPrEx>
          <w:tblBorders>
            <w:top w:val="thinThickSmallGap" w:color="auto" w:sz="12" w:space="0"/>
            <w:left w:val="none" w:color="auto" w:sz="0" w:space="0"/>
            <w:bottom w:val="thickThinSmallGap"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631" w:type="dxa"/>
            <w:tcBorders>
              <w:top w:val="single" w:color="auto" w:sz="4" w:space="0"/>
              <w:bottom w:val="single" w:color="auto" w:sz="12" w:space="0"/>
            </w:tcBorders>
            <w:noWrap w:val="0"/>
            <w:vAlign w:val="center"/>
          </w:tcPr>
          <w:p>
            <w:pPr>
              <w:spacing w:line="240" w:lineRule="auto"/>
              <w:rPr>
                <w:rFonts w:eastAsia="宋体"/>
                <w:color w:val="auto"/>
                <w:sz w:val="20"/>
                <w:szCs w:val="20"/>
              </w:rPr>
            </w:pPr>
            <w:r>
              <w:rPr>
                <w:rFonts w:hint="eastAsia" w:eastAsia="宋体"/>
                <w:color w:val="auto"/>
                <w:sz w:val="20"/>
                <w:szCs w:val="20"/>
              </w:rPr>
              <w:t>h）当评价等级判定同时符合上述多种情况时，应采用其中最高的评价等级。</w:t>
            </w:r>
          </w:p>
        </w:tc>
        <w:tc>
          <w:tcPr>
            <w:tcW w:w="3545" w:type="dxa"/>
            <w:tcBorders>
              <w:top w:val="single" w:color="auto" w:sz="4" w:space="0"/>
              <w:bottom w:val="single" w:color="auto" w:sz="12"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w:t>
            </w:r>
          </w:p>
        </w:tc>
        <w:tc>
          <w:tcPr>
            <w:tcW w:w="1645" w:type="dxa"/>
            <w:tcBorders>
              <w:top w:val="single" w:color="auto" w:sz="4" w:space="0"/>
              <w:bottom w:val="single" w:color="auto" w:sz="12" w:space="0"/>
            </w:tcBorders>
            <w:noWrap w:val="0"/>
            <w:vAlign w:val="center"/>
          </w:tcPr>
          <w:p>
            <w:pPr>
              <w:spacing w:line="240" w:lineRule="auto"/>
              <w:jc w:val="center"/>
              <w:rPr>
                <w:rFonts w:eastAsia="宋体"/>
                <w:color w:val="auto"/>
                <w:sz w:val="20"/>
                <w:szCs w:val="20"/>
              </w:rPr>
            </w:pPr>
            <w:r>
              <w:rPr>
                <w:rFonts w:hint="eastAsia" w:eastAsia="宋体"/>
                <w:color w:val="auto"/>
                <w:sz w:val="20"/>
                <w:szCs w:val="20"/>
              </w:rPr>
              <w:t>/</w:t>
            </w:r>
          </w:p>
        </w:tc>
      </w:tr>
    </w:tbl>
    <w:p>
      <w:pPr>
        <w:widowControl w:val="0"/>
        <w:spacing w:line="360" w:lineRule="auto"/>
        <w:ind w:firstLine="480" w:firstLineChars="200"/>
        <w:rPr>
          <w:rFonts w:hint="default" w:ascii="Times New Roman" w:hAnsi="Times New Roman" w:eastAsia="仿宋_GB2312" w:cs="Times New Roman"/>
          <w:color w:val="auto"/>
          <w:sz w:val="24"/>
          <w:lang w:eastAsia="zh-CN"/>
        </w:rPr>
      </w:pPr>
      <w:r>
        <w:rPr>
          <w:rFonts w:hint="default" w:ascii="Times New Roman" w:hAnsi="Times New Roman" w:eastAsia="仿宋_GB2312" w:cs="Times New Roman"/>
          <w:color w:val="auto"/>
          <w:sz w:val="24"/>
          <w:lang w:eastAsia="zh-CN"/>
        </w:rPr>
        <w:t>本项目不涉及国家公园、自然保护区、世界自然遗产、重要生境、自然公园、生态保护红线、天然林、公益林、湿地等生态保护目标，</w:t>
      </w:r>
      <w:r>
        <w:rPr>
          <w:rFonts w:hint="eastAsia" w:ascii="Times New Roman" w:hAnsi="Times New Roman" w:eastAsia="仿宋_GB2312" w:cs="Times New Roman"/>
          <w:color w:val="auto"/>
          <w:sz w:val="24"/>
          <w:lang w:val="en-US" w:eastAsia="zh-CN"/>
        </w:rPr>
        <w:t>生态</w:t>
      </w:r>
      <w:r>
        <w:rPr>
          <w:rFonts w:hint="default" w:ascii="Times New Roman" w:hAnsi="Times New Roman" w:eastAsia="仿宋_GB2312" w:cs="Times New Roman"/>
          <w:color w:val="auto"/>
          <w:sz w:val="24"/>
          <w:lang w:eastAsia="zh-CN"/>
        </w:rPr>
        <w:t>环境影响评价工作等级为三级。</w:t>
      </w:r>
      <w:r>
        <w:rPr>
          <w:rFonts w:hint="eastAsia" w:ascii="Times New Roman" w:hAnsi="Times New Roman" w:eastAsia="仿宋_GB2312" w:cs="Times New Roman"/>
          <w:color w:val="auto"/>
          <w:sz w:val="24"/>
          <w:lang w:eastAsia="zh-CN"/>
        </w:rPr>
        <w:t>因位于宜昌中华鲟省级自然保护区</w:t>
      </w:r>
      <w:r>
        <w:rPr>
          <w:rFonts w:hint="eastAsia" w:ascii="Times New Roman" w:hAnsi="Times New Roman" w:eastAsia="仿宋_GB2312" w:cs="Times New Roman"/>
          <w:b/>
          <w:bCs/>
          <w:color w:val="auto"/>
          <w:sz w:val="24"/>
          <w:lang w:eastAsia="zh-CN"/>
        </w:rPr>
        <w:t>外围保护地带</w:t>
      </w:r>
      <w:r>
        <w:rPr>
          <w:rFonts w:hint="eastAsia" w:ascii="Times New Roman" w:hAnsi="Times New Roman" w:eastAsia="仿宋_GB2312" w:cs="Times New Roman"/>
          <w:color w:val="auto"/>
          <w:sz w:val="24"/>
          <w:lang w:eastAsia="zh-CN"/>
        </w:rPr>
        <w:t>，本评价按</w:t>
      </w:r>
      <w:r>
        <w:rPr>
          <w:rFonts w:hint="eastAsia" w:ascii="Times New Roman" w:hAnsi="Times New Roman" w:eastAsia="仿宋_GB2312" w:cs="Times New Roman"/>
          <w:b/>
          <w:bCs/>
          <w:color w:val="auto"/>
          <w:sz w:val="24"/>
          <w:lang w:eastAsia="zh-CN"/>
        </w:rPr>
        <w:t>二级</w:t>
      </w:r>
      <w:r>
        <w:rPr>
          <w:rFonts w:hint="eastAsia" w:ascii="Times New Roman" w:hAnsi="Times New Roman" w:eastAsia="仿宋_GB2312" w:cs="Times New Roman"/>
          <w:color w:val="auto"/>
          <w:sz w:val="24"/>
          <w:lang w:eastAsia="zh-CN"/>
        </w:rPr>
        <w:t>进行评价。</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eastAsia="zh-CN"/>
        </w:rPr>
        <w:t>（</w:t>
      </w:r>
      <w:r>
        <w:rPr>
          <w:rFonts w:hint="default" w:ascii="Times New Roman" w:hAnsi="Times New Roman" w:eastAsia="仿宋_GB2312" w:cs="Times New Roman"/>
          <w:color w:val="auto"/>
          <w:sz w:val="24"/>
          <w:lang w:val="en-US" w:eastAsia="zh-CN"/>
        </w:rPr>
        <w:t>2</w:t>
      </w:r>
      <w:r>
        <w:rPr>
          <w:rFonts w:hint="default" w:ascii="Times New Roman" w:hAnsi="Times New Roman" w:eastAsia="仿宋_GB2312" w:cs="Times New Roman"/>
          <w:color w:val="auto"/>
          <w:sz w:val="24"/>
          <w:lang w:eastAsia="zh-CN"/>
        </w:rPr>
        <w:t>）</w:t>
      </w:r>
      <w:r>
        <w:rPr>
          <w:rFonts w:hint="default" w:ascii="Times New Roman" w:hAnsi="Times New Roman" w:eastAsia="仿宋_GB2312" w:cs="Times New Roman"/>
          <w:color w:val="auto"/>
          <w:sz w:val="24"/>
          <w:lang w:val="en-US" w:eastAsia="zh-CN"/>
        </w:rPr>
        <w:t>评价范围</w:t>
      </w:r>
    </w:p>
    <w:p>
      <w:pPr>
        <w:widowControl w:val="0"/>
        <w:spacing w:line="360" w:lineRule="auto"/>
        <w:ind w:firstLine="480" w:firstLineChars="200"/>
        <w:rPr>
          <w:rFonts w:hint="default" w:ascii="Times New Roman" w:hAnsi="Times New Roman" w:eastAsia="仿宋_GB2312" w:cs="Times New Roman"/>
          <w:color w:val="auto"/>
          <w:kern w:val="2"/>
          <w:sz w:val="24"/>
          <w:szCs w:val="24"/>
          <w:lang w:val="en-US" w:eastAsia="zh-CN" w:bidi="ar-SA"/>
        </w:rPr>
      </w:pPr>
      <w:r>
        <w:rPr>
          <w:rFonts w:hint="eastAsia" w:ascii="Times New Roman" w:hAnsi="Times New Roman" w:eastAsia="仿宋_GB2312" w:cs="Times New Roman"/>
          <w:color w:val="auto"/>
          <w:sz w:val="24"/>
          <w:lang w:val="en-US" w:eastAsia="zh-CN"/>
        </w:rPr>
        <w:t>项目无后方陆域；</w:t>
      </w:r>
      <w:r>
        <w:rPr>
          <w:rFonts w:hint="default" w:ascii="Times New Roman" w:hAnsi="Times New Roman" w:eastAsia="仿宋_GB2312" w:cs="Times New Roman"/>
          <w:color w:val="auto"/>
          <w:sz w:val="24"/>
          <w:lang w:val="en-US" w:eastAsia="zh-CN"/>
        </w:rPr>
        <w:t>水生生态重点评价码头</w:t>
      </w:r>
      <w:r>
        <w:rPr>
          <w:rFonts w:hint="default" w:ascii="Times New Roman" w:hAnsi="Times New Roman" w:eastAsia="仿宋_GB2312" w:cs="Times New Roman"/>
          <w:color w:val="auto"/>
          <w:sz w:val="24"/>
          <w:lang w:eastAsia="zh-CN"/>
        </w:rPr>
        <w:t>上游0.5km至下游</w:t>
      </w:r>
      <w:r>
        <w:rPr>
          <w:rFonts w:hint="eastAsia" w:ascii="Times New Roman" w:hAnsi="Times New Roman" w:eastAsia="仿宋_GB2312" w:cs="Times New Roman"/>
          <w:color w:val="auto"/>
          <w:sz w:val="24"/>
          <w:lang w:val="en-US" w:eastAsia="zh-CN"/>
        </w:rPr>
        <w:t>22.3</w:t>
      </w:r>
      <w:r>
        <w:rPr>
          <w:rFonts w:hint="default" w:ascii="Times New Roman" w:hAnsi="Times New Roman" w:eastAsia="仿宋_GB2312" w:cs="Times New Roman"/>
          <w:color w:val="auto"/>
          <w:sz w:val="24"/>
          <w:lang w:eastAsia="zh-CN"/>
        </w:rPr>
        <w:t>km（包含</w:t>
      </w:r>
      <w:r>
        <w:rPr>
          <w:rFonts w:hint="eastAsia" w:ascii="Times New Roman" w:hAnsi="Times New Roman" w:eastAsia="仿宋_GB2312" w:cs="Times New Roman"/>
          <w:color w:val="auto"/>
          <w:sz w:val="24"/>
          <w:lang w:val="en-US" w:eastAsia="zh-CN"/>
        </w:rPr>
        <w:t>枝江市百里洲水厂新建取水口（在建）</w:t>
      </w:r>
      <w:r>
        <w:rPr>
          <w:rFonts w:hint="default" w:ascii="Times New Roman" w:hAnsi="Times New Roman" w:eastAsia="仿宋_GB2312" w:cs="Times New Roman"/>
          <w:color w:val="auto"/>
          <w:sz w:val="24"/>
          <w:lang w:eastAsia="zh-CN"/>
        </w:rPr>
        <w:t>下游二级保护区0.3km范围）</w:t>
      </w:r>
      <w:r>
        <w:rPr>
          <w:rFonts w:hint="default" w:ascii="Times New Roman" w:hAnsi="Times New Roman" w:eastAsia="仿宋_GB2312" w:cs="Times New Roman"/>
          <w:color w:val="auto"/>
          <w:sz w:val="24"/>
          <w:lang w:val="en-US" w:eastAsia="zh-CN"/>
        </w:rPr>
        <w:t>的长江河段</w:t>
      </w:r>
      <w:r>
        <w:rPr>
          <w:rFonts w:hint="default" w:ascii="Times New Roman" w:hAnsi="Times New Roman" w:eastAsia="仿宋_GB2312" w:cs="Times New Roman"/>
          <w:color w:val="auto"/>
          <w:kern w:val="2"/>
          <w:sz w:val="24"/>
          <w:szCs w:val="24"/>
          <w:lang w:val="en-US" w:eastAsia="zh-CN" w:bidi="ar-SA"/>
        </w:rPr>
        <w:t>。</w:t>
      </w:r>
    </w:p>
    <w:p>
      <w:pPr>
        <w:pStyle w:val="9"/>
        <w:widowControl w:val="0"/>
        <w:spacing w:before="120" w:after="120" w:line="360" w:lineRule="auto"/>
        <w:rPr>
          <w:rFonts w:hint="eastAsia" w:eastAsia="黑体"/>
          <w:b w:val="0"/>
          <w:color w:val="auto"/>
          <w:sz w:val="24"/>
          <w:lang w:val="en-US" w:eastAsia="zh-CN"/>
        </w:rPr>
      </w:pPr>
      <w:bookmarkStart w:id="249" w:name="_Toc337642888"/>
      <w:bookmarkStart w:id="250" w:name="_Toc306031199"/>
      <w:bookmarkStart w:id="251" w:name="_Toc13729"/>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w:t>
      </w:r>
      <w:r>
        <w:rPr>
          <w:rFonts w:hint="eastAsia" w:eastAsia="黑体"/>
          <w:b w:val="0"/>
          <w:color w:val="auto"/>
          <w:sz w:val="24"/>
          <w:lang w:val="en-US" w:eastAsia="zh-CN"/>
        </w:rPr>
        <w:t>7环境</w:t>
      </w:r>
      <w:r>
        <w:rPr>
          <w:rFonts w:eastAsia="黑体"/>
          <w:b w:val="0"/>
          <w:color w:val="auto"/>
          <w:sz w:val="24"/>
        </w:rPr>
        <w:t>风险评价</w:t>
      </w:r>
      <w:bookmarkEnd w:id="249"/>
      <w:bookmarkEnd w:id="250"/>
      <w:bookmarkEnd w:id="251"/>
    </w:p>
    <w:p>
      <w:pPr>
        <w:pStyle w:val="626"/>
        <w:contextualSpacing/>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eastAsia="zh-CN"/>
        </w:rPr>
        <w:t>（</w:t>
      </w:r>
      <w:r>
        <w:rPr>
          <w:rFonts w:hint="default" w:ascii="Times New Roman" w:hAnsi="Times New Roman" w:eastAsia="仿宋_GB2312" w:cs="Times New Roman"/>
          <w:color w:val="auto"/>
          <w:lang w:val="en-US" w:eastAsia="zh-CN"/>
        </w:rPr>
        <w:t>1</w:t>
      </w:r>
      <w:r>
        <w:rPr>
          <w:rFonts w:hint="default" w:ascii="Times New Roman" w:hAnsi="Times New Roman" w:eastAsia="仿宋_GB2312" w:cs="Times New Roman"/>
          <w:color w:val="auto"/>
          <w:lang w:eastAsia="zh-CN"/>
        </w:rPr>
        <w:t>）</w:t>
      </w:r>
      <w:r>
        <w:rPr>
          <w:rFonts w:hint="default" w:ascii="Times New Roman" w:hAnsi="Times New Roman" w:eastAsia="仿宋_GB2312" w:cs="Times New Roman"/>
          <w:color w:val="auto"/>
          <w:lang w:val="en-US" w:eastAsia="zh-CN"/>
        </w:rPr>
        <w:t>工作等级</w:t>
      </w:r>
    </w:p>
    <w:p>
      <w:pPr>
        <w:pStyle w:val="626"/>
        <w:contextualSpacing/>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rPr>
        <w:t>按照《建设项目环境风险评价技术导则》（HJ169-2018），环境风险评价工作等级划分为一级、二级、三级。根据建设项目涉及的物质及工艺系统危险性和所在地的环境敏感性确定环境风险潜势。风险潜势为</w:t>
      </w:r>
      <w:r>
        <w:rPr>
          <w:rFonts w:hint="eastAsia" w:ascii="Times New Roman" w:hAnsi="Times New Roman" w:eastAsia="仿宋_GB2312" w:cs="Times New Roman"/>
          <w:color w:val="auto"/>
        </w:rPr>
        <w:t>Ⅳ</w:t>
      </w:r>
      <w:r>
        <w:rPr>
          <w:rFonts w:hint="default" w:ascii="Times New Roman" w:hAnsi="Times New Roman" w:eastAsia="仿宋_GB2312" w:cs="Times New Roman"/>
          <w:color w:val="auto"/>
        </w:rPr>
        <w:t>及以上，进行一级评价；风险潜势为</w:t>
      </w:r>
      <w:r>
        <w:rPr>
          <w:rFonts w:hint="eastAsia" w:ascii="Times New Roman" w:hAnsi="Times New Roman" w:eastAsia="仿宋_GB2312" w:cs="Times New Roman"/>
          <w:color w:val="auto"/>
        </w:rPr>
        <w:t>Ⅲ</w:t>
      </w:r>
      <w:r>
        <w:rPr>
          <w:rFonts w:hint="default" w:ascii="Times New Roman" w:hAnsi="Times New Roman" w:eastAsia="仿宋_GB2312" w:cs="Times New Roman"/>
          <w:color w:val="auto"/>
        </w:rPr>
        <w:t>，进行二级评价；风险潜势为</w:t>
      </w:r>
      <w:r>
        <w:rPr>
          <w:rFonts w:hint="eastAsia" w:ascii="Times New Roman" w:hAnsi="Times New Roman" w:eastAsia="仿宋_GB2312" w:cs="Times New Roman"/>
          <w:color w:val="auto"/>
        </w:rPr>
        <w:t>Ⅱ</w:t>
      </w:r>
      <w:r>
        <w:rPr>
          <w:rFonts w:hint="default" w:ascii="Times New Roman" w:hAnsi="Times New Roman" w:eastAsia="仿宋_GB2312" w:cs="Times New Roman"/>
          <w:color w:val="auto"/>
        </w:rPr>
        <w:t>，进行三级评价；风险潜势为</w:t>
      </w:r>
      <w:r>
        <w:rPr>
          <w:rFonts w:hint="eastAsia" w:ascii="Times New Roman" w:hAnsi="Times New Roman" w:eastAsia="仿宋_GB2312" w:cs="Times New Roman"/>
          <w:color w:val="auto"/>
        </w:rPr>
        <w:t>Ⅰ</w:t>
      </w:r>
      <w:r>
        <w:rPr>
          <w:rFonts w:hint="default" w:ascii="Times New Roman" w:hAnsi="Times New Roman" w:eastAsia="仿宋_GB2312" w:cs="Times New Roman"/>
          <w:color w:val="auto"/>
        </w:rPr>
        <w:t>，可开展简单分析。环境风险评价工作等级划分见</w:t>
      </w:r>
      <w:r>
        <w:rPr>
          <w:rFonts w:hint="eastAsia" w:ascii="Times New Roman" w:eastAsia="仿宋_GB2312" w:cs="Times New Roman"/>
          <w:color w:val="auto"/>
          <w:lang w:val="en-US" w:eastAsia="zh-CN"/>
        </w:rPr>
        <w:t>下</w:t>
      </w:r>
      <w:r>
        <w:rPr>
          <w:rFonts w:hint="default" w:ascii="Times New Roman" w:hAnsi="Times New Roman" w:eastAsia="仿宋_GB2312" w:cs="Times New Roman"/>
          <w:color w:val="auto"/>
        </w:rPr>
        <w:t>表</w:t>
      </w:r>
      <w:r>
        <w:rPr>
          <w:rFonts w:hint="default" w:ascii="Times New Roman" w:hAnsi="Times New Roman" w:eastAsia="仿宋_GB2312" w:cs="Times New Roman"/>
          <w:color w:val="auto"/>
          <w:lang w:eastAsia="zh-CN"/>
        </w:rPr>
        <w:t>。</w:t>
      </w:r>
    </w:p>
    <w:p>
      <w:pPr>
        <w:widowControl w:val="0"/>
        <w:spacing w:line="360" w:lineRule="auto"/>
        <w:jc w:val="center"/>
        <w:rPr>
          <w:rFonts w:hint="eastAsia" w:eastAsia="黑体"/>
          <w:b/>
          <w:color w:val="auto"/>
          <w:szCs w:val="21"/>
          <w:lang w:val="en-US" w:eastAsia="zh-CN"/>
        </w:rPr>
      </w:pPr>
      <w:r>
        <w:rPr>
          <w:rFonts w:eastAsia="黑体"/>
          <w:b/>
          <w:color w:val="auto"/>
          <w:szCs w:val="21"/>
        </w:rPr>
        <w:t>表1.</w:t>
      </w:r>
      <w:r>
        <w:rPr>
          <w:rFonts w:hint="eastAsia" w:eastAsia="黑体"/>
          <w:b/>
          <w:color w:val="auto"/>
          <w:szCs w:val="21"/>
          <w:lang w:val="en-US" w:eastAsia="zh-CN"/>
        </w:rPr>
        <w:t>4</w:t>
      </w:r>
      <w:r>
        <w:rPr>
          <w:rFonts w:eastAsia="黑体"/>
          <w:b/>
          <w:color w:val="auto"/>
          <w:szCs w:val="21"/>
        </w:rPr>
        <w:t>-</w:t>
      </w:r>
      <w:r>
        <w:rPr>
          <w:rFonts w:hint="eastAsia" w:eastAsia="黑体"/>
          <w:b/>
          <w:color w:val="auto"/>
          <w:szCs w:val="21"/>
          <w:lang w:val="en-US" w:eastAsia="zh-CN"/>
        </w:rPr>
        <w:t>8</w:t>
      </w:r>
      <w:r>
        <w:rPr>
          <w:rFonts w:eastAsia="黑体"/>
          <w:b/>
          <w:color w:val="auto"/>
          <w:szCs w:val="21"/>
        </w:rPr>
        <w:t xml:space="preserve">  </w:t>
      </w:r>
      <w:r>
        <w:rPr>
          <w:rFonts w:hint="eastAsia" w:eastAsia="黑体"/>
          <w:b/>
          <w:color w:val="auto"/>
          <w:szCs w:val="21"/>
          <w:lang w:val="en-US" w:eastAsia="zh-CN"/>
        </w:rPr>
        <w:t>环境风险评价</w:t>
      </w:r>
      <w:r>
        <w:rPr>
          <w:rFonts w:eastAsia="黑体"/>
          <w:b/>
          <w:color w:val="auto"/>
          <w:szCs w:val="21"/>
        </w:rPr>
        <w:t>工作等级</w:t>
      </w:r>
      <w:r>
        <w:rPr>
          <w:rFonts w:hint="eastAsia" w:eastAsia="黑体"/>
          <w:b/>
          <w:color w:val="auto"/>
          <w:szCs w:val="21"/>
          <w:lang w:val="en-US" w:eastAsia="zh-CN"/>
        </w:rPr>
        <w:t>判定表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99"/>
        <w:gridCol w:w="1699"/>
        <w:gridCol w:w="1700"/>
        <w:gridCol w:w="1700"/>
        <w:gridCol w:w="171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998"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eastAsia="宋体"/>
                <w:color w:val="auto"/>
                <w:sz w:val="20"/>
                <w:szCs w:val="18"/>
                <w:lang w:val="en-US" w:eastAsia="zh-CN"/>
              </w:rPr>
              <w:t>环境风险趋势</w:t>
            </w:r>
          </w:p>
        </w:tc>
        <w:tc>
          <w:tcPr>
            <w:tcW w:w="998"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ascii="Times New Roman" w:hAnsi="Times New Roman" w:eastAsia="仿宋_GB2312" w:cs="Times New Roman"/>
                <w:color w:val="auto"/>
                <w:kern w:val="2"/>
                <w:sz w:val="20"/>
                <w:szCs w:val="20"/>
                <w:lang w:val="en-US" w:eastAsia="zh-CN" w:bidi="ar-SA"/>
              </w:rPr>
              <w:t>Ⅳ</w:t>
            </w:r>
            <w:r>
              <w:rPr>
                <w:rFonts w:hint="eastAsia" w:ascii="Times New Roman" w:hAnsi="Times New Roman" w:eastAsia="仿宋_GB2312" w:cs="Times New Roman"/>
                <w:color w:val="auto"/>
                <w:kern w:val="2"/>
                <w:sz w:val="21"/>
                <w:szCs w:val="21"/>
                <w:lang w:val="en-US" w:eastAsia="zh-CN" w:bidi="ar-SA"/>
              </w:rPr>
              <w:t>、</w:t>
            </w:r>
            <w:r>
              <w:rPr>
                <w:rFonts w:hint="eastAsia" w:ascii="Times New Roman" w:hAnsi="Times New Roman" w:eastAsia="仿宋_GB2312" w:cs="Times New Roman"/>
                <w:color w:val="auto"/>
                <w:kern w:val="2"/>
                <w:sz w:val="20"/>
                <w:szCs w:val="20"/>
                <w:lang w:val="en-US" w:eastAsia="zh-CN" w:bidi="ar-SA"/>
              </w:rPr>
              <w:t>Ⅳ</w:t>
            </w:r>
            <w:r>
              <w:rPr>
                <w:rFonts w:hint="eastAsia" w:ascii="Times New Roman" w:hAnsi="Times New Roman" w:eastAsia="仿宋_GB2312" w:cs="Times New Roman"/>
                <w:color w:val="auto"/>
                <w:kern w:val="2"/>
                <w:sz w:val="20"/>
                <w:szCs w:val="20"/>
                <w:vertAlign w:val="superscript"/>
                <w:lang w:val="en-US" w:eastAsia="zh-CN" w:bidi="ar-SA"/>
              </w:rPr>
              <w:t>+</w:t>
            </w:r>
          </w:p>
        </w:tc>
        <w:tc>
          <w:tcPr>
            <w:tcW w:w="999"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default" w:eastAsia="宋体"/>
                <w:color w:val="auto"/>
                <w:sz w:val="20"/>
                <w:szCs w:val="18"/>
                <w:lang w:val="en-US" w:eastAsia="zh-CN"/>
              </w:rPr>
              <w:t>Ⅲ</w:t>
            </w:r>
          </w:p>
        </w:tc>
        <w:tc>
          <w:tcPr>
            <w:tcW w:w="999"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default" w:eastAsia="宋体"/>
                <w:color w:val="auto"/>
                <w:sz w:val="20"/>
                <w:szCs w:val="18"/>
                <w:lang w:val="en-US" w:eastAsia="zh-CN"/>
              </w:rPr>
              <w:t>Ⅱ</w:t>
            </w:r>
          </w:p>
        </w:tc>
        <w:tc>
          <w:tcPr>
            <w:tcW w:w="1004" w:type="pct"/>
            <w:tcBorders>
              <w:top w:val="single" w:color="auto" w:sz="12" w:space="0"/>
              <w:bottom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default" w:eastAsia="宋体"/>
                <w:color w:val="auto"/>
                <w:sz w:val="20"/>
                <w:szCs w:val="18"/>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998" w:type="pct"/>
            <w:tcBorders>
              <w:top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eastAsia="宋体"/>
                <w:color w:val="auto"/>
                <w:sz w:val="20"/>
                <w:szCs w:val="18"/>
                <w:lang w:val="en-US" w:eastAsia="zh-CN"/>
              </w:rPr>
              <w:t>评价工作等级</w:t>
            </w:r>
          </w:p>
        </w:tc>
        <w:tc>
          <w:tcPr>
            <w:tcW w:w="998" w:type="pct"/>
            <w:tcBorders>
              <w:top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eastAsia="宋体"/>
                <w:color w:val="auto"/>
                <w:sz w:val="20"/>
                <w:szCs w:val="18"/>
                <w:lang w:val="en-US" w:eastAsia="zh-CN"/>
              </w:rPr>
              <w:t>一</w:t>
            </w:r>
          </w:p>
        </w:tc>
        <w:tc>
          <w:tcPr>
            <w:tcW w:w="999" w:type="pct"/>
            <w:tcBorders>
              <w:top w:val="single" w:color="auto" w:sz="12" w:space="0"/>
            </w:tcBorders>
            <w:noWrap w:val="0"/>
            <w:vAlign w:val="center"/>
          </w:tcPr>
          <w:p>
            <w:pPr>
              <w:widowControl w:val="0"/>
              <w:adjustRightInd w:val="0"/>
              <w:snapToGrid w:val="0"/>
              <w:jc w:val="center"/>
              <w:rPr>
                <w:rFonts w:hint="eastAsia" w:eastAsia="宋体"/>
                <w:color w:val="auto"/>
                <w:sz w:val="20"/>
                <w:szCs w:val="18"/>
                <w:lang w:val="en-US" w:eastAsia="zh-CN"/>
              </w:rPr>
            </w:pPr>
            <w:r>
              <w:rPr>
                <w:rFonts w:hint="eastAsia"/>
                <w:color w:val="auto"/>
                <w:sz w:val="20"/>
                <w:szCs w:val="18"/>
                <w:lang w:val="en-US" w:eastAsia="zh-CN"/>
              </w:rPr>
              <w:t>二</w:t>
            </w:r>
          </w:p>
        </w:tc>
        <w:tc>
          <w:tcPr>
            <w:tcW w:w="999" w:type="pct"/>
            <w:tcBorders>
              <w:top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eastAsia="宋体"/>
                <w:color w:val="auto"/>
                <w:sz w:val="20"/>
                <w:szCs w:val="18"/>
                <w:lang w:val="en-US" w:eastAsia="zh-CN"/>
              </w:rPr>
              <w:t>三</w:t>
            </w:r>
          </w:p>
        </w:tc>
        <w:tc>
          <w:tcPr>
            <w:tcW w:w="1004" w:type="pct"/>
            <w:tcBorders>
              <w:top w:val="single" w:color="auto" w:sz="12" w:space="0"/>
            </w:tcBorders>
            <w:noWrap w:val="0"/>
            <w:vAlign w:val="center"/>
          </w:tcPr>
          <w:p>
            <w:pPr>
              <w:widowControl w:val="0"/>
              <w:adjustRightInd w:val="0"/>
              <w:snapToGrid w:val="0"/>
              <w:jc w:val="center"/>
              <w:rPr>
                <w:rFonts w:hint="default" w:eastAsia="宋体"/>
                <w:color w:val="auto"/>
                <w:sz w:val="20"/>
                <w:szCs w:val="18"/>
                <w:lang w:val="en-US" w:eastAsia="zh-CN"/>
              </w:rPr>
            </w:pPr>
            <w:r>
              <w:rPr>
                <w:rFonts w:hint="eastAsia" w:eastAsia="宋体"/>
                <w:color w:val="auto"/>
                <w:sz w:val="20"/>
                <w:szCs w:val="18"/>
                <w:lang w:val="en-US" w:eastAsia="zh-CN"/>
              </w:rPr>
              <w:t>简单分析</w:t>
            </w:r>
            <w:r>
              <w:rPr>
                <w:rFonts w:hint="eastAsia" w:eastAsia="宋体"/>
                <w:color w:val="auto"/>
                <w:sz w:val="20"/>
                <w:szCs w:val="18"/>
                <w:vertAlign w:val="superscript"/>
                <w:lang w:val="en-US" w:eastAsia="zh-CN"/>
              </w:rPr>
              <w:t>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5000" w:type="pct"/>
            <w:gridSpan w:val="5"/>
            <w:noWrap w:val="0"/>
            <w:vAlign w:val="center"/>
          </w:tcPr>
          <w:p>
            <w:pPr>
              <w:widowControl w:val="0"/>
              <w:adjustRightInd w:val="0"/>
              <w:snapToGrid w:val="0"/>
              <w:jc w:val="left"/>
              <w:rPr>
                <w:rFonts w:hint="eastAsia" w:eastAsia="宋体"/>
                <w:b w:val="0"/>
                <w:bCs w:val="0"/>
                <w:color w:val="auto"/>
                <w:sz w:val="20"/>
                <w:szCs w:val="18"/>
                <w:lang w:eastAsia="zh-CN"/>
              </w:rPr>
            </w:pPr>
            <w:r>
              <w:rPr>
                <w:rFonts w:hint="eastAsia"/>
                <w:b w:val="0"/>
                <w:bCs w:val="0"/>
                <w:color w:val="auto"/>
                <w:sz w:val="20"/>
                <w:szCs w:val="18"/>
              </w:rPr>
              <w:t>a是相对于详细评价工作内容而言，在描述危险物质、环境影响途径、环境危害后果、风险防范措施等方面给出定性的说明。见附录A</w:t>
            </w:r>
            <w:r>
              <w:rPr>
                <w:rFonts w:hint="eastAsia"/>
                <w:b w:val="0"/>
                <w:bCs w:val="0"/>
                <w:color w:val="auto"/>
                <w:sz w:val="20"/>
                <w:szCs w:val="18"/>
                <w:lang w:eastAsia="zh-CN"/>
              </w:rPr>
              <w:t>。</w:t>
            </w:r>
          </w:p>
        </w:tc>
      </w:tr>
    </w:tbl>
    <w:p>
      <w:pPr>
        <w:pStyle w:val="626"/>
        <w:contextualSpacing/>
        <w:rPr>
          <w:rFonts w:hint="eastAsia" w:ascii="Times New Roman" w:hAnsi="Times New Roman" w:eastAsia="仿宋_GB2312" w:cs="Times New Roman"/>
          <w:color w:val="auto"/>
          <w:lang w:eastAsia="zh-CN"/>
        </w:rPr>
      </w:pPr>
      <w:r>
        <w:rPr>
          <w:rFonts w:hint="default" w:ascii="Times New Roman" w:hAnsi="Times New Roman" w:eastAsia="仿宋_GB2312" w:cs="Times New Roman"/>
          <w:color w:val="auto"/>
        </w:rPr>
        <w:t>项目环境风险潜势为Ⅰ级，不需根据各要素环境敏感程度分别进行风险评价工作等级判定，仅需对项目环境风险进行简单分析，在描述危险物质、环境影响途径、环境危害后果、风险防范措施等方面给出定性的说明即可</w:t>
      </w:r>
      <w:r>
        <w:rPr>
          <w:rFonts w:hint="eastAsia" w:ascii="Times New Roman" w:hAnsi="Times New Roman" w:eastAsia="仿宋_GB2312" w:cs="Times New Roman"/>
          <w:color w:val="auto"/>
          <w:lang w:eastAsia="zh-CN"/>
        </w:rPr>
        <w:t>。</w:t>
      </w:r>
    </w:p>
    <w:p>
      <w:pPr>
        <w:pStyle w:val="626"/>
        <w:contextualSpacing/>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eastAsia="zh-CN"/>
        </w:rPr>
        <w:t>（</w:t>
      </w:r>
      <w:r>
        <w:rPr>
          <w:rFonts w:hint="default"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eastAsia="zh-CN"/>
        </w:rPr>
        <w:t>）</w:t>
      </w:r>
      <w:r>
        <w:rPr>
          <w:rFonts w:hint="default" w:ascii="Times New Roman" w:hAnsi="Times New Roman" w:eastAsia="仿宋_GB2312" w:cs="Times New Roman"/>
          <w:color w:val="auto"/>
          <w:lang w:val="en-US" w:eastAsia="zh-CN"/>
        </w:rPr>
        <w:t>评价范围</w:t>
      </w:r>
    </w:p>
    <w:p>
      <w:pPr>
        <w:pStyle w:val="626"/>
        <w:contextualSpacing/>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t>地表水风险评价范围同水环境评价范围，为码头上游0.5km至下游</w:t>
      </w:r>
      <w:r>
        <w:rPr>
          <w:rFonts w:hint="eastAsia" w:ascii="Times New Roman" w:hAnsi="Times New Roman" w:eastAsia="仿宋_GB2312" w:cs="Times New Roman"/>
          <w:color w:val="auto"/>
          <w:lang w:val="en-US" w:eastAsia="zh-CN"/>
        </w:rPr>
        <w:t>22.3</w:t>
      </w:r>
      <w:r>
        <w:rPr>
          <w:rFonts w:hint="default" w:ascii="Times New Roman" w:hAnsi="Times New Roman" w:eastAsia="仿宋_GB2312" w:cs="Times New Roman"/>
          <w:color w:val="auto"/>
          <w:lang w:eastAsia="zh-CN"/>
        </w:rPr>
        <w:t>km（包含</w:t>
      </w:r>
      <w:r>
        <w:rPr>
          <w:rFonts w:hint="eastAsia" w:ascii="Times New Roman" w:hAnsi="Times New Roman" w:eastAsia="仿宋_GB2312" w:cs="Times New Roman"/>
          <w:color w:val="auto"/>
          <w:lang w:val="en-US" w:eastAsia="zh-CN"/>
        </w:rPr>
        <w:t>枝江市百里洲水厂新建取水口（在建）</w:t>
      </w:r>
      <w:r>
        <w:rPr>
          <w:rFonts w:hint="default" w:ascii="Times New Roman" w:hAnsi="Times New Roman" w:eastAsia="仿宋_GB2312" w:cs="Times New Roman"/>
          <w:color w:val="auto"/>
          <w:lang w:eastAsia="zh-CN"/>
        </w:rPr>
        <w:t>下游二级保护区0.3km范围）水域。</w:t>
      </w:r>
    </w:p>
    <w:p>
      <w:pPr>
        <w:pStyle w:val="9"/>
        <w:widowControl w:val="0"/>
        <w:spacing w:before="120" w:after="120" w:line="360" w:lineRule="auto"/>
        <w:rPr>
          <w:rFonts w:eastAsia="黑体"/>
          <w:b w:val="0"/>
          <w:color w:val="auto"/>
          <w:sz w:val="24"/>
        </w:rPr>
      </w:pPr>
      <w:bookmarkStart w:id="252" w:name="_Toc14388"/>
      <w:r>
        <w:rPr>
          <w:rFonts w:eastAsia="黑体"/>
          <w:b w:val="0"/>
          <w:color w:val="auto"/>
          <w:sz w:val="24"/>
        </w:rPr>
        <w:t>1.</w:t>
      </w:r>
      <w:r>
        <w:rPr>
          <w:rFonts w:hint="eastAsia" w:eastAsia="黑体"/>
          <w:b w:val="0"/>
          <w:color w:val="auto"/>
          <w:sz w:val="24"/>
          <w:lang w:val="en-US" w:eastAsia="zh-CN"/>
        </w:rPr>
        <w:t>4</w:t>
      </w:r>
      <w:r>
        <w:rPr>
          <w:rFonts w:eastAsia="黑体"/>
          <w:b w:val="0"/>
          <w:color w:val="auto"/>
          <w:sz w:val="24"/>
        </w:rPr>
        <w:t>.</w:t>
      </w:r>
      <w:r>
        <w:rPr>
          <w:rFonts w:hint="eastAsia" w:eastAsia="黑体"/>
          <w:b w:val="0"/>
          <w:color w:val="auto"/>
          <w:sz w:val="24"/>
        </w:rPr>
        <w:t>8</w:t>
      </w:r>
      <w:r>
        <w:rPr>
          <w:rFonts w:eastAsia="黑体"/>
          <w:b w:val="0"/>
          <w:color w:val="auto"/>
          <w:sz w:val="24"/>
        </w:rPr>
        <w:t>小结</w:t>
      </w:r>
      <w:bookmarkEnd w:id="252"/>
    </w:p>
    <w:p>
      <w:pPr>
        <w:widowControl w:val="0"/>
        <w:spacing w:line="360" w:lineRule="auto"/>
        <w:ind w:firstLine="480" w:firstLineChars="200"/>
        <w:rPr>
          <w:rFonts w:eastAsia="黑体"/>
          <w:b/>
          <w:color w:val="auto"/>
          <w:szCs w:val="21"/>
        </w:rPr>
      </w:pPr>
      <w:r>
        <w:rPr>
          <w:rFonts w:eastAsia="仿宋_GB2312"/>
          <w:color w:val="auto"/>
          <w:sz w:val="24"/>
        </w:rPr>
        <w:t>拟建项目评价等级及评价范围一览表见表1.</w:t>
      </w:r>
      <w:r>
        <w:rPr>
          <w:rFonts w:hint="eastAsia" w:eastAsia="仿宋_GB2312"/>
          <w:color w:val="auto"/>
          <w:sz w:val="24"/>
          <w:lang w:val="en-US" w:eastAsia="zh-CN"/>
        </w:rPr>
        <w:t>4</w:t>
      </w:r>
      <w:r>
        <w:rPr>
          <w:rFonts w:eastAsia="仿宋_GB2312"/>
          <w:color w:val="auto"/>
          <w:sz w:val="24"/>
        </w:rPr>
        <w:t>-</w:t>
      </w:r>
      <w:r>
        <w:rPr>
          <w:rFonts w:hint="eastAsia" w:eastAsia="仿宋_GB2312"/>
          <w:color w:val="auto"/>
          <w:sz w:val="24"/>
          <w:lang w:val="en-US" w:eastAsia="zh-CN"/>
        </w:rPr>
        <w:t>9</w:t>
      </w:r>
      <w:r>
        <w:rPr>
          <w:rFonts w:eastAsia="仿宋_GB2312"/>
          <w:color w:val="auto"/>
          <w:sz w:val="24"/>
        </w:rPr>
        <w:t>。</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.4</w:t>
      </w:r>
      <w:r>
        <w:rPr>
          <w:rFonts w:eastAsia="黑体"/>
          <w:b/>
          <w:color w:val="auto"/>
          <w:szCs w:val="21"/>
        </w:rPr>
        <w:t>-</w:t>
      </w:r>
      <w:r>
        <w:rPr>
          <w:rFonts w:hint="eastAsia" w:eastAsia="黑体"/>
          <w:b/>
          <w:color w:val="auto"/>
          <w:szCs w:val="21"/>
          <w:lang w:val="en-US" w:eastAsia="zh-CN"/>
        </w:rPr>
        <w:t>9</w:t>
      </w:r>
      <w:r>
        <w:rPr>
          <w:rFonts w:eastAsia="黑体"/>
          <w:b/>
          <w:color w:val="auto"/>
          <w:szCs w:val="21"/>
        </w:rPr>
        <w:t xml:space="preserve">  项目评价等级与评价范围一览表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41"/>
        <w:gridCol w:w="1375"/>
        <w:gridCol w:w="1649"/>
        <w:gridCol w:w="475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tcBorders>
              <w:top w:val="single" w:color="auto" w:sz="12" w:space="0"/>
              <w:bottom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序号</w:t>
            </w:r>
          </w:p>
        </w:tc>
        <w:tc>
          <w:tcPr>
            <w:tcW w:w="807" w:type="pct"/>
            <w:tcBorders>
              <w:top w:val="single" w:color="auto" w:sz="12" w:space="0"/>
              <w:bottom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环境要素</w:t>
            </w:r>
          </w:p>
        </w:tc>
        <w:tc>
          <w:tcPr>
            <w:tcW w:w="968" w:type="pct"/>
            <w:tcBorders>
              <w:top w:val="single" w:color="auto" w:sz="12" w:space="0"/>
              <w:bottom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评价等级</w:t>
            </w:r>
          </w:p>
        </w:tc>
        <w:tc>
          <w:tcPr>
            <w:tcW w:w="2789" w:type="pct"/>
            <w:tcBorders>
              <w:top w:val="single" w:color="auto" w:sz="12" w:space="0"/>
              <w:bottom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评价范围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tcBorders>
              <w:top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1</w:t>
            </w:r>
          </w:p>
        </w:tc>
        <w:tc>
          <w:tcPr>
            <w:tcW w:w="807" w:type="pct"/>
            <w:tcBorders>
              <w:top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大气</w:t>
            </w:r>
          </w:p>
        </w:tc>
        <w:tc>
          <w:tcPr>
            <w:tcW w:w="968" w:type="pct"/>
            <w:tcBorders>
              <w:top w:val="single" w:color="auto" w:sz="12" w:space="0"/>
            </w:tcBorders>
            <w:noWrap w:val="0"/>
            <w:vAlign w:val="center"/>
          </w:tcPr>
          <w:p>
            <w:pPr>
              <w:pStyle w:val="5"/>
              <w:widowControl w:val="0"/>
              <w:spacing w:line="240" w:lineRule="auto"/>
              <w:ind w:firstLine="0"/>
              <w:jc w:val="center"/>
              <w:rPr>
                <w:color w:val="auto"/>
                <w:sz w:val="20"/>
                <w:szCs w:val="20"/>
                <w:lang w:val="en-US" w:eastAsia="zh-CN"/>
              </w:rPr>
            </w:pPr>
            <w:r>
              <w:rPr>
                <w:rFonts w:hint="eastAsia"/>
                <w:color w:val="auto"/>
                <w:sz w:val="20"/>
                <w:szCs w:val="20"/>
                <w:lang w:val="en-US" w:eastAsia="zh-CN"/>
              </w:rPr>
              <w:t>一</w:t>
            </w:r>
            <w:r>
              <w:rPr>
                <w:color w:val="auto"/>
                <w:sz w:val="20"/>
                <w:szCs w:val="20"/>
                <w:lang w:val="en-US" w:eastAsia="zh-CN"/>
              </w:rPr>
              <w:t>级</w:t>
            </w:r>
          </w:p>
        </w:tc>
        <w:tc>
          <w:tcPr>
            <w:tcW w:w="2789" w:type="pct"/>
            <w:tcBorders>
              <w:top w:val="single" w:color="auto" w:sz="12" w:space="0"/>
            </w:tcBorders>
            <w:noWrap w:val="0"/>
            <w:vAlign w:val="center"/>
          </w:tcPr>
          <w:p>
            <w:pPr>
              <w:pStyle w:val="5"/>
              <w:widowControl w:val="0"/>
              <w:spacing w:line="240" w:lineRule="auto"/>
              <w:ind w:left="0" w:leftChars="0" w:firstLine="0" w:firstLineChars="0"/>
              <w:jc w:val="center"/>
              <w:rPr>
                <w:color w:val="auto"/>
                <w:sz w:val="20"/>
                <w:szCs w:val="20"/>
                <w:lang w:val="en-US" w:eastAsia="zh-CN"/>
              </w:rPr>
            </w:pPr>
            <w:r>
              <w:rPr>
                <w:color w:val="auto"/>
                <w:sz w:val="20"/>
                <w:szCs w:val="20"/>
                <w:lang w:val="en-US" w:eastAsia="zh-CN"/>
              </w:rPr>
              <w:t>以厂址为中心，边长为5km的矩形区域，总面积25km</w:t>
            </w:r>
            <w:r>
              <w:rPr>
                <w:color w:val="auto"/>
                <w:sz w:val="20"/>
                <w:szCs w:val="20"/>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2</w:t>
            </w:r>
          </w:p>
        </w:tc>
        <w:tc>
          <w:tcPr>
            <w:tcW w:w="807" w:type="pct"/>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地表水</w:t>
            </w:r>
          </w:p>
        </w:tc>
        <w:tc>
          <w:tcPr>
            <w:tcW w:w="968" w:type="pct"/>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三级</w:t>
            </w:r>
          </w:p>
        </w:tc>
        <w:tc>
          <w:tcPr>
            <w:tcW w:w="2789" w:type="pct"/>
            <w:noWrap w:val="0"/>
            <w:vAlign w:val="center"/>
          </w:tcPr>
          <w:p>
            <w:pPr>
              <w:pStyle w:val="5"/>
              <w:widowControl w:val="0"/>
              <w:spacing w:line="240" w:lineRule="auto"/>
              <w:ind w:left="0" w:leftChars="0" w:firstLine="0" w:firstLineChars="0"/>
              <w:jc w:val="center"/>
              <w:rPr>
                <w:color w:val="auto"/>
                <w:sz w:val="20"/>
                <w:szCs w:val="20"/>
                <w:lang w:val="en-US" w:eastAsia="zh-CN"/>
              </w:rPr>
            </w:pPr>
            <w:r>
              <w:rPr>
                <w:rFonts w:hint="eastAsia"/>
                <w:color w:val="auto"/>
                <w:sz w:val="20"/>
                <w:szCs w:val="20"/>
                <w:lang w:val="en-US" w:eastAsia="zh-CN"/>
              </w:rPr>
              <w:t>码头上游0.5km至码头下游22.3km（包含枝江市百里洲水厂新建取水口（在建）下游二级保护区0.3km范围）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3</w:t>
            </w:r>
          </w:p>
        </w:tc>
        <w:tc>
          <w:tcPr>
            <w:tcW w:w="807"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color w:val="auto"/>
                <w:sz w:val="20"/>
                <w:szCs w:val="20"/>
                <w:lang w:val="en-US" w:eastAsia="zh-CN"/>
              </w:rPr>
              <w:t>噪声</w:t>
            </w:r>
          </w:p>
        </w:tc>
        <w:tc>
          <w:tcPr>
            <w:tcW w:w="968"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color w:val="auto"/>
                <w:sz w:val="20"/>
                <w:szCs w:val="20"/>
                <w:lang w:val="en-US" w:eastAsia="zh-CN"/>
              </w:rPr>
              <w:t>三级</w:t>
            </w:r>
          </w:p>
        </w:tc>
        <w:tc>
          <w:tcPr>
            <w:tcW w:w="2789" w:type="pct"/>
            <w:noWrap w:val="0"/>
            <w:vAlign w:val="center"/>
          </w:tcPr>
          <w:p>
            <w:pPr>
              <w:pStyle w:val="5"/>
              <w:widowControl w:val="0"/>
              <w:spacing w:line="240" w:lineRule="auto"/>
              <w:ind w:left="0" w:leftChars="0" w:firstLine="0" w:firstLineChars="0"/>
              <w:jc w:val="center"/>
              <w:rPr>
                <w:color w:val="auto"/>
                <w:kern w:val="0"/>
                <w:sz w:val="20"/>
                <w:szCs w:val="20"/>
                <w:lang w:val="en-US" w:eastAsia="zh-CN" w:bidi="ar-SA"/>
              </w:rPr>
            </w:pPr>
            <w:r>
              <w:rPr>
                <w:rFonts w:hint="eastAsia"/>
                <w:color w:val="auto"/>
                <w:sz w:val="20"/>
                <w:szCs w:val="20"/>
                <w:lang w:val="en-US" w:eastAsia="zh-CN"/>
              </w:rPr>
              <w:t>码头</w:t>
            </w:r>
            <w:r>
              <w:rPr>
                <w:color w:val="auto"/>
                <w:sz w:val="20"/>
                <w:szCs w:val="20"/>
                <w:lang w:val="en-US" w:eastAsia="zh-CN"/>
              </w:rPr>
              <w:t>厂界外200m范围内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noWrap w:val="0"/>
            <w:vAlign w:val="center"/>
          </w:tcPr>
          <w:p>
            <w:pPr>
              <w:pStyle w:val="5"/>
              <w:widowControl w:val="0"/>
              <w:spacing w:line="240" w:lineRule="auto"/>
              <w:ind w:firstLine="0"/>
              <w:jc w:val="center"/>
              <w:rPr>
                <w:color w:val="auto"/>
                <w:sz w:val="20"/>
                <w:szCs w:val="20"/>
                <w:lang w:val="en-US" w:eastAsia="zh-CN"/>
              </w:rPr>
            </w:pPr>
            <w:r>
              <w:rPr>
                <w:color w:val="auto"/>
                <w:sz w:val="20"/>
                <w:szCs w:val="20"/>
                <w:lang w:val="en-US" w:eastAsia="zh-CN"/>
              </w:rPr>
              <w:t>4</w:t>
            </w:r>
          </w:p>
        </w:tc>
        <w:tc>
          <w:tcPr>
            <w:tcW w:w="807"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color w:val="auto"/>
                <w:sz w:val="20"/>
                <w:szCs w:val="20"/>
                <w:lang w:val="en-US" w:eastAsia="zh-CN"/>
              </w:rPr>
              <w:t>环境风险</w:t>
            </w:r>
          </w:p>
        </w:tc>
        <w:tc>
          <w:tcPr>
            <w:tcW w:w="968"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rFonts w:hint="eastAsia"/>
                <w:color w:val="auto"/>
                <w:sz w:val="20"/>
                <w:szCs w:val="20"/>
                <w:lang w:val="en-US" w:eastAsia="zh-CN"/>
              </w:rPr>
              <w:t>简单分析</w:t>
            </w:r>
          </w:p>
        </w:tc>
        <w:tc>
          <w:tcPr>
            <w:tcW w:w="2789" w:type="pct"/>
            <w:noWrap w:val="0"/>
            <w:vAlign w:val="center"/>
          </w:tcPr>
          <w:p>
            <w:pPr>
              <w:pStyle w:val="5"/>
              <w:widowControl w:val="0"/>
              <w:spacing w:line="240" w:lineRule="auto"/>
              <w:ind w:left="0" w:leftChars="0" w:firstLine="0" w:firstLineChars="0"/>
              <w:jc w:val="center"/>
              <w:rPr>
                <w:color w:val="auto"/>
                <w:kern w:val="0"/>
                <w:sz w:val="20"/>
                <w:szCs w:val="20"/>
                <w:lang w:val="en-US" w:eastAsia="zh-CN" w:bidi="ar-SA"/>
              </w:rPr>
            </w:pPr>
            <w:r>
              <w:rPr>
                <w:rFonts w:hint="eastAsia"/>
                <w:color w:val="auto"/>
                <w:sz w:val="20"/>
                <w:szCs w:val="20"/>
                <w:lang w:val="en-US" w:eastAsia="zh-CN"/>
              </w:rPr>
              <w:t>同地表水环境评价范围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35" w:type="pct"/>
            <w:noWrap w:val="0"/>
            <w:vAlign w:val="center"/>
          </w:tcPr>
          <w:p>
            <w:pPr>
              <w:pStyle w:val="5"/>
              <w:widowControl w:val="0"/>
              <w:spacing w:line="240" w:lineRule="auto"/>
              <w:ind w:firstLine="0"/>
              <w:jc w:val="center"/>
              <w:rPr>
                <w:color w:val="auto"/>
                <w:sz w:val="20"/>
                <w:szCs w:val="20"/>
                <w:lang w:val="en-US" w:eastAsia="zh-CN"/>
              </w:rPr>
            </w:pPr>
            <w:r>
              <w:rPr>
                <w:rFonts w:hint="eastAsia"/>
                <w:color w:val="auto"/>
                <w:sz w:val="20"/>
                <w:szCs w:val="20"/>
                <w:lang w:val="en-US" w:eastAsia="zh-CN"/>
              </w:rPr>
              <w:t>7</w:t>
            </w:r>
          </w:p>
        </w:tc>
        <w:tc>
          <w:tcPr>
            <w:tcW w:w="807"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color w:val="auto"/>
                <w:sz w:val="20"/>
                <w:szCs w:val="20"/>
                <w:lang w:val="en-US" w:eastAsia="zh-CN"/>
              </w:rPr>
              <w:t>生态环境</w:t>
            </w:r>
          </w:p>
        </w:tc>
        <w:tc>
          <w:tcPr>
            <w:tcW w:w="968" w:type="pct"/>
            <w:noWrap w:val="0"/>
            <w:vAlign w:val="center"/>
          </w:tcPr>
          <w:p>
            <w:pPr>
              <w:pStyle w:val="5"/>
              <w:widowControl w:val="0"/>
              <w:spacing w:line="240" w:lineRule="auto"/>
              <w:ind w:firstLine="0" w:firstLineChars="0"/>
              <w:jc w:val="center"/>
              <w:rPr>
                <w:color w:val="auto"/>
                <w:kern w:val="0"/>
                <w:sz w:val="20"/>
                <w:szCs w:val="20"/>
                <w:lang w:val="en-US" w:eastAsia="zh-CN" w:bidi="ar-SA"/>
              </w:rPr>
            </w:pPr>
            <w:r>
              <w:rPr>
                <w:rFonts w:hint="eastAsia"/>
                <w:color w:val="auto"/>
                <w:sz w:val="20"/>
                <w:szCs w:val="20"/>
                <w:lang w:val="en-US" w:eastAsia="zh-CN"/>
              </w:rPr>
              <w:t>二级</w:t>
            </w:r>
          </w:p>
        </w:tc>
        <w:tc>
          <w:tcPr>
            <w:tcW w:w="2789" w:type="pct"/>
            <w:noWrap w:val="0"/>
            <w:vAlign w:val="center"/>
          </w:tcPr>
          <w:p>
            <w:pPr>
              <w:pStyle w:val="5"/>
              <w:widowControl w:val="0"/>
              <w:spacing w:line="240" w:lineRule="auto"/>
              <w:ind w:left="0" w:leftChars="0" w:firstLine="0" w:firstLineChars="0"/>
              <w:jc w:val="center"/>
              <w:rPr>
                <w:color w:val="auto"/>
                <w:kern w:val="0"/>
                <w:sz w:val="20"/>
                <w:szCs w:val="20"/>
                <w:lang w:val="en-US" w:eastAsia="zh-CN" w:bidi="ar-SA"/>
              </w:rPr>
            </w:pPr>
            <w:r>
              <w:rPr>
                <w:rFonts w:hint="eastAsia"/>
                <w:color w:val="auto"/>
                <w:sz w:val="20"/>
                <w:szCs w:val="20"/>
                <w:lang w:val="en-US" w:eastAsia="zh-CN"/>
              </w:rPr>
              <w:t>同地表水环境评价范围</w:t>
            </w:r>
          </w:p>
        </w:tc>
      </w:tr>
      <w:bookmarkEnd w:id="226"/>
      <w:bookmarkEnd w:id="227"/>
      <w:bookmarkEnd w:id="228"/>
      <w:bookmarkEnd w:id="229"/>
      <w:bookmarkEnd w:id="230"/>
    </w:tbl>
    <w:p>
      <w:pPr>
        <w:pStyle w:val="8"/>
        <w:widowControl w:val="0"/>
        <w:spacing w:before="120" w:after="120" w:line="360" w:lineRule="auto"/>
        <w:rPr>
          <w:rFonts w:ascii="Times New Roman" w:hAnsi="Times New Roman"/>
          <w:b w:val="0"/>
          <w:color w:val="auto"/>
          <w:szCs w:val="32"/>
        </w:rPr>
      </w:pPr>
      <w:bookmarkStart w:id="253" w:name="_Toc31831"/>
      <w:bookmarkStart w:id="254" w:name="_Toc138079900"/>
      <w:r>
        <w:rPr>
          <w:rFonts w:ascii="Times New Roman" w:hAnsi="Times New Roman"/>
          <w:b w:val="0"/>
          <w:color w:val="auto"/>
          <w:szCs w:val="32"/>
        </w:rPr>
        <w:t>1.</w:t>
      </w:r>
      <w:r>
        <w:rPr>
          <w:rFonts w:hint="eastAsia" w:ascii="Times New Roman" w:hAnsi="Times New Roman"/>
          <w:b w:val="0"/>
          <w:color w:val="auto"/>
          <w:szCs w:val="32"/>
          <w:lang w:val="en-US" w:eastAsia="zh-CN"/>
        </w:rPr>
        <w:t>5环境影响识别与</w:t>
      </w:r>
      <w:r>
        <w:rPr>
          <w:rFonts w:ascii="Times New Roman" w:hAnsi="Times New Roman"/>
          <w:b w:val="0"/>
          <w:color w:val="auto"/>
          <w:szCs w:val="32"/>
        </w:rPr>
        <w:t>评价因子筛选</w:t>
      </w:r>
      <w:bookmarkEnd w:id="253"/>
    </w:p>
    <w:p>
      <w:pPr>
        <w:pStyle w:val="9"/>
        <w:widowControl w:val="0"/>
        <w:spacing w:before="120" w:after="120" w:line="360" w:lineRule="auto"/>
        <w:rPr>
          <w:rFonts w:hint="default" w:eastAsia="黑体"/>
          <w:b w:val="0"/>
          <w:color w:val="auto"/>
          <w:sz w:val="24"/>
          <w:lang w:val="en-US" w:eastAsia="zh-CN"/>
        </w:rPr>
      </w:pPr>
      <w:bookmarkStart w:id="255" w:name="_Toc12750"/>
      <w:r>
        <w:rPr>
          <w:rFonts w:eastAsia="黑体"/>
          <w:b w:val="0"/>
          <w:color w:val="auto"/>
          <w:sz w:val="24"/>
        </w:rPr>
        <w:t>1.</w:t>
      </w:r>
      <w:r>
        <w:rPr>
          <w:rFonts w:hint="eastAsia" w:eastAsia="黑体"/>
          <w:b w:val="0"/>
          <w:color w:val="auto"/>
          <w:sz w:val="24"/>
          <w:lang w:val="en-US" w:eastAsia="zh-CN"/>
        </w:rPr>
        <w:t>5</w:t>
      </w:r>
      <w:r>
        <w:rPr>
          <w:rFonts w:eastAsia="黑体"/>
          <w:b w:val="0"/>
          <w:color w:val="auto"/>
          <w:sz w:val="24"/>
        </w:rPr>
        <w:t>.1</w:t>
      </w:r>
      <w:r>
        <w:rPr>
          <w:rFonts w:hint="eastAsia" w:eastAsia="黑体"/>
          <w:b w:val="0"/>
          <w:color w:val="auto"/>
          <w:sz w:val="24"/>
          <w:lang w:val="en-US" w:eastAsia="zh-CN"/>
        </w:rPr>
        <w:t>环境影响识别</w:t>
      </w:r>
      <w:bookmarkEnd w:id="255"/>
    </w:p>
    <w:p>
      <w:pPr>
        <w:widowControl w:val="0"/>
        <w:spacing w:line="360" w:lineRule="auto"/>
        <w:ind w:firstLine="482"/>
        <w:rPr>
          <w:rFonts w:eastAsia="仿宋_GB2312"/>
          <w:color w:val="auto"/>
          <w:sz w:val="24"/>
        </w:rPr>
      </w:pPr>
      <w:r>
        <w:rPr>
          <w:rFonts w:hint="eastAsia" w:eastAsia="仿宋_GB2312"/>
          <w:color w:val="auto"/>
          <w:sz w:val="24"/>
          <w:lang w:val="en-US" w:eastAsia="zh-CN"/>
        </w:rPr>
        <w:t>根据对工程的初步分析，采用矩阵识别法对运营期产生的环境影响因素进行识别，环境影响矩阵分析结果见下表</w:t>
      </w:r>
      <w:r>
        <w:rPr>
          <w:rFonts w:eastAsia="仿宋_GB2312"/>
          <w:color w:val="auto"/>
          <w:sz w:val="24"/>
        </w:rPr>
        <w:t>。</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5</w:t>
      </w:r>
      <w:r>
        <w:rPr>
          <w:rFonts w:eastAsia="黑体"/>
          <w:b/>
          <w:color w:val="auto"/>
          <w:szCs w:val="21"/>
        </w:rPr>
        <w:t xml:space="preserve">-1  </w:t>
      </w:r>
      <w:r>
        <w:rPr>
          <w:rFonts w:hint="eastAsia" w:eastAsia="黑体"/>
          <w:b/>
          <w:color w:val="auto"/>
          <w:szCs w:val="21"/>
          <w:lang w:val="en-US" w:eastAsia="zh-CN"/>
        </w:rPr>
        <w:t>环境影响矩阵分析</w:t>
      </w:r>
      <w:r>
        <w:rPr>
          <w:rFonts w:eastAsia="黑体"/>
          <w:b/>
          <w:color w:val="auto"/>
          <w:szCs w:val="21"/>
        </w:rPr>
        <w:t>表</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3"/>
        <w:gridCol w:w="877"/>
        <w:gridCol w:w="710"/>
        <w:gridCol w:w="640"/>
        <w:gridCol w:w="615"/>
        <w:gridCol w:w="660"/>
        <w:gridCol w:w="855"/>
        <w:gridCol w:w="675"/>
        <w:gridCol w:w="675"/>
        <w:gridCol w:w="1035"/>
        <w:gridCol w:w="668"/>
        <w:gridCol w:w="5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0" w:type="dxa"/>
            <w:gridSpan w:val="2"/>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项目组成</w:t>
            </w:r>
          </w:p>
        </w:tc>
        <w:tc>
          <w:tcPr>
            <w:tcW w:w="710"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水文</w:t>
            </w:r>
          </w:p>
        </w:tc>
        <w:tc>
          <w:tcPr>
            <w:tcW w:w="640"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岸线变化</w:t>
            </w:r>
          </w:p>
        </w:tc>
        <w:tc>
          <w:tcPr>
            <w:tcW w:w="615" w:type="dxa"/>
            <w:tcBorders>
              <w:bottom w:val="single" w:color="auto" w:sz="12" w:space="0"/>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水质</w:t>
            </w:r>
          </w:p>
        </w:tc>
        <w:tc>
          <w:tcPr>
            <w:tcW w:w="660" w:type="dxa"/>
            <w:tcBorders>
              <w:bottom w:val="single" w:color="auto" w:sz="12" w:space="0"/>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空气质量</w:t>
            </w:r>
          </w:p>
        </w:tc>
        <w:tc>
          <w:tcPr>
            <w:tcW w:w="855"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噪声与振动</w:t>
            </w:r>
          </w:p>
        </w:tc>
        <w:tc>
          <w:tcPr>
            <w:tcW w:w="675"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水域生态</w:t>
            </w:r>
          </w:p>
        </w:tc>
        <w:tc>
          <w:tcPr>
            <w:tcW w:w="675"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陆域生态</w:t>
            </w:r>
          </w:p>
        </w:tc>
        <w:tc>
          <w:tcPr>
            <w:tcW w:w="1035"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公共健康与安全</w:t>
            </w:r>
          </w:p>
        </w:tc>
        <w:tc>
          <w:tcPr>
            <w:tcW w:w="668" w:type="dxa"/>
            <w:tcBorders>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环境舒适</w:t>
            </w:r>
          </w:p>
        </w:tc>
        <w:tc>
          <w:tcPr>
            <w:tcW w:w="575" w:type="dxa"/>
            <w:tcBorders>
              <w:bottom w:val="single" w:color="auto" w:sz="12" w:space="0"/>
            </w:tcBorders>
            <w:noWrap w:val="0"/>
            <w:vAlign w:val="center"/>
          </w:tcPr>
          <w:p>
            <w:pPr>
              <w:widowControl w:val="0"/>
              <w:jc w:val="center"/>
              <w:rPr>
                <w:color w:val="auto"/>
                <w:sz w:val="20"/>
              </w:rPr>
            </w:pPr>
            <w:r>
              <w:rPr>
                <w:rFonts w:hint="eastAsia"/>
                <w:color w:val="auto"/>
                <w:sz w:val="20"/>
                <w:lang w:val="en-US" w:eastAsia="zh-CN"/>
              </w:rPr>
              <w:t>景观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restart"/>
            <w:tcBorders>
              <w:top w:val="single" w:color="auto" w:sz="12" w:space="0"/>
              <w:tl2br w:val="nil"/>
              <w:tr2bl w:val="nil"/>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施工期</w:t>
            </w:r>
          </w:p>
        </w:tc>
        <w:tc>
          <w:tcPr>
            <w:tcW w:w="877" w:type="dxa"/>
            <w:tcBorders>
              <w:top w:val="single" w:color="auto" w:sz="12" w:space="0"/>
              <w:tl2br w:val="nil"/>
              <w:tr2bl w:val="nil"/>
            </w:tcBorders>
            <w:noWrap w:val="0"/>
            <w:vAlign w:val="center"/>
          </w:tcPr>
          <w:p>
            <w:pPr>
              <w:widowControl w:val="0"/>
              <w:jc w:val="center"/>
              <w:rPr>
                <w:rFonts w:hint="default" w:eastAsia="宋体"/>
                <w:color w:val="auto"/>
                <w:spacing w:val="-20"/>
                <w:sz w:val="20"/>
                <w:lang w:val="en-US" w:eastAsia="zh-CN"/>
              </w:rPr>
            </w:pPr>
            <w:r>
              <w:rPr>
                <w:rFonts w:hint="eastAsia"/>
                <w:color w:val="auto"/>
                <w:spacing w:val="-20"/>
                <w:sz w:val="20"/>
                <w:lang w:val="en-US" w:eastAsia="zh-CN"/>
              </w:rPr>
              <w:t>码头土石方工程</w:t>
            </w:r>
          </w:p>
        </w:tc>
        <w:tc>
          <w:tcPr>
            <w:tcW w:w="710" w:type="dxa"/>
            <w:tcBorders>
              <w:top w:val="single" w:color="auto" w:sz="12" w:space="0"/>
              <w:tl2br w:val="nil"/>
              <w:tr2bl w:val="nil"/>
            </w:tcBorders>
            <w:noWrap w:val="0"/>
            <w:vAlign w:val="center"/>
          </w:tcPr>
          <w:p>
            <w:pPr>
              <w:adjustRightInd w:val="0"/>
              <w:snapToGrid w:val="0"/>
              <w:jc w:val="center"/>
              <w:rPr>
                <w:rFonts w:hint="eastAsia" w:eastAsia="宋体"/>
                <w:color w:val="auto"/>
                <w:sz w:val="20"/>
                <w:lang w:val="en-US" w:eastAsia="zh-CN"/>
              </w:rPr>
            </w:pPr>
          </w:p>
        </w:tc>
        <w:tc>
          <w:tcPr>
            <w:tcW w:w="640" w:type="dxa"/>
            <w:tcBorders>
              <w:top w:val="single" w:color="auto" w:sz="12" w:space="0"/>
              <w:tl2br w:val="nil"/>
              <w:tr2bl w:val="nil"/>
            </w:tcBorders>
            <w:noWrap w:val="0"/>
            <w:vAlign w:val="center"/>
          </w:tcPr>
          <w:p>
            <w:pPr>
              <w:adjustRightInd w:val="0"/>
              <w:snapToGrid w:val="0"/>
              <w:jc w:val="center"/>
              <w:rPr>
                <w:color w:val="auto"/>
                <w:sz w:val="20"/>
              </w:rPr>
            </w:pPr>
          </w:p>
        </w:tc>
        <w:tc>
          <w:tcPr>
            <w:tcW w:w="615" w:type="dxa"/>
            <w:tcBorders>
              <w:top w:val="single" w:color="auto" w:sz="12" w:space="0"/>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60" w:type="dxa"/>
            <w:tcBorders>
              <w:top w:val="single" w:color="auto" w:sz="12" w:space="0"/>
              <w:tl2br w:val="nil"/>
              <w:tr2bl w:val="nil"/>
            </w:tcBorders>
            <w:noWrap w:val="0"/>
            <w:vAlign w:val="center"/>
          </w:tcPr>
          <w:p>
            <w:pPr>
              <w:adjustRightInd w:val="0"/>
              <w:snapToGrid w:val="0"/>
              <w:jc w:val="center"/>
              <w:rPr>
                <w:rFonts w:hint="eastAsia" w:eastAsia="宋体"/>
                <w:color w:val="auto"/>
                <w:sz w:val="20"/>
                <w:lang w:val="en-US" w:eastAsia="zh-CN"/>
              </w:rPr>
            </w:pPr>
            <w:r>
              <w:rPr>
                <w:rFonts w:ascii="Times New Roman"/>
                <w:snapToGrid w:val="0"/>
                <w:color w:val="auto"/>
                <w:sz w:val="21"/>
                <w:szCs w:val="21"/>
              </w:rPr>
              <w:t>-○</w:t>
            </w:r>
          </w:p>
        </w:tc>
        <w:tc>
          <w:tcPr>
            <w:tcW w:w="855" w:type="dxa"/>
            <w:tcBorders>
              <w:top w:val="single" w:color="auto" w:sz="12" w:space="0"/>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75" w:type="dxa"/>
            <w:tcBorders>
              <w:top w:val="single" w:color="auto" w:sz="12" w:space="0"/>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75" w:type="dxa"/>
            <w:tcBorders>
              <w:top w:val="single" w:color="auto" w:sz="12" w:space="0"/>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1035" w:type="dxa"/>
            <w:tcBorders>
              <w:top w:val="single" w:color="auto" w:sz="12" w:space="0"/>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68" w:type="dxa"/>
            <w:tcBorders>
              <w:top w:val="single" w:color="auto" w:sz="12" w:space="0"/>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575" w:type="dxa"/>
            <w:tcBorders>
              <w:top w:val="single" w:color="auto" w:sz="12" w:space="0"/>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continue"/>
            <w:tcBorders>
              <w:tl2br w:val="nil"/>
              <w:tr2bl w:val="nil"/>
            </w:tcBorders>
            <w:noWrap w:val="0"/>
            <w:vAlign w:val="center"/>
          </w:tcPr>
          <w:p>
            <w:pPr>
              <w:widowControl w:val="0"/>
              <w:jc w:val="center"/>
              <w:rPr>
                <w:color w:val="auto"/>
                <w:sz w:val="20"/>
              </w:rPr>
            </w:pPr>
          </w:p>
        </w:tc>
        <w:tc>
          <w:tcPr>
            <w:tcW w:w="877" w:type="dxa"/>
            <w:tcBorders>
              <w:tl2br w:val="nil"/>
              <w:tr2bl w:val="nil"/>
            </w:tcBorders>
            <w:noWrap w:val="0"/>
            <w:vAlign w:val="center"/>
          </w:tcPr>
          <w:p>
            <w:pPr>
              <w:widowControl w:val="0"/>
              <w:jc w:val="center"/>
              <w:rPr>
                <w:rFonts w:hint="default" w:eastAsia="宋体"/>
                <w:color w:val="auto"/>
                <w:spacing w:val="-20"/>
                <w:sz w:val="20"/>
                <w:lang w:val="en-US" w:eastAsia="zh-CN"/>
              </w:rPr>
            </w:pPr>
            <w:r>
              <w:rPr>
                <w:rFonts w:hint="eastAsia"/>
                <w:color w:val="auto"/>
                <w:spacing w:val="-20"/>
                <w:sz w:val="20"/>
                <w:lang w:val="en-US" w:eastAsia="zh-CN"/>
              </w:rPr>
              <w:t>材料运输</w:t>
            </w:r>
          </w:p>
        </w:tc>
        <w:tc>
          <w:tcPr>
            <w:tcW w:w="710" w:type="dxa"/>
            <w:tcBorders>
              <w:tl2br w:val="nil"/>
              <w:tr2bl w:val="nil"/>
            </w:tcBorders>
            <w:noWrap w:val="0"/>
            <w:vAlign w:val="center"/>
          </w:tcPr>
          <w:p>
            <w:pPr>
              <w:adjustRightInd w:val="0"/>
              <w:snapToGrid w:val="0"/>
              <w:jc w:val="center"/>
              <w:rPr>
                <w:color w:val="auto"/>
                <w:sz w:val="20"/>
              </w:rPr>
            </w:pPr>
          </w:p>
        </w:tc>
        <w:tc>
          <w:tcPr>
            <w:tcW w:w="640" w:type="dxa"/>
            <w:tcBorders>
              <w:tl2br w:val="nil"/>
              <w:tr2bl w:val="nil"/>
            </w:tcBorders>
            <w:noWrap w:val="0"/>
            <w:vAlign w:val="center"/>
          </w:tcPr>
          <w:p>
            <w:pPr>
              <w:pStyle w:val="63"/>
              <w:pBdr>
                <w:bottom w:val="none" w:color="auto" w:sz="0" w:space="0"/>
              </w:pBdr>
              <w:tabs>
                <w:tab w:val="clear" w:pos="4153"/>
                <w:tab w:val="clear" w:pos="8306"/>
              </w:tabs>
              <w:adjustRightInd w:val="0"/>
              <w:spacing w:line="240" w:lineRule="auto"/>
              <w:rPr>
                <w:color w:val="auto"/>
                <w:sz w:val="20"/>
              </w:rPr>
            </w:pPr>
          </w:p>
        </w:tc>
        <w:tc>
          <w:tcPr>
            <w:tcW w:w="615" w:type="dxa"/>
            <w:tcBorders>
              <w:tl2br w:val="nil"/>
              <w:tr2bl w:val="nil"/>
            </w:tcBorders>
            <w:noWrap w:val="0"/>
            <w:vAlign w:val="center"/>
          </w:tcPr>
          <w:p>
            <w:pPr>
              <w:adjustRightInd w:val="0"/>
              <w:snapToGrid w:val="0"/>
              <w:jc w:val="center"/>
              <w:rPr>
                <w:color w:val="auto"/>
                <w:sz w:val="20"/>
              </w:rPr>
            </w:pPr>
          </w:p>
        </w:tc>
        <w:tc>
          <w:tcPr>
            <w:tcW w:w="660"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85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75" w:type="dxa"/>
            <w:tcBorders>
              <w:tl2br w:val="nil"/>
              <w:tr2bl w:val="nil"/>
            </w:tcBorders>
            <w:noWrap w:val="0"/>
            <w:vAlign w:val="center"/>
          </w:tcPr>
          <w:p>
            <w:pPr>
              <w:adjustRightInd w:val="0"/>
              <w:snapToGrid w:val="0"/>
              <w:jc w:val="center"/>
              <w:rPr>
                <w:color w:val="auto"/>
                <w:sz w:val="20"/>
              </w:rPr>
            </w:pPr>
          </w:p>
        </w:tc>
        <w:tc>
          <w:tcPr>
            <w:tcW w:w="675" w:type="dxa"/>
            <w:tcBorders>
              <w:tl2br w:val="nil"/>
              <w:tr2bl w:val="nil"/>
            </w:tcBorders>
            <w:noWrap w:val="0"/>
            <w:vAlign w:val="center"/>
          </w:tcPr>
          <w:p>
            <w:pPr>
              <w:adjustRightInd w:val="0"/>
              <w:snapToGrid w:val="0"/>
              <w:jc w:val="center"/>
              <w:rPr>
                <w:color w:val="auto"/>
                <w:sz w:val="20"/>
              </w:rPr>
            </w:pPr>
          </w:p>
        </w:tc>
        <w:tc>
          <w:tcPr>
            <w:tcW w:w="103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68"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5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continue"/>
            <w:tcBorders>
              <w:tl2br w:val="nil"/>
              <w:tr2bl w:val="nil"/>
            </w:tcBorders>
            <w:noWrap w:val="0"/>
            <w:vAlign w:val="center"/>
          </w:tcPr>
          <w:p>
            <w:pPr>
              <w:widowControl w:val="0"/>
              <w:jc w:val="center"/>
              <w:rPr>
                <w:color w:val="auto"/>
                <w:sz w:val="20"/>
              </w:rPr>
            </w:pPr>
          </w:p>
        </w:tc>
        <w:tc>
          <w:tcPr>
            <w:tcW w:w="877" w:type="dxa"/>
            <w:tcBorders>
              <w:tl2br w:val="nil"/>
              <w:tr2bl w:val="nil"/>
            </w:tcBorders>
            <w:noWrap w:val="0"/>
            <w:vAlign w:val="center"/>
          </w:tcPr>
          <w:p>
            <w:pPr>
              <w:widowControl w:val="0"/>
              <w:jc w:val="center"/>
              <w:rPr>
                <w:rFonts w:hint="default" w:eastAsia="宋体"/>
                <w:color w:val="auto"/>
                <w:spacing w:val="-20"/>
                <w:sz w:val="20"/>
                <w:lang w:val="en-US" w:eastAsia="zh-CN"/>
              </w:rPr>
            </w:pPr>
            <w:r>
              <w:rPr>
                <w:rFonts w:hint="eastAsia"/>
                <w:color w:val="auto"/>
                <w:spacing w:val="-20"/>
                <w:sz w:val="20"/>
                <w:lang w:val="en-US" w:eastAsia="zh-CN"/>
              </w:rPr>
              <w:t>施工人员</w:t>
            </w:r>
          </w:p>
        </w:tc>
        <w:tc>
          <w:tcPr>
            <w:tcW w:w="710" w:type="dxa"/>
            <w:tcBorders>
              <w:tl2br w:val="nil"/>
              <w:tr2bl w:val="nil"/>
            </w:tcBorders>
            <w:noWrap w:val="0"/>
            <w:vAlign w:val="center"/>
          </w:tcPr>
          <w:p>
            <w:pPr>
              <w:adjustRightInd w:val="0"/>
              <w:snapToGrid w:val="0"/>
              <w:jc w:val="center"/>
              <w:rPr>
                <w:color w:val="auto"/>
                <w:sz w:val="20"/>
              </w:rPr>
            </w:pPr>
          </w:p>
        </w:tc>
        <w:tc>
          <w:tcPr>
            <w:tcW w:w="640" w:type="dxa"/>
            <w:tcBorders>
              <w:tl2br w:val="nil"/>
              <w:tr2bl w:val="nil"/>
            </w:tcBorders>
            <w:noWrap w:val="0"/>
            <w:vAlign w:val="center"/>
          </w:tcPr>
          <w:p>
            <w:pPr>
              <w:adjustRightInd w:val="0"/>
              <w:snapToGrid w:val="0"/>
              <w:jc w:val="center"/>
              <w:rPr>
                <w:color w:val="auto"/>
                <w:sz w:val="20"/>
              </w:rPr>
            </w:pPr>
          </w:p>
        </w:tc>
        <w:tc>
          <w:tcPr>
            <w:tcW w:w="61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60" w:type="dxa"/>
            <w:tcBorders>
              <w:tl2br w:val="nil"/>
              <w:tr2bl w:val="nil"/>
            </w:tcBorders>
            <w:noWrap w:val="0"/>
            <w:vAlign w:val="center"/>
          </w:tcPr>
          <w:p>
            <w:pPr>
              <w:adjustRightInd w:val="0"/>
              <w:snapToGrid w:val="0"/>
              <w:jc w:val="center"/>
              <w:rPr>
                <w:color w:val="auto"/>
                <w:sz w:val="20"/>
              </w:rPr>
            </w:pPr>
          </w:p>
        </w:tc>
        <w:tc>
          <w:tcPr>
            <w:tcW w:w="855" w:type="dxa"/>
            <w:tcBorders>
              <w:tl2br w:val="nil"/>
              <w:tr2bl w:val="nil"/>
            </w:tcBorders>
            <w:noWrap w:val="0"/>
            <w:vAlign w:val="center"/>
          </w:tcPr>
          <w:p>
            <w:pPr>
              <w:adjustRightInd w:val="0"/>
              <w:snapToGrid w:val="0"/>
              <w:jc w:val="center"/>
              <w:rPr>
                <w:color w:val="auto"/>
                <w:sz w:val="20"/>
              </w:rPr>
            </w:pPr>
          </w:p>
        </w:tc>
        <w:tc>
          <w:tcPr>
            <w:tcW w:w="675" w:type="dxa"/>
            <w:tcBorders>
              <w:tl2br w:val="nil"/>
              <w:tr2bl w:val="nil"/>
            </w:tcBorders>
            <w:noWrap w:val="0"/>
            <w:vAlign w:val="center"/>
          </w:tcPr>
          <w:p>
            <w:pPr>
              <w:adjustRightInd w:val="0"/>
              <w:snapToGrid w:val="0"/>
              <w:jc w:val="center"/>
              <w:rPr>
                <w:color w:val="auto"/>
                <w:sz w:val="20"/>
              </w:rPr>
            </w:pPr>
          </w:p>
        </w:tc>
        <w:tc>
          <w:tcPr>
            <w:tcW w:w="675" w:type="dxa"/>
            <w:tcBorders>
              <w:tl2br w:val="nil"/>
              <w:tr2bl w:val="nil"/>
            </w:tcBorders>
            <w:noWrap w:val="0"/>
            <w:vAlign w:val="center"/>
          </w:tcPr>
          <w:p>
            <w:pPr>
              <w:adjustRightInd w:val="0"/>
              <w:snapToGrid w:val="0"/>
              <w:jc w:val="center"/>
              <w:rPr>
                <w:color w:val="auto"/>
                <w:sz w:val="20"/>
              </w:rPr>
            </w:pPr>
          </w:p>
        </w:tc>
        <w:tc>
          <w:tcPr>
            <w:tcW w:w="103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68"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5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restart"/>
            <w:tcBorders>
              <w:tl2br w:val="nil"/>
              <w:tr2bl w:val="nil"/>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运营期</w:t>
            </w:r>
          </w:p>
        </w:tc>
        <w:tc>
          <w:tcPr>
            <w:tcW w:w="877" w:type="dxa"/>
            <w:tcBorders>
              <w:tl2br w:val="nil"/>
              <w:tr2bl w:val="nil"/>
            </w:tcBorders>
            <w:noWrap w:val="0"/>
            <w:vAlign w:val="center"/>
          </w:tcPr>
          <w:p>
            <w:pPr>
              <w:widowControl w:val="0"/>
              <w:jc w:val="center"/>
              <w:rPr>
                <w:rFonts w:hint="eastAsia" w:eastAsia="宋体"/>
                <w:color w:val="auto"/>
                <w:spacing w:val="-20"/>
                <w:sz w:val="20"/>
                <w:lang w:val="en-US" w:eastAsia="zh-CN"/>
              </w:rPr>
            </w:pPr>
            <w:r>
              <w:rPr>
                <w:rFonts w:hint="eastAsia"/>
                <w:color w:val="auto"/>
                <w:spacing w:val="-20"/>
                <w:sz w:val="20"/>
                <w:lang w:val="en-US" w:eastAsia="zh-CN"/>
              </w:rPr>
              <w:t>码头生产</w:t>
            </w:r>
          </w:p>
        </w:tc>
        <w:tc>
          <w:tcPr>
            <w:tcW w:w="710"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40" w:type="dxa"/>
            <w:tcBorders>
              <w:tl2br w:val="nil"/>
              <w:tr2bl w:val="nil"/>
            </w:tcBorders>
            <w:noWrap w:val="0"/>
            <w:vAlign w:val="center"/>
          </w:tcPr>
          <w:p>
            <w:pPr>
              <w:adjustRightInd w:val="0"/>
              <w:snapToGrid w:val="0"/>
              <w:jc w:val="center"/>
              <w:rPr>
                <w:color w:val="auto"/>
                <w:sz w:val="20"/>
              </w:rPr>
            </w:pPr>
          </w:p>
        </w:tc>
        <w:tc>
          <w:tcPr>
            <w:tcW w:w="61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60"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85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7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675" w:type="dxa"/>
            <w:tcBorders>
              <w:tl2br w:val="nil"/>
              <w:tr2bl w:val="nil"/>
            </w:tcBorders>
            <w:noWrap w:val="0"/>
            <w:vAlign w:val="center"/>
          </w:tcPr>
          <w:p>
            <w:pPr>
              <w:adjustRightInd w:val="0"/>
              <w:snapToGrid w:val="0"/>
              <w:jc w:val="center"/>
              <w:rPr>
                <w:color w:val="auto"/>
                <w:sz w:val="20"/>
              </w:rPr>
            </w:pPr>
          </w:p>
        </w:tc>
        <w:tc>
          <w:tcPr>
            <w:tcW w:w="103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68"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5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continue"/>
            <w:tcBorders>
              <w:tl2br w:val="nil"/>
              <w:tr2bl w:val="nil"/>
            </w:tcBorders>
            <w:noWrap w:val="0"/>
            <w:vAlign w:val="center"/>
          </w:tcPr>
          <w:p>
            <w:pPr>
              <w:widowControl w:val="0"/>
              <w:jc w:val="center"/>
              <w:rPr>
                <w:color w:val="auto"/>
                <w:sz w:val="20"/>
              </w:rPr>
            </w:pPr>
          </w:p>
        </w:tc>
        <w:tc>
          <w:tcPr>
            <w:tcW w:w="877" w:type="dxa"/>
            <w:tcBorders>
              <w:tl2br w:val="nil"/>
              <w:tr2bl w:val="nil"/>
            </w:tcBorders>
            <w:noWrap w:val="0"/>
            <w:vAlign w:val="center"/>
          </w:tcPr>
          <w:p>
            <w:pPr>
              <w:widowControl w:val="0"/>
              <w:jc w:val="center"/>
              <w:rPr>
                <w:rFonts w:hint="default" w:eastAsia="宋体"/>
                <w:color w:val="auto"/>
                <w:spacing w:val="-20"/>
                <w:sz w:val="20"/>
                <w:lang w:val="en-US" w:eastAsia="zh-CN"/>
              </w:rPr>
            </w:pPr>
            <w:r>
              <w:rPr>
                <w:rFonts w:hint="eastAsia"/>
                <w:color w:val="auto"/>
                <w:spacing w:val="-20"/>
                <w:sz w:val="20"/>
                <w:lang w:val="en-US" w:eastAsia="zh-CN"/>
              </w:rPr>
              <w:t>环境保护工程</w:t>
            </w:r>
          </w:p>
        </w:tc>
        <w:tc>
          <w:tcPr>
            <w:tcW w:w="71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4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1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6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85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r>
              <w:rPr>
                <w:rFonts w:ascii="Times New Roman"/>
                <w:snapToGrid w:val="0"/>
                <w:color w:val="auto"/>
                <w:sz w:val="21"/>
                <w:szCs w:val="21"/>
              </w:rPr>
              <w:t>+√</w:t>
            </w:r>
          </w:p>
        </w:tc>
        <w:tc>
          <w:tcPr>
            <w:tcW w:w="6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1035" w:type="dxa"/>
            <w:tcBorders>
              <w:tl2br w:val="nil"/>
              <w:tr2bl w:val="nil"/>
            </w:tcBorders>
            <w:noWrap w:val="0"/>
            <w:vAlign w:val="center"/>
          </w:tcPr>
          <w:p>
            <w:pPr>
              <w:widowControl w:val="0"/>
              <w:jc w:val="center"/>
              <w:rPr>
                <w:color w:val="auto"/>
                <w:sz w:val="20"/>
              </w:rPr>
            </w:pPr>
          </w:p>
        </w:tc>
        <w:tc>
          <w:tcPr>
            <w:tcW w:w="668"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c>
          <w:tcPr>
            <w:tcW w:w="575" w:type="dxa"/>
            <w:tcBorders>
              <w:tl2br w:val="nil"/>
              <w:tr2bl w:val="nil"/>
            </w:tcBorders>
            <w:noWrap w:val="0"/>
            <w:vAlign w:val="center"/>
          </w:tcPr>
          <w:p>
            <w:pPr>
              <w:adjustRightInd w:val="0"/>
              <w:snapToGrid w:val="0"/>
              <w:jc w:val="center"/>
              <w:rPr>
                <w:color w:val="auto"/>
                <w:sz w:val="20"/>
              </w:rPr>
            </w:pPr>
            <w:r>
              <w:rPr>
                <w:rFonts w:ascii="Times New Roman"/>
                <w:snapToGrid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3" w:type="dxa"/>
            <w:vMerge w:val="continue"/>
            <w:tcBorders>
              <w:tl2br w:val="nil"/>
              <w:tr2bl w:val="nil"/>
            </w:tcBorders>
            <w:noWrap w:val="0"/>
            <w:vAlign w:val="center"/>
          </w:tcPr>
          <w:p>
            <w:pPr>
              <w:widowControl w:val="0"/>
              <w:jc w:val="center"/>
              <w:rPr>
                <w:color w:val="auto"/>
                <w:sz w:val="20"/>
              </w:rPr>
            </w:pPr>
          </w:p>
        </w:tc>
        <w:tc>
          <w:tcPr>
            <w:tcW w:w="877" w:type="dxa"/>
            <w:tcBorders>
              <w:tl2br w:val="nil"/>
              <w:tr2bl w:val="nil"/>
            </w:tcBorders>
            <w:noWrap w:val="0"/>
            <w:vAlign w:val="center"/>
          </w:tcPr>
          <w:p>
            <w:pPr>
              <w:widowControl w:val="0"/>
              <w:jc w:val="center"/>
              <w:rPr>
                <w:rFonts w:hint="default" w:eastAsia="宋体"/>
                <w:color w:val="auto"/>
                <w:spacing w:val="-20"/>
                <w:sz w:val="20"/>
                <w:lang w:val="en-US" w:eastAsia="zh-CN"/>
              </w:rPr>
            </w:pPr>
            <w:r>
              <w:rPr>
                <w:rFonts w:hint="eastAsia"/>
                <w:color w:val="auto"/>
                <w:spacing w:val="-20"/>
                <w:sz w:val="20"/>
                <w:lang w:val="en-US" w:eastAsia="zh-CN"/>
              </w:rPr>
              <w:t>社会效益</w:t>
            </w:r>
          </w:p>
        </w:tc>
        <w:tc>
          <w:tcPr>
            <w:tcW w:w="71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4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1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60"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85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675" w:type="dxa"/>
            <w:tcBorders>
              <w:tl2br w:val="nil"/>
              <w:tr2bl w:val="nil"/>
            </w:tcBorders>
            <w:noWrap w:val="0"/>
            <w:vAlign w:val="center"/>
          </w:tcPr>
          <w:p>
            <w:pPr>
              <w:adjustRightInd w:val="0"/>
              <w:snapToGrid w:val="0"/>
              <w:jc w:val="center"/>
              <w:rPr>
                <w:rFonts w:ascii="Times New Roman"/>
                <w:snapToGrid w:val="0"/>
                <w:color w:val="auto"/>
                <w:kern w:val="2"/>
                <w:sz w:val="21"/>
                <w:szCs w:val="21"/>
                <w:lang w:val="en-US" w:eastAsia="zh-CN" w:bidi="ar-SA"/>
              </w:rPr>
            </w:pPr>
          </w:p>
        </w:tc>
        <w:tc>
          <w:tcPr>
            <w:tcW w:w="1035" w:type="dxa"/>
            <w:tcBorders>
              <w:tl2br w:val="nil"/>
              <w:tr2bl w:val="nil"/>
            </w:tcBorders>
            <w:noWrap w:val="0"/>
            <w:vAlign w:val="center"/>
          </w:tcPr>
          <w:p>
            <w:pPr>
              <w:widowControl w:val="0"/>
              <w:jc w:val="center"/>
              <w:rPr>
                <w:color w:val="auto"/>
                <w:sz w:val="20"/>
              </w:rPr>
            </w:pPr>
          </w:p>
        </w:tc>
        <w:tc>
          <w:tcPr>
            <w:tcW w:w="668" w:type="dxa"/>
            <w:tcBorders>
              <w:tl2br w:val="nil"/>
              <w:tr2bl w:val="nil"/>
            </w:tcBorders>
            <w:noWrap w:val="0"/>
            <w:vAlign w:val="center"/>
          </w:tcPr>
          <w:p>
            <w:pPr>
              <w:adjustRightInd w:val="0"/>
              <w:snapToGrid w:val="0"/>
              <w:jc w:val="center"/>
              <w:rPr>
                <w:color w:val="auto"/>
                <w:sz w:val="20"/>
              </w:rPr>
            </w:pPr>
          </w:p>
        </w:tc>
        <w:tc>
          <w:tcPr>
            <w:tcW w:w="575" w:type="dxa"/>
            <w:tcBorders>
              <w:tl2br w:val="nil"/>
              <w:tr2bl w:val="nil"/>
            </w:tcBorders>
            <w:noWrap w:val="0"/>
            <w:vAlign w:val="center"/>
          </w:tcPr>
          <w:p>
            <w:pPr>
              <w:adjustRightInd w:val="0"/>
              <w:snapToGrid w:val="0"/>
              <w:jc w:val="center"/>
              <w:rPr>
                <w:color w:val="auto"/>
                <w:sz w:val="20"/>
              </w:rPr>
            </w:pPr>
          </w:p>
        </w:tc>
      </w:tr>
    </w:tbl>
    <w:p>
      <w:pPr>
        <w:ind w:firstLine="420"/>
        <w:rPr>
          <w:rFonts w:ascii="Times New Roman"/>
          <w:snapToGrid w:val="0"/>
          <w:color w:val="auto"/>
          <w:sz w:val="18"/>
          <w:szCs w:val="18"/>
        </w:rPr>
      </w:pPr>
      <w:r>
        <w:rPr>
          <w:rFonts w:ascii="Times New Roman"/>
          <w:snapToGrid w:val="0"/>
          <w:color w:val="auto"/>
          <w:sz w:val="18"/>
          <w:szCs w:val="18"/>
        </w:rPr>
        <w:t>注：“√”有显著影响；“○”有较小影响；“空白”无显著影响；“+”正影响。“-”负影响。</w:t>
      </w:r>
    </w:p>
    <w:p>
      <w:pPr>
        <w:pStyle w:val="9"/>
        <w:widowControl w:val="0"/>
        <w:spacing w:before="120" w:after="120" w:line="360" w:lineRule="auto"/>
        <w:rPr>
          <w:rFonts w:hint="default" w:eastAsia="黑体"/>
          <w:b w:val="0"/>
          <w:color w:val="auto"/>
          <w:sz w:val="24"/>
          <w:lang w:val="en-US" w:eastAsia="zh-CN"/>
        </w:rPr>
      </w:pPr>
      <w:bookmarkStart w:id="256" w:name="_Toc7030"/>
      <w:r>
        <w:rPr>
          <w:rFonts w:eastAsia="黑体"/>
          <w:b w:val="0"/>
          <w:color w:val="auto"/>
          <w:sz w:val="24"/>
        </w:rPr>
        <w:t>1.</w:t>
      </w:r>
      <w:r>
        <w:rPr>
          <w:rFonts w:hint="eastAsia" w:eastAsia="黑体"/>
          <w:b w:val="0"/>
          <w:color w:val="auto"/>
          <w:sz w:val="24"/>
          <w:lang w:val="en-US" w:eastAsia="zh-CN"/>
        </w:rPr>
        <w:t>5</w:t>
      </w:r>
      <w:r>
        <w:rPr>
          <w:rFonts w:eastAsia="黑体"/>
          <w:b w:val="0"/>
          <w:color w:val="auto"/>
          <w:sz w:val="24"/>
        </w:rPr>
        <w:t>.</w:t>
      </w:r>
      <w:r>
        <w:rPr>
          <w:rFonts w:hint="eastAsia" w:eastAsia="黑体"/>
          <w:b w:val="0"/>
          <w:color w:val="auto"/>
          <w:sz w:val="24"/>
          <w:lang w:val="en-US" w:eastAsia="zh-CN"/>
        </w:rPr>
        <w:t>2评价因子筛选</w:t>
      </w:r>
      <w:bookmarkEnd w:id="256"/>
    </w:p>
    <w:p>
      <w:pPr>
        <w:widowControl w:val="0"/>
        <w:spacing w:line="360" w:lineRule="auto"/>
        <w:ind w:firstLine="482"/>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通过对工程的初步分析和对环境影响的识别，确定本项目环境影响评价因子见下表。</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5</w:t>
      </w:r>
      <w:r>
        <w:rPr>
          <w:rFonts w:eastAsia="黑体"/>
          <w:b/>
          <w:color w:val="auto"/>
          <w:szCs w:val="21"/>
        </w:rPr>
        <w:t>-2  拟建</w:t>
      </w:r>
      <w:r>
        <w:rPr>
          <w:rFonts w:hint="eastAsia" w:eastAsia="黑体"/>
          <w:b/>
          <w:color w:val="auto"/>
          <w:szCs w:val="21"/>
        </w:rPr>
        <w:t>项目</w:t>
      </w:r>
      <w:r>
        <w:rPr>
          <w:rFonts w:eastAsia="黑体"/>
          <w:b/>
          <w:color w:val="auto"/>
          <w:szCs w:val="21"/>
        </w:rPr>
        <w:t>主要环境影响评价因子一览表</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2280"/>
        <w:gridCol w:w="2490"/>
        <w:gridCol w:w="26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344" w:type="dxa"/>
            <w:tcBorders>
              <w:bottom w:val="single" w:color="auto" w:sz="12" w:space="0"/>
            </w:tcBorders>
            <w:noWrap w:val="0"/>
            <w:vAlign w:val="center"/>
          </w:tcPr>
          <w:p>
            <w:pPr>
              <w:widowControl w:val="0"/>
              <w:adjustRightInd w:val="0"/>
              <w:snapToGrid w:val="0"/>
              <w:jc w:val="center"/>
              <w:rPr>
                <w:bCs/>
                <w:color w:val="auto"/>
                <w:sz w:val="20"/>
              </w:rPr>
            </w:pPr>
            <w:r>
              <w:rPr>
                <w:rFonts w:hint="eastAsia"/>
                <w:bCs/>
                <w:color w:val="auto"/>
                <w:sz w:val="20"/>
              </w:rPr>
              <w:t>环境要素</w:t>
            </w:r>
          </w:p>
        </w:tc>
        <w:tc>
          <w:tcPr>
            <w:tcW w:w="2280" w:type="dxa"/>
            <w:tcBorders>
              <w:bottom w:val="single" w:color="auto" w:sz="12" w:space="0"/>
            </w:tcBorders>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环境因素</w:t>
            </w:r>
          </w:p>
        </w:tc>
        <w:tc>
          <w:tcPr>
            <w:tcW w:w="2490" w:type="dxa"/>
            <w:tcBorders>
              <w:bottom w:val="single" w:color="auto" w:sz="12" w:space="0"/>
            </w:tcBorders>
            <w:noWrap w:val="0"/>
            <w:vAlign w:val="center"/>
          </w:tcPr>
          <w:p>
            <w:pPr>
              <w:widowControl w:val="0"/>
              <w:adjustRightInd w:val="0"/>
              <w:snapToGrid w:val="0"/>
              <w:jc w:val="center"/>
              <w:rPr>
                <w:bCs/>
                <w:color w:val="auto"/>
                <w:sz w:val="20"/>
              </w:rPr>
            </w:pPr>
            <w:r>
              <w:rPr>
                <w:bCs/>
                <w:color w:val="auto"/>
                <w:sz w:val="20"/>
              </w:rPr>
              <w:t>现状因子</w:t>
            </w:r>
          </w:p>
        </w:tc>
        <w:tc>
          <w:tcPr>
            <w:tcW w:w="2637" w:type="dxa"/>
            <w:tcBorders>
              <w:bottom w:val="single" w:color="auto" w:sz="12" w:space="0"/>
            </w:tcBorders>
            <w:noWrap w:val="0"/>
            <w:vAlign w:val="center"/>
          </w:tcPr>
          <w:p>
            <w:pPr>
              <w:widowControl w:val="0"/>
              <w:adjustRightInd w:val="0"/>
              <w:snapToGrid w:val="0"/>
              <w:jc w:val="center"/>
              <w:rPr>
                <w:bCs/>
                <w:color w:val="auto"/>
                <w:sz w:val="20"/>
              </w:rPr>
            </w:pPr>
            <w:r>
              <w:rPr>
                <w:bCs/>
                <w:color w:val="auto"/>
                <w:sz w:val="20"/>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tcBorders>
              <w:top w:val="single" w:color="auto" w:sz="12" w:space="0"/>
            </w:tcBorders>
            <w:noWrap w:val="0"/>
            <w:vAlign w:val="center"/>
          </w:tcPr>
          <w:p>
            <w:pPr>
              <w:widowControl w:val="0"/>
              <w:adjustRightInd w:val="0"/>
              <w:snapToGrid w:val="0"/>
              <w:jc w:val="center"/>
              <w:rPr>
                <w:bCs/>
                <w:color w:val="auto"/>
                <w:sz w:val="20"/>
              </w:rPr>
            </w:pPr>
            <w:r>
              <w:rPr>
                <w:bCs/>
                <w:color w:val="auto"/>
                <w:sz w:val="20"/>
              </w:rPr>
              <w:t>环境空气</w:t>
            </w:r>
          </w:p>
        </w:tc>
        <w:tc>
          <w:tcPr>
            <w:tcW w:w="2280" w:type="dxa"/>
            <w:tcBorders>
              <w:top w:val="single" w:color="auto" w:sz="12" w:space="0"/>
            </w:tcBorders>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eastAsia" w:ascii="Times New Roman" w:hAnsi="Times New Roman" w:eastAsia="宋体" w:cs="Times New Roman"/>
                <w:bCs/>
                <w:color w:val="auto"/>
                <w:sz w:val="20"/>
                <w:lang w:val="en-US" w:eastAsia="zh-CN"/>
              </w:rPr>
              <w:t>装卸粉尘</w:t>
            </w:r>
            <w:r>
              <w:rPr>
                <w:rFonts w:hint="eastAsia" w:cs="Times New Roman"/>
                <w:bCs/>
                <w:color w:val="auto"/>
                <w:sz w:val="20"/>
                <w:lang w:val="en-US" w:eastAsia="zh-CN"/>
              </w:rPr>
              <w:t>、转运粉尘、</w:t>
            </w:r>
            <w:r>
              <w:rPr>
                <w:rFonts w:hint="eastAsia" w:ascii="Times New Roman" w:hAnsi="Times New Roman" w:eastAsia="宋体" w:cs="Times New Roman"/>
                <w:bCs/>
                <w:color w:val="auto"/>
                <w:sz w:val="20"/>
                <w:lang w:val="en-US" w:eastAsia="zh-CN"/>
              </w:rPr>
              <w:t>机械燃油废气</w:t>
            </w:r>
          </w:p>
        </w:tc>
        <w:tc>
          <w:tcPr>
            <w:tcW w:w="2490" w:type="dxa"/>
            <w:tcBorders>
              <w:top w:val="single" w:color="auto" w:sz="12" w:space="0"/>
            </w:tcBorders>
            <w:noWrap w:val="0"/>
            <w:vAlign w:val="center"/>
          </w:tcPr>
          <w:p>
            <w:pPr>
              <w:widowControl w:val="0"/>
              <w:adjustRightInd w:val="0"/>
              <w:snapToGrid w:val="0"/>
              <w:jc w:val="center"/>
              <w:rPr>
                <w:rFonts w:hint="default" w:eastAsia="宋体"/>
                <w:color w:val="auto"/>
                <w:spacing w:val="6"/>
                <w:sz w:val="20"/>
                <w:lang w:val="en-US" w:eastAsia="zh-CN"/>
              </w:rPr>
            </w:pPr>
            <w:r>
              <w:rPr>
                <w:color w:val="auto"/>
                <w:spacing w:val="6"/>
                <w:sz w:val="20"/>
              </w:rPr>
              <w:t>SO</w:t>
            </w:r>
            <w:r>
              <w:rPr>
                <w:color w:val="auto"/>
                <w:spacing w:val="6"/>
                <w:sz w:val="20"/>
                <w:vertAlign w:val="subscript"/>
              </w:rPr>
              <w:t>2</w:t>
            </w:r>
            <w:r>
              <w:rPr>
                <w:color w:val="auto"/>
                <w:spacing w:val="6"/>
                <w:sz w:val="20"/>
              </w:rPr>
              <w:t>、NO</w:t>
            </w:r>
            <w:r>
              <w:rPr>
                <w:color w:val="auto"/>
                <w:spacing w:val="6"/>
                <w:sz w:val="20"/>
                <w:vertAlign w:val="subscript"/>
              </w:rPr>
              <w:t>2</w:t>
            </w:r>
            <w:r>
              <w:rPr>
                <w:color w:val="auto"/>
                <w:spacing w:val="6"/>
                <w:sz w:val="20"/>
              </w:rPr>
              <w:t>、CO、O</w:t>
            </w:r>
            <w:r>
              <w:rPr>
                <w:color w:val="auto"/>
                <w:spacing w:val="6"/>
                <w:sz w:val="20"/>
                <w:vertAlign w:val="subscript"/>
              </w:rPr>
              <w:t>3</w:t>
            </w:r>
            <w:r>
              <w:rPr>
                <w:color w:val="auto"/>
                <w:spacing w:val="6"/>
                <w:sz w:val="20"/>
              </w:rPr>
              <w:t>、PM</w:t>
            </w:r>
            <w:r>
              <w:rPr>
                <w:color w:val="auto"/>
                <w:spacing w:val="6"/>
                <w:sz w:val="20"/>
                <w:vertAlign w:val="subscript"/>
              </w:rPr>
              <w:t>10</w:t>
            </w:r>
            <w:r>
              <w:rPr>
                <w:color w:val="auto"/>
                <w:spacing w:val="6"/>
                <w:sz w:val="20"/>
              </w:rPr>
              <w:t>、PM</w:t>
            </w:r>
            <w:r>
              <w:rPr>
                <w:color w:val="auto"/>
                <w:spacing w:val="6"/>
                <w:sz w:val="20"/>
                <w:vertAlign w:val="subscript"/>
              </w:rPr>
              <w:t>2.5</w:t>
            </w:r>
            <w:r>
              <w:rPr>
                <w:color w:val="auto"/>
                <w:spacing w:val="6"/>
                <w:sz w:val="20"/>
              </w:rPr>
              <w:t>、</w:t>
            </w:r>
            <w:r>
              <w:rPr>
                <w:rFonts w:hint="eastAsia"/>
                <w:color w:val="auto"/>
                <w:spacing w:val="6"/>
                <w:sz w:val="20"/>
                <w:lang w:val="en-US" w:eastAsia="zh-CN"/>
              </w:rPr>
              <w:t>TSP</w:t>
            </w:r>
          </w:p>
        </w:tc>
        <w:tc>
          <w:tcPr>
            <w:tcW w:w="2637" w:type="dxa"/>
            <w:tcBorders>
              <w:top w:val="single" w:color="auto" w:sz="12" w:space="0"/>
            </w:tcBorders>
            <w:noWrap w:val="0"/>
            <w:vAlign w:val="center"/>
          </w:tcPr>
          <w:p>
            <w:pPr>
              <w:widowControl w:val="0"/>
              <w:adjustRightInd w:val="0"/>
              <w:snapToGrid w:val="0"/>
              <w:jc w:val="center"/>
              <w:rPr>
                <w:bCs/>
                <w:color w:val="auto"/>
                <w:sz w:val="20"/>
              </w:rPr>
            </w:pPr>
            <w:r>
              <w:rPr>
                <w:rFonts w:hint="eastAsia"/>
                <w:bCs/>
                <w:color w:val="auto"/>
                <w:sz w:val="20"/>
              </w:rPr>
              <w:t>TSP、PM</w:t>
            </w:r>
            <w:r>
              <w:rPr>
                <w:rFonts w:hint="eastAsia"/>
                <w:bCs/>
                <w:color w:val="auto"/>
                <w:sz w:val="20"/>
                <w:vertAlign w:val="subscript"/>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noWrap w:val="0"/>
            <w:vAlign w:val="center"/>
          </w:tcPr>
          <w:p>
            <w:pPr>
              <w:widowControl w:val="0"/>
              <w:adjustRightInd w:val="0"/>
              <w:snapToGrid w:val="0"/>
              <w:jc w:val="center"/>
              <w:rPr>
                <w:rFonts w:hint="eastAsia" w:eastAsia="宋体"/>
                <w:bCs/>
                <w:color w:val="auto"/>
                <w:sz w:val="20"/>
                <w:lang w:eastAsia="zh-CN"/>
              </w:rPr>
            </w:pPr>
            <w:r>
              <w:rPr>
                <w:rFonts w:hint="eastAsia"/>
                <w:bCs/>
                <w:color w:val="auto"/>
                <w:sz w:val="20"/>
                <w:lang w:val="en-US" w:eastAsia="zh-CN"/>
              </w:rPr>
              <w:t>水环境</w:t>
            </w:r>
          </w:p>
        </w:tc>
        <w:tc>
          <w:tcPr>
            <w:tcW w:w="2280" w:type="dxa"/>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eastAsia" w:ascii="Times New Roman" w:hAnsi="Times New Roman" w:eastAsia="宋体" w:cs="Times New Roman"/>
                <w:bCs/>
                <w:color w:val="auto"/>
                <w:sz w:val="20"/>
                <w:lang w:val="en-US" w:eastAsia="zh-CN"/>
              </w:rPr>
              <w:t>生活</w:t>
            </w:r>
            <w:r>
              <w:rPr>
                <w:rFonts w:hint="eastAsia" w:cs="Times New Roman"/>
                <w:bCs/>
                <w:color w:val="auto"/>
                <w:sz w:val="20"/>
                <w:lang w:val="en-US" w:eastAsia="zh-CN"/>
              </w:rPr>
              <w:t>污水、码头冲洗废水、码头面初期雨水</w:t>
            </w:r>
          </w:p>
        </w:tc>
        <w:tc>
          <w:tcPr>
            <w:tcW w:w="2490" w:type="dxa"/>
            <w:noWrap w:val="0"/>
            <w:vAlign w:val="center"/>
          </w:tcPr>
          <w:p>
            <w:pPr>
              <w:widowControl w:val="0"/>
              <w:adjustRightInd w:val="0"/>
              <w:snapToGrid w:val="0"/>
              <w:jc w:val="center"/>
              <w:rPr>
                <w:rFonts w:hint="eastAsia"/>
                <w:color w:val="auto"/>
                <w:spacing w:val="6"/>
                <w:sz w:val="20"/>
              </w:rPr>
            </w:pPr>
            <w:r>
              <w:rPr>
                <w:rFonts w:hint="eastAsia"/>
                <w:color w:val="auto"/>
                <w:spacing w:val="6"/>
                <w:sz w:val="20"/>
              </w:rPr>
              <w:t>悬浮物、COD，氨氮、石油类等</w:t>
            </w:r>
          </w:p>
        </w:tc>
        <w:tc>
          <w:tcPr>
            <w:tcW w:w="2637" w:type="dxa"/>
            <w:noWrap w:val="0"/>
            <w:vAlign w:val="center"/>
          </w:tcPr>
          <w:p>
            <w:pPr>
              <w:widowControl w:val="0"/>
              <w:adjustRightInd w:val="0"/>
              <w:snapToGrid w:val="0"/>
              <w:jc w:val="center"/>
              <w:rPr>
                <w:bCs/>
                <w:color w:val="auto"/>
                <w:sz w:val="20"/>
              </w:rPr>
            </w:pPr>
            <w:r>
              <w:rPr>
                <w:rFonts w:hint="eastAsia"/>
                <w:color w:val="auto"/>
                <w:spacing w:val="6"/>
                <w:sz w:val="20"/>
              </w:rPr>
              <w:t>悬浮物、COD，氨氮、石油类等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noWrap w:val="0"/>
            <w:vAlign w:val="center"/>
          </w:tcPr>
          <w:p>
            <w:pPr>
              <w:widowControl w:val="0"/>
              <w:adjustRightInd w:val="0"/>
              <w:snapToGrid w:val="0"/>
              <w:jc w:val="center"/>
              <w:rPr>
                <w:bCs/>
                <w:color w:val="auto"/>
                <w:kern w:val="2"/>
                <w:sz w:val="20"/>
                <w:lang w:val="en-US" w:eastAsia="zh-CN" w:bidi="ar-SA"/>
              </w:rPr>
            </w:pPr>
            <w:r>
              <w:rPr>
                <w:bCs/>
                <w:color w:val="auto"/>
                <w:sz w:val="20"/>
              </w:rPr>
              <w:t>声环境</w:t>
            </w:r>
          </w:p>
        </w:tc>
        <w:tc>
          <w:tcPr>
            <w:tcW w:w="2280" w:type="dxa"/>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eastAsia" w:ascii="Times New Roman" w:hAnsi="Times New Roman" w:eastAsia="宋体" w:cs="Times New Roman"/>
                <w:bCs/>
                <w:color w:val="auto"/>
                <w:sz w:val="20"/>
                <w:lang w:val="en-US" w:eastAsia="zh-CN"/>
              </w:rPr>
              <w:t>交通噪声、机械噪声</w:t>
            </w:r>
          </w:p>
        </w:tc>
        <w:tc>
          <w:tcPr>
            <w:tcW w:w="2490" w:type="dxa"/>
            <w:noWrap w:val="0"/>
            <w:vAlign w:val="center"/>
          </w:tcPr>
          <w:p>
            <w:pPr>
              <w:widowControl w:val="0"/>
              <w:adjustRightInd w:val="0"/>
              <w:snapToGrid w:val="0"/>
              <w:jc w:val="center"/>
              <w:rPr>
                <w:color w:val="auto"/>
                <w:spacing w:val="6"/>
                <w:sz w:val="20"/>
              </w:rPr>
            </w:pPr>
            <w:r>
              <w:rPr>
                <w:rFonts w:hint="eastAsia"/>
                <w:color w:val="auto"/>
                <w:spacing w:val="6"/>
                <w:sz w:val="20"/>
              </w:rPr>
              <w:t>交通噪声、机械噪声</w:t>
            </w:r>
          </w:p>
        </w:tc>
        <w:tc>
          <w:tcPr>
            <w:tcW w:w="2637" w:type="dxa"/>
            <w:noWrap w:val="0"/>
            <w:vAlign w:val="center"/>
          </w:tcPr>
          <w:p>
            <w:pPr>
              <w:widowControl w:val="0"/>
              <w:adjustRightInd w:val="0"/>
              <w:snapToGrid w:val="0"/>
              <w:jc w:val="center"/>
              <w:rPr>
                <w:color w:val="auto"/>
                <w:spacing w:val="6"/>
                <w:sz w:val="20"/>
              </w:rPr>
            </w:pPr>
            <w:r>
              <w:rPr>
                <w:rFonts w:hint="eastAsia"/>
                <w:color w:val="auto"/>
                <w:spacing w:val="6"/>
                <w:sz w:val="20"/>
              </w:rPr>
              <w:t>等效A声级dB（A）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noWrap w:val="0"/>
            <w:vAlign w:val="center"/>
          </w:tcPr>
          <w:p>
            <w:pPr>
              <w:widowControl w:val="0"/>
              <w:adjustRightInd w:val="0"/>
              <w:snapToGrid w:val="0"/>
              <w:jc w:val="center"/>
              <w:rPr>
                <w:rFonts w:hint="eastAsia" w:eastAsia="宋体"/>
                <w:bCs/>
                <w:color w:val="auto"/>
                <w:sz w:val="20"/>
                <w:lang w:eastAsia="zh-CN"/>
              </w:rPr>
            </w:pPr>
            <w:r>
              <w:rPr>
                <w:rFonts w:hint="eastAsia"/>
                <w:bCs/>
                <w:color w:val="auto"/>
                <w:sz w:val="20"/>
                <w:lang w:val="en-US" w:eastAsia="zh-CN"/>
              </w:rPr>
              <w:t>固体废物</w:t>
            </w:r>
          </w:p>
        </w:tc>
        <w:tc>
          <w:tcPr>
            <w:tcW w:w="2280" w:type="dxa"/>
            <w:noWrap w:val="0"/>
            <w:vAlign w:val="center"/>
          </w:tcPr>
          <w:p>
            <w:pPr>
              <w:widowControl w:val="0"/>
              <w:adjustRightInd w:val="0"/>
              <w:snapToGrid w:val="0"/>
              <w:jc w:val="center"/>
              <w:rPr>
                <w:rFonts w:ascii="Times New Roman" w:hAnsi="Times New Roman" w:eastAsia="宋体" w:cs="Times New Roman"/>
                <w:bCs/>
                <w:color w:val="auto"/>
                <w:sz w:val="20"/>
              </w:rPr>
            </w:pPr>
            <w:r>
              <w:rPr>
                <w:rFonts w:hint="eastAsia" w:ascii="Times New Roman" w:hAnsi="Times New Roman" w:eastAsia="宋体" w:cs="Times New Roman"/>
                <w:bCs/>
                <w:color w:val="auto"/>
                <w:sz w:val="20"/>
              </w:rPr>
              <w:t>船舶垃圾、机修废油</w:t>
            </w:r>
          </w:p>
        </w:tc>
        <w:tc>
          <w:tcPr>
            <w:tcW w:w="2490" w:type="dxa"/>
            <w:noWrap w:val="0"/>
            <w:vAlign w:val="center"/>
          </w:tcPr>
          <w:p>
            <w:pPr>
              <w:widowControl w:val="0"/>
              <w:adjustRightInd w:val="0"/>
              <w:snapToGrid w:val="0"/>
              <w:jc w:val="center"/>
              <w:rPr>
                <w:rFonts w:hint="eastAsia" w:eastAsia="宋体"/>
                <w:color w:val="auto"/>
                <w:spacing w:val="6"/>
                <w:sz w:val="20"/>
                <w:lang w:eastAsia="zh-CN"/>
              </w:rPr>
            </w:pPr>
            <w:r>
              <w:rPr>
                <w:rFonts w:hint="eastAsia"/>
                <w:color w:val="auto"/>
                <w:spacing w:val="6"/>
                <w:sz w:val="20"/>
                <w:lang w:val="en-US" w:eastAsia="zh-CN"/>
              </w:rPr>
              <w:t>/</w:t>
            </w:r>
          </w:p>
        </w:tc>
        <w:tc>
          <w:tcPr>
            <w:tcW w:w="2637" w:type="dxa"/>
            <w:noWrap w:val="0"/>
            <w:vAlign w:val="center"/>
          </w:tcPr>
          <w:p>
            <w:pPr>
              <w:widowControl w:val="0"/>
              <w:adjustRightInd w:val="0"/>
              <w:snapToGrid w:val="0"/>
              <w:jc w:val="center"/>
              <w:rPr>
                <w:bCs/>
                <w:color w:val="auto"/>
                <w:sz w:val="20"/>
              </w:rPr>
            </w:pPr>
            <w:r>
              <w:rPr>
                <w:rFonts w:hint="eastAsia"/>
                <w:color w:val="auto"/>
                <w:sz w:val="20"/>
              </w:rPr>
              <w:t>产生量、处置量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noWrap w:val="0"/>
            <w:vAlign w:val="center"/>
          </w:tcPr>
          <w:p>
            <w:pPr>
              <w:widowControl w:val="0"/>
              <w:adjustRightInd w:val="0"/>
              <w:snapToGrid w:val="0"/>
              <w:jc w:val="center"/>
              <w:rPr>
                <w:rFonts w:hint="eastAsia" w:eastAsia="宋体"/>
                <w:bCs/>
                <w:color w:val="auto"/>
                <w:sz w:val="20"/>
                <w:lang w:val="en-US" w:eastAsia="zh-CN"/>
              </w:rPr>
            </w:pPr>
            <w:r>
              <w:rPr>
                <w:rFonts w:hint="eastAsia"/>
                <w:bCs/>
                <w:color w:val="auto"/>
                <w:sz w:val="20"/>
                <w:lang w:val="en-US" w:eastAsia="zh-CN"/>
              </w:rPr>
              <w:t>生态环境</w:t>
            </w:r>
          </w:p>
        </w:tc>
        <w:tc>
          <w:tcPr>
            <w:tcW w:w="2280" w:type="dxa"/>
            <w:noWrap w:val="0"/>
            <w:vAlign w:val="center"/>
          </w:tcPr>
          <w:p>
            <w:pPr>
              <w:widowControl w:val="0"/>
              <w:adjustRightInd w:val="0"/>
              <w:snapToGrid w:val="0"/>
              <w:jc w:val="center"/>
              <w:rPr>
                <w:rFonts w:hint="eastAsia" w:ascii="Times New Roman" w:hAnsi="Times New Roman" w:eastAsia="宋体" w:cs="Times New Roman"/>
                <w:bCs/>
                <w:color w:val="auto"/>
                <w:sz w:val="20"/>
              </w:rPr>
            </w:pPr>
            <w:r>
              <w:rPr>
                <w:rFonts w:hint="eastAsia" w:ascii="Times New Roman" w:hAnsi="Times New Roman" w:eastAsia="宋体" w:cs="Times New Roman"/>
                <w:bCs/>
                <w:color w:val="auto"/>
                <w:sz w:val="20"/>
              </w:rPr>
              <w:t>对岸线及水文情势影响</w:t>
            </w:r>
          </w:p>
        </w:tc>
        <w:tc>
          <w:tcPr>
            <w:tcW w:w="2490" w:type="dxa"/>
            <w:noWrap w:val="0"/>
            <w:vAlign w:val="center"/>
          </w:tcPr>
          <w:p>
            <w:pPr>
              <w:widowControl w:val="0"/>
              <w:adjustRightInd w:val="0"/>
              <w:snapToGrid w:val="0"/>
              <w:jc w:val="center"/>
              <w:rPr>
                <w:color w:val="auto"/>
                <w:spacing w:val="6"/>
                <w:sz w:val="20"/>
              </w:rPr>
            </w:pPr>
            <w:r>
              <w:rPr>
                <w:rFonts w:hint="eastAsia"/>
                <w:color w:val="auto"/>
                <w:spacing w:val="6"/>
                <w:sz w:val="20"/>
              </w:rPr>
              <w:t>水生生态、渔业资源</w:t>
            </w:r>
          </w:p>
        </w:tc>
        <w:tc>
          <w:tcPr>
            <w:tcW w:w="2637" w:type="dxa"/>
            <w:noWrap w:val="0"/>
            <w:vAlign w:val="center"/>
          </w:tcPr>
          <w:p>
            <w:pPr>
              <w:widowControl w:val="0"/>
              <w:adjustRightInd w:val="0"/>
              <w:snapToGrid w:val="0"/>
              <w:jc w:val="center"/>
              <w:rPr>
                <w:color w:val="auto"/>
                <w:sz w:val="20"/>
              </w:rPr>
            </w:pPr>
            <w:r>
              <w:rPr>
                <w:rFonts w:hint="eastAsia"/>
                <w:color w:val="auto"/>
                <w:sz w:val="20"/>
              </w:rPr>
              <w:t>水生生态、渔业资源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4" w:type="dxa"/>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突发事故</w:t>
            </w:r>
          </w:p>
        </w:tc>
        <w:tc>
          <w:tcPr>
            <w:tcW w:w="2280" w:type="dxa"/>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eastAsia" w:ascii="Times New Roman" w:hAnsi="Times New Roman" w:eastAsia="宋体" w:cs="Times New Roman"/>
                <w:bCs/>
                <w:color w:val="auto"/>
                <w:sz w:val="20"/>
                <w:lang w:val="en-US" w:eastAsia="zh-CN"/>
              </w:rPr>
              <w:t>溢油事故</w:t>
            </w:r>
          </w:p>
        </w:tc>
        <w:tc>
          <w:tcPr>
            <w:tcW w:w="2490" w:type="dxa"/>
            <w:noWrap w:val="0"/>
            <w:vAlign w:val="center"/>
          </w:tcPr>
          <w:p>
            <w:pPr>
              <w:widowControl w:val="0"/>
              <w:adjustRightInd w:val="0"/>
              <w:snapToGrid w:val="0"/>
              <w:jc w:val="center"/>
              <w:rPr>
                <w:rFonts w:hint="eastAsia" w:eastAsia="宋体"/>
                <w:color w:val="auto"/>
                <w:spacing w:val="6"/>
                <w:sz w:val="20"/>
                <w:lang w:val="en-US" w:eastAsia="zh-CN"/>
              </w:rPr>
            </w:pPr>
            <w:r>
              <w:rPr>
                <w:rFonts w:hint="eastAsia"/>
                <w:color w:val="auto"/>
                <w:spacing w:val="6"/>
                <w:sz w:val="20"/>
                <w:lang w:val="en-US" w:eastAsia="zh-CN"/>
              </w:rPr>
              <w:t>/</w:t>
            </w:r>
          </w:p>
        </w:tc>
        <w:tc>
          <w:tcPr>
            <w:tcW w:w="2637"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z w:val="20"/>
              </w:rPr>
              <w:t>石油</w:t>
            </w:r>
            <w:r>
              <w:rPr>
                <w:rFonts w:hint="eastAsia"/>
                <w:color w:val="auto"/>
                <w:sz w:val="20"/>
                <w:lang w:val="en-US" w:eastAsia="zh-CN"/>
              </w:rPr>
              <w:t>类</w:t>
            </w:r>
          </w:p>
        </w:tc>
      </w:tr>
      <w:bookmarkEnd w:id="254"/>
    </w:tbl>
    <w:p>
      <w:pPr>
        <w:widowControl w:val="0"/>
        <w:spacing w:line="360" w:lineRule="auto"/>
        <w:ind w:firstLine="480" w:firstLineChars="200"/>
        <w:rPr>
          <w:rFonts w:hint="eastAsia" w:eastAsia="仿宋_GB2312"/>
          <w:color w:val="auto"/>
          <w:sz w:val="24"/>
          <w:lang w:eastAsia="zh-CN"/>
        </w:rPr>
      </w:pPr>
      <w:bookmarkStart w:id="257" w:name="_Toc169487704"/>
      <w:bookmarkStart w:id="258" w:name="_Toc147565780"/>
      <w:bookmarkStart w:id="259" w:name="_Toc172600084"/>
      <w:r>
        <w:rPr>
          <w:rFonts w:hint="eastAsia" w:eastAsia="仿宋_GB2312"/>
          <w:color w:val="auto"/>
          <w:sz w:val="24"/>
        </w:rPr>
        <w:t>本项目不涉及国家公园、自然保护区、自然公园等自然保护地、世界自然遗产、生态保护红线等区域；项目</w:t>
      </w:r>
      <w:r>
        <w:rPr>
          <w:rFonts w:hint="eastAsia" w:eastAsia="仿宋_GB2312"/>
          <w:color w:val="auto"/>
          <w:sz w:val="24"/>
          <w:lang w:val="en-US" w:eastAsia="zh-CN"/>
        </w:rPr>
        <w:t>技改</w:t>
      </w:r>
      <w:r>
        <w:rPr>
          <w:rFonts w:hint="eastAsia" w:eastAsia="仿宋_GB2312"/>
          <w:color w:val="auto"/>
          <w:sz w:val="24"/>
        </w:rPr>
        <w:t>码头所在江段是其下游四大家鱼等鱼类上溯产卵的洄游通道，是江海洄游水生动物中华鲟、江豚等的洄游通道，但现有码头位于近岸不占用洄游通道。本项目生态影响评价因子筛选具体内容见下表</w:t>
      </w:r>
      <w:r>
        <w:rPr>
          <w:rFonts w:hint="eastAsia" w:eastAsia="仿宋_GB2312"/>
          <w:color w:val="auto"/>
          <w:sz w:val="24"/>
          <w:lang w:eastAsia="zh-CN"/>
        </w:rPr>
        <w:t>。</w:t>
      </w:r>
    </w:p>
    <w:p>
      <w:pPr>
        <w:widowControl w:val="0"/>
        <w:spacing w:line="360" w:lineRule="auto"/>
        <w:jc w:val="center"/>
        <w:rPr>
          <w:rFonts w:eastAsia="黑体"/>
          <w:b/>
          <w:color w:val="auto"/>
          <w:szCs w:val="21"/>
        </w:rPr>
      </w:pPr>
      <w:r>
        <w:rPr>
          <w:rFonts w:eastAsia="黑体"/>
          <w:b/>
          <w:color w:val="auto"/>
          <w:szCs w:val="21"/>
        </w:rPr>
        <w:t>表1.</w:t>
      </w:r>
      <w:r>
        <w:rPr>
          <w:rFonts w:hint="eastAsia" w:eastAsia="黑体"/>
          <w:b/>
          <w:color w:val="auto"/>
          <w:szCs w:val="21"/>
          <w:lang w:val="en-US" w:eastAsia="zh-CN"/>
        </w:rPr>
        <w:t>5</w:t>
      </w:r>
      <w:r>
        <w:rPr>
          <w:rFonts w:eastAsia="黑体"/>
          <w:b/>
          <w:color w:val="auto"/>
          <w:szCs w:val="21"/>
        </w:rPr>
        <w:t>-</w:t>
      </w:r>
      <w:r>
        <w:rPr>
          <w:rFonts w:hint="eastAsia" w:eastAsia="黑体"/>
          <w:b/>
          <w:color w:val="auto"/>
          <w:szCs w:val="21"/>
          <w:lang w:val="en-US" w:eastAsia="zh-CN"/>
        </w:rPr>
        <w:t>3</w:t>
      </w:r>
      <w:r>
        <w:rPr>
          <w:rFonts w:eastAsia="黑体"/>
          <w:b/>
          <w:color w:val="auto"/>
          <w:szCs w:val="21"/>
        </w:rPr>
        <w:t xml:space="preserve">  拟建</w:t>
      </w:r>
      <w:r>
        <w:rPr>
          <w:rFonts w:hint="eastAsia" w:eastAsia="黑体"/>
          <w:b/>
          <w:color w:val="auto"/>
          <w:szCs w:val="21"/>
        </w:rPr>
        <w:t>项目</w:t>
      </w:r>
      <w:r>
        <w:rPr>
          <w:rFonts w:hint="eastAsia" w:eastAsia="黑体"/>
          <w:b/>
          <w:color w:val="auto"/>
          <w:szCs w:val="21"/>
          <w:lang w:val="en-US" w:eastAsia="zh-CN"/>
        </w:rPr>
        <w:t>生态影响评价因子筛选</w:t>
      </w:r>
      <w:r>
        <w:rPr>
          <w:rFonts w:eastAsia="黑体"/>
          <w:b/>
          <w:color w:val="auto"/>
          <w:szCs w:val="21"/>
        </w:rPr>
        <w:t>表</w:t>
      </w:r>
    </w:p>
    <w:tbl>
      <w:tblPr>
        <w:tblStyle w:val="92"/>
        <w:tblW w:w="875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463"/>
        <w:gridCol w:w="2085"/>
        <w:gridCol w:w="1912"/>
        <w:gridCol w:w="1365"/>
        <w:gridCol w:w="1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tcBorders>
              <w:bottom w:val="single" w:color="auto" w:sz="12" w:space="0"/>
            </w:tcBorders>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受影响对象</w:t>
            </w:r>
          </w:p>
        </w:tc>
        <w:tc>
          <w:tcPr>
            <w:tcW w:w="1463" w:type="dxa"/>
            <w:tcBorders>
              <w:bottom w:val="single" w:color="auto" w:sz="12" w:space="0"/>
            </w:tcBorders>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评价因子</w:t>
            </w:r>
          </w:p>
        </w:tc>
        <w:tc>
          <w:tcPr>
            <w:tcW w:w="2085" w:type="dxa"/>
            <w:tcBorders>
              <w:bottom w:val="single" w:color="auto" w:sz="12" w:space="0"/>
            </w:tcBorders>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工程内容</w:t>
            </w:r>
          </w:p>
        </w:tc>
        <w:tc>
          <w:tcPr>
            <w:tcW w:w="1912" w:type="dxa"/>
            <w:tcBorders>
              <w:bottom w:val="single" w:color="auto" w:sz="12" w:space="0"/>
            </w:tcBorders>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影响方式</w:t>
            </w:r>
          </w:p>
        </w:tc>
        <w:tc>
          <w:tcPr>
            <w:tcW w:w="1365" w:type="dxa"/>
            <w:tcBorders>
              <w:bottom w:val="single" w:color="auto" w:sz="12" w:space="0"/>
            </w:tcBorders>
            <w:noWrap w:val="0"/>
            <w:vAlign w:val="center"/>
          </w:tcPr>
          <w:p>
            <w:pPr>
              <w:widowControl w:val="0"/>
              <w:adjustRightInd w:val="0"/>
              <w:snapToGrid w:val="0"/>
              <w:jc w:val="center"/>
              <w:rPr>
                <w:rFonts w:hint="eastAsia" w:eastAsia="宋体"/>
                <w:bCs/>
                <w:color w:val="auto"/>
                <w:sz w:val="20"/>
                <w:lang w:val="en-US" w:eastAsia="zh-CN"/>
              </w:rPr>
            </w:pPr>
            <w:r>
              <w:rPr>
                <w:rFonts w:hint="eastAsia"/>
                <w:bCs/>
                <w:color w:val="auto"/>
                <w:sz w:val="20"/>
                <w:lang w:val="en-US" w:eastAsia="zh-CN"/>
              </w:rPr>
              <w:t>影响性质</w:t>
            </w:r>
          </w:p>
        </w:tc>
        <w:tc>
          <w:tcPr>
            <w:tcW w:w="1025" w:type="dxa"/>
            <w:tcBorders>
              <w:bottom w:val="single" w:color="auto" w:sz="12" w:space="0"/>
            </w:tcBorders>
            <w:noWrap w:val="0"/>
            <w:vAlign w:val="center"/>
          </w:tcPr>
          <w:p>
            <w:pPr>
              <w:widowControl w:val="0"/>
              <w:adjustRightInd w:val="0"/>
              <w:snapToGrid w:val="0"/>
              <w:jc w:val="center"/>
              <w:rPr>
                <w:rFonts w:hint="eastAsia" w:eastAsia="宋体"/>
                <w:bCs/>
                <w:color w:val="auto"/>
                <w:sz w:val="20"/>
                <w:lang w:val="en-US" w:eastAsia="zh-CN"/>
              </w:rPr>
            </w:pPr>
            <w:r>
              <w:rPr>
                <w:rFonts w:hint="eastAsia"/>
                <w:bCs/>
                <w:color w:val="auto"/>
                <w:sz w:val="20"/>
                <w:lang w:val="en-US" w:eastAsia="zh-CN"/>
              </w:rPr>
              <w:t>影响程度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tcBorders>
              <w:top w:val="single" w:color="auto" w:sz="12" w:space="0"/>
            </w:tcBorders>
            <w:noWrap w:val="0"/>
            <w:vAlign w:val="center"/>
          </w:tcPr>
          <w:p>
            <w:pPr>
              <w:widowControl w:val="0"/>
              <w:adjustRightInd w:val="0"/>
              <w:snapToGrid w:val="0"/>
              <w:jc w:val="center"/>
              <w:rPr>
                <w:rFonts w:hint="eastAsia" w:eastAsia="宋体"/>
                <w:bCs/>
                <w:color w:val="auto"/>
                <w:sz w:val="20"/>
                <w:lang w:val="en-US" w:eastAsia="zh-CN"/>
              </w:rPr>
            </w:pPr>
            <w:r>
              <w:rPr>
                <w:rFonts w:hint="eastAsia"/>
                <w:bCs/>
                <w:color w:val="auto"/>
                <w:sz w:val="20"/>
                <w:lang w:val="en-US" w:eastAsia="zh-CN"/>
              </w:rPr>
              <w:t>物种</w:t>
            </w:r>
          </w:p>
        </w:tc>
        <w:tc>
          <w:tcPr>
            <w:tcW w:w="1463" w:type="dxa"/>
            <w:vMerge w:val="restart"/>
            <w:tcBorders>
              <w:top w:val="single" w:color="auto" w:sz="12" w:space="0"/>
            </w:tcBorders>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default" w:ascii="Times New Roman" w:hAnsi="Times New Roman" w:eastAsia="宋体" w:cs="Times New Roman"/>
                <w:bCs/>
                <w:color w:val="auto"/>
                <w:sz w:val="20"/>
                <w:lang w:val="en-US" w:eastAsia="zh-CN"/>
              </w:rPr>
              <w:t>分布范围、种群数量、种群结构、行为等</w:t>
            </w:r>
          </w:p>
        </w:tc>
        <w:tc>
          <w:tcPr>
            <w:tcW w:w="2085" w:type="dxa"/>
            <w:tcBorders>
              <w:top w:val="single" w:color="auto" w:sz="12" w:space="0"/>
            </w:tcBorders>
            <w:noWrap w:val="0"/>
            <w:vAlign w:val="center"/>
          </w:tcPr>
          <w:p>
            <w:pPr>
              <w:widowControl w:val="0"/>
              <w:adjustRightInd w:val="0"/>
              <w:snapToGrid w:val="0"/>
              <w:jc w:val="center"/>
              <w:rPr>
                <w:rFonts w:hint="default" w:eastAsia="宋体"/>
                <w:color w:val="auto"/>
                <w:spacing w:val="6"/>
                <w:sz w:val="20"/>
                <w:lang w:val="en-US" w:eastAsia="zh-CN"/>
              </w:rPr>
            </w:pPr>
            <w:r>
              <w:rPr>
                <w:rFonts w:hint="eastAsia"/>
                <w:color w:val="auto"/>
                <w:spacing w:val="6"/>
                <w:sz w:val="20"/>
                <w:lang w:val="en-US" w:eastAsia="zh-CN"/>
              </w:rPr>
              <w:t>墩台及引桥施工</w:t>
            </w:r>
          </w:p>
        </w:tc>
        <w:tc>
          <w:tcPr>
            <w:tcW w:w="1912" w:type="dxa"/>
            <w:tcBorders>
              <w:top w:val="single" w:color="auto" w:sz="12" w:space="0"/>
            </w:tcBorders>
            <w:noWrap w:val="0"/>
            <w:vAlign w:val="center"/>
          </w:tcPr>
          <w:p>
            <w:pPr>
              <w:widowControl w:val="0"/>
              <w:adjustRightInd w:val="0"/>
              <w:snapToGrid w:val="0"/>
              <w:jc w:val="center"/>
              <w:rPr>
                <w:bCs/>
                <w:color w:val="auto"/>
                <w:sz w:val="20"/>
              </w:rPr>
            </w:pPr>
            <w:r>
              <w:rPr>
                <w:rFonts w:hint="eastAsia"/>
                <w:bCs/>
                <w:color w:val="auto"/>
                <w:sz w:val="20"/>
              </w:rPr>
              <w:t>间接影响</w:t>
            </w:r>
          </w:p>
        </w:tc>
        <w:tc>
          <w:tcPr>
            <w:tcW w:w="1365" w:type="dxa"/>
            <w:tcBorders>
              <w:top w:val="single" w:color="auto" w:sz="12" w:space="0"/>
            </w:tcBorders>
            <w:noWrap w:val="0"/>
            <w:vAlign w:val="center"/>
          </w:tcPr>
          <w:p>
            <w:pPr>
              <w:widowControl w:val="0"/>
              <w:adjustRightInd w:val="0"/>
              <w:snapToGrid w:val="0"/>
              <w:jc w:val="center"/>
              <w:rPr>
                <w:bCs/>
                <w:color w:val="auto"/>
                <w:sz w:val="20"/>
              </w:rPr>
            </w:pPr>
            <w:r>
              <w:rPr>
                <w:rFonts w:hint="eastAsia"/>
                <w:bCs/>
                <w:color w:val="auto"/>
                <w:sz w:val="20"/>
              </w:rPr>
              <w:t>短期、可逆</w:t>
            </w:r>
          </w:p>
        </w:tc>
        <w:tc>
          <w:tcPr>
            <w:tcW w:w="1025" w:type="dxa"/>
            <w:tcBorders>
              <w:top w:val="single" w:color="auto" w:sz="12" w:space="0"/>
            </w:tcBorders>
            <w:noWrap w:val="0"/>
            <w:vAlign w:val="center"/>
          </w:tcPr>
          <w:p>
            <w:pPr>
              <w:widowControl w:val="0"/>
              <w:adjustRightInd w:val="0"/>
              <w:snapToGrid w:val="0"/>
              <w:jc w:val="center"/>
              <w:rPr>
                <w:bCs/>
                <w:color w:val="auto"/>
                <w:sz w:val="20"/>
              </w:rPr>
            </w:pPr>
            <w:r>
              <w:rPr>
                <w:rFonts w:hint="eastAsia"/>
                <w:bCs/>
                <w:color w:val="auto"/>
                <w:sz w:val="20"/>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eastAsia" w:eastAsia="宋体"/>
                <w:bCs/>
                <w:color w:val="auto"/>
                <w:sz w:val="20"/>
                <w:lang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color w:val="auto"/>
                <w:spacing w:val="6"/>
                <w:sz w:val="20"/>
              </w:rPr>
            </w:pPr>
            <w:r>
              <w:rPr>
                <w:rFonts w:hint="eastAsia"/>
                <w:color w:val="auto"/>
                <w:spacing w:val="6"/>
                <w:sz w:val="20"/>
              </w:rPr>
              <w:t>码头运营到港船舶进出</w:t>
            </w:r>
          </w:p>
        </w:tc>
        <w:tc>
          <w:tcPr>
            <w:tcW w:w="1912" w:type="dxa"/>
            <w:noWrap w:val="0"/>
            <w:vAlign w:val="center"/>
          </w:tcPr>
          <w:p>
            <w:pPr>
              <w:widowControl w:val="0"/>
              <w:adjustRightInd w:val="0"/>
              <w:snapToGrid w:val="0"/>
              <w:jc w:val="center"/>
              <w:rPr>
                <w:bCs/>
                <w:color w:val="auto"/>
                <w:sz w:val="20"/>
              </w:rPr>
            </w:pPr>
            <w:r>
              <w:rPr>
                <w:rFonts w:hint="eastAsia"/>
                <w:bCs/>
                <w:color w:val="auto"/>
                <w:sz w:val="20"/>
              </w:rPr>
              <w:t>噪声干扰、螺旋桨误伤，为直接影响</w:t>
            </w:r>
          </w:p>
        </w:tc>
        <w:tc>
          <w:tcPr>
            <w:tcW w:w="1365" w:type="dxa"/>
            <w:noWrap w:val="0"/>
            <w:vAlign w:val="center"/>
          </w:tcPr>
          <w:p>
            <w:pPr>
              <w:widowControl w:val="0"/>
              <w:adjustRightInd w:val="0"/>
              <w:snapToGrid w:val="0"/>
              <w:jc w:val="center"/>
              <w:rPr>
                <w:bCs/>
                <w:color w:val="auto"/>
                <w:sz w:val="20"/>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bCs/>
                <w:color w:val="auto"/>
                <w:sz w:val="20"/>
              </w:rPr>
            </w:pPr>
            <w:r>
              <w:rPr>
                <w:rFonts w:hint="eastAsia"/>
                <w:bCs/>
                <w:color w:val="auto"/>
                <w:sz w:val="20"/>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bCs/>
                <w:color w:val="auto"/>
                <w:kern w:val="2"/>
                <w:sz w:val="20"/>
                <w:lang w:val="en-US" w:eastAsia="zh-CN" w:bidi="ar-SA"/>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color w:val="auto"/>
                <w:spacing w:val="6"/>
                <w:sz w:val="20"/>
              </w:rPr>
            </w:pPr>
            <w:r>
              <w:rPr>
                <w:rFonts w:hint="eastAsia"/>
                <w:color w:val="auto"/>
                <w:spacing w:val="6"/>
                <w:sz w:val="20"/>
              </w:rPr>
              <w:t>码头运营到港船舶进出可能发生碰撞发生泄漏事故</w:t>
            </w:r>
          </w:p>
        </w:tc>
        <w:tc>
          <w:tcPr>
            <w:tcW w:w="1912" w:type="dxa"/>
            <w:noWrap w:val="0"/>
            <w:vAlign w:val="center"/>
          </w:tcPr>
          <w:p>
            <w:pPr>
              <w:widowControl w:val="0"/>
              <w:adjustRightInd w:val="0"/>
              <w:snapToGrid w:val="0"/>
              <w:jc w:val="center"/>
              <w:rPr>
                <w:color w:val="auto"/>
                <w:spacing w:val="6"/>
                <w:sz w:val="20"/>
              </w:rPr>
            </w:pPr>
            <w:r>
              <w:rPr>
                <w:rFonts w:hint="eastAsia"/>
                <w:color w:val="auto"/>
                <w:spacing w:val="6"/>
                <w:sz w:val="20"/>
              </w:rPr>
              <w:t>柴油泄漏污染水体，进而影响水生生物，为间接影响</w:t>
            </w:r>
          </w:p>
        </w:tc>
        <w:tc>
          <w:tcPr>
            <w:tcW w:w="1365" w:type="dxa"/>
            <w:noWrap w:val="0"/>
            <w:vAlign w:val="center"/>
          </w:tcPr>
          <w:p>
            <w:pPr>
              <w:widowControl w:val="0"/>
              <w:adjustRightInd w:val="0"/>
              <w:snapToGrid w:val="0"/>
              <w:jc w:val="center"/>
              <w:rPr>
                <w:color w:val="auto"/>
                <w:spacing w:val="6"/>
                <w:sz w:val="20"/>
              </w:rPr>
            </w:pPr>
            <w:r>
              <w:rPr>
                <w:rFonts w:hint="eastAsia"/>
                <w:color w:val="auto"/>
                <w:sz w:val="20"/>
                <w:lang w:val="en-US" w:eastAsia="zh-CN"/>
              </w:rPr>
              <w:t>长期</w:t>
            </w:r>
            <w:r>
              <w:rPr>
                <w:rFonts w:hint="eastAsia" w:eastAsia="宋体"/>
                <w:color w:val="auto"/>
                <w:sz w:val="20"/>
                <w:lang w:eastAsia="zh-CN"/>
              </w:rPr>
              <w:t>、</w:t>
            </w:r>
            <w:r>
              <w:rPr>
                <w:rFonts w:hint="eastAsia"/>
                <w:color w:val="auto"/>
                <w:sz w:val="20"/>
                <w:lang w:eastAsia="zh-CN"/>
              </w:rPr>
              <w:t>不</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pacing w:val="6"/>
                <w:sz w:val="20"/>
                <w:lang w:val="en-US" w:eastAsia="zh-CN"/>
              </w:rPr>
            </w:pPr>
            <w:r>
              <w:rPr>
                <w:rFonts w:hint="eastAsia"/>
                <w:color w:val="auto"/>
                <w:spacing w:val="6"/>
                <w:sz w:val="20"/>
                <w:lang w:val="en-US" w:eastAsia="zh-CN"/>
              </w:rPr>
              <w:t>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生境</w:t>
            </w:r>
          </w:p>
        </w:tc>
        <w:tc>
          <w:tcPr>
            <w:tcW w:w="1463" w:type="dxa"/>
            <w:vMerge w:val="restart"/>
            <w:noWrap w:val="0"/>
            <w:vAlign w:val="center"/>
          </w:tcPr>
          <w:p>
            <w:pPr>
              <w:widowControl w:val="0"/>
              <w:adjustRightInd w:val="0"/>
              <w:snapToGrid w:val="0"/>
              <w:jc w:val="center"/>
              <w:rPr>
                <w:rFonts w:ascii="Times New Roman" w:hAnsi="Times New Roman" w:eastAsia="宋体" w:cs="Times New Roman"/>
                <w:bCs/>
                <w:color w:val="auto"/>
                <w:sz w:val="20"/>
              </w:rPr>
            </w:pPr>
            <w:r>
              <w:rPr>
                <w:rFonts w:hint="eastAsia" w:ascii="Times New Roman" w:hAnsi="Times New Roman" w:eastAsia="宋体" w:cs="Times New Roman"/>
                <w:bCs/>
                <w:color w:val="auto"/>
                <w:sz w:val="20"/>
              </w:rPr>
              <w:t>生境面积、质量、连通性</w:t>
            </w: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lang w:val="en-US" w:eastAsia="zh-CN"/>
              </w:rPr>
              <w:t>墩台及引桥施</w:t>
            </w:r>
          </w:p>
        </w:tc>
        <w:tc>
          <w:tcPr>
            <w:tcW w:w="1912" w:type="dxa"/>
            <w:noWrap w:val="0"/>
            <w:vAlign w:val="center"/>
          </w:tcPr>
          <w:p>
            <w:pPr>
              <w:widowControl w:val="0"/>
              <w:adjustRightInd w:val="0"/>
              <w:snapToGrid w:val="0"/>
              <w:jc w:val="center"/>
              <w:rPr>
                <w:bCs/>
                <w:color w:val="auto"/>
                <w:sz w:val="20"/>
              </w:rPr>
            </w:pPr>
            <w:r>
              <w:rPr>
                <w:rFonts w:hint="eastAsia"/>
                <w:bCs/>
                <w:color w:val="auto"/>
                <w:sz w:val="20"/>
              </w:rPr>
              <w:t>直接影响</w:t>
            </w:r>
          </w:p>
        </w:tc>
        <w:tc>
          <w:tcPr>
            <w:tcW w:w="1365" w:type="dxa"/>
            <w:noWrap w:val="0"/>
            <w:vAlign w:val="center"/>
          </w:tcPr>
          <w:p>
            <w:pPr>
              <w:widowControl w:val="0"/>
              <w:adjustRightInd w:val="0"/>
              <w:snapToGrid w:val="0"/>
              <w:jc w:val="center"/>
              <w:rPr>
                <w:bCs/>
                <w:color w:val="auto"/>
                <w:sz w:val="20"/>
              </w:rPr>
            </w:pPr>
            <w:r>
              <w:rPr>
                <w:rFonts w:hint="eastAsia"/>
                <w:bCs/>
                <w:color w:val="auto"/>
                <w:sz w:val="20"/>
              </w:rPr>
              <w:t>短期、可逆</w:t>
            </w:r>
          </w:p>
        </w:tc>
        <w:tc>
          <w:tcPr>
            <w:tcW w:w="1025" w:type="dxa"/>
            <w:noWrap w:val="0"/>
            <w:vAlign w:val="center"/>
          </w:tcPr>
          <w:p>
            <w:pPr>
              <w:widowControl w:val="0"/>
              <w:adjustRightInd w:val="0"/>
              <w:snapToGrid w:val="0"/>
              <w:jc w:val="center"/>
              <w:rPr>
                <w:bCs/>
                <w:color w:val="auto"/>
                <w:sz w:val="20"/>
              </w:rPr>
            </w:pPr>
            <w:r>
              <w:rPr>
                <w:rFonts w:hint="eastAsia"/>
                <w:bCs/>
                <w:color w:val="auto"/>
                <w:sz w:val="20"/>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eastAsia"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eastAsia" w:ascii="Times New Roman" w:hAnsi="Times New Roman" w:eastAsia="宋体" w:cs="Times New Roman"/>
                <w:bCs/>
                <w:color w:val="auto"/>
                <w:sz w:val="20"/>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w:t>
            </w:r>
          </w:p>
        </w:tc>
        <w:tc>
          <w:tcPr>
            <w:tcW w:w="1912" w:type="dxa"/>
            <w:noWrap w:val="0"/>
            <w:vAlign w:val="center"/>
          </w:tcPr>
          <w:p>
            <w:pPr>
              <w:widowControl w:val="0"/>
              <w:adjustRightInd w:val="0"/>
              <w:snapToGrid w:val="0"/>
              <w:jc w:val="center"/>
              <w:rPr>
                <w:color w:val="auto"/>
                <w:sz w:val="20"/>
              </w:rPr>
            </w:pPr>
            <w:r>
              <w:rPr>
                <w:rFonts w:hint="eastAsia"/>
                <w:color w:val="auto"/>
                <w:sz w:val="20"/>
              </w:rPr>
              <w:t>直接影响</w:t>
            </w:r>
          </w:p>
        </w:tc>
        <w:tc>
          <w:tcPr>
            <w:tcW w:w="1365" w:type="dxa"/>
            <w:noWrap w:val="0"/>
            <w:vAlign w:val="center"/>
          </w:tcPr>
          <w:p>
            <w:pPr>
              <w:widowControl w:val="0"/>
              <w:adjustRightInd w:val="0"/>
              <w:snapToGrid w:val="0"/>
              <w:jc w:val="center"/>
              <w:rPr>
                <w:rFonts w:ascii="Times New Roman" w:hAnsi="Times New Roman" w:eastAsia="宋体" w:cs="Times New Roman"/>
                <w:bCs/>
                <w:color w:val="auto"/>
                <w:kern w:val="2"/>
                <w:sz w:val="20"/>
                <w:lang w:val="en-US" w:eastAsia="zh-CN" w:bidi="ar-SA"/>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color w:val="auto"/>
                <w:sz w:val="20"/>
              </w:rPr>
            </w:pPr>
            <w:r>
              <w:rPr>
                <w:rFonts w:hint="eastAsia"/>
                <w:color w:val="auto"/>
                <w:sz w:val="20"/>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码头运营到港船舶进出可能发生碰撞发生泄漏事故</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z w:val="20"/>
                <w:lang w:val="en-US" w:eastAsia="zh-CN"/>
              </w:rPr>
              <w:t>长期</w:t>
            </w:r>
            <w:r>
              <w:rPr>
                <w:rFonts w:hint="eastAsia" w:eastAsia="宋体"/>
                <w:color w:val="auto"/>
                <w:sz w:val="20"/>
                <w:lang w:eastAsia="zh-CN"/>
              </w:rPr>
              <w:t>、</w:t>
            </w:r>
            <w:r>
              <w:rPr>
                <w:rFonts w:hint="eastAsia"/>
                <w:color w:val="auto"/>
                <w:sz w:val="20"/>
                <w:lang w:eastAsia="zh-CN"/>
              </w:rPr>
              <w:t>不</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pacing w:val="6"/>
                <w:sz w:val="20"/>
                <w:lang w:val="en-US" w:eastAsia="zh-CN"/>
              </w:rPr>
              <w:t>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生物群落</w:t>
            </w:r>
          </w:p>
        </w:tc>
        <w:tc>
          <w:tcPr>
            <w:tcW w:w="1463" w:type="dxa"/>
            <w:vMerge w:val="restart"/>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default" w:ascii="Times New Roman" w:hAnsi="Times New Roman" w:eastAsia="宋体" w:cs="Times New Roman"/>
                <w:bCs/>
                <w:color w:val="auto"/>
                <w:sz w:val="20"/>
                <w:lang w:val="en-US" w:eastAsia="zh-CN"/>
              </w:rPr>
              <w:t>物种组成、群落结构等</w:t>
            </w: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lang w:val="en-US" w:eastAsia="zh-CN"/>
              </w:rPr>
              <w:t>墩台及引桥施</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施工噪声干扰、直接影响</w:t>
            </w:r>
          </w:p>
        </w:tc>
        <w:tc>
          <w:tcPr>
            <w:tcW w:w="1365" w:type="dxa"/>
            <w:noWrap w:val="0"/>
            <w:vAlign w:val="center"/>
          </w:tcPr>
          <w:p>
            <w:pPr>
              <w:widowControl w:val="0"/>
              <w:adjustRightInd w:val="0"/>
              <w:snapToGrid w:val="0"/>
              <w:jc w:val="center"/>
              <w:rPr>
                <w:rFonts w:hint="eastAsia" w:ascii="Times New Roman" w:hAnsi="Times New Roman" w:eastAsia="宋体" w:cs="Times New Roman"/>
                <w:bCs/>
                <w:color w:val="auto"/>
                <w:kern w:val="2"/>
                <w:sz w:val="20"/>
                <w:lang w:val="en-US" w:eastAsia="zh-CN" w:bidi="ar-SA"/>
              </w:rPr>
            </w:pPr>
            <w:r>
              <w:rPr>
                <w:rFonts w:hint="eastAsia"/>
                <w:bCs/>
                <w:color w:val="auto"/>
                <w:sz w:val="20"/>
              </w:rPr>
              <w:t>短期、可逆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bCs/>
                <w:color w:val="auto"/>
                <w:sz w:val="20"/>
              </w:rPr>
              <w:t>噪声干扰、螺旋桨误伤，为直接影响</w:t>
            </w:r>
          </w:p>
        </w:tc>
        <w:tc>
          <w:tcPr>
            <w:tcW w:w="1365" w:type="dxa"/>
            <w:noWrap w:val="0"/>
            <w:vAlign w:val="center"/>
          </w:tcPr>
          <w:p>
            <w:pPr>
              <w:widowControl w:val="0"/>
              <w:adjustRightInd w:val="0"/>
              <w:snapToGrid w:val="0"/>
              <w:jc w:val="center"/>
              <w:rPr>
                <w:rFonts w:hint="eastAsia" w:ascii="Times New Roman" w:hAnsi="Times New Roman" w:eastAsia="宋体" w:cs="Times New Roman"/>
                <w:bCs/>
                <w:color w:val="auto"/>
                <w:kern w:val="2"/>
                <w:sz w:val="20"/>
                <w:lang w:val="en-US" w:eastAsia="zh-CN" w:bidi="ar-SA"/>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码头运营到港船舶进出可能发生碰撞发生泄漏事故</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pacing w:val="6"/>
                <w:sz w:val="20"/>
              </w:rPr>
              <w:t>柴油泄漏污染水体，进而影响水生生物，为间接影响</w:t>
            </w:r>
          </w:p>
        </w:tc>
        <w:tc>
          <w:tcPr>
            <w:tcW w:w="1365"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生态系统</w:t>
            </w:r>
          </w:p>
        </w:tc>
        <w:tc>
          <w:tcPr>
            <w:tcW w:w="1463" w:type="dxa"/>
            <w:vMerge w:val="restart"/>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default" w:ascii="Times New Roman" w:hAnsi="Times New Roman" w:eastAsia="宋体" w:cs="Times New Roman"/>
                <w:bCs/>
                <w:color w:val="auto"/>
                <w:sz w:val="20"/>
                <w:lang w:val="en-US" w:eastAsia="zh-CN"/>
              </w:rPr>
              <w:t>植被覆盖度、生产力、生物量、生态系统功能等</w:t>
            </w: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lang w:val="en-US" w:eastAsia="zh-CN"/>
              </w:rPr>
              <w:t>墩台及引桥施</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eastAsia="宋体"/>
                <w:color w:val="auto"/>
                <w:sz w:val="20"/>
                <w:lang w:eastAsia="zh-CN"/>
              </w:rPr>
            </w:pPr>
            <w:r>
              <w:rPr>
                <w:rFonts w:hint="eastAsia"/>
                <w:bCs/>
                <w:color w:val="auto"/>
                <w:sz w:val="20"/>
              </w:rPr>
              <w:t>短期、可逆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无</w:t>
            </w:r>
          </w:p>
        </w:tc>
        <w:tc>
          <w:tcPr>
            <w:tcW w:w="1365" w:type="dxa"/>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无</w:t>
            </w:r>
          </w:p>
        </w:tc>
        <w:tc>
          <w:tcPr>
            <w:tcW w:w="1025" w:type="dxa"/>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ascii="Times New Roman" w:hAnsi="Times New Roman" w:eastAsia="宋体" w:cs="Times New Roman"/>
                <w:color w:val="auto"/>
                <w:spacing w:val="6"/>
                <w:kern w:val="2"/>
                <w:sz w:val="20"/>
                <w:lang w:val="en-US" w:eastAsia="zh-CN" w:bidi="ar-SA"/>
              </w:rPr>
            </w:pPr>
            <w:r>
              <w:rPr>
                <w:rFonts w:hint="eastAsia"/>
                <w:color w:val="auto"/>
                <w:spacing w:val="6"/>
                <w:sz w:val="20"/>
              </w:rPr>
              <w:t>码头运营到港船舶进出可能发生碰撞发生泄漏事故</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生物多样性</w:t>
            </w:r>
          </w:p>
        </w:tc>
        <w:tc>
          <w:tcPr>
            <w:tcW w:w="1463" w:type="dxa"/>
            <w:vMerge w:val="restart"/>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default" w:ascii="Times New Roman" w:hAnsi="Times New Roman" w:eastAsia="宋体" w:cs="Times New Roman"/>
                <w:bCs/>
                <w:color w:val="auto"/>
                <w:sz w:val="20"/>
                <w:lang w:val="en-US" w:eastAsia="zh-CN"/>
              </w:rPr>
              <w:t>物种丰富度、均匀度、优势度等</w:t>
            </w:r>
          </w:p>
        </w:tc>
        <w:tc>
          <w:tcPr>
            <w:tcW w:w="2085" w:type="dxa"/>
            <w:noWrap w:val="0"/>
            <w:vAlign w:val="center"/>
          </w:tcPr>
          <w:p>
            <w:pPr>
              <w:widowControl w:val="0"/>
              <w:adjustRightInd w:val="0"/>
              <w:snapToGrid w:val="0"/>
              <w:jc w:val="center"/>
              <w:rPr>
                <w:rFonts w:hint="eastAsia" w:eastAsia="宋体"/>
                <w:color w:val="auto"/>
                <w:spacing w:val="6"/>
                <w:sz w:val="20"/>
                <w:lang w:val="en-US" w:eastAsia="zh-CN"/>
              </w:rPr>
            </w:pPr>
            <w:r>
              <w:rPr>
                <w:rFonts w:hint="eastAsia"/>
                <w:color w:val="auto"/>
                <w:spacing w:val="6"/>
                <w:sz w:val="20"/>
                <w:lang w:val="en-US" w:eastAsia="zh-CN"/>
              </w:rPr>
              <w:t>墩台及引桥施工</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短期、可逆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default" w:eastAsia="宋体"/>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eastAsia="宋体"/>
                <w:color w:val="auto"/>
                <w:spacing w:val="6"/>
                <w:sz w:val="20"/>
                <w:lang w:val="en-US" w:eastAsia="zh-CN"/>
              </w:rPr>
            </w:pPr>
            <w:r>
              <w:rPr>
                <w:rFonts w:hint="eastAsia"/>
                <w:color w:val="auto"/>
                <w:spacing w:val="6"/>
                <w:sz w:val="20"/>
              </w:rPr>
              <w:t>码头运营</w:t>
            </w:r>
          </w:p>
        </w:tc>
        <w:tc>
          <w:tcPr>
            <w:tcW w:w="1912" w:type="dxa"/>
            <w:noWrap w:val="0"/>
            <w:vAlign w:val="center"/>
          </w:tcPr>
          <w:p>
            <w:pPr>
              <w:widowControl w:val="0"/>
              <w:adjustRightInd w:val="0"/>
              <w:snapToGrid w:val="0"/>
              <w:jc w:val="center"/>
              <w:rPr>
                <w:rFonts w:hint="eastAsia" w:eastAsia="宋体"/>
                <w:color w:val="auto"/>
                <w:sz w:val="20"/>
                <w:lang w:eastAsia="zh-CN"/>
              </w:rPr>
            </w:pPr>
            <w:r>
              <w:rPr>
                <w:rFonts w:hint="eastAsia"/>
                <w:bCs/>
                <w:color w:val="auto"/>
                <w:sz w:val="20"/>
              </w:rPr>
              <w:t>间接影响</w:t>
            </w:r>
          </w:p>
        </w:tc>
        <w:tc>
          <w:tcPr>
            <w:tcW w:w="1365" w:type="dxa"/>
            <w:noWrap w:val="0"/>
            <w:vAlign w:val="center"/>
          </w:tcPr>
          <w:p>
            <w:pPr>
              <w:widowControl w:val="0"/>
              <w:adjustRightInd w:val="0"/>
              <w:snapToGrid w:val="0"/>
              <w:jc w:val="center"/>
              <w:rPr>
                <w:rFonts w:hint="eastAsia" w:eastAsia="宋体"/>
                <w:color w:val="auto"/>
                <w:sz w:val="20"/>
                <w:lang w:eastAsia="zh-CN"/>
              </w:rPr>
            </w:pPr>
            <w:r>
              <w:rPr>
                <w:rFonts w:hint="eastAsia"/>
                <w:color w:val="auto"/>
                <w:sz w:val="20"/>
                <w:lang w:val="en-US" w:eastAsia="zh-CN"/>
              </w:rPr>
              <w:t>长期</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restart"/>
            <w:noWrap w:val="0"/>
            <w:vAlign w:val="center"/>
          </w:tcPr>
          <w:p>
            <w:pPr>
              <w:widowControl w:val="0"/>
              <w:adjustRightInd w:val="0"/>
              <w:snapToGrid w:val="0"/>
              <w:jc w:val="center"/>
              <w:rPr>
                <w:rFonts w:hint="default" w:eastAsia="宋体"/>
                <w:bCs/>
                <w:color w:val="auto"/>
                <w:sz w:val="20"/>
                <w:lang w:val="en-US" w:eastAsia="zh-CN"/>
              </w:rPr>
            </w:pPr>
            <w:r>
              <w:rPr>
                <w:rFonts w:hint="eastAsia"/>
                <w:bCs/>
                <w:color w:val="auto"/>
                <w:sz w:val="20"/>
                <w:lang w:val="en-US" w:eastAsia="zh-CN"/>
              </w:rPr>
              <w:t>生态敏感区</w:t>
            </w:r>
          </w:p>
        </w:tc>
        <w:tc>
          <w:tcPr>
            <w:tcW w:w="1463" w:type="dxa"/>
            <w:vMerge w:val="restart"/>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r>
              <w:rPr>
                <w:rFonts w:hint="default" w:ascii="Times New Roman" w:hAnsi="Times New Roman" w:eastAsia="宋体" w:cs="Times New Roman"/>
                <w:bCs/>
                <w:color w:val="auto"/>
                <w:sz w:val="20"/>
                <w:lang w:val="en-US" w:eastAsia="zh-CN"/>
              </w:rPr>
              <w:t>宜昌中华鲟省级自然保护区外围保护地带</w:t>
            </w:r>
          </w:p>
        </w:tc>
        <w:tc>
          <w:tcPr>
            <w:tcW w:w="2085" w:type="dxa"/>
            <w:noWrap w:val="0"/>
            <w:vAlign w:val="center"/>
          </w:tcPr>
          <w:p>
            <w:pPr>
              <w:widowControl w:val="0"/>
              <w:adjustRightInd w:val="0"/>
              <w:snapToGrid w:val="0"/>
              <w:jc w:val="center"/>
              <w:rPr>
                <w:rFonts w:hint="eastAsia"/>
                <w:color w:val="auto"/>
                <w:spacing w:val="6"/>
                <w:sz w:val="20"/>
              </w:rPr>
            </w:pPr>
            <w:r>
              <w:rPr>
                <w:rFonts w:hint="eastAsia"/>
                <w:color w:val="auto"/>
                <w:spacing w:val="6"/>
                <w:sz w:val="20"/>
                <w:lang w:val="en-US" w:eastAsia="zh-CN"/>
              </w:rPr>
              <w:t>墩台及引桥施工</w:t>
            </w:r>
          </w:p>
        </w:tc>
        <w:tc>
          <w:tcPr>
            <w:tcW w:w="1912" w:type="dxa"/>
            <w:noWrap w:val="0"/>
            <w:vAlign w:val="center"/>
          </w:tcPr>
          <w:p>
            <w:pPr>
              <w:widowControl w:val="0"/>
              <w:adjustRightInd w:val="0"/>
              <w:snapToGrid w:val="0"/>
              <w:jc w:val="center"/>
              <w:rPr>
                <w:rFonts w:hint="eastAsia"/>
                <w:bCs/>
                <w:color w:val="auto"/>
                <w:sz w:val="20"/>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color w:val="auto"/>
                <w:sz w:val="20"/>
                <w:lang w:val="en-US" w:eastAsia="zh-CN"/>
              </w:rPr>
            </w:pPr>
            <w:r>
              <w:rPr>
                <w:rFonts w:hint="eastAsia" w:eastAsia="宋体"/>
                <w:color w:val="auto"/>
                <w:sz w:val="20"/>
                <w:lang w:eastAsia="zh-CN"/>
              </w:rPr>
              <w:t>短期、</w:t>
            </w:r>
            <w:r>
              <w:rPr>
                <w:rFonts w:hint="eastAsia"/>
                <w:color w:val="auto"/>
                <w:sz w:val="20"/>
                <w:lang w:val="en-US" w:eastAsia="zh-CN"/>
              </w:rPr>
              <w:t>不</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1" w:type="dxa"/>
            <w:vMerge w:val="continue"/>
            <w:noWrap w:val="0"/>
            <w:vAlign w:val="center"/>
          </w:tcPr>
          <w:p>
            <w:pPr>
              <w:widowControl w:val="0"/>
              <w:adjustRightInd w:val="0"/>
              <w:snapToGrid w:val="0"/>
              <w:jc w:val="center"/>
              <w:rPr>
                <w:rFonts w:hint="eastAsia"/>
                <w:bCs/>
                <w:color w:val="auto"/>
                <w:sz w:val="20"/>
                <w:lang w:val="en-US" w:eastAsia="zh-CN"/>
              </w:rPr>
            </w:pPr>
          </w:p>
        </w:tc>
        <w:tc>
          <w:tcPr>
            <w:tcW w:w="1463" w:type="dxa"/>
            <w:vMerge w:val="continue"/>
            <w:noWrap w:val="0"/>
            <w:vAlign w:val="center"/>
          </w:tcPr>
          <w:p>
            <w:pPr>
              <w:widowControl w:val="0"/>
              <w:adjustRightInd w:val="0"/>
              <w:snapToGrid w:val="0"/>
              <w:jc w:val="center"/>
              <w:rPr>
                <w:rFonts w:hint="default" w:ascii="Times New Roman" w:hAnsi="Times New Roman" w:eastAsia="宋体" w:cs="Times New Roman"/>
                <w:bCs/>
                <w:color w:val="auto"/>
                <w:sz w:val="20"/>
                <w:lang w:val="en-US" w:eastAsia="zh-CN"/>
              </w:rPr>
            </w:pPr>
          </w:p>
        </w:tc>
        <w:tc>
          <w:tcPr>
            <w:tcW w:w="2085" w:type="dxa"/>
            <w:noWrap w:val="0"/>
            <w:vAlign w:val="center"/>
          </w:tcPr>
          <w:p>
            <w:pPr>
              <w:widowControl w:val="0"/>
              <w:adjustRightInd w:val="0"/>
              <w:snapToGrid w:val="0"/>
              <w:jc w:val="center"/>
              <w:rPr>
                <w:rFonts w:hint="eastAsia"/>
                <w:color w:val="auto"/>
                <w:spacing w:val="6"/>
                <w:sz w:val="20"/>
              </w:rPr>
            </w:pPr>
            <w:r>
              <w:rPr>
                <w:rFonts w:hint="eastAsia"/>
                <w:color w:val="auto"/>
                <w:spacing w:val="6"/>
                <w:sz w:val="20"/>
              </w:rPr>
              <w:t>码头运营</w:t>
            </w:r>
          </w:p>
        </w:tc>
        <w:tc>
          <w:tcPr>
            <w:tcW w:w="1912" w:type="dxa"/>
            <w:noWrap w:val="0"/>
            <w:vAlign w:val="center"/>
          </w:tcPr>
          <w:p>
            <w:pPr>
              <w:widowControl w:val="0"/>
              <w:adjustRightInd w:val="0"/>
              <w:snapToGrid w:val="0"/>
              <w:jc w:val="center"/>
              <w:rPr>
                <w:rFonts w:hint="eastAsia"/>
                <w:bCs/>
                <w:color w:val="auto"/>
                <w:sz w:val="20"/>
              </w:rPr>
            </w:pPr>
            <w:r>
              <w:rPr>
                <w:rFonts w:hint="eastAsia" w:eastAsia="宋体"/>
                <w:color w:val="auto"/>
                <w:sz w:val="20"/>
                <w:lang w:eastAsia="zh-CN"/>
              </w:rPr>
              <w:t>直接影响</w:t>
            </w:r>
          </w:p>
        </w:tc>
        <w:tc>
          <w:tcPr>
            <w:tcW w:w="1365" w:type="dxa"/>
            <w:noWrap w:val="0"/>
            <w:vAlign w:val="center"/>
          </w:tcPr>
          <w:p>
            <w:pPr>
              <w:widowControl w:val="0"/>
              <w:adjustRightInd w:val="0"/>
              <w:snapToGrid w:val="0"/>
              <w:jc w:val="center"/>
              <w:rPr>
                <w:rFonts w:hint="eastAsia"/>
                <w:color w:val="auto"/>
                <w:sz w:val="20"/>
                <w:lang w:val="en-US" w:eastAsia="zh-CN"/>
              </w:rPr>
            </w:pPr>
            <w:r>
              <w:rPr>
                <w:rFonts w:hint="eastAsia"/>
                <w:color w:val="auto"/>
                <w:sz w:val="20"/>
                <w:lang w:val="en-US" w:eastAsia="zh-CN"/>
              </w:rPr>
              <w:t>长期</w:t>
            </w:r>
            <w:r>
              <w:rPr>
                <w:rFonts w:hint="eastAsia" w:eastAsia="宋体"/>
                <w:color w:val="auto"/>
                <w:sz w:val="20"/>
                <w:lang w:eastAsia="zh-CN"/>
              </w:rPr>
              <w:t>、</w:t>
            </w:r>
            <w:r>
              <w:rPr>
                <w:rFonts w:hint="eastAsia"/>
                <w:color w:val="auto"/>
                <w:sz w:val="20"/>
                <w:lang w:val="en-US" w:eastAsia="zh-CN"/>
              </w:rPr>
              <w:t>不</w:t>
            </w:r>
            <w:r>
              <w:rPr>
                <w:rFonts w:hint="eastAsia" w:eastAsia="宋体"/>
                <w:color w:val="auto"/>
                <w:sz w:val="20"/>
                <w:lang w:eastAsia="zh-CN"/>
              </w:rPr>
              <w:t>可逆</w:t>
            </w:r>
          </w:p>
        </w:tc>
        <w:tc>
          <w:tcPr>
            <w:tcW w:w="1025" w:type="dxa"/>
            <w:noWrap w:val="0"/>
            <w:vAlign w:val="center"/>
          </w:tcPr>
          <w:p>
            <w:pPr>
              <w:widowControl w:val="0"/>
              <w:adjustRightInd w:val="0"/>
              <w:snapToGrid w:val="0"/>
              <w:jc w:val="center"/>
              <w:rPr>
                <w:rFonts w:hint="eastAsia" w:eastAsia="宋体"/>
                <w:color w:val="auto"/>
                <w:sz w:val="20"/>
                <w:lang w:eastAsia="zh-CN"/>
              </w:rPr>
            </w:pPr>
            <w:r>
              <w:rPr>
                <w:rFonts w:hint="eastAsia" w:eastAsia="宋体"/>
                <w:color w:val="auto"/>
                <w:sz w:val="20"/>
                <w:lang w:eastAsia="zh-CN"/>
              </w:rPr>
              <w:t>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51" w:type="dxa"/>
            <w:gridSpan w:val="6"/>
            <w:noWrap w:val="0"/>
            <w:vAlign w:val="center"/>
          </w:tcPr>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注 1：影响性质主要包括长期与短期、可逆与不可逆生态影响。</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注 2：影响方式可分为直接、间接、累积生态影响，可依据以下内容进行判断：</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a）直接生态影响：临时、永久占地导致生境直接破坏或丧失；工程施工、运行导致个体直接死亡；物种迁徙（或洄游）、</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扩散、种群交流受到阻隔；施工活动以及运行期噪声、振动、灯光等对野生动物行为产生干扰；工程建设改变河流、</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湖泊等水体天然状态等；</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b）间接生态影响：水文情势变化导致生境条件、水生生态系统发生变化；地下水水位、土壤理化特性变化导致动植</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物群落发生变化；生境面积和质量下降导致个体死亡、种群数量下降或种群生存能力降低；资源减少及分布变化导致</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种群结构或种群动态发生变化；因阻隔影响造成种群间基因交流减少，导致小种群灭绝风险</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增加；滞后效应（例如，由于关键种的消失使捕食者和被捕食者的关系发生变化）等；</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c）累积生态影响：整个区域生境的逐渐丧失和破碎化；在景观尺度上生境的多样性减少；不可逆转的生物多样性下降；</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生态系统持续退化等。</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注 3：影响程度可分为强、中、弱、无四个等级，可依据以下原则进行初步判断：</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a）强：生境受到严重破坏，水系开放连通性受到显著影响；野生动植物难以栖息繁衍（或生长繁殖），物种种类明显</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减少，种群数量显著下降，种群结构明显改变；生物多样性显著下降，生态系统结构和功能受到严重损害，生态系统</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稳定性难以维持；自然景观、自然遗迹受到永久性破坏；生态修复难度较大；</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b）中：生境受到一定程度破坏，水系开放连通性受到一定程度影响；野生动植物栖息繁衍（或生长繁殖）受到一定</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程度干扰，物种种类减少，种群数量下降，种群结构改变；生物多样性有所下降，生态系统结构和功能受到一定程度</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破坏，生态系统稳定性受到一定程度干扰；自然景观、自然遗迹受到暂时性影响；通过采取</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一定措施上述不利影响可以得到减缓和控制，生态修复难度一般；</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c）弱：生境受到暂时性破坏，水系开放连通性变化不大；野生动植物栖息繁衍（或生长繁殖）受到暂时性干扰，物种</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种类、种群数量、种群结构变化不大；生物多样性、生态系统结构、功能以及生态系统稳定性基本维持现状；自然景</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观、自然遗迹基本未受到破坏；在干扰消失后可以修复或自然恢复；</w:t>
            </w:r>
          </w:p>
          <w:p>
            <w:pPr>
              <w:widowControl w:val="0"/>
              <w:adjustRightInd w:val="0"/>
              <w:snapToGrid w:val="0"/>
              <w:jc w:val="left"/>
              <w:rPr>
                <w:rFonts w:hint="eastAsia" w:eastAsia="宋体"/>
                <w:color w:val="auto"/>
                <w:sz w:val="16"/>
                <w:szCs w:val="16"/>
                <w:lang w:eastAsia="zh-CN"/>
              </w:rPr>
            </w:pPr>
            <w:r>
              <w:rPr>
                <w:rFonts w:hint="eastAsia" w:eastAsia="宋体"/>
                <w:color w:val="auto"/>
                <w:sz w:val="16"/>
                <w:szCs w:val="16"/>
                <w:lang w:eastAsia="zh-CN"/>
              </w:rPr>
              <w:t>d）无：生境未受到破坏，水系开放连通性未受到影响；野生动植物栖息繁衍（或生长繁殖）未受到影响；生物多样</w:t>
            </w:r>
          </w:p>
          <w:p>
            <w:pPr>
              <w:widowControl w:val="0"/>
              <w:adjustRightInd w:val="0"/>
              <w:snapToGrid w:val="0"/>
              <w:jc w:val="left"/>
              <w:rPr>
                <w:rFonts w:hint="eastAsia" w:eastAsia="宋体"/>
                <w:color w:val="auto"/>
                <w:sz w:val="20"/>
                <w:lang w:eastAsia="zh-CN"/>
              </w:rPr>
            </w:pPr>
            <w:r>
              <w:rPr>
                <w:rFonts w:hint="eastAsia" w:eastAsia="宋体"/>
                <w:color w:val="auto"/>
                <w:sz w:val="16"/>
                <w:szCs w:val="16"/>
                <w:lang w:eastAsia="zh-CN"/>
              </w:rPr>
              <w:t>性、生态系统结构、功能以及生态系统稳定性维持现状；自然景观、自然遗迹未受到破坏。</w:t>
            </w:r>
          </w:p>
        </w:tc>
      </w:tr>
    </w:tbl>
    <w:p>
      <w:pPr>
        <w:pStyle w:val="8"/>
        <w:widowControl w:val="0"/>
        <w:spacing w:before="120" w:after="120" w:line="360" w:lineRule="auto"/>
        <w:rPr>
          <w:rFonts w:ascii="Times New Roman" w:hAnsi="Times New Roman"/>
          <w:b w:val="0"/>
          <w:color w:val="auto"/>
          <w:szCs w:val="32"/>
        </w:rPr>
      </w:pPr>
      <w:bookmarkStart w:id="260" w:name="_Toc20800"/>
      <w:r>
        <w:rPr>
          <w:rFonts w:ascii="Times New Roman" w:hAnsi="Times New Roman"/>
          <w:b w:val="0"/>
          <w:color w:val="auto"/>
          <w:szCs w:val="32"/>
        </w:rPr>
        <w:t>1.6</w:t>
      </w:r>
      <w:r>
        <w:rPr>
          <w:rFonts w:hint="eastAsia" w:ascii="Times New Roman" w:hAnsi="Times New Roman"/>
          <w:b w:val="0"/>
          <w:color w:val="auto"/>
          <w:szCs w:val="32"/>
          <w:lang w:val="en-US" w:eastAsia="zh-CN"/>
        </w:rPr>
        <w:t>评价时段、评价重点</w:t>
      </w:r>
      <w:r>
        <w:rPr>
          <w:rFonts w:ascii="Times New Roman" w:hAnsi="Times New Roman"/>
          <w:b w:val="0"/>
          <w:color w:val="auto"/>
          <w:szCs w:val="32"/>
        </w:rPr>
        <w:t>与环境保护目标</w:t>
      </w:r>
      <w:bookmarkEnd w:id="257"/>
      <w:bookmarkEnd w:id="258"/>
      <w:bookmarkEnd w:id="259"/>
      <w:bookmarkEnd w:id="260"/>
    </w:p>
    <w:p>
      <w:pPr>
        <w:pStyle w:val="9"/>
        <w:widowControl w:val="0"/>
        <w:spacing w:before="120" w:after="120" w:line="360" w:lineRule="auto"/>
        <w:rPr>
          <w:rFonts w:hint="default" w:eastAsia="黑体"/>
          <w:b w:val="0"/>
          <w:color w:val="auto"/>
          <w:sz w:val="24"/>
          <w:lang w:val="en-US" w:eastAsia="zh-CN"/>
        </w:rPr>
      </w:pPr>
      <w:bookmarkStart w:id="261" w:name="_Toc121124388"/>
      <w:bookmarkStart w:id="262" w:name="_Toc147565781"/>
      <w:bookmarkStart w:id="263" w:name="_Toc169487705"/>
      <w:bookmarkStart w:id="264" w:name="_Toc86932559"/>
      <w:bookmarkStart w:id="265" w:name="_Toc90975160"/>
      <w:bookmarkStart w:id="266" w:name="_Toc87006245"/>
      <w:bookmarkStart w:id="267" w:name="_Toc172600085"/>
      <w:bookmarkStart w:id="268" w:name="_Toc148951924"/>
      <w:bookmarkStart w:id="269" w:name="_Toc25805"/>
      <w:r>
        <w:rPr>
          <w:rFonts w:eastAsia="黑体"/>
          <w:b w:val="0"/>
          <w:color w:val="auto"/>
          <w:sz w:val="24"/>
        </w:rPr>
        <w:t>1.6.1</w:t>
      </w:r>
      <w:bookmarkEnd w:id="261"/>
      <w:bookmarkEnd w:id="262"/>
      <w:bookmarkEnd w:id="263"/>
      <w:bookmarkEnd w:id="264"/>
      <w:bookmarkEnd w:id="265"/>
      <w:bookmarkEnd w:id="266"/>
      <w:bookmarkEnd w:id="267"/>
      <w:bookmarkEnd w:id="268"/>
      <w:r>
        <w:rPr>
          <w:rFonts w:hint="eastAsia" w:eastAsia="黑体"/>
          <w:b w:val="0"/>
          <w:color w:val="auto"/>
          <w:sz w:val="24"/>
          <w:lang w:val="en-US" w:eastAsia="zh-CN"/>
        </w:rPr>
        <w:t>评价时段</w:t>
      </w:r>
      <w:bookmarkEnd w:id="269"/>
    </w:p>
    <w:p>
      <w:pPr>
        <w:widowControl w:val="0"/>
        <w:spacing w:line="360" w:lineRule="auto"/>
        <w:ind w:firstLine="480" w:firstLineChars="200"/>
        <w:rPr>
          <w:rFonts w:eastAsia="仿宋_GB2312"/>
          <w:color w:val="auto"/>
          <w:sz w:val="24"/>
        </w:rPr>
      </w:pPr>
      <w:r>
        <w:rPr>
          <w:rFonts w:hint="eastAsia" w:eastAsia="仿宋_GB2312"/>
          <w:color w:val="auto"/>
          <w:sz w:val="24"/>
        </w:rPr>
        <w:t>评价时段包括项目施工期和</w:t>
      </w:r>
      <w:r>
        <w:rPr>
          <w:rFonts w:hint="eastAsia" w:eastAsia="仿宋_GB2312"/>
          <w:color w:val="auto"/>
          <w:sz w:val="24"/>
          <w:lang w:eastAsia="zh-CN"/>
        </w:rPr>
        <w:t>运营期</w:t>
      </w:r>
      <w:r>
        <w:rPr>
          <w:rFonts w:eastAsia="仿宋_GB2312"/>
          <w:color w:val="auto"/>
          <w:sz w:val="24"/>
        </w:rPr>
        <w:t>。</w:t>
      </w:r>
    </w:p>
    <w:p>
      <w:pPr>
        <w:pStyle w:val="9"/>
        <w:widowControl w:val="0"/>
        <w:spacing w:before="120" w:after="120" w:line="360" w:lineRule="auto"/>
        <w:rPr>
          <w:rFonts w:hint="default" w:eastAsia="黑体"/>
          <w:b w:val="0"/>
          <w:color w:val="auto"/>
          <w:sz w:val="24"/>
          <w:lang w:val="en-US" w:eastAsia="zh-CN"/>
        </w:rPr>
      </w:pPr>
      <w:bookmarkStart w:id="270" w:name="_Toc9173"/>
      <w:r>
        <w:rPr>
          <w:rFonts w:eastAsia="黑体"/>
          <w:b w:val="0"/>
          <w:color w:val="auto"/>
          <w:sz w:val="24"/>
        </w:rPr>
        <w:t>1.6</w:t>
      </w:r>
      <w:r>
        <w:rPr>
          <w:rFonts w:hint="eastAsia" w:eastAsia="黑体"/>
          <w:b w:val="0"/>
          <w:color w:val="auto"/>
          <w:sz w:val="24"/>
          <w:lang w:val="en-US" w:eastAsia="zh-CN"/>
        </w:rPr>
        <w:t>.2评价重点</w:t>
      </w:r>
      <w:bookmarkEnd w:id="270"/>
    </w:p>
    <w:p>
      <w:pPr>
        <w:widowControl w:val="0"/>
        <w:spacing w:line="360" w:lineRule="auto"/>
        <w:ind w:firstLine="480" w:firstLineChars="200"/>
        <w:rPr>
          <w:rFonts w:hint="eastAsia" w:eastAsia="仿宋_GB2312"/>
          <w:color w:val="auto"/>
          <w:sz w:val="24"/>
        </w:rPr>
      </w:pPr>
      <w:r>
        <w:rPr>
          <w:rFonts w:hint="eastAsia" w:eastAsia="仿宋_GB2312"/>
          <w:color w:val="auto"/>
          <w:sz w:val="24"/>
        </w:rPr>
        <w:t>本评价的重点包括：</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（1）对评价区域内的环境空气、地表水和声环境等进行背景调查及评价，在此基础上采用数学模型、类比分析等评价方法，进行环境合理性分析论证。</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（2）针对项目采取的污染防治措施，分析污染物治理技术及经济可行性、达标稳定性。</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（3）预测码头溢油风险范围，针对性提出相应的应急措施。</w:t>
      </w:r>
    </w:p>
    <w:p>
      <w:pPr>
        <w:widowControl w:val="0"/>
        <w:spacing w:line="360" w:lineRule="auto"/>
        <w:ind w:firstLine="480" w:firstLineChars="200"/>
        <w:rPr>
          <w:rFonts w:eastAsia="仿宋_GB2312"/>
          <w:color w:val="auto"/>
          <w:sz w:val="24"/>
        </w:rPr>
      </w:pPr>
      <w:r>
        <w:rPr>
          <w:rFonts w:hint="eastAsia" w:eastAsia="仿宋_GB2312"/>
          <w:color w:val="auto"/>
          <w:sz w:val="24"/>
        </w:rPr>
        <w:t>（4）根据本项目的工程特点，注重报告书的实用性和可操作性，以便通过评价为环境管理提供科学依据</w:t>
      </w:r>
      <w:r>
        <w:rPr>
          <w:rFonts w:eastAsia="仿宋_GB2312"/>
          <w:color w:val="auto"/>
          <w:sz w:val="24"/>
        </w:rPr>
        <w:t>。</w:t>
      </w:r>
    </w:p>
    <w:p>
      <w:pPr>
        <w:pStyle w:val="9"/>
        <w:widowControl w:val="0"/>
        <w:spacing w:before="120" w:after="120" w:line="360" w:lineRule="auto"/>
        <w:rPr>
          <w:rFonts w:eastAsia="黑体"/>
          <w:b w:val="0"/>
          <w:color w:val="auto"/>
          <w:sz w:val="24"/>
        </w:rPr>
      </w:pPr>
      <w:bookmarkStart w:id="271" w:name="_Toc337642896"/>
      <w:bookmarkStart w:id="272" w:name="_Toc306031206"/>
      <w:bookmarkStart w:id="273" w:name="_Toc28773"/>
      <w:r>
        <w:rPr>
          <w:rFonts w:eastAsia="黑体"/>
          <w:b w:val="0"/>
          <w:color w:val="auto"/>
          <w:sz w:val="24"/>
        </w:rPr>
        <w:t>1.6.</w:t>
      </w:r>
      <w:r>
        <w:rPr>
          <w:rFonts w:hint="eastAsia" w:eastAsia="黑体"/>
          <w:b w:val="0"/>
          <w:color w:val="auto"/>
          <w:sz w:val="24"/>
          <w:lang w:val="en-US" w:eastAsia="zh-CN"/>
        </w:rPr>
        <w:t>3地表水</w:t>
      </w:r>
      <w:r>
        <w:rPr>
          <w:rFonts w:eastAsia="黑体"/>
          <w:b w:val="0"/>
          <w:color w:val="auto"/>
          <w:sz w:val="24"/>
        </w:rPr>
        <w:t>环境</w:t>
      </w:r>
      <w:r>
        <w:rPr>
          <w:rFonts w:hint="eastAsia" w:eastAsia="黑体"/>
          <w:b w:val="0"/>
          <w:color w:val="auto"/>
          <w:sz w:val="24"/>
          <w:lang w:val="en-US" w:eastAsia="zh-CN"/>
        </w:rPr>
        <w:t>保护</w:t>
      </w:r>
      <w:r>
        <w:rPr>
          <w:rFonts w:eastAsia="黑体"/>
          <w:b w:val="0"/>
          <w:color w:val="auto"/>
          <w:sz w:val="24"/>
        </w:rPr>
        <w:t>目标</w:t>
      </w:r>
      <w:bookmarkEnd w:id="271"/>
      <w:bookmarkEnd w:id="272"/>
      <w:bookmarkEnd w:id="273"/>
    </w:p>
    <w:p>
      <w:pPr>
        <w:widowControl w:val="0"/>
        <w:adjustRightInd w:val="0"/>
        <w:snapToGrid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饮用水源保护区</w:t>
      </w:r>
    </w:p>
    <w:p>
      <w:pPr>
        <w:widowControl w:val="0"/>
        <w:adjustRightInd w:val="0"/>
        <w:snapToGrid w:val="0"/>
        <w:spacing w:line="360" w:lineRule="auto"/>
        <w:ind w:firstLine="480" w:firstLineChars="200"/>
        <w:rPr>
          <w:rFonts w:hint="eastAsia" w:ascii="Times New Roman" w:hAnsi="Times New Roman" w:eastAsia="仿宋_GB2312" w:cs="Times New Roman"/>
          <w:color w:val="auto"/>
          <w:sz w:val="24"/>
          <w:lang w:eastAsia="zh-CN"/>
        </w:rPr>
      </w:pPr>
      <w:r>
        <w:rPr>
          <w:rFonts w:hint="eastAsia" w:eastAsia="仿宋_GB2312"/>
          <w:color w:val="auto"/>
          <w:sz w:val="24"/>
        </w:rPr>
        <w:t>根据湖北省人民政府办公厅以鄂政办发[2011]130号文发布实施的《湖北省县级以上集中式饮用水水源保护区划分方案》、生态环境厅鄂环发[2019]1号《湖北省乡镇集中式饮用水水源保护区划分方案》，将评价范围内的1处</w:t>
      </w:r>
      <w:r>
        <w:rPr>
          <w:rFonts w:hint="eastAsia" w:eastAsia="仿宋_GB2312"/>
          <w:color w:val="auto"/>
          <w:sz w:val="24"/>
          <w:lang w:val="en-US" w:eastAsia="zh-CN"/>
        </w:rPr>
        <w:t>在建</w:t>
      </w:r>
      <w:r>
        <w:rPr>
          <w:rFonts w:hint="eastAsia" w:eastAsia="仿宋_GB2312"/>
          <w:color w:val="auto"/>
          <w:sz w:val="24"/>
        </w:rPr>
        <w:t>集中式饮用水水源保护区列为保护目标，具体见</w:t>
      </w:r>
      <w:r>
        <w:rPr>
          <w:rFonts w:hint="eastAsia" w:eastAsia="仿宋_GB2312"/>
          <w:color w:val="auto"/>
          <w:sz w:val="24"/>
          <w:lang w:val="en-US" w:eastAsia="zh-CN"/>
        </w:rPr>
        <w:t>下表</w:t>
      </w:r>
      <w:r>
        <w:rPr>
          <w:rFonts w:hint="eastAsia" w:eastAsia="仿宋_GB2312"/>
          <w:color w:val="auto"/>
          <w:sz w:val="24"/>
        </w:rPr>
        <w:t>。本工程不位于饮用</w:t>
      </w:r>
      <w:r>
        <w:rPr>
          <w:rFonts w:hint="eastAsia" w:ascii="Times New Roman" w:hAnsi="Times New Roman" w:eastAsia="仿宋_GB2312" w:cs="Times New Roman"/>
          <w:color w:val="auto"/>
          <w:sz w:val="24"/>
          <w:lang w:eastAsia="zh-CN"/>
        </w:rPr>
        <w:t>水源一、二级保护区范围内。</w:t>
      </w:r>
    </w:p>
    <w:p>
      <w:pPr>
        <w:widowControl w:val="0"/>
        <w:spacing w:line="360" w:lineRule="auto"/>
        <w:jc w:val="center"/>
        <w:rPr>
          <w:rFonts w:ascii="Times New Roman" w:hAnsi="Times New Roman" w:eastAsia="黑体" w:cs="Times New Roman"/>
          <w:b/>
          <w:color w:val="auto"/>
          <w:szCs w:val="21"/>
        </w:rPr>
      </w:pPr>
      <w:r>
        <w:rPr>
          <w:rFonts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1.6-1</w:t>
      </w:r>
      <w:r>
        <w:rPr>
          <w:rFonts w:ascii="Times New Roman" w:hAnsi="Times New Roman" w:eastAsia="黑体" w:cs="Times New Roman"/>
          <w:b/>
          <w:color w:val="auto"/>
          <w:szCs w:val="21"/>
        </w:rPr>
        <w:t xml:space="preserve">  </w:t>
      </w:r>
      <w:r>
        <w:rPr>
          <w:rFonts w:hint="eastAsia" w:ascii="Times New Roman" w:hAnsi="Times New Roman" w:eastAsia="黑体" w:cs="Times New Roman"/>
          <w:b/>
          <w:color w:val="auto"/>
          <w:szCs w:val="21"/>
        </w:rPr>
        <w:t>工程下游水源地保护区分布情况一览表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76"/>
        <w:gridCol w:w="1361"/>
        <w:gridCol w:w="2362"/>
        <w:gridCol w:w="2478"/>
        <w:gridCol w:w="183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80" w:type="pct"/>
            <w:vMerge w:val="restart"/>
            <w:noWrap w:val="0"/>
            <w:vAlign w:val="center"/>
          </w:tcPr>
          <w:p>
            <w:pPr>
              <w:pStyle w:val="1874"/>
              <w:widowControl w:val="0"/>
              <w:jc w:val="center"/>
              <w:rPr>
                <w:color w:val="auto"/>
                <w:sz w:val="20"/>
                <w:szCs w:val="20"/>
              </w:rPr>
            </w:pPr>
            <w:r>
              <w:rPr>
                <w:rFonts w:eastAsia="宋体"/>
                <w:color w:val="auto"/>
                <w:sz w:val="20"/>
                <w:szCs w:val="20"/>
              </w:rPr>
              <w:t>序号</w:t>
            </w:r>
          </w:p>
        </w:tc>
        <w:tc>
          <w:tcPr>
            <w:tcW w:w="799" w:type="pct"/>
            <w:vMerge w:val="restart"/>
            <w:noWrap w:val="0"/>
            <w:vAlign w:val="center"/>
          </w:tcPr>
          <w:p>
            <w:pPr>
              <w:pStyle w:val="1874"/>
              <w:widowControl w:val="0"/>
              <w:jc w:val="center"/>
              <w:rPr>
                <w:color w:val="auto"/>
                <w:sz w:val="20"/>
                <w:szCs w:val="20"/>
              </w:rPr>
            </w:pPr>
            <w:r>
              <w:rPr>
                <w:rFonts w:eastAsia="宋体"/>
                <w:color w:val="auto"/>
                <w:sz w:val="20"/>
                <w:szCs w:val="20"/>
              </w:rPr>
              <w:t>水源地名称</w:t>
            </w:r>
          </w:p>
        </w:tc>
        <w:tc>
          <w:tcPr>
            <w:tcW w:w="2842" w:type="pct"/>
            <w:gridSpan w:val="2"/>
            <w:tcBorders>
              <w:right w:val="single" w:color="auto" w:sz="4" w:space="0"/>
            </w:tcBorders>
            <w:noWrap w:val="0"/>
            <w:vAlign w:val="center"/>
          </w:tcPr>
          <w:p>
            <w:pPr>
              <w:pStyle w:val="1874"/>
              <w:widowControl w:val="0"/>
              <w:jc w:val="center"/>
              <w:rPr>
                <w:color w:val="auto"/>
                <w:sz w:val="20"/>
                <w:szCs w:val="20"/>
              </w:rPr>
            </w:pPr>
            <w:r>
              <w:rPr>
                <w:rFonts w:eastAsia="宋体"/>
                <w:color w:val="auto"/>
                <w:sz w:val="20"/>
                <w:szCs w:val="20"/>
              </w:rPr>
              <w:t>保护区范围</w:t>
            </w:r>
          </w:p>
        </w:tc>
        <w:tc>
          <w:tcPr>
            <w:tcW w:w="1077" w:type="pct"/>
            <w:vMerge w:val="restart"/>
            <w:tcBorders>
              <w:left w:val="single" w:color="auto" w:sz="4" w:space="0"/>
            </w:tcBorders>
            <w:noWrap w:val="0"/>
            <w:vAlign w:val="center"/>
          </w:tcPr>
          <w:p>
            <w:pPr>
              <w:pStyle w:val="1874"/>
              <w:widowControl w:val="0"/>
              <w:jc w:val="center"/>
              <w:rPr>
                <w:rFonts w:hint="default" w:eastAsia="宋体"/>
                <w:color w:val="auto"/>
                <w:sz w:val="20"/>
                <w:szCs w:val="20"/>
                <w:lang w:val="en-US" w:eastAsia="zh-CN"/>
              </w:rPr>
            </w:pPr>
            <w:r>
              <w:rPr>
                <w:rFonts w:hint="eastAsia"/>
                <w:color w:val="auto"/>
                <w:sz w:val="20"/>
                <w:szCs w:val="20"/>
                <w:lang w:val="en-US" w:eastAsia="zh-CN"/>
              </w:rPr>
              <w:t>与本工程位置关系</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80" w:type="pct"/>
            <w:vMerge w:val="continue"/>
            <w:tcBorders>
              <w:bottom w:val="single" w:color="auto" w:sz="12" w:space="0"/>
            </w:tcBorders>
            <w:noWrap w:val="0"/>
            <w:vAlign w:val="center"/>
          </w:tcPr>
          <w:p>
            <w:pPr>
              <w:pStyle w:val="1874"/>
              <w:widowControl w:val="0"/>
              <w:ind w:firstLine="420"/>
              <w:jc w:val="center"/>
              <w:rPr>
                <w:color w:val="auto"/>
                <w:sz w:val="20"/>
                <w:szCs w:val="20"/>
              </w:rPr>
            </w:pPr>
          </w:p>
        </w:tc>
        <w:tc>
          <w:tcPr>
            <w:tcW w:w="799" w:type="pct"/>
            <w:vMerge w:val="continue"/>
            <w:tcBorders>
              <w:bottom w:val="single" w:color="auto" w:sz="12" w:space="0"/>
            </w:tcBorders>
            <w:noWrap w:val="0"/>
            <w:vAlign w:val="center"/>
          </w:tcPr>
          <w:p>
            <w:pPr>
              <w:pStyle w:val="1874"/>
              <w:widowControl w:val="0"/>
              <w:ind w:firstLine="420"/>
              <w:jc w:val="center"/>
              <w:rPr>
                <w:color w:val="auto"/>
                <w:sz w:val="20"/>
                <w:szCs w:val="20"/>
              </w:rPr>
            </w:pPr>
          </w:p>
        </w:tc>
        <w:tc>
          <w:tcPr>
            <w:tcW w:w="1387" w:type="pct"/>
            <w:tcBorders>
              <w:bottom w:val="single" w:color="auto" w:sz="12" w:space="0"/>
              <w:right w:val="single" w:color="auto" w:sz="4" w:space="0"/>
            </w:tcBorders>
            <w:noWrap w:val="0"/>
            <w:vAlign w:val="center"/>
          </w:tcPr>
          <w:p>
            <w:pPr>
              <w:pStyle w:val="1874"/>
              <w:widowControl w:val="0"/>
              <w:jc w:val="center"/>
              <w:rPr>
                <w:rFonts w:hint="eastAsia" w:eastAsia="宋体"/>
                <w:color w:val="auto"/>
                <w:sz w:val="20"/>
                <w:szCs w:val="20"/>
                <w:lang w:eastAsia="zh-CN"/>
              </w:rPr>
            </w:pPr>
            <w:r>
              <w:rPr>
                <w:rFonts w:eastAsia="宋体"/>
                <w:color w:val="auto"/>
                <w:sz w:val="20"/>
                <w:szCs w:val="20"/>
              </w:rPr>
              <w:t>一级保护区</w:t>
            </w:r>
            <w:r>
              <w:rPr>
                <w:rFonts w:hint="eastAsia"/>
                <w:color w:val="auto"/>
                <w:sz w:val="20"/>
                <w:szCs w:val="20"/>
                <w:lang w:eastAsia="zh-CN"/>
              </w:rPr>
              <w:t>（</w:t>
            </w:r>
            <w:r>
              <w:rPr>
                <w:rFonts w:hint="eastAsia"/>
                <w:color w:val="auto"/>
                <w:sz w:val="20"/>
                <w:szCs w:val="20"/>
                <w:lang w:val="en-US" w:eastAsia="zh-CN"/>
              </w:rPr>
              <w:t>水域</w:t>
            </w:r>
            <w:r>
              <w:rPr>
                <w:rFonts w:hint="eastAsia"/>
                <w:color w:val="auto"/>
                <w:sz w:val="20"/>
                <w:szCs w:val="20"/>
                <w:lang w:eastAsia="zh-CN"/>
              </w:rPr>
              <w:t>）</w:t>
            </w:r>
          </w:p>
        </w:tc>
        <w:tc>
          <w:tcPr>
            <w:tcW w:w="1454" w:type="pct"/>
            <w:tcBorders>
              <w:left w:val="single" w:color="auto" w:sz="4" w:space="0"/>
              <w:bottom w:val="single" w:color="auto" w:sz="12" w:space="0"/>
              <w:right w:val="single" w:color="auto" w:sz="4" w:space="0"/>
            </w:tcBorders>
            <w:noWrap w:val="0"/>
            <w:vAlign w:val="center"/>
          </w:tcPr>
          <w:p>
            <w:pPr>
              <w:pStyle w:val="1874"/>
              <w:widowControl w:val="0"/>
              <w:jc w:val="center"/>
              <w:rPr>
                <w:color w:val="auto"/>
                <w:sz w:val="20"/>
                <w:szCs w:val="20"/>
              </w:rPr>
            </w:pPr>
            <w:r>
              <w:rPr>
                <w:rFonts w:eastAsia="宋体"/>
                <w:color w:val="auto"/>
                <w:sz w:val="20"/>
                <w:szCs w:val="20"/>
              </w:rPr>
              <w:t>二级保护区</w:t>
            </w:r>
            <w:r>
              <w:rPr>
                <w:rFonts w:hint="eastAsia"/>
                <w:color w:val="auto"/>
                <w:sz w:val="20"/>
                <w:szCs w:val="20"/>
                <w:lang w:eastAsia="zh-CN"/>
              </w:rPr>
              <w:t>（</w:t>
            </w:r>
            <w:r>
              <w:rPr>
                <w:rFonts w:hint="eastAsia"/>
                <w:color w:val="auto"/>
                <w:sz w:val="20"/>
                <w:szCs w:val="20"/>
                <w:lang w:val="en-US" w:eastAsia="zh-CN"/>
              </w:rPr>
              <w:t>水域</w:t>
            </w:r>
            <w:r>
              <w:rPr>
                <w:rFonts w:hint="eastAsia"/>
                <w:color w:val="auto"/>
                <w:sz w:val="20"/>
                <w:szCs w:val="20"/>
                <w:lang w:eastAsia="zh-CN"/>
              </w:rPr>
              <w:t>）</w:t>
            </w:r>
          </w:p>
        </w:tc>
        <w:tc>
          <w:tcPr>
            <w:tcW w:w="1077" w:type="pct"/>
            <w:vMerge w:val="continue"/>
            <w:tcBorders>
              <w:left w:val="single" w:color="auto" w:sz="4" w:space="0"/>
              <w:bottom w:val="single" w:color="auto" w:sz="12" w:space="0"/>
            </w:tcBorders>
            <w:noWrap w:val="0"/>
            <w:vAlign w:val="center"/>
          </w:tcPr>
          <w:p>
            <w:pPr>
              <w:pStyle w:val="1874"/>
              <w:widowControl w:val="0"/>
              <w:ind w:firstLine="420"/>
              <w:jc w:val="center"/>
              <w:rPr>
                <w:rFonts w:eastAsia="宋体"/>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80" w:type="pct"/>
            <w:vMerge w:val="restart"/>
            <w:tcBorders>
              <w:top w:val="single" w:color="auto" w:sz="12" w:space="0"/>
            </w:tcBorders>
            <w:noWrap w:val="0"/>
            <w:vAlign w:val="center"/>
          </w:tcPr>
          <w:p>
            <w:pPr>
              <w:jc w:val="center"/>
              <w:rPr>
                <w:rFonts w:ascii="Times New Roman"/>
                <w:color w:val="auto"/>
                <w:sz w:val="20"/>
                <w:szCs w:val="20"/>
              </w:rPr>
            </w:pPr>
            <w:r>
              <w:rPr>
                <w:rFonts w:ascii="Times New Roman"/>
                <w:color w:val="auto"/>
                <w:sz w:val="20"/>
                <w:szCs w:val="20"/>
              </w:rPr>
              <w:t>1</w:t>
            </w:r>
          </w:p>
        </w:tc>
        <w:tc>
          <w:tcPr>
            <w:tcW w:w="799" w:type="pct"/>
            <w:vMerge w:val="restart"/>
            <w:tcBorders>
              <w:top w:val="single" w:color="auto" w:sz="12" w:space="0"/>
            </w:tcBorders>
            <w:noWrap w:val="0"/>
            <w:vAlign w:val="center"/>
          </w:tcPr>
          <w:p>
            <w:pPr>
              <w:pStyle w:val="1874"/>
              <w:widowControl w:val="0"/>
              <w:jc w:val="center"/>
              <w:rPr>
                <w:rFonts w:eastAsia="宋体"/>
                <w:color w:val="auto"/>
                <w:sz w:val="20"/>
                <w:szCs w:val="20"/>
              </w:rPr>
            </w:pPr>
            <w:r>
              <w:rPr>
                <w:rFonts w:hint="eastAsia" w:ascii="Times New Roman"/>
                <w:color w:val="auto"/>
                <w:sz w:val="20"/>
                <w:szCs w:val="20"/>
              </w:rPr>
              <w:t>枝江市百里洲水厂新建取水口（在建）</w:t>
            </w:r>
          </w:p>
        </w:tc>
        <w:tc>
          <w:tcPr>
            <w:tcW w:w="1387" w:type="pct"/>
            <w:tcBorders>
              <w:top w:val="single" w:color="auto" w:sz="12" w:space="0"/>
            </w:tcBorders>
            <w:noWrap w:val="0"/>
            <w:vAlign w:val="center"/>
          </w:tcPr>
          <w:p>
            <w:pPr>
              <w:jc w:val="center"/>
              <w:rPr>
                <w:rFonts w:ascii="Times New Roman"/>
                <w:color w:val="auto"/>
                <w:sz w:val="20"/>
                <w:szCs w:val="20"/>
              </w:rPr>
            </w:pPr>
            <w:r>
              <w:rPr>
                <w:rFonts w:ascii="Times New Roman"/>
                <w:color w:val="auto"/>
                <w:sz w:val="20"/>
                <w:szCs w:val="20"/>
              </w:rPr>
              <w:t>长度：取水口上游1000米，下游100米；</w:t>
            </w:r>
          </w:p>
          <w:p>
            <w:pPr>
              <w:jc w:val="center"/>
              <w:rPr>
                <w:rFonts w:ascii="Times New Roman"/>
                <w:color w:val="auto"/>
                <w:sz w:val="20"/>
                <w:szCs w:val="20"/>
              </w:rPr>
            </w:pPr>
            <w:r>
              <w:rPr>
                <w:rFonts w:ascii="Times New Roman"/>
                <w:color w:val="auto"/>
                <w:sz w:val="20"/>
                <w:szCs w:val="20"/>
              </w:rPr>
              <w:t>宽度：长江中弘线至取水口侧防洪堤以内的水域。</w:t>
            </w:r>
          </w:p>
        </w:tc>
        <w:tc>
          <w:tcPr>
            <w:tcW w:w="1454" w:type="pct"/>
            <w:tcBorders>
              <w:top w:val="single" w:color="auto" w:sz="12" w:space="0"/>
            </w:tcBorders>
            <w:noWrap w:val="0"/>
            <w:vAlign w:val="center"/>
          </w:tcPr>
          <w:p>
            <w:pPr>
              <w:jc w:val="center"/>
              <w:rPr>
                <w:rFonts w:ascii="Times New Roman"/>
                <w:color w:val="auto"/>
                <w:sz w:val="20"/>
                <w:szCs w:val="20"/>
              </w:rPr>
            </w:pPr>
            <w:r>
              <w:rPr>
                <w:rFonts w:ascii="Times New Roman"/>
                <w:color w:val="auto"/>
                <w:sz w:val="20"/>
                <w:szCs w:val="20"/>
              </w:rPr>
              <w:t>长度：取水口上游3000米，下游300米；</w:t>
            </w:r>
          </w:p>
          <w:p>
            <w:pPr>
              <w:jc w:val="center"/>
              <w:rPr>
                <w:rFonts w:ascii="Times New Roman"/>
                <w:color w:val="auto"/>
                <w:sz w:val="20"/>
                <w:szCs w:val="20"/>
              </w:rPr>
            </w:pPr>
            <w:r>
              <w:rPr>
                <w:rFonts w:ascii="Times New Roman"/>
                <w:color w:val="auto"/>
                <w:sz w:val="20"/>
                <w:szCs w:val="20"/>
              </w:rPr>
              <w:t>宽度：长江中弘线至取水口侧防洪堤以内的水域。</w:t>
            </w:r>
          </w:p>
        </w:tc>
        <w:tc>
          <w:tcPr>
            <w:tcW w:w="1077" w:type="pct"/>
            <w:vMerge w:val="restart"/>
            <w:tcBorders>
              <w:top w:val="single" w:color="auto" w:sz="12" w:space="0"/>
            </w:tcBorders>
            <w:noWrap w:val="0"/>
            <w:vAlign w:val="center"/>
          </w:tcPr>
          <w:p>
            <w:pPr>
              <w:jc w:val="center"/>
              <w:rPr>
                <w:rFonts w:ascii="Times New Roman"/>
                <w:color w:val="auto"/>
                <w:sz w:val="20"/>
                <w:szCs w:val="20"/>
              </w:rPr>
            </w:pPr>
            <w:r>
              <w:rPr>
                <w:rFonts w:hint="eastAsia" w:ascii="Times New Roman"/>
                <w:color w:val="auto"/>
                <w:sz w:val="20"/>
                <w:szCs w:val="20"/>
              </w:rPr>
              <w:t>一级保护区上边界距离码头下游下端线最近距离约</w:t>
            </w:r>
            <w:r>
              <w:rPr>
                <w:rFonts w:hint="eastAsia"/>
                <w:color w:val="auto"/>
                <w:sz w:val="20"/>
                <w:szCs w:val="20"/>
                <w:lang w:val="en-US" w:eastAsia="zh-CN"/>
              </w:rPr>
              <w:t>21</w:t>
            </w:r>
            <w:r>
              <w:rPr>
                <w:rFonts w:hint="eastAsia" w:ascii="Times New Roman"/>
                <w:color w:val="auto"/>
                <w:sz w:val="20"/>
                <w:szCs w:val="20"/>
              </w:rPr>
              <w:t>km，二级保护区上边界距离码头下端线最近距离约</w:t>
            </w:r>
            <w:r>
              <w:rPr>
                <w:rFonts w:hint="eastAsia"/>
                <w:color w:val="auto"/>
                <w:sz w:val="20"/>
                <w:szCs w:val="20"/>
                <w:lang w:val="en-US" w:eastAsia="zh-CN"/>
              </w:rPr>
              <w:t>19</w:t>
            </w:r>
            <w:r>
              <w:rPr>
                <w:rFonts w:hint="eastAsia" w:ascii="Times New Roman"/>
                <w:color w:val="auto"/>
                <w:sz w:val="20"/>
                <w:szCs w:val="20"/>
              </w:rPr>
              <w:t>km</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80" w:type="pct"/>
            <w:vMerge w:val="continue"/>
            <w:noWrap w:val="0"/>
            <w:vAlign w:val="center"/>
          </w:tcPr>
          <w:p>
            <w:pPr>
              <w:jc w:val="center"/>
              <w:rPr>
                <w:rFonts w:ascii="Times New Roman"/>
                <w:color w:val="auto"/>
                <w:sz w:val="20"/>
                <w:szCs w:val="20"/>
              </w:rPr>
            </w:pPr>
          </w:p>
        </w:tc>
        <w:tc>
          <w:tcPr>
            <w:tcW w:w="799" w:type="pct"/>
            <w:vMerge w:val="continue"/>
            <w:noWrap w:val="0"/>
            <w:vAlign w:val="center"/>
          </w:tcPr>
          <w:p>
            <w:pPr>
              <w:pStyle w:val="1874"/>
              <w:widowControl w:val="0"/>
              <w:jc w:val="center"/>
              <w:rPr>
                <w:rFonts w:hint="eastAsia" w:ascii="Times New Roman"/>
                <w:color w:val="auto"/>
                <w:sz w:val="20"/>
                <w:szCs w:val="20"/>
              </w:rPr>
            </w:pPr>
          </w:p>
        </w:tc>
        <w:tc>
          <w:tcPr>
            <w:tcW w:w="1387" w:type="pct"/>
            <w:noWrap w:val="0"/>
            <w:vAlign w:val="center"/>
          </w:tcPr>
          <w:p>
            <w:pPr>
              <w:jc w:val="center"/>
              <w:rPr>
                <w:rFonts w:ascii="Times New Roman"/>
                <w:color w:val="auto"/>
                <w:sz w:val="20"/>
                <w:szCs w:val="20"/>
              </w:rPr>
            </w:pPr>
            <w:r>
              <w:rPr>
                <w:rFonts w:eastAsia="宋体"/>
                <w:color w:val="auto"/>
                <w:sz w:val="20"/>
                <w:szCs w:val="20"/>
              </w:rPr>
              <w:t>一级保护区</w:t>
            </w:r>
            <w:r>
              <w:rPr>
                <w:rFonts w:hint="eastAsia"/>
                <w:color w:val="auto"/>
                <w:sz w:val="20"/>
                <w:szCs w:val="20"/>
                <w:lang w:eastAsia="zh-CN"/>
              </w:rPr>
              <w:t>（</w:t>
            </w:r>
            <w:r>
              <w:rPr>
                <w:rFonts w:hint="eastAsia"/>
                <w:color w:val="auto"/>
                <w:sz w:val="20"/>
                <w:szCs w:val="20"/>
                <w:lang w:val="en-US" w:eastAsia="zh-CN"/>
              </w:rPr>
              <w:t>陆域</w:t>
            </w:r>
            <w:r>
              <w:rPr>
                <w:rFonts w:hint="eastAsia"/>
                <w:color w:val="auto"/>
                <w:sz w:val="20"/>
                <w:szCs w:val="20"/>
                <w:lang w:eastAsia="zh-CN"/>
              </w:rPr>
              <w:t>）</w:t>
            </w:r>
          </w:p>
        </w:tc>
        <w:tc>
          <w:tcPr>
            <w:tcW w:w="1454" w:type="pct"/>
            <w:noWrap w:val="0"/>
            <w:vAlign w:val="center"/>
          </w:tcPr>
          <w:p>
            <w:pPr>
              <w:jc w:val="center"/>
              <w:rPr>
                <w:rFonts w:ascii="Times New Roman"/>
                <w:color w:val="auto"/>
                <w:sz w:val="20"/>
                <w:szCs w:val="20"/>
              </w:rPr>
            </w:pPr>
            <w:r>
              <w:rPr>
                <w:rFonts w:eastAsia="宋体"/>
                <w:color w:val="auto"/>
                <w:sz w:val="20"/>
                <w:szCs w:val="20"/>
              </w:rPr>
              <w:t>一级保护区</w:t>
            </w:r>
            <w:r>
              <w:rPr>
                <w:rFonts w:hint="eastAsia"/>
                <w:color w:val="auto"/>
                <w:sz w:val="20"/>
                <w:szCs w:val="20"/>
                <w:lang w:eastAsia="zh-CN"/>
              </w:rPr>
              <w:t>（</w:t>
            </w:r>
            <w:r>
              <w:rPr>
                <w:rFonts w:hint="eastAsia"/>
                <w:color w:val="auto"/>
                <w:sz w:val="20"/>
                <w:szCs w:val="20"/>
                <w:lang w:val="en-US" w:eastAsia="zh-CN"/>
              </w:rPr>
              <w:t>陆域</w:t>
            </w:r>
            <w:r>
              <w:rPr>
                <w:rFonts w:hint="eastAsia"/>
                <w:color w:val="auto"/>
                <w:sz w:val="20"/>
                <w:szCs w:val="20"/>
                <w:lang w:eastAsia="zh-CN"/>
              </w:rPr>
              <w:t>）</w:t>
            </w:r>
          </w:p>
        </w:tc>
        <w:tc>
          <w:tcPr>
            <w:tcW w:w="1077" w:type="pct"/>
            <w:vMerge w:val="continue"/>
            <w:noWrap w:val="0"/>
            <w:vAlign w:val="center"/>
          </w:tcPr>
          <w:p>
            <w:pPr>
              <w:jc w:val="center"/>
              <w:rPr>
                <w:rFonts w:ascii="Times New Roman"/>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280" w:type="pct"/>
            <w:vMerge w:val="continue"/>
            <w:noWrap w:val="0"/>
            <w:vAlign w:val="center"/>
          </w:tcPr>
          <w:p>
            <w:pPr>
              <w:jc w:val="center"/>
              <w:rPr>
                <w:rFonts w:ascii="Times New Roman"/>
                <w:color w:val="auto"/>
                <w:sz w:val="20"/>
                <w:szCs w:val="20"/>
              </w:rPr>
            </w:pPr>
          </w:p>
        </w:tc>
        <w:tc>
          <w:tcPr>
            <w:tcW w:w="799" w:type="pct"/>
            <w:vMerge w:val="continue"/>
            <w:noWrap w:val="0"/>
            <w:vAlign w:val="center"/>
          </w:tcPr>
          <w:p>
            <w:pPr>
              <w:pStyle w:val="1874"/>
              <w:widowControl w:val="0"/>
              <w:jc w:val="center"/>
              <w:rPr>
                <w:rFonts w:hint="eastAsia" w:ascii="Times New Roman"/>
                <w:color w:val="auto"/>
                <w:sz w:val="20"/>
                <w:szCs w:val="20"/>
              </w:rPr>
            </w:pPr>
          </w:p>
        </w:tc>
        <w:tc>
          <w:tcPr>
            <w:tcW w:w="1387" w:type="pct"/>
            <w:noWrap w:val="0"/>
            <w:vAlign w:val="center"/>
          </w:tcPr>
          <w:p>
            <w:pPr>
              <w:jc w:val="center"/>
              <w:rPr>
                <w:rFonts w:ascii="Times New Roman"/>
                <w:color w:val="auto"/>
                <w:sz w:val="20"/>
                <w:szCs w:val="20"/>
              </w:rPr>
            </w:pPr>
            <w:r>
              <w:rPr>
                <w:rFonts w:hint="eastAsia" w:ascii="Times New Roman"/>
                <w:color w:val="auto"/>
                <w:sz w:val="20"/>
                <w:szCs w:val="20"/>
              </w:rPr>
              <w:t>长度：一级保护区水域河长；宽度:左岸防洪堤以内的陆域。</w:t>
            </w:r>
          </w:p>
        </w:tc>
        <w:tc>
          <w:tcPr>
            <w:tcW w:w="1454" w:type="pct"/>
            <w:noWrap w:val="0"/>
            <w:vAlign w:val="center"/>
          </w:tcPr>
          <w:p>
            <w:pPr>
              <w:jc w:val="center"/>
              <w:rPr>
                <w:rFonts w:hint="eastAsia" w:ascii="Times New Roman" w:eastAsia="宋体"/>
                <w:color w:val="auto"/>
                <w:sz w:val="20"/>
                <w:szCs w:val="20"/>
                <w:lang w:eastAsia="zh-CN"/>
              </w:rPr>
            </w:pPr>
            <w:r>
              <w:rPr>
                <w:rFonts w:hint="eastAsia" w:ascii="Times New Roman"/>
                <w:color w:val="auto"/>
                <w:sz w:val="20"/>
                <w:szCs w:val="20"/>
              </w:rPr>
              <w:t>长度：二级保护区水域河长；宽度:一级保护区外沿江大道北侧以内陆域</w:t>
            </w:r>
            <w:r>
              <w:rPr>
                <w:rFonts w:hint="eastAsia"/>
                <w:color w:val="auto"/>
                <w:sz w:val="20"/>
                <w:szCs w:val="20"/>
                <w:lang w:eastAsia="zh-CN"/>
              </w:rPr>
              <w:t>。</w:t>
            </w:r>
          </w:p>
        </w:tc>
        <w:tc>
          <w:tcPr>
            <w:tcW w:w="1077" w:type="pct"/>
            <w:vMerge w:val="continue"/>
            <w:noWrap w:val="0"/>
            <w:vAlign w:val="center"/>
          </w:tcPr>
          <w:p>
            <w:pPr>
              <w:jc w:val="center"/>
              <w:rPr>
                <w:rFonts w:ascii="Times New Roman"/>
                <w:color w:val="auto"/>
                <w:sz w:val="20"/>
                <w:szCs w:val="20"/>
              </w:rPr>
            </w:pPr>
          </w:p>
        </w:tc>
      </w:tr>
    </w:tbl>
    <w:p>
      <w:pPr>
        <w:widowControl w:val="0"/>
        <w:spacing w:line="360" w:lineRule="auto"/>
        <w:jc w:val="center"/>
        <w:rPr>
          <w:rFonts w:ascii="Times New Roman" w:hAnsi="Times New Roman" w:eastAsia="黑体" w:cs="Times New Roman"/>
          <w:b/>
          <w:color w:val="auto"/>
          <w:szCs w:val="21"/>
        </w:rPr>
      </w:pPr>
      <w:r>
        <w:rPr>
          <w:rFonts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1.6</w:t>
      </w:r>
      <w:r>
        <w:rPr>
          <w:rFonts w:ascii="Times New Roman" w:hAnsi="Times New Roman" w:eastAsia="黑体" w:cs="Times New Roman"/>
          <w:b/>
          <w:color w:val="auto"/>
          <w:szCs w:val="21"/>
        </w:rPr>
        <w:t xml:space="preserve">-2  </w:t>
      </w:r>
      <w:r>
        <w:rPr>
          <w:rFonts w:hint="eastAsia" w:ascii="Times New Roman" w:hAnsi="Times New Roman" w:eastAsia="黑体" w:cs="Times New Roman"/>
          <w:b/>
          <w:color w:val="auto"/>
          <w:szCs w:val="21"/>
          <w:lang w:val="en-US" w:eastAsia="zh-CN"/>
        </w:rPr>
        <w:t>集中式饮用水源</w:t>
      </w:r>
      <w:r>
        <w:rPr>
          <w:rFonts w:ascii="Times New Roman" w:hAnsi="Times New Roman" w:eastAsia="黑体" w:cs="Times New Roman"/>
          <w:b/>
          <w:color w:val="auto"/>
          <w:szCs w:val="21"/>
        </w:rPr>
        <w:t>取水口分布及其与工程的位置关系</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606"/>
        <w:gridCol w:w="1649"/>
        <w:gridCol w:w="1291"/>
        <w:gridCol w:w="1252"/>
        <w:gridCol w:w="20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81" w:type="pct"/>
            <w:noWrap w:val="0"/>
            <w:vAlign w:val="center"/>
          </w:tcPr>
          <w:p>
            <w:pPr>
              <w:jc w:val="center"/>
              <w:rPr>
                <w:rFonts w:ascii="Times New Roman"/>
                <w:color w:val="auto"/>
                <w:sz w:val="20"/>
                <w:szCs w:val="20"/>
              </w:rPr>
            </w:pPr>
            <w:r>
              <w:rPr>
                <w:rFonts w:ascii="Times New Roman"/>
                <w:color w:val="auto"/>
                <w:sz w:val="20"/>
                <w:szCs w:val="20"/>
              </w:rPr>
              <w:t>序号</w:t>
            </w:r>
          </w:p>
        </w:tc>
        <w:tc>
          <w:tcPr>
            <w:tcW w:w="943" w:type="pct"/>
            <w:noWrap w:val="0"/>
            <w:vAlign w:val="center"/>
          </w:tcPr>
          <w:p>
            <w:pPr>
              <w:jc w:val="center"/>
              <w:rPr>
                <w:rFonts w:ascii="Times New Roman"/>
                <w:color w:val="auto"/>
                <w:sz w:val="20"/>
                <w:szCs w:val="20"/>
              </w:rPr>
            </w:pPr>
            <w:r>
              <w:rPr>
                <w:rFonts w:ascii="Times New Roman"/>
                <w:color w:val="auto"/>
                <w:sz w:val="20"/>
                <w:szCs w:val="20"/>
              </w:rPr>
              <w:t>取水口名称</w:t>
            </w:r>
          </w:p>
        </w:tc>
        <w:tc>
          <w:tcPr>
            <w:tcW w:w="968" w:type="pct"/>
            <w:noWrap w:val="0"/>
            <w:vAlign w:val="center"/>
          </w:tcPr>
          <w:p>
            <w:pPr>
              <w:jc w:val="center"/>
              <w:rPr>
                <w:rFonts w:ascii="Times New Roman"/>
                <w:color w:val="auto"/>
                <w:sz w:val="20"/>
                <w:szCs w:val="20"/>
              </w:rPr>
            </w:pPr>
            <w:r>
              <w:rPr>
                <w:rFonts w:ascii="Times New Roman"/>
                <w:color w:val="auto"/>
                <w:sz w:val="20"/>
                <w:szCs w:val="20"/>
              </w:rPr>
              <w:t>与项目位置关系</w:t>
            </w:r>
          </w:p>
        </w:tc>
        <w:tc>
          <w:tcPr>
            <w:tcW w:w="758" w:type="pct"/>
            <w:noWrap w:val="0"/>
            <w:vAlign w:val="center"/>
          </w:tcPr>
          <w:p>
            <w:pPr>
              <w:jc w:val="center"/>
              <w:rPr>
                <w:rFonts w:ascii="Times New Roman"/>
                <w:color w:val="auto"/>
                <w:sz w:val="20"/>
                <w:szCs w:val="20"/>
              </w:rPr>
            </w:pPr>
            <w:r>
              <w:rPr>
                <w:rFonts w:ascii="Times New Roman"/>
                <w:color w:val="auto"/>
                <w:sz w:val="20"/>
                <w:szCs w:val="20"/>
              </w:rPr>
              <w:t>方位</w:t>
            </w:r>
          </w:p>
        </w:tc>
        <w:tc>
          <w:tcPr>
            <w:tcW w:w="735" w:type="pct"/>
            <w:noWrap w:val="0"/>
            <w:vAlign w:val="center"/>
          </w:tcPr>
          <w:p>
            <w:pPr>
              <w:jc w:val="center"/>
              <w:rPr>
                <w:rFonts w:ascii="Times New Roman"/>
                <w:color w:val="auto"/>
                <w:sz w:val="20"/>
                <w:szCs w:val="20"/>
              </w:rPr>
            </w:pPr>
            <w:r>
              <w:rPr>
                <w:rFonts w:ascii="Times New Roman"/>
                <w:color w:val="auto"/>
                <w:sz w:val="20"/>
                <w:szCs w:val="20"/>
              </w:rPr>
              <w:t>规模</w:t>
            </w:r>
            <w:r>
              <w:rPr>
                <w:rFonts w:ascii="Times New Roman"/>
                <w:color w:val="auto"/>
                <w:sz w:val="20"/>
                <w:szCs w:val="20"/>
                <w:lang w:val="en-GB"/>
              </w:rPr>
              <w:t>(万</w:t>
            </w:r>
            <w:r>
              <w:rPr>
                <w:rFonts w:ascii="Times New Roman"/>
                <w:color w:val="auto"/>
                <w:sz w:val="20"/>
                <w:szCs w:val="20"/>
              </w:rPr>
              <w:t>t/d</w:t>
            </w:r>
            <w:r>
              <w:rPr>
                <w:rFonts w:ascii="Times New Roman"/>
                <w:color w:val="auto"/>
                <w:sz w:val="20"/>
                <w:szCs w:val="20"/>
                <w:lang w:val="en-GB"/>
              </w:rPr>
              <w:t>)</w:t>
            </w:r>
          </w:p>
        </w:tc>
        <w:tc>
          <w:tcPr>
            <w:tcW w:w="1212" w:type="pct"/>
            <w:noWrap w:val="0"/>
            <w:vAlign w:val="center"/>
          </w:tcPr>
          <w:p>
            <w:pPr>
              <w:jc w:val="center"/>
              <w:rPr>
                <w:rFonts w:ascii="Times New Roman"/>
                <w:color w:val="auto"/>
                <w:sz w:val="20"/>
                <w:szCs w:val="20"/>
              </w:rPr>
            </w:pPr>
            <w:r>
              <w:rPr>
                <w:rFonts w:ascii="Times New Roman"/>
                <w:color w:val="auto"/>
                <w:sz w:val="20"/>
                <w:szCs w:val="20"/>
              </w:rPr>
              <w:t>基本情况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1" w:type="pct"/>
            <w:noWrap w:val="0"/>
            <w:vAlign w:val="center"/>
          </w:tcPr>
          <w:p>
            <w:pPr>
              <w:jc w:val="center"/>
              <w:rPr>
                <w:rFonts w:ascii="Times New Roman"/>
                <w:color w:val="auto"/>
                <w:sz w:val="20"/>
                <w:szCs w:val="20"/>
              </w:rPr>
            </w:pPr>
            <w:r>
              <w:rPr>
                <w:rFonts w:ascii="Times New Roman"/>
                <w:color w:val="auto"/>
                <w:sz w:val="20"/>
                <w:szCs w:val="20"/>
              </w:rPr>
              <w:t>1</w:t>
            </w:r>
          </w:p>
        </w:tc>
        <w:tc>
          <w:tcPr>
            <w:tcW w:w="943" w:type="pct"/>
            <w:noWrap w:val="0"/>
            <w:vAlign w:val="center"/>
          </w:tcPr>
          <w:p>
            <w:pPr>
              <w:jc w:val="center"/>
              <w:rPr>
                <w:rFonts w:ascii="Times New Roman"/>
                <w:color w:val="auto"/>
                <w:sz w:val="20"/>
                <w:szCs w:val="20"/>
              </w:rPr>
            </w:pPr>
            <w:r>
              <w:rPr>
                <w:rFonts w:hint="eastAsia" w:ascii="Times New Roman"/>
                <w:color w:val="auto"/>
                <w:sz w:val="20"/>
                <w:szCs w:val="20"/>
              </w:rPr>
              <w:t>枝江市百里洲水厂新建取水口（在建）</w:t>
            </w:r>
          </w:p>
        </w:tc>
        <w:tc>
          <w:tcPr>
            <w:tcW w:w="968" w:type="pct"/>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码头</w:t>
            </w:r>
            <w:r>
              <w:rPr>
                <w:rFonts w:ascii="Times New Roman"/>
                <w:color w:val="auto"/>
                <w:sz w:val="20"/>
                <w:szCs w:val="20"/>
              </w:rPr>
              <w:t>下游</w:t>
            </w:r>
            <w:r>
              <w:rPr>
                <w:rFonts w:hint="eastAsia"/>
                <w:color w:val="auto"/>
                <w:sz w:val="20"/>
                <w:szCs w:val="20"/>
                <w:lang w:val="en-US" w:eastAsia="zh-CN"/>
              </w:rPr>
              <w:t>下端线</w:t>
            </w:r>
            <w:r>
              <w:rPr>
                <w:rFonts w:ascii="Times New Roman"/>
                <w:color w:val="auto"/>
                <w:sz w:val="20"/>
                <w:szCs w:val="20"/>
              </w:rPr>
              <w:t>约</w:t>
            </w:r>
            <w:r>
              <w:rPr>
                <w:rFonts w:hint="eastAsia"/>
                <w:color w:val="auto"/>
                <w:sz w:val="20"/>
                <w:szCs w:val="20"/>
                <w:lang w:val="en-US" w:eastAsia="zh-CN"/>
              </w:rPr>
              <w:t>22</w:t>
            </w:r>
            <w:r>
              <w:rPr>
                <w:rFonts w:ascii="Times New Roman"/>
                <w:color w:val="auto"/>
                <w:sz w:val="20"/>
                <w:szCs w:val="20"/>
              </w:rPr>
              <w:t>km</w:t>
            </w:r>
            <w:r>
              <w:rPr>
                <w:rFonts w:hint="eastAsia"/>
                <w:color w:val="auto"/>
                <w:sz w:val="20"/>
                <w:szCs w:val="20"/>
                <w:lang w:eastAsia="zh-CN"/>
              </w:rPr>
              <w:t>，</w:t>
            </w:r>
            <w:r>
              <w:rPr>
                <w:rFonts w:hint="eastAsia"/>
                <w:color w:val="auto"/>
                <w:sz w:val="20"/>
                <w:szCs w:val="20"/>
                <w:lang w:val="en-US" w:eastAsia="zh-CN"/>
              </w:rPr>
              <w:t>同岸</w:t>
            </w:r>
          </w:p>
        </w:tc>
        <w:tc>
          <w:tcPr>
            <w:tcW w:w="758" w:type="pct"/>
            <w:noWrap w:val="0"/>
            <w:vAlign w:val="center"/>
          </w:tcPr>
          <w:p>
            <w:pPr>
              <w:jc w:val="center"/>
              <w:rPr>
                <w:rFonts w:hint="eastAsia" w:ascii="Times New Roman" w:eastAsia="宋体"/>
                <w:color w:val="auto"/>
                <w:sz w:val="20"/>
                <w:szCs w:val="20"/>
                <w:lang w:val="en-US" w:eastAsia="zh-CN"/>
              </w:rPr>
            </w:pPr>
            <w:r>
              <w:rPr>
                <w:rFonts w:ascii="Times New Roman"/>
                <w:color w:val="auto"/>
                <w:sz w:val="20"/>
                <w:szCs w:val="20"/>
              </w:rPr>
              <w:t>长江</w:t>
            </w:r>
            <w:r>
              <w:rPr>
                <w:rFonts w:hint="eastAsia"/>
                <w:color w:val="auto"/>
                <w:sz w:val="20"/>
                <w:szCs w:val="20"/>
                <w:lang w:val="en-US" w:eastAsia="zh-CN"/>
              </w:rPr>
              <w:t>右岸</w:t>
            </w:r>
          </w:p>
        </w:tc>
        <w:tc>
          <w:tcPr>
            <w:tcW w:w="735" w:type="pct"/>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2.8</w:t>
            </w:r>
          </w:p>
        </w:tc>
        <w:tc>
          <w:tcPr>
            <w:tcW w:w="1212" w:type="pct"/>
            <w:noWrap w:val="0"/>
            <w:vAlign w:val="center"/>
          </w:tcPr>
          <w:p>
            <w:pPr>
              <w:jc w:val="center"/>
              <w:rPr>
                <w:rFonts w:ascii="Times New Roman"/>
                <w:color w:val="auto"/>
                <w:sz w:val="20"/>
                <w:szCs w:val="20"/>
              </w:rPr>
            </w:pPr>
            <w:r>
              <w:rPr>
                <w:rFonts w:hint="eastAsia" w:ascii="Times New Roman"/>
                <w:color w:val="auto"/>
                <w:sz w:val="20"/>
                <w:szCs w:val="20"/>
              </w:rPr>
              <w:t>泵房取水，服务百里洲镇，服务人口约8万人</w:t>
            </w:r>
          </w:p>
        </w:tc>
      </w:tr>
    </w:tbl>
    <w:p>
      <w:pPr>
        <w:widowControl w:val="0"/>
        <w:adjustRightInd w:val="0"/>
        <w:snapToGrid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因此，本项目评价范围内地表水环境保护目标</w:t>
      </w:r>
      <w:r>
        <w:rPr>
          <w:rFonts w:hint="eastAsia" w:eastAsia="仿宋_GB2312"/>
          <w:color w:val="auto"/>
          <w:sz w:val="24"/>
          <w:lang w:val="en-US" w:eastAsia="zh-CN"/>
        </w:rPr>
        <w:t>见</w:t>
      </w:r>
      <w:r>
        <w:rPr>
          <w:rFonts w:hint="eastAsia" w:eastAsia="仿宋_GB2312"/>
          <w:color w:val="auto"/>
          <w:sz w:val="24"/>
          <w:lang w:eastAsia="zh-CN"/>
        </w:rPr>
        <w:t>下表。</w:t>
      </w:r>
    </w:p>
    <w:p>
      <w:pPr>
        <w:widowControl w:val="0"/>
        <w:spacing w:line="360" w:lineRule="auto"/>
        <w:jc w:val="center"/>
        <w:rPr>
          <w:rFonts w:hint="default" w:ascii="Times New Roman" w:hAnsi="Times New Roman" w:eastAsia="黑体" w:cs="Times New Roman"/>
          <w:b/>
          <w:color w:val="auto"/>
          <w:szCs w:val="21"/>
          <w:lang w:val="en-US" w:eastAsia="zh-CN"/>
        </w:rPr>
      </w:pPr>
      <w:r>
        <w:rPr>
          <w:rFonts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1.6</w:t>
      </w:r>
      <w:r>
        <w:rPr>
          <w:rFonts w:ascii="Times New Roman" w:hAnsi="Times New Roman" w:eastAsia="黑体" w:cs="Times New Roman"/>
          <w:b/>
          <w:color w:val="auto"/>
          <w:szCs w:val="21"/>
        </w:rPr>
        <w:t>-</w:t>
      </w:r>
      <w:r>
        <w:rPr>
          <w:rFonts w:hint="eastAsia" w:eastAsia="黑体" w:cs="Times New Roman"/>
          <w:b/>
          <w:color w:val="auto"/>
          <w:szCs w:val="21"/>
          <w:lang w:val="en-US" w:eastAsia="zh-CN"/>
        </w:rPr>
        <w:t>3</w:t>
      </w:r>
      <w:r>
        <w:rPr>
          <w:rFonts w:ascii="Times New Roman" w:hAnsi="Times New Roman" w:eastAsia="黑体" w:cs="Times New Roman"/>
          <w:b/>
          <w:color w:val="auto"/>
          <w:szCs w:val="21"/>
        </w:rPr>
        <w:t xml:space="preserve">  </w:t>
      </w:r>
      <w:r>
        <w:rPr>
          <w:rFonts w:hint="eastAsia" w:eastAsia="黑体" w:cs="Times New Roman"/>
          <w:b/>
          <w:color w:val="auto"/>
          <w:szCs w:val="21"/>
          <w:lang w:val="en-US" w:eastAsia="zh-CN"/>
        </w:rPr>
        <w:t>地表水环境保护目标一览表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8"/>
        <w:gridCol w:w="4320"/>
        <w:gridCol w:w="1018"/>
        <w:gridCol w:w="13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62" w:type="pct"/>
            <w:tcBorders>
              <w:bottom w:val="single" w:color="auto" w:sz="12" w:space="0"/>
            </w:tcBorders>
            <w:noWrap w:val="0"/>
            <w:vAlign w:val="center"/>
          </w:tcPr>
          <w:p>
            <w:pPr>
              <w:jc w:val="center"/>
              <w:rPr>
                <w:rFonts w:hint="eastAsia" w:ascii="Times New Roman" w:eastAsia="宋体"/>
                <w:color w:val="auto"/>
                <w:sz w:val="20"/>
                <w:szCs w:val="20"/>
                <w:lang w:val="en-US" w:eastAsia="zh-CN"/>
              </w:rPr>
            </w:pPr>
            <w:r>
              <w:rPr>
                <w:rFonts w:hint="eastAsia"/>
                <w:color w:val="auto"/>
                <w:sz w:val="20"/>
                <w:szCs w:val="20"/>
                <w:lang w:val="en-US" w:eastAsia="zh-CN"/>
              </w:rPr>
              <w:t>保护目标</w:t>
            </w:r>
          </w:p>
        </w:tc>
        <w:tc>
          <w:tcPr>
            <w:tcW w:w="2537"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位置及距离</w:t>
            </w:r>
          </w:p>
        </w:tc>
        <w:tc>
          <w:tcPr>
            <w:tcW w:w="598" w:type="pct"/>
            <w:tcBorders>
              <w:bottom w:val="single" w:color="auto" w:sz="12" w:space="0"/>
            </w:tcBorders>
            <w:noWrap w:val="0"/>
            <w:vAlign w:val="center"/>
          </w:tcPr>
          <w:p>
            <w:pPr>
              <w:jc w:val="center"/>
              <w:rPr>
                <w:rFonts w:hint="eastAsia" w:ascii="Times New Roman" w:eastAsia="宋体"/>
                <w:color w:val="auto"/>
                <w:sz w:val="20"/>
                <w:szCs w:val="20"/>
                <w:lang w:val="en-US" w:eastAsia="zh-CN"/>
              </w:rPr>
            </w:pPr>
            <w:r>
              <w:rPr>
                <w:rFonts w:hint="eastAsia"/>
                <w:color w:val="auto"/>
                <w:sz w:val="20"/>
                <w:szCs w:val="20"/>
                <w:lang w:val="en-US" w:eastAsia="zh-CN"/>
              </w:rPr>
              <w:t>方位</w:t>
            </w:r>
          </w:p>
        </w:tc>
        <w:tc>
          <w:tcPr>
            <w:tcW w:w="802"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环境功能区划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2" w:type="pct"/>
            <w:tcBorders>
              <w:top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长江（宜都）段</w:t>
            </w:r>
          </w:p>
        </w:tc>
        <w:tc>
          <w:tcPr>
            <w:tcW w:w="2537" w:type="pct"/>
            <w:tcBorders>
              <w:top w:val="single" w:color="auto" w:sz="12" w:space="0"/>
            </w:tcBorders>
            <w:noWrap w:val="0"/>
            <w:vAlign w:val="center"/>
          </w:tcPr>
          <w:p>
            <w:pPr>
              <w:jc w:val="center"/>
              <w:rPr>
                <w:rFonts w:ascii="Times New Roman"/>
                <w:color w:val="auto"/>
                <w:sz w:val="20"/>
                <w:szCs w:val="20"/>
              </w:rPr>
            </w:pPr>
            <w:r>
              <w:rPr>
                <w:rFonts w:hint="eastAsia" w:ascii="Times New Roman"/>
                <w:color w:val="auto"/>
                <w:sz w:val="20"/>
                <w:szCs w:val="20"/>
              </w:rPr>
              <w:t>码头所在水体</w:t>
            </w:r>
          </w:p>
        </w:tc>
        <w:tc>
          <w:tcPr>
            <w:tcW w:w="598" w:type="pct"/>
            <w:tcBorders>
              <w:top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北侧</w:t>
            </w:r>
          </w:p>
        </w:tc>
        <w:tc>
          <w:tcPr>
            <w:tcW w:w="802" w:type="pct"/>
            <w:vMerge w:val="restart"/>
            <w:tcBorders>
              <w:top w:val="single" w:color="auto" w:sz="12" w:space="0"/>
            </w:tcBorders>
            <w:noWrap w:val="0"/>
            <w:vAlign w:val="center"/>
          </w:tcPr>
          <w:p>
            <w:pPr>
              <w:jc w:val="center"/>
              <w:rPr>
                <w:rFonts w:ascii="Times New Roman"/>
                <w:color w:val="auto"/>
                <w:sz w:val="20"/>
                <w:szCs w:val="20"/>
              </w:rPr>
            </w:pPr>
            <w:r>
              <w:rPr>
                <w:rFonts w:hint="eastAsia" w:ascii="Times New Roman"/>
                <w:color w:val="auto"/>
                <w:sz w:val="20"/>
                <w:szCs w:val="20"/>
              </w:rPr>
              <w:t>《地表水环境质量标准》（GB3838-2002）Ⅱ类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2" w:type="pct"/>
            <w:noWrap w:val="0"/>
            <w:vAlign w:val="center"/>
          </w:tcPr>
          <w:p>
            <w:pPr>
              <w:jc w:val="center"/>
              <w:rPr>
                <w:rFonts w:hint="default" w:ascii="Times New Roman" w:eastAsia="宋体"/>
                <w:color w:val="auto"/>
                <w:sz w:val="20"/>
                <w:szCs w:val="20"/>
                <w:lang w:val="en-US" w:eastAsia="zh-CN"/>
              </w:rPr>
            </w:pPr>
            <w:r>
              <w:rPr>
                <w:rFonts w:hint="eastAsia" w:ascii="Times New Roman"/>
                <w:color w:val="auto"/>
                <w:sz w:val="20"/>
                <w:szCs w:val="20"/>
              </w:rPr>
              <w:t>枝江市百里洲水厂新建取水口（在建）</w:t>
            </w:r>
            <w:r>
              <w:rPr>
                <w:rFonts w:hint="eastAsia"/>
                <w:color w:val="auto"/>
                <w:sz w:val="20"/>
                <w:szCs w:val="20"/>
                <w:lang w:val="en-US" w:eastAsia="zh-CN"/>
              </w:rPr>
              <w:t>及水源地保护区</w:t>
            </w:r>
          </w:p>
        </w:tc>
        <w:tc>
          <w:tcPr>
            <w:tcW w:w="2537" w:type="pct"/>
            <w:noWrap w:val="0"/>
            <w:vAlign w:val="center"/>
          </w:tcPr>
          <w:p>
            <w:pPr>
              <w:jc w:val="center"/>
              <w:rPr>
                <w:rFonts w:ascii="Times New Roman"/>
                <w:color w:val="auto"/>
                <w:sz w:val="20"/>
                <w:szCs w:val="20"/>
              </w:rPr>
            </w:pPr>
            <w:r>
              <w:rPr>
                <w:rFonts w:hint="eastAsia" w:ascii="Times New Roman"/>
                <w:color w:val="auto"/>
                <w:sz w:val="20"/>
                <w:szCs w:val="20"/>
              </w:rPr>
              <w:t>取水口坐标经度111.70468</w:t>
            </w:r>
            <w:r>
              <w:rPr>
                <w:rFonts w:hint="eastAsia"/>
                <w:color w:val="auto"/>
                <w:sz w:val="20"/>
                <w:szCs w:val="20"/>
                <w:lang w:eastAsia="zh-CN"/>
              </w:rPr>
              <w:t>，</w:t>
            </w:r>
            <w:r>
              <w:rPr>
                <w:rFonts w:hint="eastAsia"/>
                <w:color w:val="auto"/>
                <w:sz w:val="20"/>
                <w:szCs w:val="20"/>
                <w:lang w:val="en-US" w:eastAsia="zh-CN"/>
              </w:rPr>
              <w:t>纬度</w:t>
            </w:r>
            <w:r>
              <w:rPr>
                <w:rFonts w:hint="eastAsia" w:ascii="Times New Roman"/>
                <w:color w:val="auto"/>
                <w:sz w:val="20"/>
                <w:szCs w:val="20"/>
              </w:rPr>
              <w:t>30.39257，取水口距离码头下游下端线约</w:t>
            </w:r>
            <w:r>
              <w:rPr>
                <w:rFonts w:hint="eastAsia"/>
                <w:color w:val="auto"/>
                <w:sz w:val="20"/>
                <w:szCs w:val="20"/>
                <w:lang w:val="en-US" w:eastAsia="zh-CN"/>
              </w:rPr>
              <w:t>22</w:t>
            </w:r>
            <w:r>
              <w:rPr>
                <w:rFonts w:hint="eastAsia" w:ascii="Times New Roman"/>
                <w:color w:val="auto"/>
                <w:sz w:val="20"/>
                <w:szCs w:val="20"/>
              </w:rPr>
              <w:t>km，一级保护区上边界距离码头下游下端线最近距离约</w:t>
            </w:r>
            <w:r>
              <w:rPr>
                <w:rFonts w:hint="eastAsia"/>
                <w:color w:val="auto"/>
                <w:sz w:val="20"/>
                <w:szCs w:val="20"/>
                <w:lang w:val="en-US" w:eastAsia="zh-CN"/>
              </w:rPr>
              <w:t>2</w:t>
            </w:r>
            <w:r>
              <w:rPr>
                <w:rFonts w:hint="eastAsia" w:ascii="Times New Roman"/>
                <w:color w:val="auto"/>
                <w:sz w:val="20"/>
                <w:szCs w:val="20"/>
              </w:rPr>
              <w:t>1km，二级保护区上边界距离码头下端线最近距离约</w:t>
            </w:r>
            <w:r>
              <w:rPr>
                <w:rFonts w:hint="eastAsia"/>
                <w:color w:val="auto"/>
                <w:sz w:val="20"/>
                <w:szCs w:val="20"/>
                <w:lang w:val="en-US" w:eastAsia="zh-CN"/>
              </w:rPr>
              <w:t>19</w:t>
            </w:r>
            <w:r>
              <w:rPr>
                <w:rFonts w:hint="eastAsia" w:ascii="Times New Roman"/>
                <w:color w:val="auto"/>
                <w:sz w:val="20"/>
                <w:szCs w:val="20"/>
              </w:rPr>
              <w:t>km</w:t>
            </w:r>
          </w:p>
        </w:tc>
        <w:tc>
          <w:tcPr>
            <w:tcW w:w="598" w:type="pct"/>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下游同岸</w:t>
            </w:r>
          </w:p>
        </w:tc>
        <w:tc>
          <w:tcPr>
            <w:tcW w:w="802" w:type="pct"/>
            <w:vMerge w:val="continue"/>
            <w:noWrap w:val="0"/>
            <w:vAlign w:val="center"/>
          </w:tcPr>
          <w:p>
            <w:pPr>
              <w:jc w:val="center"/>
              <w:rPr>
                <w:rFonts w:ascii="Times New Roman"/>
                <w:color w:val="auto"/>
                <w:sz w:val="20"/>
                <w:szCs w:val="20"/>
              </w:rPr>
            </w:pPr>
          </w:p>
        </w:tc>
      </w:tr>
    </w:tbl>
    <w:p>
      <w:pPr>
        <w:pStyle w:val="9"/>
        <w:widowControl w:val="0"/>
        <w:spacing w:before="120" w:after="120" w:line="360" w:lineRule="auto"/>
        <w:rPr>
          <w:rFonts w:hint="eastAsia" w:ascii="Times New Roman" w:hAnsi="Times New Roman" w:eastAsia="黑体" w:cs="Times New Roman"/>
          <w:b w:val="0"/>
          <w:bCs/>
          <w:color w:val="auto"/>
          <w:sz w:val="24"/>
          <w:lang w:eastAsia="zh-CN"/>
        </w:rPr>
      </w:pPr>
      <w:bookmarkStart w:id="274" w:name="_Toc18866"/>
      <w:r>
        <w:rPr>
          <w:rFonts w:hint="eastAsia" w:ascii="Times New Roman" w:hAnsi="Times New Roman" w:eastAsia="黑体" w:cs="Times New Roman"/>
          <w:b w:val="0"/>
          <w:bCs/>
          <w:color w:val="auto"/>
          <w:sz w:val="24"/>
          <w:lang w:eastAsia="zh-CN"/>
        </w:rPr>
        <w:t>1.6.</w:t>
      </w:r>
      <w:r>
        <w:rPr>
          <w:rFonts w:hint="eastAsia" w:eastAsia="黑体" w:cs="Times New Roman"/>
          <w:b w:val="0"/>
          <w:bCs/>
          <w:color w:val="auto"/>
          <w:sz w:val="24"/>
          <w:lang w:val="en-US" w:eastAsia="zh-CN"/>
        </w:rPr>
        <w:t>4</w:t>
      </w:r>
      <w:r>
        <w:rPr>
          <w:rFonts w:hint="eastAsia" w:ascii="Times New Roman" w:hAnsi="Times New Roman" w:eastAsia="黑体" w:cs="Times New Roman"/>
          <w:b w:val="0"/>
          <w:bCs/>
          <w:color w:val="auto"/>
          <w:sz w:val="24"/>
          <w:lang w:val="en-US" w:eastAsia="zh-CN"/>
        </w:rPr>
        <w:t>大气</w:t>
      </w:r>
      <w:r>
        <w:rPr>
          <w:rFonts w:hint="eastAsia" w:ascii="Times New Roman" w:hAnsi="Times New Roman" w:eastAsia="黑体" w:cs="Times New Roman"/>
          <w:b w:val="0"/>
          <w:bCs/>
          <w:color w:val="auto"/>
          <w:sz w:val="24"/>
          <w:lang w:eastAsia="zh-CN"/>
        </w:rPr>
        <w:t>环境</w:t>
      </w:r>
      <w:r>
        <w:rPr>
          <w:rFonts w:hint="eastAsia" w:eastAsia="黑体" w:cs="Times New Roman"/>
          <w:b w:val="0"/>
          <w:bCs/>
          <w:color w:val="auto"/>
          <w:sz w:val="24"/>
          <w:lang w:val="en-US" w:eastAsia="zh-CN"/>
        </w:rPr>
        <w:t>及声环境</w:t>
      </w:r>
      <w:r>
        <w:rPr>
          <w:rFonts w:hint="eastAsia" w:ascii="Times New Roman" w:hAnsi="Times New Roman" w:eastAsia="黑体" w:cs="Times New Roman"/>
          <w:b w:val="0"/>
          <w:bCs/>
          <w:color w:val="auto"/>
          <w:sz w:val="24"/>
          <w:lang w:val="en-US" w:eastAsia="zh-CN"/>
        </w:rPr>
        <w:t>保护</w:t>
      </w:r>
      <w:r>
        <w:rPr>
          <w:rFonts w:hint="eastAsia" w:ascii="Times New Roman" w:hAnsi="Times New Roman" w:eastAsia="黑体" w:cs="Times New Roman"/>
          <w:b w:val="0"/>
          <w:bCs/>
          <w:color w:val="auto"/>
          <w:sz w:val="24"/>
          <w:lang w:eastAsia="zh-CN"/>
        </w:rPr>
        <w:t>目标</w:t>
      </w:r>
      <w:bookmarkEnd w:id="274"/>
    </w:p>
    <w:p>
      <w:pPr>
        <w:widowControl w:val="0"/>
        <w:adjustRightInd w:val="0"/>
        <w:snapToGrid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大气环境</w:t>
      </w:r>
      <w:r>
        <w:rPr>
          <w:rFonts w:hint="eastAsia" w:eastAsia="仿宋_GB2312"/>
          <w:color w:val="auto"/>
          <w:sz w:val="24"/>
        </w:rPr>
        <w:t>保护目标主要为工程附近</w:t>
      </w:r>
      <w:r>
        <w:rPr>
          <w:rFonts w:hint="eastAsia" w:ascii="Times New Roman" w:hAnsi="Times New Roman" w:eastAsia="仿宋_GB2312" w:cs="Times New Roman"/>
          <w:color w:val="auto"/>
          <w:sz w:val="24"/>
        </w:rPr>
        <w:t>的</w:t>
      </w:r>
      <w:r>
        <w:rPr>
          <w:rFonts w:hint="eastAsia" w:ascii="Times New Roman" w:hAnsi="Times New Roman" w:eastAsia="仿宋_GB2312" w:cs="Times New Roman"/>
          <w:color w:val="auto"/>
          <w:sz w:val="24"/>
          <w:lang w:val="en-US" w:eastAsia="zh-CN"/>
        </w:rPr>
        <w:t>3</w:t>
      </w:r>
      <w:r>
        <w:rPr>
          <w:rFonts w:hint="eastAsia" w:ascii="Times New Roman" w:hAnsi="Times New Roman" w:eastAsia="仿宋_GB2312" w:cs="Times New Roman"/>
          <w:color w:val="auto"/>
          <w:sz w:val="24"/>
        </w:rPr>
        <w:t>个村庄或社区及2个学校，声环</w:t>
      </w:r>
      <w:r>
        <w:rPr>
          <w:rFonts w:hint="eastAsia" w:eastAsia="仿宋_GB2312"/>
          <w:color w:val="auto"/>
          <w:sz w:val="24"/>
        </w:rPr>
        <w:t>境保护目标主要为工程附近的1个村庄。环境空气</w:t>
      </w:r>
      <w:r>
        <w:rPr>
          <w:rFonts w:hint="eastAsia" w:eastAsia="仿宋_GB2312"/>
          <w:color w:val="auto"/>
          <w:sz w:val="24"/>
          <w:lang w:val="en-US" w:eastAsia="zh-CN"/>
        </w:rPr>
        <w:t>、水环境及</w:t>
      </w:r>
      <w:r>
        <w:rPr>
          <w:rFonts w:hint="eastAsia" w:eastAsia="仿宋_GB2312"/>
          <w:color w:val="auto"/>
          <w:sz w:val="24"/>
        </w:rPr>
        <w:t>声环境保护目标见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adjustRightInd w:val="0"/>
        <w:snapToGrid w:val="0"/>
        <w:spacing w:line="360" w:lineRule="auto"/>
        <w:jc w:val="center"/>
        <w:rPr>
          <w:rFonts w:hint="eastAsia" w:eastAsia="仿宋_GB2312"/>
          <w:color w:val="auto"/>
          <w:sz w:val="24"/>
        </w:rPr>
      </w:pPr>
      <w:r>
        <w:rPr>
          <w:rFonts w:eastAsia="黑体"/>
          <w:b/>
          <w:color w:val="auto"/>
          <w:szCs w:val="21"/>
        </w:rPr>
        <w:t>表1.6-</w:t>
      </w:r>
      <w:r>
        <w:rPr>
          <w:rFonts w:hint="eastAsia" w:eastAsia="黑体"/>
          <w:b/>
          <w:color w:val="auto"/>
          <w:szCs w:val="21"/>
          <w:lang w:val="en-US" w:eastAsia="zh-CN"/>
        </w:rPr>
        <w:t>4</w:t>
      </w:r>
      <w:r>
        <w:rPr>
          <w:rFonts w:eastAsia="黑体"/>
          <w:b/>
          <w:color w:val="auto"/>
          <w:szCs w:val="21"/>
        </w:rPr>
        <w:t xml:space="preserve">  </w:t>
      </w:r>
      <w:r>
        <w:rPr>
          <w:rFonts w:hint="eastAsia" w:eastAsia="黑体"/>
          <w:b/>
          <w:color w:val="auto"/>
          <w:szCs w:val="21"/>
          <w:lang w:val="en-US" w:eastAsia="zh-CN"/>
        </w:rPr>
        <w:t>大气环境及声</w:t>
      </w:r>
      <w:r>
        <w:rPr>
          <w:rFonts w:eastAsia="黑体"/>
          <w:b/>
          <w:color w:val="auto"/>
          <w:szCs w:val="21"/>
        </w:rPr>
        <w:t>环境保护目标一览表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42" w:type="dxa"/>
          <w:bottom w:w="0" w:type="dxa"/>
          <w:right w:w="142" w:type="dxa"/>
        </w:tblCellMar>
      </w:tblPr>
      <w:tblGrid>
        <w:gridCol w:w="590"/>
        <w:gridCol w:w="842"/>
        <w:gridCol w:w="1132"/>
        <w:gridCol w:w="583"/>
        <w:gridCol w:w="816"/>
        <w:gridCol w:w="1034"/>
        <w:gridCol w:w="1290"/>
        <w:gridCol w:w="882"/>
        <w:gridCol w:w="13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vMerge w:val="restart"/>
            <w:tcBorders>
              <w:top w:val="single" w:color="auto" w:sz="12" w:space="0"/>
            </w:tcBorders>
            <w:noWrap w:val="0"/>
            <w:vAlign w:val="center"/>
          </w:tcPr>
          <w:p>
            <w:pPr>
              <w:widowControl w:val="0"/>
              <w:jc w:val="center"/>
              <w:rPr>
                <w:color w:val="auto"/>
                <w:sz w:val="20"/>
              </w:rPr>
            </w:pPr>
            <w:r>
              <w:rPr>
                <w:color w:val="auto"/>
                <w:sz w:val="20"/>
              </w:rPr>
              <w:t>序号</w:t>
            </w:r>
          </w:p>
        </w:tc>
        <w:tc>
          <w:tcPr>
            <w:tcW w:w="495" w:type="pct"/>
            <w:vMerge w:val="restart"/>
            <w:tcBorders>
              <w:top w:val="single" w:color="auto" w:sz="12" w:space="0"/>
            </w:tcBorders>
            <w:noWrap w:val="0"/>
            <w:vAlign w:val="center"/>
          </w:tcPr>
          <w:p>
            <w:pPr>
              <w:widowControl w:val="0"/>
              <w:jc w:val="center"/>
              <w:rPr>
                <w:color w:val="auto"/>
                <w:sz w:val="20"/>
              </w:rPr>
            </w:pPr>
            <w:r>
              <w:rPr>
                <w:color w:val="auto"/>
                <w:sz w:val="20"/>
              </w:rPr>
              <w:t>环境要素</w:t>
            </w:r>
          </w:p>
        </w:tc>
        <w:tc>
          <w:tcPr>
            <w:tcW w:w="666" w:type="pct"/>
            <w:vMerge w:val="restart"/>
            <w:tcBorders>
              <w:top w:val="single" w:color="auto" w:sz="12" w:space="0"/>
            </w:tcBorders>
            <w:noWrap w:val="0"/>
            <w:tcMar>
              <w:left w:w="57" w:type="dxa"/>
              <w:right w:w="57" w:type="dxa"/>
            </w:tcMar>
            <w:vAlign w:val="center"/>
          </w:tcPr>
          <w:p>
            <w:pPr>
              <w:widowControl w:val="0"/>
              <w:jc w:val="center"/>
              <w:rPr>
                <w:color w:val="auto"/>
                <w:sz w:val="20"/>
              </w:rPr>
            </w:pPr>
            <w:r>
              <w:rPr>
                <w:color w:val="auto"/>
                <w:sz w:val="20"/>
              </w:rPr>
              <w:t>目标名称</w:t>
            </w:r>
          </w:p>
        </w:tc>
        <w:tc>
          <w:tcPr>
            <w:tcW w:w="343" w:type="pct"/>
            <w:vMerge w:val="restart"/>
            <w:tcBorders>
              <w:top w:val="single" w:color="auto" w:sz="12" w:space="0"/>
            </w:tcBorders>
            <w:noWrap w:val="0"/>
            <w:tcMar>
              <w:left w:w="57" w:type="dxa"/>
              <w:right w:w="57" w:type="dxa"/>
            </w:tcMar>
            <w:vAlign w:val="center"/>
          </w:tcPr>
          <w:p>
            <w:pPr>
              <w:widowControl w:val="0"/>
              <w:jc w:val="center"/>
              <w:rPr>
                <w:color w:val="auto"/>
                <w:sz w:val="20"/>
              </w:rPr>
            </w:pPr>
            <w:r>
              <w:rPr>
                <w:color w:val="auto"/>
                <w:sz w:val="20"/>
              </w:rPr>
              <w:t>方位</w:t>
            </w:r>
          </w:p>
        </w:tc>
        <w:tc>
          <w:tcPr>
            <w:tcW w:w="1088" w:type="pct"/>
            <w:gridSpan w:val="2"/>
            <w:tcBorders>
              <w:top w:val="single" w:color="auto" w:sz="12" w:space="0"/>
              <w:bottom w:val="single" w:color="auto" w:sz="4" w:space="0"/>
            </w:tcBorders>
            <w:noWrap w:val="0"/>
            <w:tcMar>
              <w:left w:w="57" w:type="dxa"/>
              <w:right w:w="57" w:type="dxa"/>
            </w:tcMar>
            <w:vAlign w:val="center"/>
          </w:tcPr>
          <w:p>
            <w:pPr>
              <w:widowControl w:val="0"/>
              <w:jc w:val="center"/>
              <w:rPr>
                <w:color w:val="auto"/>
                <w:sz w:val="20"/>
              </w:rPr>
            </w:pPr>
            <w:r>
              <w:rPr>
                <w:color w:val="auto"/>
                <w:sz w:val="20"/>
              </w:rPr>
              <w:t>离厂界最近距离</w:t>
            </w:r>
            <w:r>
              <w:rPr>
                <w:rFonts w:hint="eastAsia"/>
                <w:color w:val="auto"/>
                <w:sz w:val="20"/>
              </w:rPr>
              <w:t>（m）</w:t>
            </w:r>
          </w:p>
        </w:tc>
        <w:tc>
          <w:tcPr>
            <w:tcW w:w="759" w:type="pct"/>
            <w:vMerge w:val="restart"/>
            <w:tcBorders>
              <w:top w:val="single" w:color="auto" w:sz="12" w:space="0"/>
            </w:tcBorders>
            <w:noWrap w:val="0"/>
            <w:tcMar>
              <w:left w:w="57" w:type="dxa"/>
              <w:right w:w="57" w:type="dxa"/>
            </w:tcMar>
            <w:vAlign w:val="center"/>
          </w:tcPr>
          <w:p>
            <w:pPr>
              <w:widowControl w:val="0"/>
              <w:jc w:val="center"/>
              <w:rPr>
                <w:color w:val="auto"/>
                <w:sz w:val="20"/>
              </w:rPr>
            </w:pPr>
            <w:r>
              <w:rPr>
                <w:color w:val="auto"/>
                <w:sz w:val="20"/>
              </w:rPr>
              <w:t>功能规模</w:t>
            </w:r>
          </w:p>
        </w:tc>
        <w:tc>
          <w:tcPr>
            <w:tcW w:w="519" w:type="pct"/>
            <w:vMerge w:val="restart"/>
            <w:tcBorders>
              <w:top w:val="single" w:color="auto" w:sz="12" w:space="0"/>
            </w:tcBorders>
            <w:noWrap w:val="0"/>
            <w:tcMar>
              <w:left w:w="57" w:type="dxa"/>
              <w:right w:w="57" w:type="dxa"/>
            </w:tcMar>
            <w:vAlign w:val="center"/>
          </w:tcPr>
          <w:p>
            <w:pPr>
              <w:widowControl w:val="0"/>
              <w:jc w:val="center"/>
              <w:rPr>
                <w:rFonts w:hint="eastAsia"/>
                <w:color w:val="auto"/>
                <w:sz w:val="20"/>
              </w:rPr>
            </w:pPr>
            <w:r>
              <w:rPr>
                <w:color w:val="auto"/>
                <w:sz w:val="20"/>
              </w:rPr>
              <w:t>影响</w:t>
            </w:r>
          </w:p>
          <w:p>
            <w:pPr>
              <w:widowControl w:val="0"/>
              <w:jc w:val="center"/>
              <w:rPr>
                <w:color w:val="auto"/>
                <w:sz w:val="20"/>
              </w:rPr>
            </w:pPr>
            <w:r>
              <w:rPr>
                <w:color w:val="auto"/>
                <w:sz w:val="20"/>
              </w:rPr>
              <w:t>因子</w:t>
            </w:r>
          </w:p>
        </w:tc>
        <w:tc>
          <w:tcPr>
            <w:tcW w:w="779" w:type="pct"/>
            <w:vMerge w:val="restart"/>
            <w:tcBorders>
              <w:top w:val="single" w:color="auto" w:sz="12" w:space="0"/>
            </w:tcBorders>
            <w:noWrap w:val="0"/>
            <w:tcMar>
              <w:left w:w="57" w:type="dxa"/>
              <w:right w:w="57" w:type="dxa"/>
            </w:tcMar>
            <w:vAlign w:val="center"/>
          </w:tcPr>
          <w:p>
            <w:pPr>
              <w:widowControl w:val="0"/>
              <w:jc w:val="center"/>
              <w:rPr>
                <w:color w:val="auto"/>
                <w:sz w:val="20"/>
              </w:rPr>
            </w:pPr>
            <w:r>
              <w:rPr>
                <w:color w:val="auto"/>
                <w:sz w:val="20"/>
              </w:rPr>
              <w:t>保护等级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vMerge w:val="continue"/>
            <w:tcBorders>
              <w:bottom w:val="single" w:color="auto" w:sz="12" w:space="0"/>
            </w:tcBorders>
            <w:noWrap w:val="0"/>
            <w:vAlign w:val="center"/>
          </w:tcPr>
          <w:p>
            <w:pPr>
              <w:widowControl w:val="0"/>
              <w:jc w:val="center"/>
              <w:rPr>
                <w:color w:val="auto"/>
              </w:rPr>
            </w:pPr>
          </w:p>
        </w:tc>
        <w:tc>
          <w:tcPr>
            <w:tcW w:w="495" w:type="pct"/>
            <w:vMerge w:val="continue"/>
            <w:tcBorders>
              <w:bottom w:val="single" w:color="auto" w:sz="12" w:space="0"/>
            </w:tcBorders>
            <w:noWrap w:val="0"/>
            <w:vAlign w:val="center"/>
          </w:tcPr>
          <w:p>
            <w:pPr>
              <w:widowControl w:val="0"/>
              <w:jc w:val="center"/>
              <w:rPr>
                <w:color w:val="auto"/>
              </w:rPr>
            </w:pPr>
          </w:p>
        </w:tc>
        <w:tc>
          <w:tcPr>
            <w:tcW w:w="666" w:type="pct"/>
            <w:vMerge w:val="continue"/>
            <w:tcBorders>
              <w:bottom w:val="single" w:color="auto" w:sz="12" w:space="0"/>
            </w:tcBorders>
            <w:noWrap w:val="0"/>
            <w:tcMar>
              <w:left w:w="57" w:type="dxa"/>
              <w:right w:w="57" w:type="dxa"/>
            </w:tcMar>
            <w:vAlign w:val="center"/>
          </w:tcPr>
          <w:p>
            <w:pPr>
              <w:widowControl w:val="0"/>
              <w:jc w:val="center"/>
              <w:rPr>
                <w:color w:val="auto"/>
              </w:rPr>
            </w:pPr>
          </w:p>
        </w:tc>
        <w:tc>
          <w:tcPr>
            <w:tcW w:w="343" w:type="pct"/>
            <w:vMerge w:val="continue"/>
            <w:tcBorders>
              <w:bottom w:val="single" w:color="auto" w:sz="12" w:space="0"/>
            </w:tcBorders>
            <w:noWrap w:val="0"/>
            <w:tcMar>
              <w:left w:w="57" w:type="dxa"/>
              <w:right w:w="57" w:type="dxa"/>
            </w:tcMar>
            <w:vAlign w:val="center"/>
          </w:tcPr>
          <w:p>
            <w:pPr>
              <w:widowControl w:val="0"/>
              <w:jc w:val="center"/>
              <w:rPr>
                <w:color w:val="auto"/>
              </w:rPr>
            </w:pPr>
          </w:p>
        </w:tc>
        <w:tc>
          <w:tcPr>
            <w:tcW w:w="480" w:type="pct"/>
            <w:tcBorders>
              <w:top w:val="single" w:color="auto" w:sz="4" w:space="0"/>
              <w:bottom w:val="single" w:color="auto" w:sz="12" w:space="0"/>
            </w:tcBorders>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码头</w:t>
            </w:r>
          </w:p>
        </w:tc>
        <w:tc>
          <w:tcPr>
            <w:tcW w:w="607" w:type="pct"/>
            <w:tcBorders>
              <w:top w:val="single" w:color="auto" w:sz="4" w:space="0"/>
              <w:bottom w:val="single" w:color="auto" w:sz="12" w:space="0"/>
            </w:tcBorders>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港界</w:t>
            </w:r>
          </w:p>
        </w:tc>
        <w:tc>
          <w:tcPr>
            <w:tcW w:w="759" w:type="pct"/>
            <w:vMerge w:val="continue"/>
            <w:tcBorders>
              <w:bottom w:val="single" w:color="auto" w:sz="12" w:space="0"/>
            </w:tcBorders>
            <w:noWrap w:val="0"/>
            <w:tcMar>
              <w:left w:w="57" w:type="dxa"/>
              <w:right w:w="57" w:type="dxa"/>
            </w:tcMar>
            <w:vAlign w:val="center"/>
          </w:tcPr>
          <w:p>
            <w:pPr>
              <w:widowControl w:val="0"/>
              <w:jc w:val="center"/>
              <w:rPr>
                <w:color w:val="auto"/>
                <w:sz w:val="20"/>
              </w:rPr>
            </w:pPr>
          </w:p>
        </w:tc>
        <w:tc>
          <w:tcPr>
            <w:tcW w:w="519" w:type="pct"/>
            <w:vMerge w:val="continue"/>
            <w:tcBorders>
              <w:bottom w:val="single" w:color="auto" w:sz="12" w:space="0"/>
            </w:tcBorders>
            <w:noWrap w:val="0"/>
            <w:tcMar>
              <w:left w:w="57" w:type="dxa"/>
              <w:right w:w="57" w:type="dxa"/>
            </w:tcMar>
            <w:vAlign w:val="center"/>
          </w:tcPr>
          <w:p>
            <w:pPr>
              <w:widowControl w:val="0"/>
              <w:jc w:val="center"/>
              <w:rPr>
                <w:color w:val="auto"/>
                <w:sz w:val="20"/>
              </w:rPr>
            </w:pPr>
          </w:p>
        </w:tc>
        <w:tc>
          <w:tcPr>
            <w:tcW w:w="779" w:type="pct"/>
            <w:vMerge w:val="continue"/>
            <w:tcBorders>
              <w:bottom w:val="single" w:color="auto" w:sz="12" w:space="0"/>
            </w:tcBorders>
            <w:noWrap w:val="0"/>
            <w:tcMar>
              <w:left w:w="57" w:type="dxa"/>
              <w:right w:w="57" w:type="dxa"/>
            </w:tcMar>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tcBorders>
              <w:top w:val="single" w:color="auto" w:sz="12" w:space="0"/>
            </w:tcBorders>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vMerge w:val="restart"/>
            <w:tcBorders>
              <w:top w:val="single" w:color="auto" w:sz="12" w:space="0"/>
            </w:tcBorders>
            <w:noWrap w:val="0"/>
            <w:vAlign w:val="center"/>
          </w:tcPr>
          <w:p>
            <w:pPr>
              <w:widowControl w:val="0"/>
              <w:jc w:val="center"/>
              <w:rPr>
                <w:color w:val="auto"/>
                <w:sz w:val="20"/>
              </w:rPr>
            </w:pPr>
            <w:r>
              <w:rPr>
                <w:color w:val="auto"/>
                <w:sz w:val="20"/>
              </w:rPr>
              <w:t>环境空气</w:t>
            </w:r>
          </w:p>
        </w:tc>
        <w:tc>
          <w:tcPr>
            <w:tcW w:w="666" w:type="pct"/>
            <w:tcBorders>
              <w:top w:val="single" w:color="auto" w:sz="12" w:space="0"/>
            </w:tcBorders>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洋溪社区</w:t>
            </w:r>
          </w:p>
        </w:tc>
        <w:tc>
          <w:tcPr>
            <w:tcW w:w="343" w:type="pct"/>
            <w:tcBorders>
              <w:top w:val="single" w:color="auto" w:sz="12" w:space="0"/>
            </w:tcBorders>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S</w:t>
            </w:r>
          </w:p>
        </w:tc>
        <w:tc>
          <w:tcPr>
            <w:tcW w:w="480" w:type="pct"/>
            <w:tcBorders>
              <w:top w:val="single" w:color="auto" w:sz="12" w:space="0"/>
            </w:tcBorders>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69</w:t>
            </w:r>
          </w:p>
        </w:tc>
        <w:tc>
          <w:tcPr>
            <w:tcW w:w="607" w:type="pct"/>
            <w:tcBorders>
              <w:top w:val="single" w:color="auto" w:sz="12" w:space="0"/>
            </w:tcBorders>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27</w:t>
            </w:r>
          </w:p>
        </w:tc>
        <w:tc>
          <w:tcPr>
            <w:tcW w:w="759" w:type="pct"/>
            <w:tcBorders>
              <w:top w:val="single" w:color="auto" w:sz="12" w:space="0"/>
            </w:tcBorders>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约700户</w:t>
            </w:r>
          </w:p>
        </w:tc>
        <w:tc>
          <w:tcPr>
            <w:tcW w:w="519" w:type="pct"/>
            <w:vMerge w:val="restart"/>
            <w:tcBorders>
              <w:top w:val="single" w:color="auto" w:sz="12" w:space="0"/>
            </w:tcBorders>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颗粒物、PM</w:t>
            </w:r>
            <w:r>
              <w:rPr>
                <w:rFonts w:hint="eastAsia"/>
                <w:color w:val="auto"/>
                <w:sz w:val="20"/>
                <w:vertAlign w:val="subscript"/>
                <w:lang w:val="en-US" w:eastAsia="zh-CN"/>
              </w:rPr>
              <w:t>10</w:t>
            </w:r>
          </w:p>
        </w:tc>
        <w:tc>
          <w:tcPr>
            <w:tcW w:w="779" w:type="pct"/>
            <w:vMerge w:val="restart"/>
            <w:tcBorders>
              <w:top w:val="single" w:color="auto" w:sz="12" w:space="0"/>
            </w:tcBorders>
            <w:noWrap w:val="0"/>
            <w:tcMar>
              <w:left w:w="57" w:type="dxa"/>
              <w:right w:w="57" w:type="dxa"/>
            </w:tcMar>
            <w:vAlign w:val="center"/>
          </w:tcPr>
          <w:p>
            <w:pPr>
              <w:widowControl w:val="0"/>
              <w:jc w:val="center"/>
              <w:rPr>
                <w:color w:val="auto"/>
                <w:sz w:val="20"/>
              </w:rPr>
            </w:pPr>
            <w:r>
              <w:rPr>
                <w:color w:val="auto"/>
                <w:sz w:val="20"/>
              </w:rPr>
              <w:t>GB3095-2012《环境空气质量标准》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vMerge w:val="continue"/>
            <w:noWrap w:val="0"/>
            <w:vAlign w:val="center"/>
          </w:tcPr>
          <w:p>
            <w:pPr>
              <w:widowControl w:val="0"/>
              <w:jc w:val="center"/>
              <w:rPr>
                <w:color w:val="auto"/>
                <w:sz w:val="20"/>
              </w:rPr>
            </w:pPr>
          </w:p>
        </w:tc>
        <w:tc>
          <w:tcPr>
            <w:tcW w:w="666" w:type="pct"/>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洋溪村</w:t>
            </w:r>
          </w:p>
        </w:tc>
        <w:tc>
          <w:tcPr>
            <w:tcW w:w="343"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SW</w:t>
            </w:r>
          </w:p>
        </w:tc>
        <w:tc>
          <w:tcPr>
            <w:tcW w:w="480"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405</w:t>
            </w:r>
          </w:p>
        </w:tc>
        <w:tc>
          <w:tcPr>
            <w:tcW w:w="607"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372</w:t>
            </w:r>
          </w:p>
        </w:tc>
        <w:tc>
          <w:tcPr>
            <w:tcW w:w="759"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约360户</w:t>
            </w:r>
          </w:p>
        </w:tc>
        <w:tc>
          <w:tcPr>
            <w:tcW w:w="519" w:type="pct"/>
            <w:vMerge w:val="continue"/>
            <w:noWrap w:val="0"/>
            <w:tcMar>
              <w:left w:w="57" w:type="dxa"/>
              <w:right w:w="57" w:type="dxa"/>
            </w:tcMar>
            <w:vAlign w:val="center"/>
          </w:tcPr>
          <w:p>
            <w:pPr>
              <w:widowControl w:val="0"/>
              <w:jc w:val="center"/>
              <w:rPr>
                <w:color w:val="auto"/>
                <w:sz w:val="20"/>
              </w:rPr>
            </w:pPr>
          </w:p>
        </w:tc>
        <w:tc>
          <w:tcPr>
            <w:tcW w:w="779" w:type="pct"/>
            <w:vMerge w:val="continue"/>
            <w:noWrap w:val="0"/>
            <w:tcMar>
              <w:left w:w="57" w:type="dxa"/>
              <w:right w:w="57" w:type="dxa"/>
            </w:tcMar>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vMerge w:val="continue"/>
            <w:noWrap w:val="0"/>
            <w:vAlign w:val="center"/>
          </w:tcPr>
          <w:p>
            <w:pPr>
              <w:widowControl w:val="0"/>
              <w:jc w:val="center"/>
              <w:rPr>
                <w:color w:val="auto"/>
                <w:sz w:val="20"/>
              </w:rPr>
            </w:pPr>
          </w:p>
        </w:tc>
        <w:tc>
          <w:tcPr>
            <w:tcW w:w="666" w:type="pct"/>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洋溪幼儿园</w:t>
            </w:r>
          </w:p>
        </w:tc>
        <w:tc>
          <w:tcPr>
            <w:tcW w:w="343"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S</w:t>
            </w:r>
          </w:p>
        </w:tc>
        <w:tc>
          <w:tcPr>
            <w:tcW w:w="480"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1.01</w:t>
            </w:r>
          </w:p>
        </w:tc>
        <w:tc>
          <w:tcPr>
            <w:tcW w:w="607"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977</w:t>
            </w:r>
          </w:p>
        </w:tc>
        <w:tc>
          <w:tcPr>
            <w:tcW w:w="759" w:type="pct"/>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s="Times New Roman"/>
                <w:snapToGrid w:val="0"/>
                <w:color w:val="auto"/>
                <w:kern w:val="0"/>
                <w:sz w:val="20"/>
                <w:lang w:val="en-US" w:eastAsia="zh-CN" w:bidi="ar-SA"/>
              </w:rPr>
            </w:pPr>
            <w:r>
              <w:rPr>
                <w:rFonts w:hint="eastAsia" w:ascii="Times New Roman" w:hAnsi="Times New Roman"/>
                <w:color w:val="auto"/>
                <w:sz w:val="20"/>
                <w:lang w:val="en-US" w:eastAsia="zh-CN"/>
              </w:rPr>
              <w:t>学生约90人，教职工约15人</w:t>
            </w:r>
          </w:p>
        </w:tc>
        <w:tc>
          <w:tcPr>
            <w:tcW w:w="519" w:type="pct"/>
            <w:vMerge w:val="continue"/>
            <w:noWrap w:val="0"/>
            <w:tcMar>
              <w:left w:w="57" w:type="dxa"/>
              <w:right w:w="57" w:type="dxa"/>
            </w:tcMar>
            <w:vAlign w:val="center"/>
          </w:tcPr>
          <w:p>
            <w:pPr>
              <w:widowControl w:val="0"/>
              <w:jc w:val="center"/>
              <w:rPr>
                <w:color w:val="auto"/>
                <w:sz w:val="20"/>
              </w:rPr>
            </w:pPr>
          </w:p>
        </w:tc>
        <w:tc>
          <w:tcPr>
            <w:tcW w:w="779" w:type="pct"/>
            <w:vMerge w:val="continue"/>
            <w:noWrap w:val="0"/>
            <w:tcMar>
              <w:left w:w="57" w:type="dxa"/>
              <w:right w:w="57" w:type="dxa"/>
            </w:tcMar>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vMerge w:val="continue"/>
            <w:noWrap w:val="0"/>
            <w:vAlign w:val="center"/>
          </w:tcPr>
          <w:p>
            <w:pPr>
              <w:widowControl w:val="0"/>
              <w:jc w:val="center"/>
              <w:rPr>
                <w:color w:val="auto"/>
                <w:sz w:val="20"/>
              </w:rPr>
            </w:pPr>
          </w:p>
        </w:tc>
        <w:tc>
          <w:tcPr>
            <w:tcW w:w="666" w:type="pct"/>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洋溪小学</w:t>
            </w:r>
          </w:p>
        </w:tc>
        <w:tc>
          <w:tcPr>
            <w:tcW w:w="343"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S</w:t>
            </w:r>
          </w:p>
        </w:tc>
        <w:tc>
          <w:tcPr>
            <w:tcW w:w="480"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1.09</w:t>
            </w:r>
          </w:p>
        </w:tc>
        <w:tc>
          <w:tcPr>
            <w:tcW w:w="607"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1.06</w:t>
            </w:r>
          </w:p>
        </w:tc>
        <w:tc>
          <w:tcPr>
            <w:tcW w:w="759"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s="Times New Roman"/>
                <w:snapToGrid w:val="0"/>
                <w:color w:val="auto"/>
                <w:kern w:val="0"/>
                <w:sz w:val="20"/>
                <w:lang w:val="en-US" w:eastAsia="zh-CN" w:bidi="ar-SA"/>
              </w:rPr>
            </w:pPr>
            <w:r>
              <w:rPr>
                <w:rFonts w:hint="eastAsia" w:ascii="Times New Roman" w:hAnsi="Times New Roman"/>
                <w:color w:val="auto"/>
                <w:sz w:val="20"/>
                <w:lang w:val="en-US" w:eastAsia="zh-CN"/>
              </w:rPr>
              <w:t>学生约260人，教职工约30人</w:t>
            </w:r>
          </w:p>
        </w:tc>
        <w:tc>
          <w:tcPr>
            <w:tcW w:w="519" w:type="pct"/>
            <w:vMerge w:val="continue"/>
            <w:noWrap w:val="0"/>
            <w:tcMar>
              <w:left w:w="57" w:type="dxa"/>
              <w:right w:w="57" w:type="dxa"/>
            </w:tcMar>
            <w:vAlign w:val="center"/>
          </w:tcPr>
          <w:p>
            <w:pPr>
              <w:widowControl w:val="0"/>
              <w:jc w:val="center"/>
              <w:rPr>
                <w:color w:val="auto"/>
                <w:sz w:val="20"/>
              </w:rPr>
            </w:pPr>
          </w:p>
        </w:tc>
        <w:tc>
          <w:tcPr>
            <w:tcW w:w="779" w:type="pct"/>
            <w:vMerge w:val="continue"/>
            <w:noWrap w:val="0"/>
            <w:tcMar>
              <w:left w:w="57" w:type="dxa"/>
              <w:right w:w="57" w:type="dxa"/>
            </w:tcMar>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vMerge w:val="continue"/>
            <w:noWrap w:val="0"/>
            <w:vAlign w:val="center"/>
          </w:tcPr>
          <w:p>
            <w:pPr>
              <w:widowControl w:val="0"/>
              <w:jc w:val="center"/>
              <w:rPr>
                <w:color w:val="auto"/>
                <w:sz w:val="20"/>
              </w:rPr>
            </w:pPr>
          </w:p>
        </w:tc>
        <w:tc>
          <w:tcPr>
            <w:tcW w:w="666" w:type="pct"/>
            <w:noWrap w:val="0"/>
            <w:tcMar>
              <w:left w:w="57" w:type="dxa"/>
              <w:right w:w="57" w:type="dxa"/>
            </w:tcMar>
            <w:vAlign w:val="center"/>
          </w:tcPr>
          <w:p>
            <w:pPr>
              <w:pStyle w:val="538"/>
              <w:spacing w:line="240" w:lineRule="auto"/>
              <w:ind w:firstLine="0" w:firstLineChars="0"/>
              <w:jc w:val="center"/>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罗家岭</w:t>
            </w:r>
          </w:p>
        </w:tc>
        <w:tc>
          <w:tcPr>
            <w:tcW w:w="343"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SE</w:t>
            </w:r>
          </w:p>
        </w:tc>
        <w:tc>
          <w:tcPr>
            <w:tcW w:w="480"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854</w:t>
            </w:r>
          </w:p>
        </w:tc>
        <w:tc>
          <w:tcPr>
            <w:tcW w:w="607" w:type="pct"/>
            <w:noWrap w:val="0"/>
            <w:tcMar>
              <w:left w:w="57" w:type="dxa"/>
              <w:right w:w="57" w:type="dxa"/>
            </w:tcMar>
            <w:vAlign w:val="center"/>
          </w:tcPr>
          <w:p>
            <w:pPr>
              <w:pStyle w:val="538"/>
              <w:spacing w:line="240" w:lineRule="auto"/>
              <w:ind w:firstLine="0" w:firstLineChars="0"/>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821</w:t>
            </w:r>
          </w:p>
        </w:tc>
        <w:tc>
          <w:tcPr>
            <w:tcW w:w="759" w:type="pct"/>
            <w:noWrap w:val="0"/>
            <w:tcMar>
              <w:left w:w="57" w:type="dxa"/>
              <w:right w:w="57" w:type="dxa"/>
            </w:tcMar>
            <w:vAlign w:val="center"/>
          </w:tcPr>
          <w:p>
            <w:pPr>
              <w:pStyle w:val="538"/>
              <w:spacing w:line="240" w:lineRule="auto"/>
              <w:ind w:firstLine="0" w:firstLineChars="0"/>
              <w:jc w:val="center"/>
              <w:rPr>
                <w:rFonts w:ascii="Times New Roman" w:hAnsi="Times New Roman"/>
                <w:color w:val="auto"/>
                <w:sz w:val="20"/>
              </w:rPr>
            </w:pPr>
            <w:r>
              <w:rPr>
                <w:rFonts w:hint="eastAsia" w:ascii="Times New Roman" w:hAnsi="Times New Roman"/>
                <w:color w:val="auto"/>
                <w:sz w:val="20"/>
                <w:lang w:val="en-US" w:eastAsia="zh-CN"/>
              </w:rPr>
              <w:t>约220户</w:t>
            </w:r>
          </w:p>
        </w:tc>
        <w:tc>
          <w:tcPr>
            <w:tcW w:w="519" w:type="pct"/>
            <w:vMerge w:val="continue"/>
            <w:noWrap w:val="0"/>
            <w:tcMar>
              <w:left w:w="57" w:type="dxa"/>
              <w:right w:w="57" w:type="dxa"/>
            </w:tcMar>
            <w:vAlign w:val="center"/>
          </w:tcPr>
          <w:p>
            <w:pPr>
              <w:widowControl w:val="0"/>
              <w:jc w:val="center"/>
              <w:rPr>
                <w:color w:val="auto"/>
                <w:sz w:val="20"/>
              </w:rPr>
            </w:pPr>
          </w:p>
        </w:tc>
        <w:tc>
          <w:tcPr>
            <w:tcW w:w="779" w:type="pct"/>
            <w:vMerge w:val="continue"/>
            <w:noWrap w:val="0"/>
            <w:tcMar>
              <w:left w:w="57" w:type="dxa"/>
              <w:right w:w="57" w:type="dxa"/>
            </w:tcMar>
            <w:vAlign w:val="center"/>
          </w:tcPr>
          <w:p>
            <w:pPr>
              <w:widowControl w:val="0"/>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42" w:type="dxa"/>
            <w:bottom w:w="0" w:type="dxa"/>
            <w:right w:w="142" w:type="dxa"/>
          </w:tblCellMar>
        </w:tblPrEx>
        <w:trPr>
          <w:trHeight w:val="369" w:hRule="atLeast"/>
          <w:jc w:val="center"/>
        </w:trPr>
        <w:tc>
          <w:tcPr>
            <w:tcW w:w="347" w:type="pct"/>
            <w:noWrap w:val="0"/>
            <w:vAlign w:val="center"/>
          </w:tcPr>
          <w:p>
            <w:pPr>
              <w:pStyle w:val="312"/>
              <w:widowControl w:val="0"/>
              <w:numPr>
                <w:ilvl w:val="0"/>
                <w:numId w:val="8"/>
              </w:numPr>
              <w:tabs>
                <w:tab w:val="clear" w:pos="360"/>
                <w:tab w:val="clear" w:pos="6300"/>
              </w:tabs>
              <w:spacing w:line="240" w:lineRule="auto"/>
              <w:ind w:left="0" w:right="0" w:firstLine="0"/>
              <w:rPr>
                <w:rFonts w:ascii="Times New Roman" w:hAnsi="Times New Roman"/>
                <w:color w:val="auto"/>
                <w:sz w:val="20"/>
              </w:rPr>
            </w:pPr>
          </w:p>
        </w:tc>
        <w:tc>
          <w:tcPr>
            <w:tcW w:w="495" w:type="pct"/>
            <w:noWrap w:val="0"/>
            <w:vAlign w:val="center"/>
          </w:tcPr>
          <w:p>
            <w:pPr>
              <w:widowControl w:val="0"/>
              <w:jc w:val="center"/>
              <w:rPr>
                <w:color w:val="auto"/>
                <w:sz w:val="20"/>
              </w:rPr>
            </w:pPr>
            <w:r>
              <w:rPr>
                <w:color w:val="auto"/>
                <w:sz w:val="20"/>
              </w:rPr>
              <w:t>声环境</w:t>
            </w:r>
          </w:p>
        </w:tc>
        <w:tc>
          <w:tcPr>
            <w:tcW w:w="666" w:type="pct"/>
            <w:noWrap w:val="0"/>
            <w:tcMar>
              <w:left w:w="57" w:type="dxa"/>
              <w:right w:w="57" w:type="dxa"/>
            </w:tcMar>
            <w:vAlign w:val="center"/>
          </w:tcPr>
          <w:p>
            <w:pPr>
              <w:widowControl w:val="0"/>
              <w:jc w:val="center"/>
              <w:rPr>
                <w:color w:val="auto"/>
                <w:sz w:val="20"/>
              </w:rPr>
            </w:pPr>
            <w:r>
              <w:rPr>
                <w:rFonts w:hint="eastAsia" w:ascii="Times New Roman" w:hAnsi="Times New Roman"/>
                <w:color w:val="auto"/>
                <w:sz w:val="20"/>
                <w:lang w:val="en-US" w:eastAsia="zh-CN"/>
              </w:rPr>
              <w:t>洋溪社区</w:t>
            </w:r>
          </w:p>
        </w:tc>
        <w:tc>
          <w:tcPr>
            <w:tcW w:w="343" w:type="pct"/>
            <w:noWrap w:val="0"/>
            <w:tcMar>
              <w:left w:w="57" w:type="dxa"/>
              <w:right w:w="57" w:type="dxa"/>
            </w:tcMar>
            <w:vAlign w:val="center"/>
          </w:tcPr>
          <w:p>
            <w:pPr>
              <w:widowControl w:val="0"/>
              <w:jc w:val="center"/>
              <w:rPr>
                <w:color w:val="auto"/>
                <w:sz w:val="20"/>
              </w:rPr>
            </w:pPr>
            <w:r>
              <w:rPr>
                <w:rFonts w:hint="eastAsia"/>
                <w:color w:val="auto"/>
                <w:sz w:val="20"/>
                <w:lang w:val="en-US" w:eastAsia="zh-CN"/>
              </w:rPr>
              <w:t>S</w:t>
            </w:r>
          </w:p>
        </w:tc>
        <w:tc>
          <w:tcPr>
            <w:tcW w:w="480" w:type="pct"/>
            <w:noWrap w:val="0"/>
            <w:tcMar>
              <w:left w:w="57" w:type="dxa"/>
              <w:right w:w="57" w:type="dxa"/>
            </w:tcMar>
            <w:vAlign w:val="center"/>
          </w:tcPr>
          <w:p>
            <w:pPr>
              <w:pStyle w:val="538"/>
              <w:spacing w:line="240" w:lineRule="auto"/>
              <w:ind w:firstLine="0" w:firstLineChars="0"/>
              <w:jc w:val="center"/>
              <w:rPr>
                <w:color w:val="auto"/>
                <w:sz w:val="20"/>
              </w:rPr>
            </w:pPr>
            <w:r>
              <w:rPr>
                <w:rFonts w:hint="eastAsia" w:ascii="Times New Roman" w:hAnsi="Times New Roman"/>
                <w:color w:val="auto"/>
                <w:sz w:val="20"/>
                <w:lang w:val="en-US" w:eastAsia="zh-CN"/>
              </w:rPr>
              <w:t>69</w:t>
            </w:r>
          </w:p>
        </w:tc>
        <w:tc>
          <w:tcPr>
            <w:tcW w:w="607" w:type="pct"/>
            <w:noWrap w:val="0"/>
            <w:tcMar>
              <w:left w:w="57" w:type="dxa"/>
              <w:right w:w="57" w:type="dxa"/>
            </w:tcMar>
            <w:vAlign w:val="center"/>
          </w:tcPr>
          <w:p>
            <w:pPr>
              <w:pStyle w:val="538"/>
              <w:spacing w:line="240" w:lineRule="auto"/>
              <w:ind w:firstLine="0" w:firstLineChars="0"/>
              <w:jc w:val="center"/>
              <w:rPr>
                <w:color w:val="auto"/>
                <w:sz w:val="20"/>
              </w:rPr>
            </w:pPr>
            <w:r>
              <w:rPr>
                <w:rFonts w:hint="eastAsia" w:ascii="Times New Roman" w:hAnsi="Times New Roman"/>
                <w:color w:val="auto"/>
                <w:sz w:val="20"/>
                <w:lang w:val="en-US" w:eastAsia="zh-CN"/>
              </w:rPr>
              <w:t>27</w:t>
            </w:r>
          </w:p>
        </w:tc>
        <w:tc>
          <w:tcPr>
            <w:tcW w:w="759" w:type="pct"/>
            <w:noWrap w:val="0"/>
            <w:tcMar>
              <w:left w:w="57" w:type="dxa"/>
              <w:right w:w="57" w:type="dxa"/>
            </w:tcMar>
            <w:vAlign w:val="center"/>
          </w:tcPr>
          <w:p>
            <w:pPr>
              <w:widowControl w:val="0"/>
              <w:jc w:val="center"/>
              <w:rPr>
                <w:color w:val="auto"/>
                <w:sz w:val="20"/>
              </w:rPr>
            </w:pPr>
            <w:r>
              <w:rPr>
                <w:rFonts w:hint="eastAsia" w:ascii="Times New Roman" w:hAnsi="Times New Roman"/>
                <w:color w:val="auto"/>
                <w:sz w:val="20"/>
                <w:lang w:val="en-US" w:eastAsia="zh-CN"/>
              </w:rPr>
              <w:t>约700户</w:t>
            </w:r>
          </w:p>
        </w:tc>
        <w:tc>
          <w:tcPr>
            <w:tcW w:w="1298" w:type="pct"/>
            <w:gridSpan w:val="2"/>
            <w:noWrap w:val="0"/>
            <w:tcMar>
              <w:left w:w="57" w:type="dxa"/>
              <w:right w:w="57" w:type="dxa"/>
            </w:tcMar>
            <w:vAlign w:val="center"/>
          </w:tcPr>
          <w:p>
            <w:pPr>
              <w:widowControl w:val="0"/>
              <w:jc w:val="center"/>
              <w:rPr>
                <w:rFonts w:hint="default" w:eastAsia="宋体"/>
                <w:color w:val="auto"/>
                <w:sz w:val="20"/>
                <w:lang w:val="en-US" w:eastAsia="zh-CN"/>
              </w:rPr>
            </w:pPr>
            <w:r>
              <w:rPr>
                <w:color w:val="auto"/>
                <w:sz w:val="20"/>
              </w:rPr>
              <w:t>GB3096-2008《声环境质量标准》</w:t>
            </w:r>
          </w:p>
        </w:tc>
      </w:tr>
    </w:tbl>
    <w:p>
      <w:pPr>
        <w:pStyle w:val="9"/>
        <w:widowControl w:val="0"/>
        <w:spacing w:before="120" w:after="120" w:line="360" w:lineRule="auto"/>
        <w:rPr>
          <w:rFonts w:hint="eastAsia" w:ascii="Times New Roman" w:hAnsi="Times New Roman" w:eastAsia="黑体" w:cs="Times New Roman"/>
          <w:b w:val="0"/>
          <w:bCs/>
          <w:color w:val="auto"/>
          <w:sz w:val="24"/>
          <w:lang w:eastAsia="zh-CN"/>
        </w:rPr>
      </w:pPr>
      <w:bookmarkStart w:id="275" w:name="_Toc11523"/>
      <w:r>
        <w:rPr>
          <w:rFonts w:hint="eastAsia" w:ascii="Times New Roman" w:hAnsi="Times New Roman" w:eastAsia="黑体" w:cs="Times New Roman"/>
          <w:b w:val="0"/>
          <w:bCs/>
          <w:color w:val="auto"/>
          <w:sz w:val="24"/>
          <w:lang w:eastAsia="zh-CN"/>
        </w:rPr>
        <w:t>1.6.</w:t>
      </w:r>
      <w:r>
        <w:rPr>
          <w:rFonts w:hint="eastAsia" w:eastAsia="黑体" w:cs="Times New Roman"/>
          <w:b w:val="0"/>
          <w:bCs/>
          <w:color w:val="auto"/>
          <w:sz w:val="24"/>
          <w:lang w:val="en-US" w:eastAsia="zh-CN"/>
        </w:rPr>
        <w:t>5生态环境</w:t>
      </w:r>
      <w:r>
        <w:rPr>
          <w:rFonts w:hint="eastAsia" w:ascii="Times New Roman" w:hAnsi="Times New Roman" w:eastAsia="黑体" w:cs="Times New Roman"/>
          <w:b w:val="0"/>
          <w:bCs/>
          <w:color w:val="auto"/>
          <w:sz w:val="24"/>
          <w:lang w:val="en-US" w:eastAsia="zh-CN"/>
        </w:rPr>
        <w:t>保护</w:t>
      </w:r>
      <w:r>
        <w:rPr>
          <w:rFonts w:hint="eastAsia" w:ascii="Times New Roman" w:hAnsi="Times New Roman" w:eastAsia="黑体" w:cs="Times New Roman"/>
          <w:b w:val="0"/>
          <w:bCs/>
          <w:color w:val="auto"/>
          <w:sz w:val="24"/>
          <w:lang w:eastAsia="zh-CN"/>
        </w:rPr>
        <w:t>目标</w:t>
      </w:r>
      <w:bookmarkEnd w:id="275"/>
    </w:p>
    <w:p>
      <w:pPr>
        <w:widowControl w:val="0"/>
        <w:adjustRightInd w:val="0"/>
        <w:snapToGrid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项目无后方陆域；所在水域江段分布有四大家鱼产卵场、珍稀保护物种中华鲟、江豚和胭脂鱼等，但本项目不在产卵场范围内。本项目周边主要生态环境敏感保护目标见下表。</w:t>
      </w:r>
    </w:p>
    <w:p>
      <w:pPr>
        <w:widowControl w:val="0"/>
        <w:spacing w:line="360" w:lineRule="auto"/>
        <w:jc w:val="center"/>
        <w:rPr>
          <w:rFonts w:hint="default" w:ascii="Times New Roman" w:hAnsi="Times New Roman" w:eastAsia="黑体" w:cs="Times New Roman"/>
          <w:b/>
          <w:color w:val="auto"/>
          <w:szCs w:val="21"/>
          <w:lang w:val="en-US" w:eastAsia="zh-CN"/>
        </w:rPr>
      </w:pPr>
      <w:r>
        <w:rPr>
          <w:rFonts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1.6</w:t>
      </w:r>
      <w:r>
        <w:rPr>
          <w:rFonts w:ascii="Times New Roman" w:hAnsi="Times New Roman" w:eastAsia="黑体" w:cs="Times New Roman"/>
          <w:b/>
          <w:color w:val="auto"/>
          <w:szCs w:val="21"/>
        </w:rPr>
        <w:t>-</w:t>
      </w:r>
      <w:r>
        <w:rPr>
          <w:rFonts w:hint="eastAsia" w:eastAsia="黑体" w:cs="Times New Roman"/>
          <w:b/>
          <w:color w:val="auto"/>
          <w:szCs w:val="21"/>
          <w:lang w:val="en-US" w:eastAsia="zh-CN"/>
        </w:rPr>
        <w:t>5  主要生态环境保护目标一览表</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9"/>
        <w:gridCol w:w="2970"/>
        <w:gridCol w:w="2280"/>
        <w:gridCol w:w="1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7"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保护目标</w:t>
            </w:r>
          </w:p>
        </w:tc>
        <w:tc>
          <w:tcPr>
            <w:tcW w:w="1744"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位置关系及距离</w:t>
            </w:r>
          </w:p>
        </w:tc>
        <w:tc>
          <w:tcPr>
            <w:tcW w:w="1339"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规模（级别）</w:t>
            </w:r>
          </w:p>
        </w:tc>
        <w:tc>
          <w:tcPr>
            <w:tcW w:w="817" w:type="pct"/>
            <w:tcBorders>
              <w:bottom w:val="single" w:color="auto" w:sz="12" w:space="0"/>
            </w:tcBorders>
            <w:noWrap w:val="0"/>
            <w:vAlign w:val="center"/>
          </w:tcPr>
          <w:p>
            <w:pPr>
              <w:jc w:val="center"/>
              <w:rPr>
                <w:rFonts w:hint="default" w:ascii="Times New Roman" w:eastAsia="宋体"/>
                <w:color w:val="auto"/>
                <w:sz w:val="20"/>
                <w:szCs w:val="20"/>
                <w:lang w:val="en-US" w:eastAsia="zh-CN"/>
              </w:rPr>
            </w:pPr>
            <w:r>
              <w:rPr>
                <w:rFonts w:hint="eastAsia"/>
                <w:color w:val="auto"/>
                <w:sz w:val="20"/>
                <w:szCs w:val="20"/>
                <w:lang w:val="en-US" w:eastAsia="zh-CN"/>
              </w:rPr>
              <w:t>保护对象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7"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长江</w:t>
            </w:r>
            <w:r>
              <w:rPr>
                <w:rFonts w:hint="eastAsia" w:ascii="Times New Roman" w:eastAsia="宋体"/>
                <w:color w:val="auto"/>
                <w:sz w:val="20"/>
                <w:szCs w:val="20"/>
                <w:lang w:val="en-US" w:eastAsia="zh-CN"/>
              </w:rPr>
              <w:t>湖北宜昌中华鲟自然保护区</w:t>
            </w:r>
          </w:p>
        </w:tc>
        <w:tc>
          <w:tcPr>
            <w:tcW w:w="1744"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码头位于长江</w:t>
            </w:r>
            <w:r>
              <w:rPr>
                <w:rFonts w:hint="eastAsia" w:ascii="Times New Roman" w:eastAsia="宋体"/>
                <w:color w:val="auto"/>
                <w:sz w:val="20"/>
                <w:szCs w:val="20"/>
                <w:lang w:val="en-US" w:eastAsia="zh-CN"/>
              </w:rPr>
              <w:t>湖北宜昌中华鲟自然保护区外围保护地带</w:t>
            </w:r>
          </w:p>
        </w:tc>
        <w:tc>
          <w:tcPr>
            <w:tcW w:w="1339"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default" w:ascii="Times New Roman" w:eastAsia="宋体"/>
                <w:color w:val="auto"/>
                <w:sz w:val="20"/>
                <w:szCs w:val="20"/>
                <w:lang w:val="en-US" w:eastAsia="zh-CN"/>
              </w:rPr>
              <w:t>中华鲟国家一级重点保护野生水生动物</w:t>
            </w:r>
          </w:p>
        </w:tc>
        <w:tc>
          <w:tcPr>
            <w:tcW w:w="817"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中华鲟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7"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default" w:ascii="Times New Roman" w:eastAsia="宋体"/>
                <w:color w:val="auto"/>
                <w:sz w:val="20"/>
                <w:szCs w:val="20"/>
                <w:lang w:val="en-US" w:eastAsia="zh-CN"/>
              </w:rPr>
              <w:t>四大家鱼洄游通道</w:t>
            </w:r>
          </w:p>
        </w:tc>
        <w:tc>
          <w:tcPr>
            <w:tcW w:w="1744"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ascii="Times New Roman"/>
                <w:color w:val="auto"/>
                <w:sz w:val="20"/>
                <w:szCs w:val="20"/>
              </w:rPr>
              <w:t>不占用。码头所在江段是其下游四大家鱼等鱼类上溯产卵的洄游通道</w:t>
            </w:r>
          </w:p>
        </w:tc>
        <w:tc>
          <w:tcPr>
            <w:tcW w:w="1339"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c>
          <w:tcPr>
            <w:tcW w:w="817"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ascii="Times New Roman"/>
                <w:color w:val="auto"/>
                <w:sz w:val="20"/>
                <w:szCs w:val="20"/>
              </w:rPr>
              <w:t>草鱼、鲢、青鱼、鳙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7"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default" w:ascii="Times New Roman" w:eastAsia="宋体"/>
                <w:color w:val="auto"/>
                <w:sz w:val="20"/>
                <w:szCs w:val="20"/>
                <w:lang w:val="en-US" w:eastAsia="zh-CN"/>
              </w:rPr>
              <w:t>重点保护野生水生动物</w:t>
            </w:r>
          </w:p>
        </w:tc>
        <w:tc>
          <w:tcPr>
            <w:tcW w:w="1744"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ascii="Times New Roman"/>
                <w:color w:val="auto"/>
                <w:sz w:val="20"/>
                <w:szCs w:val="20"/>
              </w:rPr>
              <w:t>码头所在江段是江海洄游水生动物的洄游通道，但不占用，分布有中华鲟、江豚、胭脂鱼</w:t>
            </w:r>
          </w:p>
        </w:tc>
        <w:tc>
          <w:tcPr>
            <w:tcW w:w="1339" w:type="pct"/>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default" w:ascii="Times New Roman" w:eastAsia="宋体"/>
                <w:color w:val="auto"/>
                <w:sz w:val="20"/>
                <w:szCs w:val="20"/>
                <w:lang w:val="en-US" w:eastAsia="zh-CN"/>
              </w:rPr>
              <w:t>中华鲟、江豚国家一级重点保护野生水生动物，胭脂鱼国家二级重点保护野生水生动物</w:t>
            </w:r>
          </w:p>
        </w:tc>
        <w:tc>
          <w:tcPr>
            <w:tcW w:w="817" w:type="pct"/>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ascii="Times New Roman"/>
                <w:color w:val="auto"/>
                <w:sz w:val="20"/>
                <w:szCs w:val="20"/>
              </w:rPr>
              <w:t>中华鲟、江豚、胭脂鱼</w:t>
            </w:r>
          </w:p>
        </w:tc>
      </w:tr>
    </w:tbl>
    <w:p>
      <w:pPr>
        <w:pStyle w:val="9"/>
        <w:widowControl w:val="0"/>
        <w:spacing w:before="120" w:after="120" w:line="360" w:lineRule="auto"/>
        <w:rPr>
          <w:rFonts w:hint="default" w:ascii="Times New Roman" w:hAnsi="Times New Roman" w:eastAsia="黑体" w:cs="Times New Roman"/>
          <w:b w:val="0"/>
          <w:bCs/>
          <w:color w:val="auto"/>
          <w:sz w:val="24"/>
          <w:lang w:val="en-US" w:eastAsia="zh-CN"/>
        </w:rPr>
      </w:pPr>
      <w:bookmarkStart w:id="276" w:name="_Toc28886"/>
      <w:r>
        <w:rPr>
          <w:rFonts w:hint="eastAsia" w:ascii="Times New Roman" w:hAnsi="Times New Roman" w:eastAsia="黑体" w:cs="Times New Roman"/>
          <w:b w:val="0"/>
          <w:bCs/>
          <w:color w:val="auto"/>
          <w:sz w:val="24"/>
          <w:lang w:val="en-US" w:eastAsia="zh-CN"/>
        </w:rPr>
        <w:t>1.6.6环境风险保护目标</w:t>
      </w:r>
      <w:bookmarkEnd w:id="276"/>
    </w:p>
    <w:p>
      <w:pPr>
        <w:widowControl w:val="0"/>
        <w:adjustRightInd w:val="0"/>
        <w:snapToGrid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环境风险保护目标主要为大气环境、地表水环境及生态环境保护目标。</w:t>
      </w:r>
    </w:p>
    <w:p>
      <w:pPr>
        <w:widowControl w:val="0"/>
        <w:adjustRightInd w:val="0"/>
        <w:snapToGrid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评价范围内大气环境风险保护目标同大气环境保护目标见表1.6-4，地表水环境风险保护目标同地表水环境保护目标见表1.6-3，水生态环境风险保护目标同生态环境水生生态保护目标见1.6-5。</w:t>
      </w:r>
    </w:p>
    <w:p>
      <w:pPr>
        <w:pStyle w:val="8"/>
        <w:widowControl w:val="0"/>
        <w:spacing w:before="120" w:after="120" w:line="360" w:lineRule="auto"/>
        <w:rPr>
          <w:rFonts w:ascii="Times New Roman" w:hAnsi="Times New Roman"/>
          <w:b w:val="0"/>
          <w:color w:val="auto"/>
          <w:szCs w:val="32"/>
        </w:rPr>
      </w:pPr>
      <w:bookmarkStart w:id="277" w:name="_Toc27062"/>
      <w:r>
        <w:rPr>
          <w:rFonts w:ascii="Times New Roman" w:hAnsi="Times New Roman"/>
          <w:b w:val="0"/>
          <w:color w:val="auto"/>
          <w:szCs w:val="32"/>
        </w:rPr>
        <w:t>1.</w:t>
      </w:r>
      <w:r>
        <w:rPr>
          <w:rFonts w:hint="eastAsia" w:ascii="Times New Roman" w:hAnsi="Times New Roman"/>
          <w:b w:val="0"/>
          <w:color w:val="auto"/>
          <w:szCs w:val="32"/>
          <w:lang w:val="en-US" w:eastAsia="zh-CN"/>
        </w:rPr>
        <w:t>7</w:t>
      </w:r>
      <w:r>
        <w:rPr>
          <w:rFonts w:ascii="Times New Roman" w:hAnsi="Times New Roman"/>
          <w:b w:val="0"/>
          <w:color w:val="auto"/>
          <w:szCs w:val="32"/>
        </w:rPr>
        <w:t>评价工作程序、原则和方法</w:t>
      </w:r>
      <w:bookmarkEnd w:id="277"/>
    </w:p>
    <w:p>
      <w:pPr>
        <w:pStyle w:val="9"/>
        <w:widowControl w:val="0"/>
        <w:spacing w:before="120" w:after="120" w:line="360" w:lineRule="auto"/>
        <w:rPr>
          <w:rFonts w:eastAsia="黑体"/>
          <w:b w:val="0"/>
          <w:color w:val="auto"/>
          <w:sz w:val="24"/>
        </w:rPr>
      </w:pPr>
      <w:bookmarkStart w:id="278" w:name="_Toc18683"/>
      <w:r>
        <w:rPr>
          <w:rFonts w:eastAsia="黑体"/>
          <w:b w:val="0"/>
          <w:color w:val="auto"/>
          <w:sz w:val="24"/>
        </w:rPr>
        <w:t>1.</w:t>
      </w:r>
      <w:r>
        <w:rPr>
          <w:rFonts w:hint="eastAsia" w:eastAsia="黑体"/>
          <w:b w:val="0"/>
          <w:color w:val="auto"/>
          <w:sz w:val="24"/>
          <w:lang w:val="en-US" w:eastAsia="zh-CN"/>
        </w:rPr>
        <w:t>7</w:t>
      </w:r>
      <w:r>
        <w:rPr>
          <w:rFonts w:eastAsia="黑体"/>
          <w:b w:val="0"/>
          <w:color w:val="auto"/>
          <w:sz w:val="24"/>
        </w:rPr>
        <w:t>.1评价工作程序</w:t>
      </w:r>
      <w:bookmarkEnd w:id="278"/>
    </w:p>
    <w:p>
      <w:pPr>
        <w:pStyle w:val="336"/>
        <w:widowControl w:val="0"/>
        <w:jc w:val="both"/>
        <w:rPr>
          <w:rFonts w:eastAsia="仿宋_GB2312"/>
          <w:color w:val="auto"/>
        </w:rPr>
      </w:pPr>
      <w:r>
        <w:rPr>
          <w:rFonts w:eastAsia="仿宋_GB2312"/>
          <w:color w:val="auto"/>
        </w:rPr>
        <w:t>环境影响评价工作程序图见图1.</w:t>
      </w:r>
      <w:r>
        <w:rPr>
          <w:rFonts w:hint="eastAsia" w:eastAsia="仿宋_GB2312"/>
          <w:color w:val="auto"/>
          <w:lang w:val="en-US" w:eastAsia="zh-CN"/>
        </w:rPr>
        <w:t>7</w:t>
      </w:r>
      <w:r>
        <w:rPr>
          <w:rFonts w:eastAsia="仿宋_GB2312"/>
          <w:color w:val="auto"/>
        </w:rPr>
        <w:t>-1。</w:t>
      </w:r>
    </w:p>
    <w:p>
      <w:pPr>
        <w:pStyle w:val="9"/>
        <w:widowControl w:val="0"/>
        <w:spacing w:before="120" w:after="120" w:line="360" w:lineRule="auto"/>
        <w:rPr>
          <w:rFonts w:eastAsia="黑体"/>
          <w:b w:val="0"/>
          <w:color w:val="auto"/>
          <w:sz w:val="24"/>
        </w:rPr>
      </w:pPr>
      <w:bookmarkStart w:id="279" w:name="_Toc18607"/>
      <w:r>
        <w:rPr>
          <w:rFonts w:eastAsia="黑体"/>
          <w:b w:val="0"/>
          <w:color w:val="auto"/>
          <w:sz w:val="24"/>
        </w:rPr>
        <w:t>1.</w:t>
      </w:r>
      <w:r>
        <w:rPr>
          <w:rFonts w:hint="eastAsia" w:eastAsia="黑体"/>
          <w:b w:val="0"/>
          <w:color w:val="auto"/>
          <w:sz w:val="24"/>
          <w:lang w:val="en-US" w:eastAsia="zh-CN"/>
        </w:rPr>
        <w:t>7</w:t>
      </w:r>
      <w:r>
        <w:rPr>
          <w:rFonts w:eastAsia="黑体"/>
          <w:b w:val="0"/>
          <w:color w:val="auto"/>
          <w:sz w:val="24"/>
        </w:rPr>
        <w:t>.2评价工作原则</w:t>
      </w:r>
      <w:bookmarkEnd w:id="279"/>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突出环境影响评价的源头预防作用，坚持保护和改善环境质量。</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（1）依法评价</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贯彻执行我国环境保护相关法律法规、标准、政策和规划等，优化项目建设，服务环境管理。</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（2）科学评价</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规范环境影响评价方法，科学分析项目建设对环境质量的影响。</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（3）突出重点</w:t>
      </w:r>
    </w:p>
    <w:p>
      <w:pPr>
        <w:widowControl w:val="0"/>
        <w:tabs>
          <w:tab w:val="left" w:pos="540"/>
        </w:tabs>
        <w:spacing w:line="360" w:lineRule="auto"/>
        <w:ind w:firstLine="480" w:firstLineChars="200"/>
        <w:rPr>
          <w:rFonts w:eastAsia="仿宋_GB2312"/>
          <w:color w:val="auto"/>
          <w:sz w:val="24"/>
        </w:rPr>
      </w:pPr>
      <w:r>
        <w:rPr>
          <w:rFonts w:eastAsia="仿宋_GB2312"/>
          <w:color w:val="auto"/>
          <w:sz w:val="24"/>
        </w:rPr>
        <w:t>根据建设项目的工程内容及其特点，明确与环境要素间的作用效应关系，根据规划环境影响评价结论和审查意见，充分利用符合时效的数据资料及成果，对建设项目主要环境影响予以重点分析和评价。</w:t>
      </w:r>
    </w:p>
    <w:p>
      <w:pPr>
        <w:widowControl w:val="0"/>
        <w:spacing w:line="360" w:lineRule="auto"/>
        <w:jc w:val="center"/>
        <w:rPr>
          <w:color w:val="auto"/>
        </w:rPr>
      </w:pPr>
      <w:r>
        <w:rPr>
          <w:color w:val="auto"/>
        </w:rPr>
        <w:object>
          <v:shape id="_x0000_i1025" o:spt="75" type="#_x0000_t75" style="height:532pt;width:354.95pt;" o:ole="t" filled="f" o:preferrelative="t" stroked="f" coordsize="21600,21600">
            <v:path/>
            <v:fill on="f" focussize="0,0"/>
            <v:stroke on="f"/>
            <v:imagedata r:id="rId32" o:title=""/>
            <o:lock v:ext="edit" aspectratio="t"/>
            <w10:wrap type="none"/>
            <w10:anchorlock/>
          </v:shape>
          <o:OLEObject Type="Embed" ProgID="Visio.Drawing.11" ShapeID="_x0000_i1025" DrawAspect="Content" ObjectID="_1468075725" r:id="rId31">
            <o:LockedField>false</o:LockedField>
          </o:OLEObject>
        </w:object>
      </w:r>
    </w:p>
    <w:p>
      <w:pPr>
        <w:widowControl w:val="0"/>
        <w:spacing w:line="360" w:lineRule="auto"/>
        <w:jc w:val="center"/>
        <w:rPr>
          <w:rFonts w:eastAsia="黑体"/>
          <w:b/>
          <w:color w:val="auto"/>
          <w:szCs w:val="21"/>
        </w:rPr>
      </w:pPr>
      <w:r>
        <w:rPr>
          <w:rFonts w:eastAsia="黑体"/>
          <w:b/>
          <w:color w:val="auto"/>
          <w:szCs w:val="21"/>
        </w:rPr>
        <w:t>图1.</w:t>
      </w:r>
      <w:r>
        <w:rPr>
          <w:rFonts w:hint="eastAsia" w:eastAsia="黑体"/>
          <w:b/>
          <w:color w:val="auto"/>
          <w:szCs w:val="21"/>
          <w:lang w:val="en-US" w:eastAsia="zh-CN"/>
        </w:rPr>
        <w:t>7</w:t>
      </w:r>
      <w:r>
        <w:rPr>
          <w:rFonts w:eastAsia="黑体"/>
          <w:b/>
          <w:color w:val="auto"/>
          <w:szCs w:val="21"/>
        </w:rPr>
        <w:t>-1  环境影响评价工作程序图</w:t>
      </w:r>
    </w:p>
    <w:p>
      <w:pPr>
        <w:pStyle w:val="9"/>
        <w:widowControl w:val="0"/>
        <w:spacing w:before="120" w:after="120" w:line="360" w:lineRule="auto"/>
        <w:rPr>
          <w:rFonts w:eastAsia="黑体"/>
          <w:b w:val="0"/>
          <w:color w:val="auto"/>
          <w:sz w:val="24"/>
        </w:rPr>
      </w:pPr>
      <w:bookmarkStart w:id="280" w:name="_Toc16256"/>
      <w:r>
        <w:rPr>
          <w:rFonts w:eastAsia="黑体"/>
          <w:b w:val="0"/>
          <w:color w:val="auto"/>
          <w:sz w:val="24"/>
        </w:rPr>
        <w:t>1</w:t>
      </w:r>
      <w:r>
        <w:rPr>
          <w:rFonts w:hint="eastAsia" w:eastAsia="黑体"/>
          <w:b w:val="0"/>
          <w:color w:val="auto"/>
          <w:sz w:val="24"/>
          <w:lang w:val="en-US" w:eastAsia="zh-CN"/>
        </w:rPr>
        <w:t>.7</w:t>
      </w:r>
      <w:r>
        <w:rPr>
          <w:rFonts w:eastAsia="黑体"/>
          <w:b w:val="0"/>
          <w:color w:val="auto"/>
          <w:sz w:val="24"/>
        </w:rPr>
        <w:t>.3评价方法</w:t>
      </w:r>
      <w:bookmarkEnd w:id="280"/>
    </w:p>
    <w:p>
      <w:pPr>
        <w:widowControl w:val="0"/>
        <w:spacing w:line="360" w:lineRule="auto"/>
        <w:ind w:firstLine="480" w:firstLineChars="200"/>
        <w:rPr>
          <w:rFonts w:hint="eastAsia" w:eastAsia="仿宋_GB2312"/>
          <w:color w:val="auto"/>
          <w:sz w:val="24"/>
        </w:rPr>
      </w:pPr>
      <w:r>
        <w:rPr>
          <w:rFonts w:hint="eastAsia" w:eastAsia="仿宋_GB2312"/>
          <w:color w:val="auto"/>
          <w:sz w:val="24"/>
        </w:rPr>
        <w:t>（1）环境质量现状评价采用资料调查法以及现场实测法；</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（2）工程分析采用类比调查、公式计算等；</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（3）大气、地表水环境、环境风险影响分析采用数学模型预测法。</w:t>
      </w:r>
    </w:p>
    <w:p>
      <w:pPr>
        <w:widowControl w:val="0"/>
        <w:adjustRightInd w:val="0"/>
        <w:snapToGrid w:val="0"/>
        <w:spacing w:line="360" w:lineRule="auto"/>
        <w:ind w:firstLine="480" w:firstLineChars="200"/>
        <w:rPr>
          <w:rFonts w:hint="eastAsia" w:eastAsia="仿宋_GB2312"/>
          <w:color w:val="auto"/>
          <w:sz w:val="24"/>
          <w:lang w:val="en-US" w:eastAsia="zh-CN"/>
        </w:rPr>
      </w:pPr>
    </w:p>
    <w:p>
      <w:pPr>
        <w:widowControl w:val="0"/>
        <w:adjustRightInd w:val="0"/>
        <w:snapToGrid w:val="0"/>
        <w:spacing w:line="360" w:lineRule="auto"/>
        <w:ind w:firstLine="480" w:firstLineChars="200"/>
        <w:rPr>
          <w:rFonts w:hint="eastAsia" w:eastAsia="仿宋_GB2312"/>
          <w:color w:val="auto"/>
          <w:sz w:val="24"/>
          <w:lang w:val="en-US" w:eastAsia="zh-CN"/>
        </w:rPr>
        <w:sectPr>
          <w:headerReference r:id="rId12" w:type="default"/>
          <w:footerReference r:id="rId13" w:type="default"/>
          <w:pgSz w:w="11906" w:h="16838"/>
          <w:pgMar w:top="1440" w:right="1803" w:bottom="1440" w:left="1803" w:header="851" w:footer="851" w:gutter="0"/>
          <w:pgBorders>
            <w:top w:val="none" w:sz="0" w:space="0"/>
            <w:left w:val="none" w:sz="0" w:space="0"/>
            <w:bottom w:val="none" w:sz="0" w:space="0"/>
            <w:right w:val="none" w:sz="0" w:space="0"/>
          </w:pgBorders>
          <w:pgNumType w:fmt="decimal"/>
          <w:cols w:space="720" w:num="1"/>
          <w:docGrid w:type="lines" w:linePitch="312" w:charSpace="0"/>
        </w:sectPr>
      </w:pPr>
    </w:p>
    <w:p>
      <w:pPr>
        <w:widowControl w:val="0"/>
        <w:spacing w:before="240" w:after="240" w:line="360" w:lineRule="auto"/>
        <w:jc w:val="center"/>
        <w:outlineLvl w:val="0"/>
        <w:rPr>
          <w:rFonts w:eastAsia="黑体"/>
          <w:color w:val="auto"/>
          <w:sz w:val="44"/>
          <w:szCs w:val="44"/>
        </w:rPr>
      </w:pPr>
      <w:bookmarkStart w:id="281" w:name="_Toc19955"/>
      <w:r>
        <w:rPr>
          <w:rFonts w:eastAsia="黑体"/>
          <w:color w:val="auto"/>
          <w:sz w:val="44"/>
          <w:szCs w:val="44"/>
        </w:rPr>
        <w:t>2工程概况</w:t>
      </w:r>
      <w:bookmarkEnd w:id="281"/>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282" w:name="_Toc389572894"/>
      <w:bookmarkStart w:id="283" w:name="_Toc3028"/>
      <w:r>
        <w:rPr>
          <w:rFonts w:ascii="Times New Roman" w:hAnsi="Times New Roman"/>
          <w:b w:val="0"/>
          <w:color w:val="auto"/>
          <w:szCs w:val="32"/>
        </w:rPr>
        <w:t>2.1</w:t>
      </w:r>
      <w:bookmarkEnd w:id="282"/>
      <w:r>
        <w:rPr>
          <w:rFonts w:hint="eastAsia" w:ascii="Times New Roman" w:hAnsi="Times New Roman"/>
          <w:b w:val="0"/>
          <w:color w:val="auto"/>
          <w:szCs w:val="32"/>
          <w:lang w:val="en-US" w:eastAsia="zh-CN"/>
        </w:rPr>
        <w:t>现有码头概况</w:t>
      </w:r>
      <w:bookmarkEnd w:id="283"/>
    </w:p>
    <w:p>
      <w:pPr>
        <w:pStyle w:val="9"/>
        <w:widowControl w:val="0"/>
        <w:spacing w:before="120" w:after="120" w:line="360" w:lineRule="auto"/>
        <w:rPr>
          <w:rFonts w:hint="default" w:eastAsia="黑体"/>
          <w:b w:val="0"/>
          <w:color w:val="auto"/>
          <w:sz w:val="24"/>
          <w:lang w:val="en-US" w:eastAsia="zh-CN"/>
        </w:rPr>
      </w:pPr>
      <w:bookmarkStart w:id="284" w:name="_Toc4278"/>
      <w:bookmarkStart w:id="285" w:name="_Toc340589338"/>
      <w:r>
        <w:rPr>
          <w:rFonts w:eastAsia="黑体"/>
          <w:b w:val="0"/>
          <w:color w:val="auto"/>
          <w:sz w:val="24"/>
        </w:rPr>
        <w:t>2.</w:t>
      </w:r>
      <w:r>
        <w:rPr>
          <w:rFonts w:hint="eastAsia" w:eastAsia="黑体"/>
          <w:b w:val="0"/>
          <w:color w:val="auto"/>
          <w:sz w:val="24"/>
          <w:lang w:val="en-US" w:eastAsia="zh-CN"/>
        </w:rPr>
        <w:t>1</w:t>
      </w:r>
      <w:r>
        <w:rPr>
          <w:rFonts w:eastAsia="黑体"/>
          <w:b w:val="0"/>
          <w:color w:val="auto"/>
          <w:sz w:val="24"/>
        </w:rPr>
        <w:t>.1</w:t>
      </w:r>
      <w:r>
        <w:rPr>
          <w:rFonts w:hint="eastAsia" w:eastAsia="黑体"/>
          <w:b w:val="0"/>
          <w:color w:val="auto"/>
          <w:sz w:val="24"/>
          <w:lang w:val="en-US" w:eastAsia="zh-CN"/>
        </w:rPr>
        <w:t>现有码头地理位置</w:t>
      </w:r>
      <w:bookmarkEnd w:id="284"/>
    </w:p>
    <w:p>
      <w:pPr>
        <w:pStyle w:val="1025"/>
        <w:widowControl w:val="0"/>
        <w:spacing w:line="360" w:lineRule="auto"/>
        <w:ind w:firstLine="480" w:firstLineChars="200"/>
        <w:jc w:val="both"/>
        <w:rPr>
          <w:rFonts w:hint="eastAsia" w:eastAsia="仿宋_GB2312"/>
          <w:b w:val="0"/>
          <w:bCs/>
          <w:color w:val="auto"/>
          <w:sz w:val="24"/>
          <w:lang w:val="en-US" w:eastAsia="zh-CN"/>
        </w:rPr>
      </w:pPr>
      <w:r>
        <w:rPr>
          <w:rFonts w:hint="eastAsia" w:eastAsia="仿宋_GB2312"/>
          <w:b w:val="0"/>
          <w:bCs/>
          <w:color w:val="auto"/>
          <w:sz w:val="24"/>
        </w:rPr>
        <w:t>湖北省宜都市位于长江中游右岸，地势西南高东北低，地貌以丘陵为主，东连松滋、枝江，南接五峰，西邻</w:t>
      </w:r>
      <w:r>
        <w:rPr>
          <w:rFonts w:hint="eastAsia" w:ascii="Times New Roman" w:hAnsi="Times New Roman" w:eastAsia="仿宋_GB2312" w:cs="Times New Roman"/>
          <w:b w:val="0"/>
          <w:bCs/>
          <w:color w:val="auto"/>
          <w:sz w:val="24"/>
        </w:rPr>
        <w:t>长阳，北靠宜昌。</w:t>
      </w:r>
      <w:r>
        <w:rPr>
          <w:rFonts w:hint="eastAsia" w:eastAsia="仿宋_GB2312" w:cs="Times New Roman"/>
          <w:b w:val="0"/>
          <w:bCs/>
          <w:color w:val="auto"/>
          <w:sz w:val="24"/>
          <w:lang w:val="en-US" w:eastAsia="zh-CN"/>
        </w:rPr>
        <w:t>现有码头</w:t>
      </w:r>
      <w:r>
        <w:rPr>
          <w:rFonts w:hint="eastAsia" w:ascii="Times New Roman" w:hAnsi="Times New Roman" w:eastAsia="仿宋_GB2312" w:cs="Times New Roman"/>
          <w:b w:val="0"/>
          <w:bCs/>
          <w:color w:val="auto"/>
          <w:sz w:val="24"/>
        </w:rPr>
        <w:t>位于宜都市枝城镇洋溪村</w:t>
      </w:r>
      <w:r>
        <w:rPr>
          <w:rFonts w:hint="eastAsia" w:ascii="Times New Roman" w:hAnsi="Times New Roman" w:eastAsia="仿宋_GB2312" w:cs="Times New Roman"/>
          <w:b w:val="0"/>
          <w:bCs/>
          <w:color w:val="auto"/>
          <w:sz w:val="24"/>
          <w:lang w:val="en-US" w:eastAsia="zh-CN"/>
        </w:rPr>
        <w:t>附近</w:t>
      </w:r>
      <w:r>
        <w:rPr>
          <w:rFonts w:hint="eastAsia" w:ascii="Times New Roman" w:hAnsi="Times New Roman" w:eastAsia="仿宋_GB2312" w:cs="Times New Roman"/>
          <w:b w:val="0"/>
          <w:bCs/>
          <w:color w:val="auto"/>
          <w:sz w:val="24"/>
        </w:rPr>
        <w:t>，</w:t>
      </w:r>
      <w:r>
        <w:rPr>
          <w:rFonts w:hint="eastAsia" w:ascii="Times New Roman" w:hAnsi="Times New Roman" w:eastAsia="仿宋_GB2312" w:cs="Times New Roman"/>
          <w:b w:val="0"/>
          <w:bCs/>
          <w:color w:val="auto"/>
          <w:sz w:val="24"/>
          <w:lang w:val="en-US" w:eastAsia="zh-CN"/>
        </w:rPr>
        <w:t>距离</w:t>
      </w:r>
      <w:r>
        <w:rPr>
          <w:rFonts w:hint="eastAsia" w:ascii="Times New Roman" w:hAnsi="Times New Roman" w:eastAsia="仿宋_GB2312" w:cs="Times New Roman"/>
          <w:b w:val="0"/>
          <w:bCs/>
          <w:color w:val="auto"/>
          <w:sz w:val="24"/>
        </w:rPr>
        <w:t>枝城长江大桥下游约</w:t>
      </w:r>
      <w:r>
        <w:rPr>
          <w:rFonts w:hint="eastAsia" w:ascii="Times New Roman" w:hAnsi="Times New Roman" w:eastAsia="仿宋_GB2312" w:cs="Times New Roman"/>
          <w:b w:val="0"/>
          <w:bCs/>
          <w:color w:val="auto"/>
          <w:sz w:val="24"/>
          <w:lang w:val="en-US" w:eastAsia="zh-CN"/>
        </w:rPr>
        <w:t>5</w:t>
      </w:r>
      <w:r>
        <w:rPr>
          <w:rFonts w:hint="eastAsia" w:ascii="Times New Roman" w:hAnsi="Times New Roman" w:eastAsia="仿宋_GB2312" w:cs="Times New Roman"/>
          <w:b w:val="0"/>
          <w:bCs/>
          <w:color w:val="auto"/>
          <w:sz w:val="24"/>
        </w:rPr>
        <w:t>km，</w:t>
      </w:r>
      <w:r>
        <w:rPr>
          <w:rFonts w:hint="eastAsia" w:ascii="Times New Roman" w:hAnsi="Times New Roman" w:eastAsia="仿宋_GB2312" w:cs="Times New Roman"/>
          <w:b w:val="0"/>
          <w:bCs/>
          <w:color w:val="auto"/>
          <w:sz w:val="24"/>
          <w:lang w:val="en-US" w:eastAsia="zh-CN"/>
        </w:rPr>
        <w:t>宜都城区上游约15km，</w:t>
      </w:r>
      <w:r>
        <w:rPr>
          <w:rFonts w:hint="eastAsia" w:ascii="Times New Roman" w:hAnsi="Times New Roman" w:eastAsia="仿宋_GB2312" w:cs="Times New Roman"/>
          <w:b w:val="0"/>
          <w:bCs/>
          <w:color w:val="auto"/>
          <w:sz w:val="24"/>
        </w:rPr>
        <w:t>码头中心位于长江中游航道里程约</w:t>
      </w:r>
      <w:r>
        <w:rPr>
          <w:rFonts w:hint="eastAsia" w:ascii="Times New Roman" w:hAnsi="Times New Roman" w:eastAsia="仿宋_GB2312" w:cs="Times New Roman"/>
          <w:b w:val="0"/>
          <w:bCs/>
          <w:color w:val="auto"/>
          <w:sz w:val="24"/>
          <w:lang w:val="en-US" w:eastAsia="zh-CN"/>
        </w:rPr>
        <w:t>562.9</w:t>
      </w:r>
      <w:r>
        <w:rPr>
          <w:rFonts w:hint="eastAsia" w:ascii="Times New Roman" w:hAnsi="Times New Roman" w:eastAsia="仿宋_GB2312" w:cs="Times New Roman"/>
          <w:b w:val="0"/>
          <w:bCs/>
          <w:color w:val="auto"/>
          <w:sz w:val="24"/>
        </w:rPr>
        <w:t>km处。本</w:t>
      </w:r>
      <w:r>
        <w:rPr>
          <w:rFonts w:hint="eastAsia" w:eastAsia="仿宋_GB2312"/>
          <w:b w:val="0"/>
          <w:bCs/>
          <w:color w:val="auto"/>
          <w:sz w:val="24"/>
        </w:rPr>
        <w:t>工程地理位置见</w:t>
      </w:r>
      <w:r>
        <w:rPr>
          <w:rFonts w:hint="eastAsia" w:eastAsia="仿宋_GB2312"/>
          <w:b w:val="0"/>
          <w:bCs/>
          <w:color w:val="auto"/>
          <w:sz w:val="24"/>
          <w:lang w:val="en-US" w:eastAsia="zh-CN"/>
        </w:rPr>
        <w:t>下图。</w:t>
      </w:r>
    </w:p>
    <w:p>
      <w:pPr>
        <w:pStyle w:val="1025"/>
        <w:widowControl w:val="0"/>
        <w:spacing w:line="360" w:lineRule="auto"/>
        <w:ind w:left="0" w:leftChars="0" w:firstLine="0" w:firstLineChars="0"/>
        <w:jc w:val="center"/>
        <w:rPr>
          <w:rFonts w:eastAsia="黑体"/>
          <w:b/>
          <w:color w:val="auto"/>
          <w:szCs w:val="21"/>
        </w:rPr>
      </w:pP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1736725</wp:posOffset>
                </wp:positionH>
                <wp:positionV relativeFrom="paragraph">
                  <wp:posOffset>900430</wp:posOffset>
                </wp:positionV>
                <wp:extent cx="1019175" cy="324485"/>
                <wp:effectExtent l="12700" t="12700" r="15875" b="272415"/>
                <wp:wrapNone/>
                <wp:docPr id="13" name="矩形标注 13"/>
                <wp:cNvGraphicFramePr/>
                <a:graphic xmlns:a="http://schemas.openxmlformats.org/drawingml/2006/main">
                  <a:graphicData uri="http://schemas.microsoft.com/office/word/2010/wordprocessingShape">
                    <wps:wsp>
                      <wps:cNvSpPr/>
                      <wps:spPr>
                        <a:xfrm>
                          <a:off x="0" y="0"/>
                          <a:ext cx="1019175" cy="324485"/>
                        </a:xfrm>
                        <a:prstGeom prst="wedgeRectCallout">
                          <a:avLst>
                            <a:gd name="adj1" fmla="val -32741"/>
                            <a:gd name="adj2" fmla="val 130039"/>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枝城长江大桥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6.75pt;margin-top:70.9pt;height:25.55pt;width:80.25pt;z-index:251671552;v-text-anchor:middle;mso-width-relative:page;mso-height-relative:page;" fillcolor="#FFFFFF [3201]" filled="t" stroked="t" coordsize="21600,21600" o:gfxdata="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PTxfW3AAAAAsBAAAPAAAAAAAAAAEAIAAAACIAAABkcnMvZG93&#10;bnJldi54bWxQSwECFAAUAAAACACHTuJA+jEcKacCAABPBQAADgAAAAAAAAABACAAAAArAQAAZHJz&#10;L2Uyb0RvYy54bWxQSwUGAAAAAAYABgBZAQAARAYAAAAA&#10;" adj="3728,38888">
                <v:fill on="t" focussize="0,0"/>
                <v:stroke weight="2pt" color="#F79646 [3209]" joinstyle="round"/>
                <v:imagedata o:title=""/>
                <o:lock v:ext="edit" aspectratio="f"/>
                <v:textbox>
                  <w:txbxContent>
                    <w:p>
                      <w:pPr>
                        <w:jc w:val="center"/>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枝城长江大桥</w:t>
                      </w:r>
                    </w:p>
                  </w:txbxContent>
                </v:textbox>
              </v:shape>
            </w:pict>
          </mc:Fallback>
        </mc:AlternateContent>
      </w: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2689225</wp:posOffset>
                </wp:positionH>
                <wp:positionV relativeFrom="paragraph">
                  <wp:posOffset>1910080</wp:posOffset>
                </wp:positionV>
                <wp:extent cx="1199515" cy="324485"/>
                <wp:effectExtent l="12700" t="12700" r="26035" b="329565"/>
                <wp:wrapNone/>
                <wp:docPr id="12" name="矩形标注 12"/>
                <wp:cNvGraphicFramePr/>
                <a:graphic xmlns:a="http://schemas.openxmlformats.org/drawingml/2006/main">
                  <a:graphicData uri="http://schemas.microsoft.com/office/word/2010/wordprocessingShape">
                    <wps:wsp>
                      <wps:cNvSpPr/>
                      <wps:spPr>
                        <a:xfrm>
                          <a:off x="3401695" y="5665470"/>
                          <a:ext cx="1199515" cy="324485"/>
                        </a:xfrm>
                        <a:prstGeom prst="wedgeRectCallout">
                          <a:avLst>
                            <a:gd name="adj1" fmla="val -35547"/>
                            <a:gd name="adj2" fmla="val 147651"/>
                          </a:avLst>
                        </a:prstGeom>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拟建工程所在地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1.75pt;margin-top:150.4pt;height:25.55pt;width:94.45pt;z-index:251670528;v-text-anchor:middle;mso-width-relative:page;mso-height-relative:page;" fillcolor="#FFFFFF [3201]" filled="t" stroked="t" coordsize="21600,21600" o:gfxdata="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s8yn42QAAAAsBAAAPAAAAAAAAAAEAIAAAACIA&#10;AABkcnMvZG93bnJldi54bWxQSwECFAAUAAAACACHTuJAe4Bp1rMCAABbBQAADgAAAAAAAAABACAA&#10;AAAoAQAAZHJzL2Uyb0RvYy54bWxQSwUGAAAAAAYABgBZAQAATQYAAAAA&#10;" adj="3122,42693">
                <v:fill on="t" focussize="0,0"/>
                <v:stroke weight="2pt" color="#F79646 [3209]" joinstyle="round"/>
                <v:imagedata o:title=""/>
                <o:lock v:ext="edit" aspectratio="f"/>
                <v:textbox>
                  <w:txbxContent>
                    <w:p>
                      <w:pPr>
                        <w:jc w:val="center"/>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拟建工程所在地</w:t>
                      </w:r>
                    </w:p>
                  </w:txbxContent>
                </v:textbox>
              </v:shape>
            </w:pict>
          </mc:Fallback>
        </mc:AlternateContent>
      </w:r>
      <w:r>
        <w:rPr>
          <w:color w:val="auto"/>
        </w:rPr>
        <w:drawing>
          <wp:inline distT="0" distB="0" distL="114300" distR="114300">
            <wp:extent cx="5003165" cy="3717290"/>
            <wp:effectExtent l="0" t="0" r="6985" b="16510"/>
            <wp:docPr id="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5"/>
                    <pic:cNvPicPr>
                      <a:picLocks noChangeAspect="1"/>
                    </pic:cNvPicPr>
                  </pic:nvPicPr>
                  <pic:blipFill>
                    <a:blip r:embed="rId33"/>
                    <a:stretch>
                      <a:fillRect/>
                    </a:stretch>
                  </pic:blipFill>
                  <pic:spPr>
                    <a:xfrm>
                      <a:off x="0" y="0"/>
                      <a:ext cx="5003165" cy="3717290"/>
                    </a:xfrm>
                    <a:prstGeom prst="rect">
                      <a:avLst/>
                    </a:prstGeom>
                    <a:noFill/>
                    <a:ln>
                      <a:noFill/>
                    </a:ln>
                  </pic:spPr>
                </pic:pic>
              </a:graphicData>
            </a:graphic>
          </wp:inline>
        </w:drawing>
      </w:r>
    </w:p>
    <w:p>
      <w:pPr>
        <w:widowControl w:val="0"/>
        <w:autoSpaceDE w:val="0"/>
        <w:autoSpaceDN w:val="0"/>
        <w:spacing w:line="360" w:lineRule="auto"/>
        <w:ind w:right="403"/>
        <w:jc w:val="center"/>
        <w:rPr>
          <w:rFonts w:hint="default" w:eastAsia="黑体"/>
          <w:b/>
          <w:color w:val="auto"/>
          <w:szCs w:val="21"/>
          <w:lang w:val="en-US" w:eastAsia="zh-CN"/>
        </w:rPr>
      </w:pPr>
      <w:r>
        <w:rPr>
          <w:rFonts w:eastAsia="黑体"/>
          <w:b/>
          <w:color w:val="auto"/>
          <w:szCs w:val="21"/>
        </w:rPr>
        <w:t>图</w:t>
      </w:r>
      <w:r>
        <w:rPr>
          <w:rFonts w:hint="eastAsia" w:eastAsia="黑体"/>
          <w:b/>
          <w:color w:val="auto"/>
          <w:szCs w:val="21"/>
          <w:lang w:val="en-US" w:eastAsia="zh-CN"/>
        </w:rPr>
        <w:t>2.1-1</w:t>
      </w:r>
      <w:r>
        <w:rPr>
          <w:rFonts w:eastAsia="黑体"/>
          <w:b/>
          <w:color w:val="auto"/>
          <w:szCs w:val="21"/>
        </w:rPr>
        <w:t xml:space="preserve">  </w:t>
      </w:r>
      <w:r>
        <w:rPr>
          <w:rFonts w:hint="eastAsia" w:eastAsia="黑体"/>
          <w:b/>
          <w:color w:val="auto"/>
          <w:szCs w:val="21"/>
          <w:lang w:val="en-US" w:eastAsia="zh-CN"/>
        </w:rPr>
        <w:t>工程地理位置图</w:t>
      </w:r>
    </w:p>
    <w:p>
      <w:pPr>
        <w:pStyle w:val="9"/>
        <w:widowControl w:val="0"/>
        <w:spacing w:before="120" w:after="120" w:line="360" w:lineRule="auto"/>
        <w:rPr>
          <w:rFonts w:hint="default" w:eastAsia="黑体"/>
          <w:b w:val="0"/>
          <w:color w:val="auto"/>
          <w:sz w:val="24"/>
          <w:lang w:val="en-US" w:eastAsia="zh-CN"/>
        </w:rPr>
      </w:pPr>
      <w:bookmarkStart w:id="286" w:name="_Toc6128"/>
      <w:r>
        <w:rPr>
          <w:rFonts w:eastAsia="黑体"/>
          <w:b w:val="0"/>
          <w:color w:val="auto"/>
          <w:sz w:val="24"/>
        </w:rPr>
        <w:t>2.</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2港口现状</w:t>
      </w:r>
      <w:bookmarkEnd w:id="286"/>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1.2</w:t>
      </w:r>
      <w:r>
        <w:rPr>
          <w:rFonts w:eastAsia="黑体"/>
          <w:color w:val="auto"/>
          <w:szCs w:val="24"/>
        </w:rPr>
        <w:t>.1</w:t>
      </w:r>
      <w:r>
        <w:rPr>
          <w:rFonts w:hint="eastAsia" w:eastAsia="黑体"/>
          <w:color w:val="auto"/>
          <w:szCs w:val="24"/>
          <w:lang w:val="en-US" w:eastAsia="zh-CN"/>
        </w:rPr>
        <w:t>宜昌港现状</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rPr>
        <w:t>宜昌市地处长江中游与上游结合部，是我国中西部地区重要的沿江港口城市，经济基础雄厚，自然资源丰富，区位条件优越，是湖北省域副中心城市，也是“鄂西生态文化旅游圈”与“长江经济带”的核心城市。宜昌港素有“渝鄂咽喉”、“三峡门户”之称，是长江中、上游的重要水运中转枢纽港，是我国内河主要港口之一。得天独厚的地理位置，蕴量丰富的客货资源，三峡工程建设开发的重大机遇，确立了宜昌港在长江黄金水道上</w:t>
      </w:r>
      <w:r>
        <w:rPr>
          <w:rFonts w:hint="eastAsia" w:eastAsia="仿宋_GB2312"/>
          <w:color w:val="auto"/>
          <w:lang w:eastAsia="zh-CN"/>
        </w:rPr>
        <w:t>的枢纽地位，并在保障三峡通航中发挥着特殊的中转作用。</w:t>
      </w:r>
    </w:p>
    <w:p>
      <w:pPr>
        <w:pStyle w:val="1025"/>
        <w:widowControl w:val="0"/>
        <w:spacing w:line="360" w:lineRule="auto"/>
        <w:ind w:firstLine="480" w:firstLineChars="200"/>
        <w:rPr>
          <w:rFonts w:hint="eastAsia" w:eastAsia="仿宋_GB2312"/>
          <w:color w:val="auto"/>
        </w:rPr>
      </w:pPr>
      <w:r>
        <w:rPr>
          <w:rFonts w:hint="eastAsia" w:eastAsia="仿宋_GB2312"/>
          <w:color w:val="auto"/>
          <w:lang w:eastAsia="zh-CN"/>
        </w:rPr>
        <w:t>宜昌港包括主城港区（含夷陵区）、秭归港区、枝江港区、宜都港区、长阳港区和兴山港区六个港区。截至2016年底，宜昌港码头泊位总数为362个，港口年通过能力为6110.3万t。各港区泊位情况见</w:t>
      </w:r>
      <w:r>
        <w:rPr>
          <w:rFonts w:hint="eastAsia" w:eastAsia="仿宋_GB2312"/>
          <w:color w:val="auto"/>
          <w:lang w:val="en-US" w:eastAsia="zh-CN"/>
        </w:rPr>
        <w:t>下</w:t>
      </w:r>
      <w:r>
        <w:rPr>
          <w:rFonts w:hint="eastAsia" w:eastAsia="仿宋_GB2312"/>
          <w:color w:val="auto"/>
          <w:lang w:eastAsia="zh-CN"/>
        </w:rPr>
        <w:t>表</w:t>
      </w:r>
      <w:r>
        <w:rPr>
          <w:rFonts w:hint="eastAsia" w:eastAsia="仿宋_GB2312"/>
          <w:color w:val="auto"/>
        </w:rPr>
        <w:t>。</w:t>
      </w:r>
    </w:p>
    <w:p>
      <w:pPr>
        <w:pStyle w:val="1025"/>
        <w:widowControl w:val="0"/>
        <w:autoSpaceDE/>
        <w:autoSpaceDN/>
        <w:adjustRightInd/>
        <w:spacing w:line="360" w:lineRule="auto"/>
        <w:ind w:firstLine="0"/>
        <w:jc w:val="center"/>
        <w:textAlignment w:val="auto"/>
        <w:rPr>
          <w:rFonts w:hint="eastAsia" w:eastAsia="黑体"/>
          <w:b/>
          <w:color w:val="auto"/>
          <w:sz w:val="21"/>
        </w:rPr>
      </w:pPr>
      <w:r>
        <w:rPr>
          <w:rFonts w:eastAsia="黑体"/>
          <w:b/>
          <w:color w:val="auto"/>
          <w:sz w:val="21"/>
        </w:rPr>
        <w:t>表2.</w:t>
      </w:r>
      <w:r>
        <w:rPr>
          <w:rFonts w:hint="eastAsia" w:eastAsia="黑体"/>
          <w:b/>
          <w:color w:val="auto"/>
          <w:sz w:val="21"/>
          <w:lang w:val="en-US" w:eastAsia="zh-CN"/>
        </w:rPr>
        <w:t>1</w:t>
      </w:r>
      <w:r>
        <w:rPr>
          <w:rFonts w:eastAsia="黑体"/>
          <w:b/>
          <w:color w:val="auto"/>
          <w:sz w:val="21"/>
        </w:rPr>
        <w:t xml:space="preserve">-1  </w:t>
      </w:r>
      <w:r>
        <w:rPr>
          <w:rFonts w:hint="eastAsia" w:eastAsia="黑体"/>
          <w:b/>
          <w:color w:val="auto"/>
          <w:sz w:val="21"/>
        </w:rPr>
        <w:t>各港区泊位情况</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09"/>
        <w:gridCol w:w="1455"/>
        <w:gridCol w:w="888"/>
        <w:gridCol w:w="1196"/>
        <w:gridCol w:w="1147"/>
        <w:gridCol w:w="939"/>
        <w:gridCol w:w="923"/>
        <w:gridCol w:w="12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vMerge w:val="restart"/>
            <w:tcBorders>
              <w:top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序号</w:t>
            </w:r>
          </w:p>
        </w:tc>
        <w:tc>
          <w:tcPr>
            <w:tcW w:w="854" w:type="pct"/>
            <w:vMerge w:val="restart"/>
            <w:tcBorders>
              <w:top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港区</w:t>
            </w:r>
          </w:p>
        </w:tc>
        <w:tc>
          <w:tcPr>
            <w:tcW w:w="521" w:type="pct"/>
            <w:vMerge w:val="restar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泊位个数</w:t>
            </w:r>
          </w:p>
        </w:tc>
        <w:tc>
          <w:tcPr>
            <w:tcW w:w="702" w:type="pct"/>
            <w:vMerge w:val="restar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占用岸线长度（m）</w:t>
            </w:r>
          </w:p>
        </w:tc>
        <w:tc>
          <w:tcPr>
            <w:tcW w:w="2505" w:type="pct"/>
            <w:gridSpan w:val="4"/>
            <w:tcBorders>
              <w:top w:val="single" w:color="auto" w:sz="12" w:space="0"/>
              <w:bottom w:val="single" w:color="auto" w:sz="4"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通过能力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vMerge w:val="continue"/>
            <w:tcBorders>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p>
        </w:tc>
        <w:tc>
          <w:tcPr>
            <w:tcW w:w="854" w:type="pct"/>
            <w:vMerge w:val="continue"/>
            <w:tcBorders>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p>
        </w:tc>
        <w:tc>
          <w:tcPr>
            <w:tcW w:w="521" w:type="pct"/>
            <w:vMerge w:val="continue"/>
            <w:tcBorders>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p>
        </w:tc>
        <w:tc>
          <w:tcPr>
            <w:tcW w:w="702" w:type="pct"/>
            <w:vMerge w:val="continue"/>
            <w:tcBorders>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p>
        </w:tc>
        <w:tc>
          <w:tcPr>
            <w:tcW w:w="673" w:type="pct"/>
            <w:tcBorders>
              <w:top w:val="single" w:color="auto" w:sz="4"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合计（万t）</w:t>
            </w:r>
          </w:p>
        </w:tc>
        <w:tc>
          <w:tcPr>
            <w:tcW w:w="551" w:type="pct"/>
            <w:tcBorders>
              <w:top w:val="single" w:color="auto" w:sz="4" w:space="0"/>
              <w:bottom w:val="single" w:color="auto" w:sz="12" w:space="0"/>
            </w:tcBorders>
            <w:noWrap w:val="0"/>
            <w:vAlign w:val="center"/>
          </w:tcPr>
          <w:p>
            <w:pPr>
              <w:jc w:val="center"/>
              <w:rPr>
                <w:rFonts w:hint="eastAsia"/>
                <w:color w:val="auto"/>
                <w:sz w:val="20"/>
                <w:lang w:val="en-US" w:eastAsia="zh-CN"/>
              </w:rPr>
            </w:pPr>
            <w:r>
              <w:rPr>
                <w:rFonts w:hint="eastAsia"/>
                <w:color w:val="auto"/>
                <w:sz w:val="20"/>
                <w:lang w:val="en-US" w:eastAsia="zh-CN"/>
              </w:rPr>
              <w:t>货物</w:t>
            </w:r>
          </w:p>
          <w:p>
            <w:pPr>
              <w:jc w:val="center"/>
              <w:rPr>
                <w:rFonts w:hint="eastAsia" w:eastAsia="宋体"/>
                <w:color w:val="auto"/>
                <w:sz w:val="20"/>
                <w:lang w:val="en-US" w:eastAsia="zh-CN"/>
              </w:rPr>
            </w:pPr>
            <w:r>
              <w:rPr>
                <w:rFonts w:hint="eastAsia"/>
                <w:color w:val="auto"/>
                <w:sz w:val="20"/>
                <w:lang w:val="en-US" w:eastAsia="zh-CN"/>
              </w:rPr>
              <w:t>（万t）</w:t>
            </w:r>
          </w:p>
        </w:tc>
        <w:tc>
          <w:tcPr>
            <w:tcW w:w="542" w:type="pct"/>
            <w:tcBorders>
              <w:top w:val="single" w:color="auto" w:sz="4" w:space="0"/>
              <w:bottom w:val="single" w:color="auto" w:sz="12" w:space="0"/>
            </w:tcBorders>
            <w:noWrap w:val="0"/>
            <w:vAlign w:val="center"/>
          </w:tcPr>
          <w:p>
            <w:pPr>
              <w:jc w:val="center"/>
              <w:rPr>
                <w:rFonts w:hint="eastAsia"/>
                <w:color w:val="auto"/>
                <w:sz w:val="20"/>
                <w:lang w:val="en-US" w:eastAsia="zh-CN"/>
              </w:rPr>
            </w:pPr>
            <w:r>
              <w:rPr>
                <w:rFonts w:hint="eastAsia"/>
                <w:color w:val="auto"/>
                <w:sz w:val="20"/>
                <w:lang w:val="en-US" w:eastAsia="zh-CN"/>
              </w:rPr>
              <w:t>汽车</w:t>
            </w:r>
          </w:p>
          <w:p>
            <w:pPr>
              <w:jc w:val="center"/>
              <w:rPr>
                <w:rFonts w:hint="eastAsia" w:eastAsia="宋体"/>
                <w:color w:val="auto"/>
                <w:sz w:val="20"/>
                <w:lang w:val="en-US" w:eastAsia="zh-CN"/>
              </w:rPr>
            </w:pPr>
            <w:r>
              <w:rPr>
                <w:rFonts w:hint="eastAsia"/>
                <w:color w:val="auto"/>
                <w:sz w:val="20"/>
                <w:lang w:val="en-US" w:eastAsia="zh-CN"/>
              </w:rPr>
              <w:t>（万辆）</w:t>
            </w:r>
          </w:p>
        </w:tc>
        <w:tc>
          <w:tcPr>
            <w:tcW w:w="739" w:type="pct"/>
            <w:tcBorders>
              <w:top w:val="single" w:color="auto" w:sz="4"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旅客吞吐能力（万人次）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1</w:t>
            </w:r>
          </w:p>
        </w:tc>
        <w:tc>
          <w:tcPr>
            <w:tcW w:w="854" w:type="pct"/>
            <w:tcBorders>
              <w:top w:val="single" w:color="auto" w:sz="12" w:space="0"/>
            </w:tcBorders>
            <w:noWrap w:val="0"/>
            <w:vAlign w:val="center"/>
          </w:tcPr>
          <w:p>
            <w:pPr>
              <w:jc w:val="center"/>
              <w:rPr>
                <w:rFonts w:hint="eastAsia" w:eastAsia="宋体"/>
                <w:color w:val="auto"/>
                <w:sz w:val="20"/>
                <w:lang w:val="en-US" w:eastAsia="zh-CN"/>
              </w:rPr>
            </w:pPr>
            <w:r>
              <w:rPr>
                <w:rFonts w:hint="eastAsia"/>
                <w:color w:val="auto"/>
                <w:sz w:val="20"/>
                <w:lang w:val="en-US" w:eastAsia="zh-CN"/>
              </w:rPr>
              <w:t>主城港区</w:t>
            </w:r>
          </w:p>
        </w:tc>
        <w:tc>
          <w:tcPr>
            <w:tcW w:w="521"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107</w:t>
            </w:r>
          </w:p>
        </w:tc>
        <w:tc>
          <w:tcPr>
            <w:tcW w:w="702"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7062.4</w:t>
            </w:r>
          </w:p>
        </w:tc>
        <w:tc>
          <w:tcPr>
            <w:tcW w:w="673" w:type="pct"/>
            <w:tcBorders>
              <w:top w:val="single" w:color="auto" w:sz="12" w:space="0"/>
            </w:tcBorders>
            <w:noWrap w:val="0"/>
            <w:vAlign w:val="center"/>
          </w:tcPr>
          <w:p>
            <w:pPr>
              <w:jc w:val="center"/>
              <w:rPr>
                <w:rFonts w:hint="default" w:eastAsia="宋体"/>
                <w:color w:val="auto"/>
                <w:sz w:val="20"/>
                <w:lang w:val="en-US" w:eastAsia="zh-CN"/>
              </w:rPr>
            </w:pPr>
            <w:r>
              <w:rPr>
                <w:rFonts w:hint="eastAsia"/>
                <w:color w:val="auto"/>
                <w:sz w:val="20"/>
                <w:lang w:val="en-US" w:eastAsia="zh-CN"/>
              </w:rPr>
              <w:t>575</w:t>
            </w:r>
          </w:p>
        </w:tc>
        <w:tc>
          <w:tcPr>
            <w:tcW w:w="551" w:type="pct"/>
            <w:tcBorders>
              <w:top w:val="single" w:color="auto" w:sz="12" w:space="0"/>
            </w:tcBorders>
            <w:noWrap w:val="0"/>
            <w:vAlign w:val="center"/>
          </w:tcPr>
          <w:p>
            <w:pPr>
              <w:jc w:val="center"/>
              <w:rPr>
                <w:rFonts w:hint="default" w:eastAsia="宋体"/>
                <w:color w:val="auto"/>
                <w:sz w:val="20"/>
                <w:lang w:val="en-US" w:eastAsia="zh-CN"/>
              </w:rPr>
            </w:pPr>
            <w:r>
              <w:rPr>
                <w:rFonts w:hint="eastAsia"/>
                <w:color w:val="auto"/>
                <w:sz w:val="20"/>
                <w:lang w:val="en-US" w:eastAsia="zh-CN"/>
              </w:rPr>
              <w:t>575</w:t>
            </w:r>
          </w:p>
        </w:tc>
        <w:tc>
          <w:tcPr>
            <w:tcW w:w="542" w:type="pct"/>
            <w:tcBorders>
              <w:top w:val="single" w:color="auto" w:sz="12" w:space="0"/>
            </w:tcBorders>
            <w:noWrap w:val="0"/>
            <w:vAlign w:val="center"/>
          </w:tcPr>
          <w:p>
            <w:pPr>
              <w:jc w:val="center"/>
              <w:rPr>
                <w:color w:val="auto"/>
                <w:sz w:val="20"/>
              </w:rPr>
            </w:pPr>
          </w:p>
        </w:tc>
        <w:tc>
          <w:tcPr>
            <w:tcW w:w="739" w:type="pct"/>
            <w:tcBorders>
              <w:top w:val="single" w:color="auto" w:sz="12" w:space="0"/>
            </w:tcBorders>
            <w:noWrap w:val="0"/>
            <w:vAlign w:val="center"/>
          </w:tcPr>
          <w:p>
            <w:pPr>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2</w:t>
            </w:r>
          </w:p>
        </w:tc>
        <w:tc>
          <w:tcPr>
            <w:tcW w:w="854" w:type="pct"/>
            <w:noWrap w:val="0"/>
            <w:vAlign w:val="center"/>
          </w:tcPr>
          <w:p>
            <w:pPr>
              <w:jc w:val="center"/>
              <w:rPr>
                <w:rFonts w:hint="eastAsia" w:eastAsia="宋体"/>
                <w:color w:val="auto"/>
                <w:sz w:val="20"/>
                <w:lang w:val="en-US" w:eastAsia="zh-CN"/>
              </w:rPr>
            </w:pPr>
            <w:r>
              <w:rPr>
                <w:rFonts w:hint="eastAsia"/>
                <w:color w:val="auto"/>
                <w:sz w:val="20"/>
                <w:lang w:val="en-US" w:eastAsia="zh-CN"/>
              </w:rPr>
              <w:t>兴山港区</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15</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3138</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1164</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1149</w:t>
            </w:r>
          </w:p>
        </w:tc>
        <w:tc>
          <w:tcPr>
            <w:tcW w:w="542" w:type="pct"/>
            <w:noWrap w:val="0"/>
            <w:vAlign w:val="center"/>
          </w:tcPr>
          <w:p>
            <w:pPr>
              <w:jc w:val="center"/>
              <w:rPr>
                <w:rFonts w:hint="default" w:eastAsia="宋体"/>
                <w:color w:val="auto"/>
                <w:sz w:val="20"/>
                <w:lang w:val="en-US" w:eastAsia="zh-CN"/>
              </w:rPr>
            </w:pPr>
            <w:r>
              <w:rPr>
                <w:rFonts w:hint="eastAsia"/>
                <w:color w:val="auto"/>
                <w:sz w:val="20"/>
                <w:lang w:val="en-US" w:eastAsia="zh-CN"/>
              </w:rPr>
              <w:t>15</w:t>
            </w:r>
          </w:p>
        </w:tc>
        <w:tc>
          <w:tcPr>
            <w:tcW w:w="739" w:type="pct"/>
            <w:noWrap w:val="0"/>
            <w:vAlign w:val="center"/>
          </w:tcPr>
          <w:p>
            <w:pPr>
              <w:jc w:val="center"/>
              <w:rPr>
                <w:rFonts w:hint="default" w:eastAsia="宋体"/>
                <w:color w:val="auto"/>
                <w:sz w:val="20"/>
                <w:lang w:val="en-US" w:eastAsia="zh-CN"/>
              </w:rPr>
            </w:pPr>
            <w:r>
              <w:rPr>
                <w:rFonts w:hint="eastAsia"/>
                <w:color w:val="auto"/>
                <w:sz w:val="20"/>
                <w:lang w:val="en-US" w:eastAsia="zh-CN"/>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3</w:t>
            </w:r>
          </w:p>
        </w:tc>
        <w:tc>
          <w:tcPr>
            <w:tcW w:w="854" w:type="pct"/>
            <w:noWrap w:val="0"/>
            <w:vAlign w:val="center"/>
          </w:tcPr>
          <w:p>
            <w:pPr>
              <w:jc w:val="center"/>
              <w:rPr>
                <w:rFonts w:hint="eastAsia" w:eastAsia="宋体"/>
                <w:color w:val="auto"/>
                <w:sz w:val="20"/>
                <w:lang w:val="en-US" w:eastAsia="zh-CN"/>
              </w:rPr>
            </w:pPr>
            <w:r>
              <w:rPr>
                <w:rFonts w:hint="eastAsia"/>
                <w:color w:val="auto"/>
                <w:sz w:val="20"/>
                <w:lang w:val="en-US" w:eastAsia="zh-CN"/>
              </w:rPr>
              <w:t>秭归港区</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59</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5430</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1183</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1128</w:t>
            </w:r>
          </w:p>
        </w:tc>
        <w:tc>
          <w:tcPr>
            <w:tcW w:w="542" w:type="pct"/>
            <w:noWrap w:val="0"/>
            <w:vAlign w:val="center"/>
          </w:tcPr>
          <w:p>
            <w:pPr>
              <w:jc w:val="center"/>
              <w:rPr>
                <w:rFonts w:hint="default" w:eastAsia="宋体"/>
                <w:color w:val="auto"/>
                <w:sz w:val="20"/>
                <w:lang w:val="en-US" w:eastAsia="zh-CN"/>
              </w:rPr>
            </w:pPr>
            <w:r>
              <w:rPr>
                <w:rFonts w:hint="eastAsia"/>
                <w:color w:val="auto"/>
                <w:sz w:val="20"/>
                <w:lang w:val="en-US" w:eastAsia="zh-CN"/>
              </w:rPr>
              <w:t>55</w:t>
            </w:r>
          </w:p>
        </w:tc>
        <w:tc>
          <w:tcPr>
            <w:tcW w:w="739" w:type="pct"/>
            <w:noWrap w:val="0"/>
            <w:vAlign w:val="center"/>
          </w:tcPr>
          <w:p>
            <w:pPr>
              <w:jc w:val="center"/>
              <w:rPr>
                <w:rFonts w:hint="default" w:eastAsia="宋体"/>
                <w:color w:val="auto"/>
                <w:sz w:val="20"/>
                <w:lang w:val="en-US" w:eastAsia="zh-CN"/>
              </w:rPr>
            </w:pPr>
            <w:r>
              <w:rPr>
                <w:rFonts w:hint="eastAsia"/>
                <w:color w:val="auto"/>
                <w:sz w:val="20"/>
                <w:lang w:val="en-US" w:eastAsia="zh-CN"/>
              </w:rPr>
              <w:t>280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4</w:t>
            </w:r>
          </w:p>
        </w:tc>
        <w:tc>
          <w:tcPr>
            <w:tcW w:w="854" w:type="pct"/>
            <w:noWrap w:val="0"/>
            <w:vAlign w:val="center"/>
          </w:tcPr>
          <w:p>
            <w:pPr>
              <w:jc w:val="center"/>
              <w:rPr>
                <w:rFonts w:hint="eastAsia" w:eastAsia="宋体"/>
                <w:color w:val="auto"/>
                <w:sz w:val="20"/>
                <w:lang w:val="en-US" w:eastAsia="zh-CN"/>
              </w:rPr>
            </w:pPr>
            <w:r>
              <w:rPr>
                <w:rFonts w:hint="eastAsia"/>
                <w:color w:val="auto"/>
                <w:sz w:val="20"/>
                <w:lang w:val="en-US" w:eastAsia="zh-CN"/>
              </w:rPr>
              <w:t>宜都港区</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99</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13970</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2030</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2030</w:t>
            </w:r>
          </w:p>
        </w:tc>
        <w:tc>
          <w:tcPr>
            <w:tcW w:w="542" w:type="pct"/>
            <w:noWrap w:val="0"/>
            <w:vAlign w:val="center"/>
          </w:tcPr>
          <w:p>
            <w:pPr>
              <w:jc w:val="center"/>
              <w:rPr>
                <w:color w:val="auto"/>
                <w:sz w:val="20"/>
              </w:rPr>
            </w:pPr>
          </w:p>
        </w:tc>
        <w:tc>
          <w:tcPr>
            <w:tcW w:w="739" w:type="pct"/>
            <w:noWrap w:val="0"/>
            <w:vAlign w:val="center"/>
          </w:tcPr>
          <w:p>
            <w:pPr>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5</w:t>
            </w:r>
          </w:p>
        </w:tc>
        <w:tc>
          <w:tcPr>
            <w:tcW w:w="854" w:type="pct"/>
            <w:noWrap w:val="0"/>
            <w:vAlign w:val="center"/>
          </w:tcPr>
          <w:p>
            <w:pPr>
              <w:jc w:val="center"/>
              <w:rPr>
                <w:rFonts w:hint="eastAsia" w:eastAsia="宋体"/>
                <w:color w:val="auto"/>
                <w:sz w:val="20"/>
                <w:lang w:val="en-US" w:eastAsia="zh-CN"/>
              </w:rPr>
            </w:pPr>
            <w:r>
              <w:rPr>
                <w:rFonts w:hint="eastAsia"/>
                <w:color w:val="auto"/>
                <w:sz w:val="20"/>
                <w:lang w:val="en-US" w:eastAsia="zh-CN"/>
              </w:rPr>
              <w:t>枝江港区</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45</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6863.1</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1140</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1140</w:t>
            </w:r>
          </w:p>
        </w:tc>
        <w:tc>
          <w:tcPr>
            <w:tcW w:w="542" w:type="pct"/>
            <w:noWrap w:val="0"/>
            <w:vAlign w:val="center"/>
          </w:tcPr>
          <w:p>
            <w:pPr>
              <w:jc w:val="center"/>
              <w:rPr>
                <w:color w:val="auto"/>
                <w:sz w:val="20"/>
              </w:rPr>
            </w:pPr>
          </w:p>
        </w:tc>
        <w:tc>
          <w:tcPr>
            <w:tcW w:w="739" w:type="pct"/>
            <w:noWrap w:val="0"/>
            <w:vAlign w:val="center"/>
          </w:tcPr>
          <w:p>
            <w:pPr>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16" w:type="pct"/>
            <w:noWrap w:val="0"/>
            <w:vAlign w:val="center"/>
          </w:tcPr>
          <w:p>
            <w:pPr>
              <w:pStyle w:val="1025"/>
              <w:autoSpaceDE/>
              <w:autoSpaceDN/>
              <w:adjustRightInd/>
              <w:spacing w:line="240" w:lineRule="auto"/>
              <w:ind w:firstLine="0"/>
              <w:jc w:val="center"/>
              <w:textAlignment w:val="auto"/>
              <w:rPr>
                <w:rFonts w:hint="default"/>
                <w:color w:val="auto"/>
                <w:sz w:val="20"/>
                <w:lang w:val="en-US" w:eastAsia="zh-CN"/>
              </w:rPr>
            </w:pPr>
            <w:r>
              <w:rPr>
                <w:rFonts w:hint="eastAsia"/>
                <w:color w:val="auto"/>
                <w:sz w:val="20"/>
                <w:lang w:val="en-US" w:eastAsia="zh-CN"/>
              </w:rPr>
              <w:t>6</w:t>
            </w:r>
          </w:p>
        </w:tc>
        <w:tc>
          <w:tcPr>
            <w:tcW w:w="854" w:type="pct"/>
            <w:noWrap w:val="0"/>
            <w:vAlign w:val="center"/>
          </w:tcPr>
          <w:p>
            <w:pPr>
              <w:jc w:val="center"/>
              <w:rPr>
                <w:rFonts w:hint="eastAsia" w:eastAsia="宋体"/>
                <w:color w:val="auto"/>
                <w:sz w:val="20"/>
                <w:lang w:val="en-US" w:eastAsia="zh-CN"/>
              </w:rPr>
            </w:pPr>
            <w:r>
              <w:rPr>
                <w:rFonts w:hint="eastAsia"/>
                <w:color w:val="auto"/>
                <w:sz w:val="20"/>
                <w:lang w:val="en-US" w:eastAsia="zh-CN"/>
              </w:rPr>
              <w:t>长阳港区</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37</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5360</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18.3</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18.3</w:t>
            </w:r>
          </w:p>
        </w:tc>
        <w:tc>
          <w:tcPr>
            <w:tcW w:w="542" w:type="pct"/>
            <w:noWrap w:val="0"/>
            <w:vAlign w:val="center"/>
          </w:tcPr>
          <w:p>
            <w:pPr>
              <w:jc w:val="center"/>
              <w:rPr>
                <w:color w:val="auto"/>
                <w:sz w:val="20"/>
              </w:rPr>
            </w:pPr>
          </w:p>
        </w:tc>
        <w:tc>
          <w:tcPr>
            <w:tcW w:w="739" w:type="pct"/>
            <w:noWrap w:val="0"/>
            <w:vAlign w:val="center"/>
          </w:tcPr>
          <w:p>
            <w:pPr>
              <w:jc w:val="center"/>
              <w:rPr>
                <w:rFonts w:hint="default" w:eastAsia="宋体"/>
                <w:color w:val="auto"/>
                <w:sz w:val="20"/>
                <w:lang w:val="en-US" w:eastAsia="zh-CN"/>
              </w:rPr>
            </w:pPr>
            <w:r>
              <w:rPr>
                <w:rFonts w:hint="eastAsia"/>
                <w:color w:val="auto"/>
                <w:sz w:val="20"/>
                <w:lang w:val="en-US" w:eastAsia="zh-CN"/>
              </w:rPr>
              <w:t>101.5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70" w:type="pct"/>
            <w:gridSpan w:val="2"/>
            <w:noWrap w:val="0"/>
            <w:vAlign w:val="center"/>
          </w:tcPr>
          <w:p>
            <w:pPr>
              <w:jc w:val="center"/>
              <w:rPr>
                <w:color w:val="auto"/>
                <w:sz w:val="20"/>
              </w:rPr>
            </w:pPr>
            <w:r>
              <w:rPr>
                <w:rFonts w:hint="eastAsia"/>
                <w:color w:val="auto"/>
                <w:sz w:val="20"/>
                <w:lang w:val="en-US" w:eastAsia="zh-CN"/>
              </w:rPr>
              <w:t>合计</w:t>
            </w:r>
          </w:p>
        </w:tc>
        <w:tc>
          <w:tcPr>
            <w:tcW w:w="521" w:type="pct"/>
            <w:noWrap w:val="0"/>
            <w:vAlign w:val="center"/>
          </w:tcPr>
          <w:p>
            <w:pPr>
              <w:jc w:val="center"/>
              <w:rPr>
                <w:rFonts w:hint="default" w:eastAsia="宋体"/>
                <w:color w:val="auto"/>
                <w:sz w:val="20"/>
                <w:lang w:val="en-US" w:eastAsia="zh-CN"/>
              </w:rPr>
            </w:pPr>
            <w:r>
              <w:rPr>
                <w:rFonts w:hint="eastAsia"/>
                <w:color w:val="auto"/>
                <w:sz w:val="20"/>
                <w:lang w:val="en-US" w:eastAsia="zh-CN"/>
              </w:rPr>
              <w:t>362</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41823.5</w:t>
            </w:r>
          </w:p>
        </w:tc>
        <w:tc>
          <w:tcPr>
            <w:tcW w:w="673" w:type="pct"/>
            <w:noWrap w:val="0"/>
            <w:vAlign w:val="center"/>
          </w:tcPr>
          <w:p>
            <w:pPr>
              <w:jc w:val="center"/>
              <w:rPr>
                <w:rFonts w:hint="default" w:eastAsia="宋体"/>
                <w:color w:val="auto"/>
                <w:sz w:val="20"/>
                <w:lang w:val="en-US" w:eastAsia="zh-CN"/>
              </w:rPr>
            </w:pPr>
            <w:r>
              <w:rPr>
                <w:rFonts w:hint="eastAsia"/>
                <w:color w:val="auto"/>
                <w:sz w:val="20"/>
                <w:lang w:val="en-US" w:eastAsia="zh-CN"/>
              </w:rPr>
              <w:t>6110.3</w:t>
            </w:r>
          </w:p>
        </w:tc>
        <w:tc>
          <w:tcPr>
            <w:tcW w:w="551" w:type="pct"/>
            <w:noWrap w:val="0"/>
            <w:vAlign w:val="center"/>
          </w:tcPr>
          <w:p>
            <w:pPr>
              <w:jc w:val="center"/>
              <w:rPr>
                <w:rFonts w:hint="default" w:eastAsia="宋体"/>
                <w:color w:val="auto"/>
                <w:sz w:val="20"/>
                <w:lang w:val="en-US" w:eastAsia="zh-CN"/>
              </w:rPr>
            </w:pPr>
            <w:r>
              <w:rPr>
                <w:rFonts w:hint="eastAsia"/>
                <w:color w:val="auto"/>
                <w:sz w:val="20"/>
                <w:lang w:val="en-US" w:eastAsia="zh-CN"/>
              </w:rPr>
              <w:t>6040.3</w:t>
            </w:r>
          </w:p>
        </w:tc>
        <w:tc>
          <w:tcPr>
            <w:tcW w:w="542" w:type="pct"/>
            <w:noWrap w:val="0"/>
            <w:vAlign w:val="center"/>
          </w:tcPr>
          <w:p>
            <w:pPr>
              <w:jc w:val="center"/>
              <w:rPr>
                <w:rFonts w:hint="default" w:eastAsia="宋体"/>
                <w:color w:val="auto"/>
                <w:sz w:val="20"/>
                <w:lang w:val="en-US" w:eastAsia="zh-CN"/>
              </w:rPr>
            </w:pPr>
            <w:r>
              <w:rPr>
                <w:rFonts w:hint="eastAsia"/>
                <w:color w:val="auto"/>
                <w:sz w:val="20"/>
                <w:lang w:val="en-US" w:eastAsia="zh-CN"/>
              </w:rPr>
              <w:t>70</w:t>
            </w:r>
          </w:p>
        </w:tc>
        <w:tc>
          <w:tcPr>
            <w:tcW w:w="739" w:type="pct"/>
            <w:noWrap w:val="0"/>
            <w:vAlign w:val="center"/>
          </w:tcPr>
          <w:p>
            <w:pPr>
              <w:jc w:val="center"/>
              <w:rPr>
                <w:rFonts w:hint="default" w:eastAsia="宋体"/>
                <w:color w:val="auto"/>
                <w:sz w:val="20"/>
                <w:lang w:val="en-US" w:eastAsia="zh-CN"/>
              </w:rPr>
            </w:pPr>
            <w:r>
              <w:rPr>
                <w:rFonts w:hint="eastAsia"/>
                <w:color w:val="auto"/>
                <w:sz w:val="20"/>
                <w:lang w:val="en-US" w:eastAsia="zh-CN"/>
              </w:rPr>
              <w:t>409.5</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1.2</w:t>
      </w:r>
      <w:r>
        <w:rPr>
          <w:rFonts w:eastAsia="黑体"/>
          <w:color w:val="auto"/>
          <w:szCs w:val="24"/>
        </w:rPr>
        <w:t>.</w:t>
      </w:r>
      <w:r>
        <w:rPr>
          <w:rFonts w:hint="eastAsia" w:eastAsia="黑体"/>
          <w:color w:val="auto"/>
          <w:szCs w:val="24"/>
          <w:lang w:val="en-US" w:eastAsia="zh-CN"/>
        </w:rPr>
        <w:t>2宜都港区现状</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rPr>
        <w:t>宜都港区主要包括长江沿线的红花套作业区、陆城作业区、枝城作业区等。宜都港区主要货种以散货、件杂、集装箱、商品汽车、危化品、LNG等功能为主，为宜都市及周边地区提供运输服务。现有码头31个、泊位69个，货物年通过能力1851万吨，滚装车通过能力16万辆</w:t>
      </w:r>
      <w:r>
        <w:rPr>
          <w:rFonts w:hint="eastAsia" w:eastAsia="仿宋_GB2312"/>
          <w:color w:val="auto"/>
          <w:lang w:eastAsia="zh-CN"/>
        </w:rPr>
        <w:t>。</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1.2</w:t>
      </w:r>
      <w:r>
        <w:rPr>
          <w:rFonts w:eastAsia="黑体"/>
          <w:color w:val="auto"/>
          <w:szCs w:val="24"/>
        </w:rPr>
        <w:t>.</w:t>
      </w:r>
      <w:r>
        <w:rPr>
          <w:rFonts w:hint="eastAsia" w:eastAsia="黑体"/>
          <w:color w:val="auto"/>
          <w:szCs w:val="24"/>
          <w:lang w:val="en-US" w:eastAsia="zh-CN"/>
        </w:rPr>
        <w:t>3宜都港区枝城作业区现状</w:t>
      </w:r>
    </w:p>
    <w:p>
      <w:pPr>
        <w:pStyle w:val="1025"/>
        <w:widowControl w:val="0"/>
        <w:spacing w:line="360" w:lineRule="auto"/>
        <w:ind w:firstLine="480" w:firstLineChars="200"/>
        <w:rPr>
          <w:rFonts w:hint="eastAsia" w:eastAsia="仿宋_GB2312"/>
          <w:color w:val="auto"/>
        </w:rPr>
      </w:pPr>
      <w:r>
        <w:rPr>
          <w:rFonts w:hint="eastAsia" w:eastAsia="仿宋_GB2312"/>
          <w:color w:val="auto"/>
        </w:rPr>
        <w:t>枝城作业区范围包括原港口规划的枝城作业区、石鼓作业区和洋溪作业区。作业区自上游至下游分为：楼子河岸线、枝城港岸线、石鼓岸线和洋溪岸线。</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rPr>
        <w:t>工程位于洋溪岸线，长江右岸、宜都长江岸线的最下游，位于长江弯道的顶冲位置。现有20个泊位，占用岸线长度2600m，大部分为中小码头，后方为沿江公路以及洋溪镇城区。根据调查，2016年洋溪作业区完成的吞吐量为560万t左右。其中煤炭100万t，非金属矿石</w:t>
      </w:r>
      <w:r>
        <w:rPr>
          <w:rFonts w:hint="eastAsia" w:eastAsia="仿宋_GB2312"/>
          <w:color w:val="auto"/>
          <w:lang w:val="en-US" w:eastAsia="zh-CN"/>
        </w:rPr>
        <w:t>230</w:t>
      </w:r>
      <w:r>
        <w:rPr>
          <w:rFonts w:hint="eastAsia" w:eastAsia="仿宋_GB2312"/>
          <w:color w:val="auto"/>
        </w:rPr>
        <w:t>万t，化肥150万t，其他80万t</w:t>
      </w:r>
      <w:r>
        <w:rPr>
          <w:rFonts w:hint="eastAsia" w:eastAsia="仿宋_GB2312"/>
          <w:color w:val="auto"/>
          <w:lang w:eastAsia="zh-CN"/>
        </w:rPr>
        <w:t>。</w:t>
      </w:r>
    </w:p>
    <w:p>
      <w:pPr>
        <w:pStyle w:val="9"/>
        <w:widowControl w:val="0"/>
        <w:spacing w:before="120" w:after="120" w:line="360" w:lineRule="auto"/>
        <w:rPr>
          <w:rFonts w:hint="default" w:eastAsia="黑体"/>
          <w:b w:val="0"/>
          <w:color w:val="auto"/>
          <w:sz w:val="24"/>
          <w:lang w:val="en-US" w:eastAsia="zh-CN"/>
        </w:rPr>
      </w:pPr>
      <w:bookmarkStart w:id="287" w:name="_Toc3156"/>
      <w:r>
        <w:rPr>
          <w:rFonts w:eastAsia="黑体"/>
          <w:b w:val="0"/>
          <w:color w:val="auto"/>
          <w:sz w:val="24"/>
        </w:rPr>
        <w:t>2.</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3现有码头工程基本情况</w:t>
      </w:r>
      <w:bookmarkEnd w:id="287"/>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1.3.1现有码头建设运营情况</w:t>
      </w:r>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lang w:val="en-US" w:eastAsia="zh-CN"/>
        </w:rPr>
        <w:t>现有码头为宜都市飞强物流有限公司配套建设的散货码头，于2015年已建成运营，设计吞吐量为10万t/a。主要功能为宜都市飞强物流有限公司出口肥料及磷矿；且自宜都市飞强物流有限公司取得批复后，由于经营不善，并未落实环评批复中提出的环保措施要求，目前已停止运营，废弃至今。</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1.3.2环境管理制度执行情况</w:t>
      </w:r>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宜都市飞强物流有限公司于2017年委托中环国评（北京）科技有限公司对《宜都市飞强物流码头项目》进行环境影响现状评价，并获得原宜都市环境保护局关于本项目环境影响报告表的备案意见，文号为都环保函〔2017〕92号。后停止运营，未进行环保验收等环保手续。</w:t>
      </w:r>
    </w:p>
    <w:p>
      <w:pPr>
        <w:pStyle w:val="9"/>
        <w:widowControl w:val="0"/>
        <w:spacing w:before="120" w:after="120" w:line="360" w:lineRule="auto"/>
        <w:rPr>
          <w:rFonts w:hint="default" w:eastAsia="黑体"/>
          <w:b w:val="0"/>
          <w:color w:val="auto"/>
          <w:sz w:val="24"/>
          <w:lang w:val="en-US" w:eastAsia="zh-CN"/>
        </w:rPr>
      </w:pPr>
      <w:bookmarkStart w:id="288" w:name="_Toc28128"/>
      <w:r>
        <w:rPr>
          <w:rFonts w:eastAsia="黑体"/>
          <w:b w:val="0"/>
          <w:color w:val="auto"/>
          <w:sz w:val="24"/>
        </w:rPr>
        <w:t>2.</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4现有码头建设内容</w:t>
      </w:r>
      <w:bookmarkEnd w:id="288"/>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1.4.1现有码头组成</w:t>
      </w:r>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现有码头建设内容见下表。</w:t>
      </w:r>
    </w:p>
    <w:p>
      <w:pPr>
        <w:pStyle w:val="1025"/>
        <w:widowControl w:val="0"/>
        <w:autoSpaceDE/>
        <w:autoSpaceDN/>
        <w:adjustRightInd/>
        <w:spacing w:line="360" w:lineRule="auto"/>
        <w:ind w:firstLine="0"/>
        <w:jc w:val="center"/>
        <w:textAlignment w:val="auto"/>
        <w:rPr>
          <w:rFonts w:ascii="Times New Roman" w:hAnsi="Times New Roman" w:eastAsia="黑体" w:cs="Times New Roman"/>
          <w:b/>
          <w:color w:val="auto"/>
          <w:sz w:val="21"/>
        </w:rPr>
      </w:pPr>
      <w:r>
        <w:rPr>
          <w:rFonts w:ascii="Times New Roman" w:hAnsi="Times New Roman" w:eastAsia="黑体" w:cs="Times New Roman"/>
          <w:b/>
          <w:color w:val="auto"/>
          <w:sz w:val="21"/>
        </w:rPr>
        <w:t>表2.1-</w:t>
      </w:r>
      <w:r>
        <w:rPr>
          <w:rFonts w:hint="eastAsia" w:eastAsia="黑体" w:cs="Times New Roman"/>
          <w:b/>
          <w:color w:val="auto"/>
          <w:sz w:val="21"/>
          <w:lang w:val="en-US" w:eastAsia="zh-CN"/>
        </w:rPr>
        <w:t>2</w:t>
      </w:r>
      <w:r>
        <w:rPr>
          <w:rFonts w:ascii="Times New Roman" w:hAnsi="Times New Roman" w:eastAsia="黑体" w:cs="Times New Roman"/>
          <w:b/>
          <w:color w:val="auto"/>
          <w:sz w:val="21"/>
        </w:rPr>
        <w:t xml:space="preserve">  现有项目主要建设内容一览表</w:t>
      </w:r>
    </w:p>
    <w:tbl>
      <w:tblPr>
        <w:tblStyle w:val="265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0"/>
        <w:gridCol w:w="1102"/>
        <w:gridCol w:w="66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blHeader/>
          <w:jc w:val="center"/>
        </w:trPr>
        <w:tc>
          <w:tcPr>
            <w:tcW w:w="1087" w:type="pct"/>
            <w:gridSpan w:val="2"/>
            <w:noWrap w:val="0"/>
            <w:vAlign w:val="center"/>
          </w:tcPr>
          <w:p>
            <w:pPr>
              <w:widowControl w:val="0"/>
              <w:adjustRightInd w:val="0"/>
              <w:snapToGrid w:val="0"/>
              <w:spacing w:line="240" w:lineRule="auto"/>
              <w:jc w:val="center"/>
              <w:rPr>
                <w:rFonts w:ascii="Times New Roman" w:hAnsi="Times New Roman" w:eastAsia="宋体" w:cs="Times New Roman"/>
                <w:b/>
                <w:bCs/>
                <w:snapToGrid w:val="0"/>
                <w:color w:val="auto"/>
                <w:kern w:val="0"/>
                <w:sz w:val="20"/>
                <w:szCs w:val="20"/>
              </w:rPr>
            </w:pPr>
            <w:r>
              <w:rPr>
                <w:rFonts w:hint="eastAsia" w:ascii="Times New Roman" w:hAnsi="Times New Roman" w:eastAsia="宋体" w:cs="Times New Roman"/>
                <w:b/>
                <w:bCs/>
                <w:snapToGrid w:val="0"/>
                <w:color w:val="auto"/>
                <w:kern w:val="0"/>
                <w:sz w:val="20"/>
                <w:szCs w:val="20"/>
              </w:rPr>
              <w:t>项目组成</w:t>
            </w:r>
          </w:p>
        </w:tc>
        <w:tc>
          <w:tcPr>
            <w:tcW w:w="3912" w:type="pct"/>
            <w:noWrap w:val="0"/>
            <w:vAlign w:val="center"/>
          </w:tcPr>
          <w:p>
            <w:pPr>
              <w:widowControl w:val="0"/>
              <w:adjustRightInd w:val="0"/>
              <w:snapToGrid w:val="0"/>
              <w:spacing w:line="240" w:lineRule="auto"/>
              <w:jc w:val="left"/>
              <w:rPr>
                <w:rFonts w:ascii="Times New Roman" w:hAnsi="Times New Roman" w:eastAsia="宋体" w:cs="Times New Roman"/>
                <w:b/>
                <w:bCs/>
                <w:snapToGrid w:val="0"/>
                <w:color w:val="auto"/>
                <w:kern w:val="0"/>
                <w:sz w:val="20"/>
                <w:szCs w:val="20"/>
              </w:rPr>
            </w:pPr>
            <w:r>
              <w:rPr>
                <w:rFonts w:hint="eastAsia" w:ascii="Times New Roman" w:hAnsi="Times New Roman" w:eastAsia="宋体" w:cs="Times New Roman"/>
                <w:b/>
                <w:bCs/>
                <w:snapToGrid w:val="0"/>
                <w:color w:val="auto"/>
                <w:kern w:val="0"/>
                <w:sz w:val="20"/>
                <w:szCs w:val="20"/>
              </w:rPr>
              <w:t>建设内容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087" w:type="pct"/>
            <w:gridSpan w:val="2"/>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码头工程</w:t>
            </w:r>
          </w:p>
        </w:tc>
        <w:tc>
          <w:tcPr>
            <w:tcW w:w="3912" w:type="pct"/>
            <w:noWrap w:val="0"/>
            <w:vAlign w:val="center"/>
          </w:tcPr>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①</w:t>
            </w:r>
            <w:r>
              <w:rPr>
                <w:rFonts w:ascii="Times New Roman" w:hAnsi="Times New Roman" w:eastAsia="宋体" w:cs="Times New Roman"/>
                <w:bCs/>
                <w:snapToGrid w:val="0"/>
                <w:color w:val="auto"/>
                <w:kern w:val="0"/>
                <w:sz w:val="20"/>
                <w:szCs w:val="20"/>
              </w:rPr>
              <w:t>占用岸线长度约</w:t>
            </w:r>
            <w:r>
              <w:rPr>
                <w:rFonts w:hint="eastAsia" w:ascii="Times New Roman" w:hAnsi="Times New Roman" w:eastAsia="宋体" w:cs="Times New Roman"/>
                <w:bCs/>
                <w:snapToGrid w:val="0"/>
                <w:color w:val="auto"/>
                <w:kern w:val="0"/>
                <w:sz w:val="20"/>
                <w:szCs w:val="20"/>
                <w:lang w:val="en-US" w:eastAsia="zh-CN"/>
              </w:rPr>
              <w:t>248</w:t>
            </w:r>
            <w:r>
              <w:rPr>
                <w:rFonts w:ascii="Times New Roman" w:hAnsi="Times New Roman" w:eastAsia="宋体" w:cs="Times New Roman"/>
                <w:bCs/>
                <w:snapToGrid w:val="0"/>
                <w:color w:val="auto"/>
                <w:kern w:val="0"/>
                <w:sz w:val="20"/>
                <w:szCs w:val="20"/>
              </w:rPr>
              <w:t>m。</w:t>
            </w:r>
          </w:p>
          <w:p>
            <w:pPr>
              <w:widowControl w:val="0"/>
              <w:adjustRightInd w:val="0"/>
              <w:snapToGrid w:val="0"/>
              <w:spacing w:line="240" w:lineRule="auto"/>
              <w:jc w:val="left"/>
              <w:rPr>
                <w:rFonts w:hint="default"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②建设</w:t>
            </w:r>
            <w:r>
              <w:rPr>
                <w:rFonts w:ascii="Times New Roman" w:hAnsi="Times New Roman" w:eastAsia="宋体" w:cs="Times New Roman"/>
                <w:bCs/>
                <w:snapToGrid w:val="0"/>
                <w:color w:val="auto"/>
                <w:kern w:val="0"/>
                <w:sz w:val="20"/>
                <w:szCs w:val="20"/>
              </w:rPr>
              <w:t>停靠</w:t>
            </w:r>
            <w:r>
              <w:rPr>
                <w:rFonts w:hint="eastAsia" w:ascii="Times New Roman" w:hAnsi="Times New Roman" w:eastAsia="宋体" w:cs="Times New Roman"/>
                <w:bCs/>
                <w:snapToGrid w:val="0"/>
                <w:color w:val="auto"/>
                <w:kern w:val="0"/>
                <w:sz w:val="20"/>
                <w:szCs w:val="20"/>
                <w:lang w:val="en-US" w:eastAsia="zh-CN"/>
              </w:rPr>
              <w:t>8</w:t>
            </w:r>
            <w:r>
              <w:rPr>
                <w:rFonts w:ascii="Times New Roman" w:hAnsi="Times New Roman" w:eastAsia="宋体" w:cs="Times New Roman"/>
                <w:bCs/>
                <w:snapToGrid w:val="0"/>
                <w:color w:val="auto"/>
                <w:kern w:val="0"/>
                <w:sz w:val="20"/>
                <w:szCs w:val="20"/>
              </w:rPr>
              <w:t>00t级</w:t>
            </w:r>
            <w:r>
              <w:rPr>
                <w:rFonts w:hint="eastAsia" w:ascii="Times New Roman" w:hAnsi="Times New Roman" w:eastAsia="宋体" w:cs="Times New Roman"/>
                <w:bCs/>
                <w:snapToGrid w:val="0"/>
                <w:color w:val="auto"/>
                <w:kern w:val="0"/>
                <w:sz w:val="20"/>
                <w:szCs w:val="20"/>
              </w:rPr>
              <w:t>散</w:t>
            </w:r>
            <w:r>
              <w:rPr>
                <w:rFonts w:ascii="Times New Roman" w:hAnsi="Times New Roman" w:eastAsia="宋体" w:cs="Times New Roman"/>
                <w:bCs/>
                <w:snapToGrid w:val="0"/>
                <w:color w:val="auto"/>
                <w:kern w:val="0"/>
                <w:sz w:val="20"/>
                <w:szCs w:val="20"/>
              </w:rPr>
              <w:t>货泊位</w:t>
            </w:r>
            <w:r>
              <w:rPr>
                <w:rFonts w:hint="eastAsia" w:ascii="Times New Roman" w:hAnsi="Times New Roman" w:eastAsia="宋体" w:cs="Times New Roman"/>
                <w:bCs/>
                <w:snapToGrid w:val="0"/>
                <w:color w:val="auto"/>
                <w:kern w:val="0"/>
                <w:sz w:val="20"/>
                <w:szCs w:val="20"/>
                <w:lang w:val="en-US" w:eastAsia="zh-CN"/>
              </w:rPr>
              <w:t>2</w:t>
            </w:r>
            <w:r>
              <w:rPr>
                <w:rFonts w:ascii="Times New Roman" w:hAnsi="Times New Roman" w:eastAsia="宋体" w:cs="Times New Roman"/>
                <w:bCs/>
                <w:snapToGrid w:val="0"/>
                <w:color w:val="auto"/>
                <w:kern w:val="0"/>
                <w:sz w:val="20"/>
                <w:szCs w:val="20"/>
              </w:rPr>
              <w:t>个，</w:t>
            </w:r>
            <w:r>
              <w:rPr>
                <w:rFonts w:hint="eastAsia" w:ascii="Times New Roman" w:hAnsi="Times New Roman" w:eastAsia="宋体" w:cs="Times New Roman"/>
                <w:bCs/>
                <w:snapToGrid w:val="0"/>
                <w:color w:val="auto"/>
                <w:kern w:val="0"/>
                <w:sz w:val="20"/>
                <w:szCs w:val="20"/>
                <w:lang w:val="en-US" w:eastAsia="zh-CN"/>
              </w:rPr>
              <w:t>1#泊位为斜坡码头结构形式</w:t>
            </w:r>
            <w:r>
              <w:rPr>
                <w:rFonts w:hint="eastAsia" w:ascii="Times New Roman" w:hAnsi="Times New Roman" w:eastAsia="宋体" w:cs="Times New Roman"/>
                <w:bCs/>
                <w:snapToGrid w:val="0"/>
                <w:color w:val="auto"/>
                <w:kern w:val="0"/>
                <w:sz w:val="20"/>
                <w:szCs w:val="20"/>
                <w:lang w:eastAsia="zh-CN"/>
              </w:rPr>
              <w:t>，</w:t>
            </w:r>
            <w:r>
              <w:rPr>
                <w:rFonts w:hint="eastAsia" w:ascii="Times New Roman" w:hAnsi="Times New Roman" w:eastAsia="宋体" w:cs="Times New Roman"/>
                <w:bCs/>
                <w:snapToGrid w:val="0"/>
                <w:color w:val="auto"/>
                <w:kern w:val="0"/>
                <w:sz w:val="20"/>
                <w:szCs w:val="20"/>
                <w:lang w:val="en-US" w:eastAsia="zh-CN"/>
              </w:rPr>
              <w:t>2#泊位为浮</w:t>
            </w:r>
            <w:r>
              <w:rPr>
                <w:rFonts w:ascii="Times New Roman" w:hAnsi="Times New Roman" w:eastAsia="宋体" w:cs="Times New Roman"/>
                <w:bCs/>
                <w:snapToGrid w:val="0"/>
                <w:color w:val="auto"/>
                <w:kern w:val="0"/>
                <w:sz w:val="20"/>
                <w:szCs w:val="20"/>
              </w:rPr>
              <w:t>码头结构形式。码头主体结构由钢质趸船、</w:t>
            </w:r>
            <w:r>
              <w:rPr>
                <w:rFonts w:hint="eastAsia" w:cs="Times New Roman"/>
                <w:bCs/>
                <w:snapToGrid w:val="0"/>
                <w:color w:val="auto"/>
                <w:kern w:val="0"/>
                <w:sz w:val="20"/>
                <w:szCs w:val="20"/>
                <w:lang w:val="en-US" w:eastAsia="zh-CN"/>
              </w:rPr>
              <w:t>卸</w:t>
            </w:r>
            <w:r>
              <w:rPr>
                <w:rFonts w:ascii="Times New Roman" w:hAnsi="Times New Roman" w:eastAsia="宋体" w:cs="Times New Roman"/>
                <w:bCs/>
                <w:snapToGrid w:val="0"/>
                <w:color w:val="auto"/>
                <w:kern w:val="0"/>
                <w:sz w:val="20"/>
                <w:szCs w:val="20"/>
              </w:rPr>
              <w:t>料斗</w:t>
            </w:r>
            <w:r>
              <w:rPr>
                <w:rFonts w:hint="eastAsia" w:ascii="Times New Roman" w:hAnsi="Times New Roman" w:eastAsia="宋体" w:cs="Times New Roman"/>
                <w:bCs/>
                <w:snapToGrid w:val="0"/>
                <w:color w:val="auto"/>
                <w:kern w:val="0"/>
                <w:sz w:val="20"/>
                <w:szCs w:val="20"/>
              </w:rPr>
              <w:t>、</w:t>
            </w:r>
            <w:r>
              <w:rPr>
                <w:rFonts w:ascii="Times New Roman" w:hAnsi="Times New Roman" w:eastAsia="宋体" w:cs="Times New Roman"/>
                <w:bCs/>
                <w:snapToGrid w:val="0"/>
                <w:color w:val="auto"/>
                <w:kern w:val="0"/>
                <w:sz w:val="20"/>
                <w:szCs w:val="20"/>
              </w:rPr>
              <w:t>斜坡道、</w:t>
            </w:r>
            <w:r>
              <w:rPr>
                <w:rFonts w:hint="eastAsia" w:ascii="Times New Roman" w:hAnsi="Times New Roman" w:eastAsia="宋体" w:cs="Times New Roman"/>
                <w:bCs/>
                <w:snapToGrid w:val="0"/>
                <w:color w:val="auto"/>
                <w:kern w:val="0"/>
                <w:sz w:val="20"/>
                <w:szCs w:val="20"/>
                <w:lang w:val="en-US" w:eastAsia="zh-CN"/>
              </w:rPr>
              <w:t>钢引桥廊道</w:t>
            </w:r>
            <w:r>
              <w:rPr>
                <w:rFonts w:ascii="Times New Roman" w:hAnsi="Times New Roman" w:eastAsia="宋体" w:cs="Times New Roman"/>
                <w:bCs/>
                <w:snapToGrid w:val="0"/>
                <w:color w:val="auto"/>
                <w:kern w:val="0"/>
                <w:sz w:val="20"/>
                <w:szCs w:val="20"/>
              </w:rPr>
              <w:t>等组成</w:t>
            </w:r>
            <w:r>
              <w:rPr>
                <w:rFonts w:hint="eastAsia" w:ascii="Times New Roman" w:hAnsi="Times New Roman" w:eastAsia="宋体" w:cs="Times New Roman"/>
                <w:bCs/>
                <w:snapToGrid w:val="0"/>
                <w:color w:val="auto"/>
                <w:kern w:val="0"/>
                <w:sz w:val="20"/>
                <w:szCs w:val="20"/>
                <w:lang w:eastAsia="zh-CN"/>
              </w:rPr>
              <w:t>。</w:t>
            </w:r>
            <w:r>
              <w:rPr>
                <w:rFonts w:hint="eastAsia" w:ascii="Times New Roman" w:hAnsi="Times New Roman" w:eastAsia="宋体" w:cs="Times New Roman"/>
                <w:bCs/>
                <w:snapToGrid w:val="0"/>
                <w:color w:val="auto"/>
                <w:kern w:val="0"/>
                <w:sz w:val="20"/>
                <w:szCs w:val="20"/>
                <w:lang w:val="en-US" w:eastAsia="zh-CN"/>
              </w:rPr>
              <w:t>1#泊位</w:t>
            </w:r>
            <w:r>
              <w:rPr>
                <w:rFonts w:ascii="Times New Roman" w:hAnsi="Times New Roman" w:eastAsia="宋体" w:cs="Times New Roman"/>
                <w:bCs/>
                <w:snapToGrid w:val="0"/>
                <w:color w:val="auto"/>
                <w:kern w:val="0"/>
                <w:sz w:val="20"/>
                <w:szCs w:val="20"/>
              </w:rPr>
              <w:t>码头</w:t>
            </w:r>
            <w:r>
              <w:rPr>
                <w:rFonts w:hint="eastAsia" w:ascii="Times New Roman" w:hAnsi="Times New Roman" w:eastAsia="宋体" w:cs="Times New Roman"/>
                <w:bCs/>
                <w:snapToGrid w:val="0"/>
                <w:color w:val="auto"/>
                <w:kern w:val="0"/>
                <w:sz w:val="20"/>
                <w:szCs w:val="20"/>
                <w:lang w:val="en-US" w:eastAsia="zh-CN"/>
              </w:rPr>
              <w:t>前沿</w:t>
            </w:r>
            <w:r>
              <w:rPr>
                <w:rFonts w:ascii="Times New Roman" w:hAnsi="Times New Roman" w:eastAsia="宋体" w:cs="Times New Roman"/>
                <w:bCs/>
                <w:snapToGrid w:val="0"/>
                <w:color w:val="auto"/>
                <w:kern w:val="0"/>
                <w:sz w:val="20"/>
                <w:szCs w:val="20"/>
              </w:rPr>
              <w:t>采用</w:t>
            </w:r>
            <w:r>
              <w:rPr>
                <w:rFonts w:hint="eastAsia" w:ascii="Times New Roman" w:hAnsi="Times New Roman" w:eastAsia="宋体" w:cs="Times New Roman"/>
                <w:bCs/>
                <w:snapToGrid w:val="0"/>
                <w:color w:val="auto"/>
                <w:kern w:val="0"/>
                <w:sz w:val="20"/>
                <w:szCs w:val="20"/>
                <w:lang w:val="en-US" w:eastAsia="zh-CN"/>
              </w:rPr>
              <w:t>45.95</w:t>
            </w:r>
            <w:r>
              <w:rPr>
                <w:rFonts w:ascii="Times New Roman" w:hAnsi="Times New Roman" w:eastAsia="宋体" w:cs="Times New Roman"/>
                <w:bCs/>
                <w:snapToGrid w:val="0"/>
                <w:color w:val="auto"/>
                <w:kern w:val="0"/>
                <w:sz w:val="20"/>
                <w:szCs w:val="20"/>
              </w:rPr>
              <w:t>m×</w:t>
            </w:r>
            <w:r>
              <w:rPr>
                <w:rFonts w:hint="eastAsia" w:ascii="Times New Roman" w:hAnsi="Times New Roman" w:eastAsia="宋体" w:cs="Times New Roman"/>
                <w:bCs/>
                <w:snapToGrid w:val="0"/>
                <w:color w:val="auto"/>
                <w:kern w:val="0"/>
                <w:sz w:val="20"/>
                <w:szCs w:val="20"/>
                <w:lang w:val="en-US" w:eastAsia="zh-CN"/>
              </w:rPr>
              <w:t>13.53</w:t>
            </w:r>
            <w:r>
              <w:rPr>
                <w:rFonts w:ascii="Times New Roman" w:hAnsi="Times New Roman" w:eastAsia="宋体" w:cs="Times New Roman"/>
                <w:bCs/>
                <w:snapToGrid w:val="0"/>
                <w:color w:val="auto"/>
                <w:kern w:val="0"/>
                <w:sz w:val="20"/>
                <w:szCs w:val="20"/>
              </w:rPr>
              <w:t>m×</w:t>
            </w:r>
            <w:r>
              <w:rPr>
                <w:rFonts w:hint="eastAsia" w:ascii="Times New Roman" w:hAnsi="Times New Roman" w:eastAsia="宋体" w:cs="Times New Roman"/>
                <w:bCs/>
                <w:snapToGrid w:val="0"/>
                <w:color w:val="auto"/>
                <w:kern w:val="0"/>
                <w:sz w:val="20"/>
                <w:szCs w:val="20"/>
                <w:lang w:val="en-US" w:eastAsia="zh-CN"/>
              </w:rPr>
              <w:t>2.2</w:t>
            </w:r>
            <w:r>
              <w:rPr>
                <w:rFonts w:ascii="Times New Roman" w:hAnsi="Times New Roman" w:eastAsia="宋体" w:cs="Times New Roman"/>
                <w:bCs/>
                <w:snapToGrid w:val="0"/>
                <w:color w:val="auto"/>
                <w:kern w:val="0"/>
                <w:sz w:val="20"/>
                <w:szCs w:val="20"/>
              </w:rPr>
              <w:t>m（长×宽×型深）</w:t>
            </w:r>
            <w:r>
              <w:rPr>
                <w:rFonts w:hint="eastAsia" w:ascii="Times New Roman" w:hAnsi="Times New Roman" w:eastAsia="宋体" w:cs="Times New Roman"/>
                <w:bCs/>
                <w:snapToGrid w:val="0"/>
                <w:color w:val="auto"/>
                <w:kern w:val="0"/>
                <w:sz w:val="20"/>
                <w:szCs w:val="20"/>
                <w:lang w:eastAsia="zh-CN"/>
              </w:rPr>
              <w:t>的</w:t>
            </w:r>
            <w:r>
              <w:rPr>
                <w:rFonts w:ascii="Times New Roman" w:hAnsi="Times New Roman" w:eastAsia="宋体" w:cs="Times New Roman"/>
                <w:bCs/>
                <w:snapToGrid w:val="0"/>
                <w:color w:val="auto"/>
                <w:kern w:val="0"/>
                <w:sz w:val="20"/>
                <w:szCs w:val="20"/>
              </w:rPr>
              <w:t>钢质趸</w:t>
            </w:r>
            <w:r>
              <w:rPr>
                <w:rFonts w:hint="default" w:ascii="Times New Roman" w:hAnsi="Times New Roman" w:eastAsia="宋体" w:cs="Times New Roman"/>
                <w:bCs/>
                <w:snapToGrid w:val="0"/>
                <w:color w:val="auto"/>
                <w:kern w:val="0"/>
                <w:sz w:val="20"/>
                <w:szCs w:val="20"/>
              </w:rPr>
              <w:t>船，</w:t>
            </w:r>
            <w:r>
              <w:rPr>
                <w:rFonts w:hint="eastAsia" w:cs="Times New Roman"/>
                <w:bCs/>
                <w:snapToGrid w:val="0"/>
                <w:color w:val="auto"/>
                <w:kern w:val="0"/>
                <w:sz w:val="20"/>
                <w:szCs w:val="20"/>
                <w:lang w:val="en-US" w:eastAsia="zh-CN"/>
              </w:rPr>
              <w:t>通过自卸汽车经2台浮式起重机（配抓斗）进行装船；</w:t>
            </w:r>
            <w:r>
              <w:rPr>
                <w:rFonts w:hint="default" w:ascii="Times New Roman" w:hAnsi="Times New Roman" w:eastAsia="宋体" w:cs="Times New Roman"/>
                <w:bCs/>
                <w:snapToGrid w:val="0"/>
                <w:color w:val="auto"/>
                <w:kern w:val="0"/>
                <w:sz w:val="20"/>
                <w:szCs w:val="20"/>
                <w:lang w:val="en-US" w:eastAsia="zh-CN"/>
              </w:rPr>
              <w:t>2#泊位</w:t>
            </w:r>
            <w:r>
              <w:rPr>
                <w:rFonts w:hint="default" w:ascii="Times New Roman" w:hAnsi="Times New Roman" w:eastAsia="宋体" w:cs="Times New Roman"/>
                <w:bCs/>
                <w:snapToGrid w:val="0"/>
                <w:color w:val="auto"/>
                <w:kern w:val="0"/>
                <w:sz w:val="20"/>
                <w:szCs w:val="20"/>
              </w:rPr>
              <w:t>码头</w:t>
            </w:r>
            <w:r>
              <w:rPr>
                <w:rFonts w:hint="default" w:ascii="Times New Roman" w:hAnsi="Times New Roman" w:eastAsia="宋体" w:cs="Times New Roman"/>
                <w:bCs/>
                <w:snapToGrid w:val="0"/>
                <w:color w:val="auto"/>
                <w:kern w:val="0"/>
                <w:sz w:val="20"/>
                <w:szCs w:val="20"/>
                <w:lang w:val="en-US" w:eastAsia="zh-CN"/>
              </w:rPr>
              <w:t>前沿</w:t>
            </w:r>
            <w:r>
              <w:rPr>
                <w:rFonts w:hint="default" w:ascii="Times New Roman" w:hAnsi="Times New Roman" w:eastAsia="宋体" w:cs="Times New Roman"/>
                <w:bCs/>
                <w:snapToGrid w:val="0"/>
                <w:color w:val="auto"/>
                <w:kern w:val="0"/>
                <w:sz w:val="20"/>
                <w:szCs w:val="20"/>
              </w:rPr>
              <w:t>采用</w:t>
            </w:r>
            <w:r>
              <w:rPr>
                <w:rFonts w:hint="default" w:ascii="Times New Roman" w:hAnsi="Times New Roman" w:eastAsia="宋体" w:cs="Times New Roman"/>
                <w:bCs/>
                <w:snapToGrid w:val="0"/>
                <w:color w:val="auto"/>
                <w:kern w:val="0"/>
                <w:sz w:val="20"/>
                <w:szCs w:val="20"/>
                <w:lang w:val="en-US" w:eastAsia="zh-CN"/>
              </w:rPr>
              <w:t>42</w:t>
            </w:r>
            <w:r>
              <w:rPr>
                <w:rFonts w:hint="default" w:ascii="Times New Roman" w:hAnsi="Times New Roman" w:eastAsia="宋体" w:cs="Times New Roman"/>
                <w:bCs/>
                <w:snapToGrid w:val="0"/>
                <w:color w:val="auto"/>
                <w:kern w:val="0"/>
                <w:sz w:val="20"/>
                <w:szCs w:val="20"/>
              </w:rPr>
              <w:t>m×</w:t>
            </w:r>
            <w:r>
              <w:rPr>
                <w:rFonts w:hint="default" w:ascii="Times New Roman" w:hAnsi="Times New Roman" w:eastAsia="宋体" w:cs="Times New Roman"/>
                <w:bCs/>
                <w:snapToGrid w:val="0"/>
                <w:color w:val="auto"/>
                <w:kern w:val="0"/>
                <w:sz w:val="20"/>
                <w:szCs w:val="20"/>
                <w:lang w:val="en-US" w:eastAsia="zh-CN"/>
              </w:rPr>
              <w:t>12.82</w:t>
            </w:r>
            <w:r>
              <w:rPr>
                <w:rFonts w:hint="default" w:ascii="Times New Roman" w:hAnsi="Times New Roman" w:eastAsia="宋体" w:cs="Times New Roman"/>
                <w:bCs/>
                <w:snapToGrid w:val="0"/>
                <w:color w:val="auto"/>
                <w:kern w:val="0"/>
                <w:sz w:val="20"/>
                <w:szCs w:val="20"/>
              </w:rPr>
              <w:t>m×</w:t>
            </w:r>
            <w:r>
              <w:rPr>
                <w:rFonts w:hint="default" w:ascii="Times New Roman" w:hAnsi="Times New Roman" w:eastAsia="宋体" w:cs="Times New Roman"/>
                <w:bCs/>
                <w:snapToGrid w:val="0"/>
                <w:color w:val="auto"/>
                <w:kern w:val="0"/>
                <w:sz w:val="20"/>
                <w:szCs w:val="20"/>
                <w:lang w:val="en-US" w:eastAsia="zh-CN"/>
              </w:rPr>
              <w:t>2</w:t>
            </w:r>
            <w:r>
              <w:rPr>
                <w:rFonts w:hint="default" w:ascii="Times New Roman" w:hAnsi="Times New Roman" w:eastAsia="宋体" w:cs="Times New Roman"/>
                <w:bCs/>
                <w:snapToGrid w:val="0"/>
                <w:color w:val="auto"/>
                <w:kern w:val="0"/>
                <w:sz w:val="20"/>
                <w:szCs w:val="20"/>
              </w:rPr>
              <w:t>m（长×宽×型深）</w:t>
            </w:r>
            <w:r>
              <w:rPr>
                <w:rFonts w:hint="default" w:ascii="Times New Roman" w:hAnsi="Times New Roman" w:eastAsia="宋体" w:cs="Times New Roman"/>
                <w:bCs/>
                <w:snapToGrid w:val="0"/>
                <w:color w:val="auto"/>
                <w:kern w:val="0"/>
                <w:sz w:val="20"/>
                <w:szCs w:val="20"/>
                <w:lang w:eastAsia="zh-CN"/>
              </w:rPr>
              <w:t>的</w:t>
            </w:r>
            <w:r>
              <w:rPr>
                <w:rFonts w:hint="default" w:ascii="Times New Roman" w:hAnsi="Times New Roman" w:eastAsia="宋体" w:cs="Times New Roman"/>
                <w:bCs/>
                <w:snapToGrid w:val="0"/>
                <w:color w:val="auto"/>
                <w:kern w:val="0"/>
                <w:sz w:val="20"/>
                <w:szCs w:val="20"/>
              </w:rPr>
              <w:t>钢质趸船</w:t>
            </w:r>
            <w:r>
              <w:rPr>
                <w:rFonts w:hint="eastAsia" w:cs="Times New Roman"/>
                <w:bCs/>
                <w:snapToGrid w:val="0"/>
                <w:color w:val="auto"/>
                <w:kern w:val="0"/>
                <w:sz w:val="20"/>
                <w:szCs w:val="20"/>
                <w:lang w:eastAsia="zh-CN"/>
              </w:rPr>
              <w:t>，</w:t>
            </w:r>
            <w:r>
              <w:rPr>
                <w:rFonts w:hint="eastAsia" w:cs="Times New Roman"/>
                <w:bCs/>
                <w:snapToGrid w:val="0"/>
                <w:color w:val="auto"/>
                <w:kern w:val="0"/>
                <w:sz w:val="20"/>
                <w:szCs w:val="20"/>
                <w:lang w:val="en-US" w:eastAsia="zh-CN"/>
              </w:rPr>
              <w:t>通过卸料漏斗经1台皮带机输送至散货船</w:t>
            </w:r>
            <w:r>
              <w:rPr>
                <w:rFonts w:hint="default" w:ascii="Times New Roman" w:hAnsi="Times New Roman" w:eastAsia="宋体" w:cs="Times New Roman"/>
                <w:bCs/>
                <w:snapToGrid w:val="0"/>
                <w:color w:val="auto"/>
                <w:kern w:val="0"/>
                <w:sz w:val="20"/>
                <w:szCs w:val="20"/>
                <w:lang w:eastAsia="zh-CN"/>
              </w:rPr>
              <w:t>。</w:t>
            </w:r>
            <w:r>
              <w:rPr>
                <w:rFonts w:hint="eastAsia" w:ascii="Times New Roman" w:hAnsi="Times New Roman" w:eastAsia="宋体" w:cs="Times New Roman"/>
                <w:bCs/>
                <w:snapToGrid w:val="0"/>
                <w:color w:val="auto"/>
                <w:kern w:val="0"/>
                <w:sz w:val="20"/>
                <w:szCs w:val="20"/>
                <w:lang w:val="en-US" w:eastAsia="zh-CN"/>
              </w:rPr>
              <w:t>钢引桥廊道</w:t>
            </w:r>
            <w:r>
              <w:rPr>
                <w:rFonts w:hint="default" w:ascii="Times New Roman" w:hAnsi="Times New Roman" w:eastAsia="宋体" w:cs="Times New Roman"/>
                <w:bCs/>
                <w:snapToGrid w:val="0"/>
                <w:color w:val="auto"/>
                <w:kern w:val="0"/>
                <w:sz w:val="20"/>
                <w:szCs w:val="20"/>
              </w:rPr>
              <w:t>长约</w:t>
            </w:r>
            <w:r>
              <w:rPr>
                <w:rFonts w:hint="default" w:ascii="Times New Roman" w:hAnsi="Times New Roman" w:eastAsia="宋体" w:cs="Times New Roman"/>
                <w:bCs/>
                <w:snapToGrid w:val="0"/>
                <w:color w:val="auto"/>
                <w:kern w:val="0"/>
                <w:sz w:val="20"/>
                <w:szCs w:val="20"/>
                <w:lang w:val="en-US" w:eastAsia="zh-CN"/>
              </w:rPr>
              <w:t>18</w:t>
            </w:r>
            <w:r>
              <w:rPr>
                <w:rFonts w:hint="default" w:ascii="Times New Roman" w:hAnsi="Times New Roman" w:eastAsia="宋体" w:cs="Times New Roman"/>
                <w:bCs/>
                <w:snapToGrid w:val="0"/>
                <w:color w:val="auto"/>
                <w:kern w:val="0"/>
                <w:sz w:val="20"/>
                <w:szCs w:val="20"/>
              </w:rPr>
              <w:t>0m。</w:t>
            </w:r>
          </w:p>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hint="default" w:ascii="Times New Roman" w:hAnsi="Times New Roman" w:eastAsia="宋体" w:cs="Times New Roman"/>
                <w:bCs/>
                <w:snapToGrid w:val="0"/>
                <w:color w:val="auto"/>
                <w:kern w:val="0"/>
                <w:sz w:val="20"/>
                <w:szCs w:val="20"/>
              </w:rPr>
              <w:t>③</w:t>
            </w:r>
            <w:r>
              <w:rPr>
                <w:rFonts w:hint="default" w:ascii="Times New Roman" w:hAnsi="Times New Roman" w:eastAsia="宋体" w:cs="Times New Roman"/>
                <w:bCs/>
                <w:snapToGrid w:val="0"/>
                <w:color w:val="auto"/>
                <w:kern w:val="0"/>
                <w:sz w:val="20"/>
                <w:szCs w:val="20"/>
                <w:lang w:val="en-US" w:eastAsia="zh-CN"/>
              </w:rPr>
              <w:t>2#泊位</w:t>
            </w:r>
            <w:r>
              <w:rPr>
                <w:rFonts w:hint="default" w:ascii="Times New Roman" w:hAnsi="Times New Roman" w:eastAsia="宋体" w:cs="Times New Roman"/>
                <w:bCs/>
                <w:snapToGrid w:val="0"/>
                <w:color w:val="auto"/>
                <w:kern w:val="0"/>
                <w:sz w:val="20"/>
                <w:szCs w:val="20"/>
              </w:rPr>
              <w:t>浮</w:t>
            </w:r>
            <w:r>
              <w:rPr>
                <w:rFonts w:ascii="Times New Roman" w:hAnsi="Times New Roman" w:eastAsia="宋体" w:cs="Times New Roman"/>
                <w:bCs/>
                <w:snapToGrid w:val="0"/>
                <w:color w:val="auto"/>
                <w:kern w:val="0"/>
                <w:sz w:val="20"/>
                <w:szCs w:val="20"/>
              </w:rPr>
              <w:t>趸船</w:t>
            </w:r>
            <w:r>
              <w:rPr>
                <w:rFonts w:hint="eastAsia" w:ascii="Times New Roman" w:hAnsi="Times New Roman" w:eastAsia="宋体" w:cs="Times New Roman"/>
                <w:bCs/>
                <w:snapToGrid w:val="0"/>
                <w:color w:val="auto"/>
                <w:kern w:val="0"/>
                <w:sz w:val="20"/>
                <w:szCs w:val="20"/>
              </w:rPr>
              <w:t>配</w:t>
            </w:r>
            <w:r>
              <w:rPr>
                <w:rFonts w:ascii="Times New Roman" w:hAnsi="Times New Roman" w:eastAsia="宋体" w:cs="Times New Roman"/>
                <w:bCs/>
                <w:snapToGrid w:val="0"/>
                <w:color w:val="auto"/>
                <w:kern w:val="0"/>
                <w:sz w:val="20"/>
                <w:szCs w:val="20"/>
              </w:rPr>
              <w:t>集料斗一座</w:t>
            </w:r>
            <w:r>
              <w:rPr>
                <w:rFonts w:hint="eastAsia" w:ascii="Times New Roman" w:hAnsi="Times New Roman" w:eastAsia="宋体" w:cs="Times New Roman"/>
                <w:bCs/>
                <w:snapToGrid w:val="0"/>
                <w:color w:val="auto"/>
                <w:kern w:val="0"/>
                <w:sz w:val="20"/>
                <w:szCs w:val="20"/>
              </w:rPr>
              <w:t>。</w:t>
            </w:r>
          </w:p>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④</w:t>
            </w:r>
            <w:r>
              <w:rPr>
                <w:rFonts w:ascii="Times New Roman" w:hAnsi="Times New Roman" w:eastAsia="宋体" w:cs="Times New Roman"/>
                <w:bCs/>
                <w:snapToGrid w:val="0"/>
                <w:color w:val="auto"/>
                <w:kern w:val="0"/>
                <w:sz w:val="20"/>
                <w:szCs w:val="20"/>
              </w:rPr>
              <w:t>年设计吞吐量为</w:t>
            </w:r>
            <w:r>
              <w:rPr>
                <w:rFonts w:hint="eastAsia" w:cs="Times New Roman"/>
                <w:bCs/>
                <w:snapToGrid w:val="0"/>
                <w:color w:val="auto"/>
                <w:kern w:val="0"/>
                <w:sz w:val="20"/>
                <w:szCs w:val="20"/>
                <w:lang w:val="en-US" w:eastAsia="zh-CN"/>
              </w:rPr>
              <w:t>10万</w:t>
            </w:r>
            <w:r>
              <w:rPr>
                <w:rFonts w:ascii="Times New Roman" w:hAnsi="Times New Roman" w:eastAsia="宋体" w:cs="Times New Roman"/>
                <w:bCs/>
                <w:snapToGrid w:val="0"/>
                <w:color w:val="auto"/>
                <w:kern w:val="0"/>
                <w:sz w:val="20"/>
                <w:szCs w:val="20"/>
              </w:rPr>
              <w:t>吨/年。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restar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辅助工程</w:t>
            </w: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构</w:t>
            </w:r>
            <w:r>
              <w:rPr>
                <w:rFonts w:ascii="Times New Roman" w:hAnsi="Times New Roman" w:eastAsia="宋体" w:cs="Times New Roman"/>
                <w:bCs/>
                <w:snapToGrid w:val="0"/>
                <w:color w:val="auto"/>
                <w:kern w:val="0"/>
                <w:sz w:val="20"/>
                <w:szCs w:val="20"/>
              </w:rPr>
              <w:t>建筑物及桩基</w:t>
            </w:r>
          </w:p>
        </w:tc>
        <w:tc>
          <w:tcPr>
            <w:tcW w:w="3912" w:type="pct"/>
            <w:noWrap w:val="0"/>
            <w:vAlign w:val="center"/>
          </w:tcPr>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①</w:t>
            </w:r>
            <w:r>
              <w:rPr>
                <w:rFonts w:hint="eastAsia" w:cs="Times New Roman"/>
                <w:bCs/>
                <w:snapToGrid w:val="0"/>
                <w:color w:val="auto"/>
                <w:kern w:val="0"/>
                <w:sz w:val="20"/>
                <w:szCs w:val="20"/>
                <w:lang w:val="en-US" w:eastAsia="zh-CN"/>
              </w:rPr>
              <w:t>2</w:t>
            </w:r>
            <w:r>
              <w:rPr>
                <w:rFonts w:hint="eastAsia" w:ascii="Times New Roman" w:hAnsi="Times New Roman" w:eastAsia="宋体" w:cs="Times New Roman"/>
                <w:bCs/>
                <w:snapToGrid w:val="0"/>
                <w:color w:val="auto"/>
                <w:kern w:val="0"/>
                <w:sz w:val="20"/>
                <w:szCs w:val="20"/>
              </w:rPr>
              <w:t>座</w:t>
            </w:r>
            <w:r>
              <w:rPr>
                <w:rFonts w:hint="eastAsia" w:cs="Times New Roman"/>
                <w:bCs/>
                <w:snapToGrid w:val="0"/>
                <w:color w:val="auto"/>
                <w:kern w:val="0"/>
                <w:sz w:val="20"/>
                <w:szCs w:val="20"/>
                <w:lang w:val="en-US" w:eastAsia="zh-CN"/>
              </w:rPr>
              <w:t>码头</w:t>
            </w:r>
            <w:r>
              <w:rPr>
                <w:rFonts w:hint="eastAsia" w:ascii="Times New Roman" w:hAnsi="Times New Roman" w:eastAsia="宋体" w:cs="Times New Roman"/>
                <w:bCs/>
                <w:snapToGrid w:val="0"/>
                <w:color w:val="auto"/>
                <w:kern w:val="0"/>
                <w:sz w:val="20"/>
                <w:szCs w:val="20"/>
              </w:rPr>
              <w:t>前沿观察楼，建筑面积约</w:t>
            </w:r>
            <w:r>
              <w:rPr>
                <w:rFonts w:hint="eastAsia" w:cs="Times New Roman"/>
                <w:bCs/>
                <w:snapToGrid w:val="0"/>
                <w:color w:val="auto"/>
                <w:kern w:val="0"/>
                <w:sz w:val="20"/>
                <w:szCs w:val="20"/>
                <w:lang w:val="en-US" w:eastAsia="zh-CN"/>
              </w:rPr>
              <w:t>170</w:t>
            </w:r>
            <w:r>
              <w:rPr>
                <w:rFonts w:hint="eastAsia" w:ascii="Times New Roman" w:hAnsi="Times New Roman" w:eastAsia="宋体" w:cs="Times New Roman"/>
                <w:bCs/>
                <w:snapToGrid w:val="0"/>
                <w:color w:val="auto"/>
                <w:kern w:val="0"/>
                <w:sz w:val="20"/>
                <w:szCs w:val="20"/>
              </w:rPr>
              <w:t>m</w:t>
            </w:r>
            <w:r>
              <w:rPr>
                <w:rFonts w:hint="eastAsia" w:ascii="Times New Roman" w:hAnsi="Times New Roman" w:eastAsia="宋体" w:cs="Times New Roman"/>
                <w:bCs/>
                <w:snapToGrid w:val="0"/>
                <w:color w:val="auto"/>
                <w:kern w:val="0"/>
                <w:sz w:val="20"/>
                <w:szCs w:val="20"/>
                <w:vertAlign w:val="superscript"/>
              </w:rPr>
              <w:t>2</w:t>
            </w:r>
            <w:r>
              <w:rPr>
                <w:rFonts w:hint="eastAsia" w:ascii="Times New Roman" w:hAnsi="Times New Roman" w:eastAsia="宋体" w:cs="Times New Roman"/>
                <w:bCs/>
                <w:snapToGrid w:val="0"/>
                <w:color w:val="auto"/>
                <w:kern w:val="0"/>
                <w:sz w:val="20"/>
                <w:szCs w:val="20"/>
              </w:rPr>
              <w:t>。</w:t>
            </w:r>
          </w:p>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hint="eastAsia" w:ascii="Times New Roman" w:hAnsi="Times New Roman" w:eastAsia="宋体" w:cs="Times New Roman"/>
                <w:bCs/>
                <w:snapToGrid w:val="0"/>
                <w:color w:val="auto"/>
                <w:kern w:val="0"/>
                <w:sz w:val="20"/>
                <w:szCs w:val="20"/>
              </w:rPr>
              <w:t>②</w:t>
            </w:r>
            <w:r>
              <w:rPr>
                <w:rFonts w:hint="eastAsia" w:cs="Times New Roman"/>
                <w:bCs/>
                <w:snapToGrid w:val="0"/>
                <w:color w:val="auto"/>
                <w:kern w:val="0"/>
                <w:sz w:val="20"/>
                <w:szCs w:val="20"/>
                <w:lang w:val="en-US" w:eastAsia="zh-CN"/>
              </w:rPr>
              <w:t>1</w:t>
            </w:r>
            <w:r>
              <w:rPr>
                <w:rFonts w:hint="eastAsia" w:ascii="Times New Roman" w:hAnsi="Times New Roman" w:eastAsia="宋体" w:cs="Times New Roman"/>
                <w:bCs/>
                <w:snapToGrid w:val="0"/>
                <w:color w:val="auto"/>
                <w:kern w:val="0"/>
                <w:sz w:val="20"/>
                <w:szCs w:val="20"/>
              </w:rPr>
              <w:t>座</w:t>
            </w:r>
            <w:r>
              <w:rPr>
                <w:rFonts w:hint="eastAsia" w:cs="Times New Roman"/>
                <w:bCs/>
                <w:snapToGrid w:val="0"/>
                <w:color w:val="auto"/>
                <w:kern w:val="0"/>
                <w:sz w:val="20"/>
                <w:szCs w:val="20"/>
                <w:lang w:val="en-US" w:eastAsia="zh-CN"/>
              </w:rPr>
              <w:t>皮</w:t>
            </w:r>
            <w:r>
              <w:rPr>
                <w:rFonts w:hint="eastAsia" w:ascii="Times New Roman" w:hAnsi="Times New Roman" w:eastAsia="宋体" w:cs="Times New Roman"/>
                <w:bCs/>
                <w:snapToGrid w:val="0"/>
                <w:color w:val="auto"/>
                <w:kern w:val="0"/>
                <w:sz w:val="20"/>
                <w:szCs w:val="20"/>
              </w:rPr>
              <w:t>带机基础。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供电照明</w:t>
            </w:r>
          </w:p>
        </w:tc>
        <w:tc>
          <w:tcPr>
            <w:tcW w:w="3912" w:type="pct"/>
            <w:noWrap w:val="0"/>
            <w:vAlign w:val="center"/>
          </w:tcPr>
          <w:p>
            <w:pPr>
              <w:widowControl w:val="0"/>
              <w:adjustRightInd w:val="0"/>
              <w:snapToGrid w:val="0"/>
              <w:spacing w:line="240" w:lineRule="auto"/>
              <w:jc w:val="left"/>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rPr>
              <w:t>①</w:t>
            </w:r>
            <w:r>
              <w:rPr>
                <w:rFonts w:hint="eastAsia" w:cs="Times New Roman"/>
                <w:bCs/>
                <w:snapToGrid w:val="0"/>
                <w:color w:val="auto"/>
                <w:kern w:val="0"/>
                <w:sz w:val="20"/>
                <w:szCs w:val="20"/>
                <w:lang w:val="en-US" w:eastAsia="zh-CN"/>
              </w:rPr>
              <w:t>1#泊位</w:t>
            </w:r>
            <w:r>
              <w:rPr>
                <w:rFonts w:hint="eastAsia" w:ascii="Times New Roman" w:hAnsi="Times New Roman" w:eastAsia="宋体" w:cs="Times New Roman"/>
                <w:bCs/>
                <w:snapToGrid w:val="0"/>
                <w:color w:val="auto"/>
                <w:kern w:val="0"/>
                <w:sz w:val="20"/>
                <w:szCs w:val="20"/>
              </w:rPr>
              <w:t>设置一座变电箱，后方</w:t>
            </w:r>
            <w:r>
              <w:rPr>
                <w:rFonts w:hint="eastAsia" w:cs="Times New Roman"/>
                <w:bCs/>
                <w:snapToGrid w:val="0"/>
                <w:color w:val="auto"/>
                <w:kern w:val="0"/>
                <w:sz w:val="20"/>
                <w:szCs w:val="20"/>
                <w:lang w:val="en-US" w:eastAsia="zh-CN"/>
              </w:rPr>
              <w:t>港区观察楼内</w:t>
            </w:r>
            <w:r>
              <w:rPr>
                <w:rFonts w:hint="eastAsia" w:ascii="Times New Roman" w:hAnsi="Times New Roman" w:eastAsia="宋体" w:cs="Times New Roman"/>
                <w:bCs/>
                <w:snapToGrid w:val="0"/>
                <w:color w:val="auto"/>
                <w:kern w:val="0"/>
                <w:sz w:val="20"/>
                <w:szCs w:val="20"/>
              </w:rPr>
              <w:t>设置一座变电箱</w:t>
            </w:r>
            <w:r>
              <w:rPr>
                <w:rFonts w:hint="eastAsia" w:ascii="Times New Roman" w:hAnsi="Times New Roman" w:eastAsia="宋体" w:cs="Times New Roman"/>
                <w:bCs/>
                <w:snapToGrid w:val="0"/>
                <w:color w:val="auto"/>
                <w:kern w:val="0"/>
                <w:sz w:val="20"/>
                <w:szCs w:val="20"/>
                <w:lang w:eastAsia="zh-CN"/>
              </w:rPr>
              <w:t>。</w:t>
            </w:r>
          </w:p>
          <w:p>
            <w:pPr>
              <w:widowControl w:val="0"/>
              <w:adjustRightInd w:val="0"/>
              <w:snapToGrid w:val="0"/>
              <w:spacing w:line="240" w:lineRule="auto"/>
              <w:jc w:val="left"/>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rPr>
              <w:t>②</w:t>
            </w:r>
            <w:r>
              <w:rPr>
                <w:rFonts w:hint="eastAsia" w:cs="Times New Roman"/>
                <w:bCs/>
                <w:snapToGrid w:val="0"/>
                <w:color w:val="auto"/>
                <w:kern w:val="0"/>
                <w:sz w:val="20"/>
                <w:szCs w:val="20"/>
                <w:lang w:val="en-US" w:eastAsia="zh-CN"/>
              </w:rPr>
              <w:t>2个泊位分别配备</w:t>
            </w:r>
            <w:r>
              <w:rPr>
                <w:rFonts w:hint="eastAsia" w:ascii="Times New Roman" w:hAnsi="Times New Roman" w:eastAsia="宋体" w:cs="Times New Roman"/>
                <w:bCs/>
                <w:snapToGrid w:val="0"/>
                <w:color w:val="auto"/>
                <w:kern w:val="0"/>
                <w:sz w:val="20"/>
                <w:szCs w:val="20"/>
              </w:rPr>
              <w:t>1套照明系统</w:t>
            </w:r>
            <w:r>
              <w:rPr>
                <w:rFonts w:hint="eastAsia" w:ascii="Times New Roman" w:hAnsi="Times New Roman" w:eastAsia="宋体" w:cs="Times New Roman"/>
                <w:bCs/>
                <w:snapToGrid w:val="0"/>
                <w:color w:val="auto"/>
                <w:kern w:val="0"/>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通信</w:t>
            </w:r>
          </w:p>
        </w:tc>
        <w:tc>
          <w:tcPr>
            <w:tcW w:w="3912" w:type="pct"/>
            <w:noWrap w:val="0"/>
            <w:vAlign w:val="center"/>
          </w:tcPr>
          <w:p>
            <w:pPr>
              <w:widowControl w:val="0"/>
              <w:adjustRightInd w:val="0"/>
              <w:snapToGrid w:val="0"/>
              <w:spacing w:line="240" w:lineRule="auto"/>
              <w:jc w:val="left"/>
              <w:rPr>
                <w:rFonts w:hint="eastAsia" w:ascii="Times New Roman" w:hAnsi="Times New Roman" w:eastAsia="宋体" w:cs="Times New Roman"/>
                <w:bCs/>
                <w:snapToGrid w:val="0"/>
                <w:color w:val="auto"/>
                <w:kern w:val="0"/>
                <w:sz w:val="20"/>
                <w:szCs w:val="20"/>
                <w:lang w:eastAsia="zh-CN"/>
              </w:rPr>
            </w:pPr>
            <w:r>
              <w:rPr>
                <w:rFonts w:ascii="Times New Roman" w:hAnsi="Times New Roman" w:eastAsia="宋体" w:cs="Times New Roman"/>
                <w:bCs/>
                <w:snapToGrid w:val="0"/>
                <w:color w:val="auto"/>
                <w:kern w:val="0"/>
                <w:sz w:val="20"/>
                <w:szCs w:val="20"/>
              </w:rPr>
              <w:t>设置</w:t>
            </w:r>
            <w:r>
              <w:rPr>
                <w:rFonts w:hint="eastAsia" w:cs="Times New Roman"/>
                <w:bCs/>
                <w:snapToGrid w:val="0"/>
                <w:color w:val="auto"/>
                <w:kern w:val="0"/>
                <w:sz w:val="20"/>
                <w:szCs w:val="20"/>
                <w:lang w:val="en-US" w:eastAsia="zh-CN"/>
              </w:rPr>
              <w:t>无线</w:t>
            </w:r>
            <w:r>
              <w:rPr>
                <w:rFonts w:ascii="Times New Roman" w:hAnsi="Times New Roman" w:eastAsia="宋体" w:cs="Times New Roman"/>
                <w:bCs/>
                <w:snapToGrid w:val="0"/>
                <w:color w:val="auto"/>
                <w:kern w:val="0"/>
                <w:sz w:val="20"/>
                <w:szCs w:val="20"/>
              </w:rPr>
              <w:t>通信系统</w:t>
            </w:r>
            <w:r>
              <w:rPr>
                <w:rFonts w:hint="eastAsia" w:cs="Times New Roman"/>
                <w:bCs/>
                <w:snapToGrid w:val="0"/>
                <w:color w:val="auto"/>
                <w:kern w:val="0"/>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restar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公用工程</w:t>
            </w: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给排水</w:t>
            </w:r>
          </w:p>
        </w:tc>
        <w:tc>
          <w:tcPr>
            <w:tcW w:w="3912" w:type="pct"/>
            <w:noWrap w:val="0"/>
            <w:vAlign w:val="center"/>
          </w:tcPr>
          <w:p>
            <w:pPr>
              <w:widowControl w:val="0"/>
              <w:adjustRightInd w:val="0"/>
              <w:snapToGrid w:val="0"/>
              <w:spacing w:line="240" w:lineRule="auto"/>
              <w:jc w:val="both"/>
              <w:rPr>
                <w:rFonts w:ascii="Times New Roman" w:hAnsi="Times New Roman" w:eastAsia="宋体" w:cs="Times New Roman"/>
                <w:bCs/>
                <w:snapToGrid w:val="0"/>
                <w:color w:val="auto"/>
                <w:kern w:val="0"/>
                <w:sz w:val="20"/>
                <w:szCs w:val="20"/>
              </w:rPr>
            </w:pPr>
            <w:r>
              <w:rPr>
                <w:rFonts w:hint="eastAsia" w:ascii="宋体" w:hAnsi="宋体" w:eastAsia="宋体" w:cs="宋体"/>
                <w:bCs/>
                <w:snapToGrid w:val="0"/>
                <w:color w:val="auto"/>
                <w:kern w:val="0"/>
                <w:sz w:val="20"/>
                <w:szCs w:val="20"/>
              </w:rPr>
              <w:t>①</w:t>
            </w:r>
            <w:r>
              <w:rPr>
                <w:rFonts w:hint="eastAsia" w:cs="Times New Roman"/>
                <w:bCs/>
                <w:snapToGrid w:val="0"/>
                <w:color w:val="auto"/>
                <w:kern w:val="0"/>
                <w:sz w:val="20"/>
                <w:szCs w:val="20"/>
                <w:lang w:val="en-US" w:eastAsia="zh-CN"/>
              </w:rPr>
              <w:t>后方观察楼生活</w:t>
            </w:r>
            <w:r>
              <w:rPr>
                <w:rFonts w:ascii="Times New Roman" w:hAnsi="Times New Roman" w:eastAsia="宋体" w:cs="Times New Roman"/>
                <w:bCs/>
                <w:snapToGrid w:val="0"/>
                <w:color w:val="auto"/>
                <w:kern w:val="0"/>
                <w:sz w:val="20"/>
                <w:szCs w:val="20"/>
              </w:rPr>
              <w:t>用水</w:t>
            </w:r>
            <w:r>
              <w:rPr>
                <w:rFonts w:hint="eastAsia" w:cs="Times New Roman"/>
                <w:bCs/>
                <w:snapToGrid w:val="0"/>
                <w:color w:val="auto"/>
                <w:kern w:val="0"/>
                <w:sz w:val="20"/>
                <w:szCs w:val="20"/>
                <w:lang w:val="en-US" w:eastAsia="zh-CN"/>
              </w:rPr>
              <w:t>来自市政自来水管网</w:t>
            </w:r>
            <w:r>
              <w:rPr>
                <w:rFonts w:ascii="Times New Roman" w:hAnsi="Times New Roman" w:eastAsia="宋体" w:cs="Times New Roman"/>
                <w:bCs/>
                <w:snapToGrid w:val="0"/>
                <w:color w:val="auto"/>
                <w:kern w:val="0"/>
                <w:sz w:val="20"/>
                <w:szCs w:val="20"/>
              </w:rPr>
              <w:t>。</w:t>
            </w:r>
          </w:p>
          <w:p>
            <w:pPr>
              <w:widowControl w:val="0"/>
              <w:adjustRightInd w:val="0"/>
              <w:snapToGrid w:val="0"/>
              <w:spacing w:line="240" w:lineRule="auto"/>
              <w:jc w:val="both"/>
              <w:rPr>
                <w:rFonts w:hint="eastAsia" w:ascii="Times New Roman" w:hAnsi="Times New Roman" w:eastAsia="宋体" w:cs="Times New Roman"/>
                <w:bCs/>
                <w:snapToGrid w:val="0"/>
                <w:color w:val="auto"/>
                <w:kern w:val="0"/>
                <w:sz w:val="20"/>
                <w:szCs w:val="20"/>
                <w:lang w:eastAsia="zh-CN"/>
              </w:rPr>
            </w:pPr>
            <w:r>
              <w:rPr>
                <w:rFonts w:hint="eastAsia" w:ascii="宋体" w:hAnsi="宋体" w:eastAsia="宋体" w:cs="宋体"/>
                <w:bCs/>
                <w:snapToGrid w:val="0"/>
                <w:color w:val="auto"/>
                <w:kern w:val="0"/>
                <w:sz w:val="20"/>
                <w:szCs w:val="20"/>
              </w:rPr>
              <w:t>②</w:t>
            </w:r>
            <w:r>
              <w:rPr>
                <w:rFonts w:hint="eastAsia" w:ascii="Times New Roman" w:hAnsi="Times New Roman" w:eastAsia="宋体" w:cs="Times New Roman"/>
                <w:bCs/>
                <w:snapToGrid w:val="0"/>
                <w:color w:val="auto"/>
                <w:kern w:val="0"/>
                <w:sz w:val="20"/>
                <w:szCs w:val="20"/>
              </w:rPr>
              <w:t>码头面初期雨水、冲洗水直接</w:t>
            </w:r>
            <w:r>
              <w:rPr>
                <w:rFonts w:ascii="Times New Roman" w:hAnsi="Times New Roman" w:eastAsia="宋体" w:cs="Times New Roman"/>
                <w:bCs/>
                <w:snapToGrid w:val="0"/>
                <w:color w:val="auto"/>
                <w:kern w:val="0"/>
                <w:sz w:val="20"/>
                <w:szCs w:val="20"/>
              </w:rPr>
              <w:t>排江</w:t>
            </w:r>
            <w:r>
              <w:rPr>
                <w:rFonts w:hint="eastAsia" w:cs="Times New Roman"/>
                <w:bCs/>
                <w:snapToGrid w:val="0"/>
                <w:color w:val="auto"/>
                <w:kern w:val="0"/>
                <w:sz w:val="20"/>
                <w:szCs w:val="20"/>
                <w:lang w:val="en-US" w:eastAsia="zh-CN"/>
              </w:rPr>
              <w:t>；</w:t>
            </w:r>
            <w:r>
              <w:rPr>
                <w:rFonts w:hint="eastAsia" w:ascii="Times New Roman" w:hAnsi="Times New Roman" w:eastAsia="宋体" w:cs="Times New Roman"/>
                <w:bCs/>
                <w:snapToGrid w:val="0"/>
                <w:color w:val="auto"/>
                <w:kern w:val="0"/>
                <w:sz w:val="20"/>
                <w:szCs w:val="20"/>
              </w:rPr>
              <w:t>趸船设置到港船舶生活污水接口及管线，到港船舶生活污水</w:t>
            </w:r>
            <w:r>
              <w:rPr>
                <w:rFonts w:hint="eastAsia" w:cs="Times New Roman"/>
                <w:bCs/>
                <w:snapToGrid w:val="0"/>
                <w:color w:val="auto"/>
                <w:kern w:val="0"/>
                <w:sz w:val="20"/>
                <w:szCs w:val="20"/>
                <w:lang w:val="en-US" w:eastAsia="zh-CN"/>
              </w:rPr>
              <w:t>交由海事部门认定的船舶污染物接受船收集处理；后方观察楼生活</w:t>
            </w:r>
            <w:r>
              <w:rPr>
                <w:rFonts w:hint="eastAsia" w:ascii="Times New Roman" w:hAnsi="Times New Roman" w:eastAsia="宋体" w:cs="Times New Roman"/>
                <w:bCs/>
                <w:snapToGrid w:val="0"/>
                <w:color w:val="auto"/>
                <w:kern w:val="0"/>
                <w:sz w:val="20"/>
                <w:szCs w:val="20"/>
              </w:rPr>
              <w:t>污水</w:t>
            </w:r>
            <w:r>
              <w:rPr>
                <w:rFonts w:hint="eastAsia" w:cs="Times New Roman"/>
                <w:bCs/>
                <w:snapToGrid w:val="0"/>
                <w:color w:val="auto"/>
                <w:kern w:val="0"/>
                <w:sz w:val="20"/>
                <w:szCs w:val="20"/>
                <w:lang w:val="en-US" w:eastAsia="zh-CN"/>
              </w:rPr>
              <w:t>经化粪池处理后由环卫部门吸污车定期清运</w:t>
            </w:r>
            <w:r>
              <w:rPr>
                <w:rFonts w:hint="eastAsia" w:cs="Times New Roman"/>
                <w:bCs/>
                <w:snapToGrid w:val="0"/>
                <w:color w:val="auto"/>
                <w:kern w:val="0"/>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lang w:val="en-US" w:eastAsia="zh-CN" w:bidi="ar-SA"/>
              </w:rPr>
            </w:pPr>
            <w:r>
              <w:rPr>
                <w:rFonts w:ascii="Times New Roman" w:hAnsi="Times New Roman" w:eastAsia="宋体" w:cs="Times New Roman"/>
                <w:bCs/>
                <w:snapToGrid w:val="0"/>
                <w:color w:val="auto"/>
                <w:kern w:val="0"/>
                <w:sz w:val="20"/>
                <w:szCs w:val="20"/>
              </w:rPr>
              <w:t>消防</w:t>
            </w:r>
          </w:p>
        </w:tc>
        <w:tc>
          <w:tcPr>
            <w:tcW w:w="3912" w:type="pct"/>
            <w:noWrap w:val="0"/>
            <w:vAlign w:val="center"/>
          </w:tcPr>
          <w:p>
            <w:pPr>
              <w:widowControl w:val="0"/>
              <w:adjustRightInd w:val="0"/>
              <w:snapToGrid w:val="0"/>
              <w:spacing w:line="240" w:lineRule="auto"/>
              <w:jc w:val="left"/>
              <w:rPr>
                <w:rFonts w:hint="eastAsia" w:ascii="Times New Roman" w:hAnsi="Times New Roman" w:eastAsia="宋体" w:cs="Times New Roman"/>
                <w:bCs/>
                <w:snapToGrid w:val="0"/>
                <w:color w:val="auto"/>
                <w:kern w:val="0"/>
                <w:sz w:val="20"/>
                <w:szCs w:val="20"/>
                <w:lang w:val="en-US" w:eastAsia="zh-CN" w:bidi="ar-SA"/>
              </w:rPr>
            </w:pPr>
            <w:r>
              <w:rPr>
                <w:rFonts w:ascii="Times New Roman" w:hAnsi="Times New Roman" w:eastAsia="宋体" w:cs="Times New Roman"/>
                <w:bCs/>
                <w:snapToGrid w:val="0"/>
                <w:color w:val="auto"/>
                <w:kern w:val="0"/>
                <w:sz w:val="20"/>
                <w:szCs w:val="20"/>
              </w:rPr>
              <w:t>未配置</w:t>
            </w:r>
            <w:r>
              <w:rPr>
                <w:rFonts w:hint="eastAsia" w:ascii="Times New Roman" w:hAnsi="Times New Roman" w:eastAsia="宋体" w:cs="Times New Roman"/>
                <w:bCs/>
                <w:snapToGrid w:val="0"/>
                <w:color w:val="auto"/>
                <w:kern w:val="0"/>
                <w:sz w:val="20"/>
                <w:szCs w:val="20"/>
                <w:lang w:val="en-US" w:eastAsia="zh-CN"/>
              </w:rPr>
              <w:t>消防</w:t>
            </w:r>
            <w:r>
              <w:rPr>
                <w:rFonts w:ascii="Times New Roman" w:hAnsi="Times New Roman" w:eastAsia="宋体" w:cs="Times New Roman"/>
                <w:bCs/>
                <w:snapToGrid w:val="0"/>
                <w:color w:val="auto"/>
                <w:kern w:val="0"/>
                <w:sz w:val="20"/>
                <w:szCs w:val="20"/>
              </w:rPr>
              <w:t>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val="en-US" w:eastAsia="zh-CN"/>
              </w:rPr>
              <w:t>环保工程</w:t>
            </w:r>
          </w:p>
        </w:tc>
        <w:tc>
          <w:tcPr>
            <w:tcW w:w="647"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废气处理工程</w:t>
            </w:r>
          </w:p>
        </w:tc>
        <w:tc>
          <w:tcPr>
            <w:tcW w:w="3912" w:type="pct"/>
            <w:noWrap w:val="0"/>
            <w:vAlign w:val="center"/>
          </w:tcPr>
          <w:p>
            <w:pPr>
              <w:widowControl w:val="0"/>
              <w:adjustRightInd w:val="0"/>
              <w:snapToGrid w:val="0"/>
              <w:spacing w:line="240" w:lineRule="auto"/>
              <w:jc w:val="both"/>
              <w:rPr>
                <w:rFonts w:hint="default"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val="en-US" w:eastAsia="zh-CN"/>
              </w:rPr>
              <w:t>未安装喷淋系统</w:t>
            </w:r>
            <w:r>
              <w:rPr>
                <w:rFonts w:hint="eastAsia" w:ascii="Times New Roman" w:hAnsi="Times New Roman" w:eastAsia="宋体" w:cs="Times New Roman"/>
                <w:bCs/>
                <w:snapToGrid w:val="0"/>
                <w:color w:val="auto"/>
                <w:kern w:val="0"/>
                <w:sz w:val="20"/>
                <w:szCs w:val="20"/>
              </w:rPr>
              <w:t>；</w:t>
            </w:r>
            <w:r>
              <w:rPr>
                <w:rFonts w:hint="eastAsia" w:ascii="Times New Roman" w:hAnsi="Times New Roman" w:eastAsia="宋体" w:cs="Times New Roman"/>
                <w:bCs/>
                <w:snapToGrid w:val="0"/>
                <w:color w:val="auto"/>
                <w:kern w:val="0"/>
                <w:sz w:val="20"/>
                <w:szCs w:val="20"/>
                <w:lang w:val="en-US" w:eastAsia="zh-CN"/>
              </w:rPr>
              <w:t>未设置洗车平台；</w:t>
            </w:r>
            <w:r>
              <w:rPr>
                <w:rFonts w:hint="eastAsia" w:ascii="Times New Roman" w:hAnsi="Times New Roman" w:eastAsia="宋体" w:cs="Times New Roman"/>
                <w:bCs/>
                <w:snapToGrid w:val="0"/>
                <w:color w:val="auto"/>
                <w:kern w:val="0"/>
                <w:sz w:val="20"/>
                <w:szCs w:val="20"/>
              </w:rPr>
              <w:t>钢引桥廊道</w:t>
            </w:r>
            <w:r>
              <w:rPr>
                <w:rFonts w:ascii="Times New Roman" w:hAnsi="Times New Roman" w:eastAsia="宋体" w:cs="Times New Roman"/>
                <w:bCs/>
                <w:snapToGrid w:val="0"/>
                <w:color w:val="auto"/>
                <w:kern w:val="0"/>
                <w:sz w:val="20"/>
                <w:szCs w:val="20"/>
              </w:rPr>
              <w:t>未封闭</w:t>
            </w:r>
            <w:r>
              <w:rPr>
                <w:rFonts w:hint="eastAsia" w:ascii="Times New Roman" w:hAnsi="Times New Roman" w:eastAsia="宋体" w:cs="Times New Roman"/>
                <w:bCs/>
                <w:snapToGrid w:val="0"/>
                <w:color w:val="auto"/>
                <w:kern w:val="0"/>
                <w:sz w:val="20"/>
                <w:szCs w:val="20"/>
              </w:rPr>
              <w:t>，</w:t>
            </w:r>
            <w:r>
              <w:rPr>
                <w:rFonts w:hint="eastAsia" w:ascii="Times New Roman" w:hAnsi="Times New Roman" w:eastAsia="宋体" w:cs="Times New Roman"/>
                <w:bCs/>
                <w:snapToGrid w:val="0"/>
                <w:color w:val="auto"/>
                <w:kern w:val="0"/>
                <w:sz w:val="20"/>
                <w:szCs w:val="20"/>
                <w:lang w:val="en-US" w:eastAsia="zh-CN"/>
              </w:rPr>
              <w:t>设置的围挡不能满足环保要求；船舶与趸船接靠处未设置完整的接落挡板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val="en-US" w:eastAsia="zh-CN"/>
              </w:rPr>
            </w:pPr>
          </w:p>
        </w:tc>
        <w:tc>
          <w:tcPr>
            <w:tcW w:w="647"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废水处理工程</w:t>
            </w:r>
          </w:p>
        </w:tc>
        <w:tc>
          <w:tcPr>
            <w:tcW w:w="3912" w:type="pct"/>
            <w:noWrap w:val="0"/>
            <w:vAlign w:val="center"/>
          </w:tcPr>
          <w:p>
            <w:pPr>
              <w:widowControl w:val="0"/>
              <w:adjustRightInd w:val="0"/>
              <w:snapToGrid w:val="0"/>
              <w:spacing w:line="240" w:lineRule="auto"/>
              <w:jc w:val="both"/>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未设置码头冲洗水及码头面初期雨水收集处置装置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val="en-US" w:eastAsia="zh-CN"/>
              </w:rPr>
            </w:pPr>
          </w:p>
        </w:tc>
        <w:tc>
          <w:tcPr>
            <w:tcW w:w="647"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噪声处理设施</w:t>
            </w:r>
          </w:p>
        </w:tc>
        <w:tc>
          <w:tcPr>
            <w:tcW w:w="3912" w:type="pct"/>
            <w:noWrap w:val="0"/>
            <w:vAlign w:val="center"/>
          </w:tcPr>
          <w:p>
            <w:pPr>
              <w:widowControl w:val="0"/>
              <w:adjustRightInd w:val="0"/>
              <w:snapToGrid w:val="0"/>
              <w:spacing w:line="240" w:lineRule="auto"/>
              <w:jc w:val="both"/>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码头已停运，机械设备未使用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val="en-US" w:eastAsia="zh-CN"/>
              </w:rPr>
            </w:pPr>
          </w:p>
        </w:tc>
        <w:tc>
          <w:tcPr>
            <w:tcW w:w="647" w:type="pct"/>
            <w:noWrap w:val="0"/>
            <w:vAlign w:val="center"/>
          </w:tcPr>
          <w:p>
            <w:pPr>
              <w:widowControl w:val="0"/>
              <w:adjustRightInd w:val="0"/>
              <w:snapToGrid w:val="0"/>
              <w:spacing w:line="240" w:lineRule="auto"/>
              <w:jc w:val="center"/>
              <w:rPr>
                <w:rFonts w:hint="default"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固体废物</w:t>
            </w:r>
          </w:p>
        </w:tc>
        <w:tc>
          <w:tcPr>
            <w:tcW w:w="3912" w:type="pct"/>
            <w:noWrap w:val="0"/>
            <w:vAlign w:val="center"/>
          </w:tcPr>
          <w:p>
            <w:pPr>
              <w:widowControl w:val="0"/>
              <w:adjustRightInd w:val="0"/>
              <w:snapToGrid w:val="0"/>
              <w:spacing w:line="240" w:lineRule="auto"/>
              <w:jc w:val="both"/>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设置生活垃圾桶，未设置危险废物暂存间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40"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c>
          <w:tcPr>
            <w:tcW w:w="647"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应急设施</w:t>
            </w:r>
          </w:p>
        </w:tc>
        <w:tc>
          <w:tcPr>
            <w:tcW w:w="3912" w:type="pct"/>
            <w:noWrap w:val="0"/>
            <w:vAlign w:val="center"/>
          </w:tcPr>
          <w:p>
            <w:pPr>
              <w:widowControl w:val="0"/>
              <w:adjustRightInd w:val="0"/>
              <w:snapToGrid w:val="0"/>
              <w:spacing w:line="240" w:lineRule="auto"/>
              <w:jc w:val="left"/>
              <w:rPr>
                <w:rFonts w:ascii="Times New Roman" w:hAnsi="Times New Roman" w:eastAsia="宋体" w:cs="Times New Roman"/>
                <w:bCs/>
                <w:snapToGrid w:val="0"/>
                <w:color w:val="auto"/>
                <w:kern w:val="0"/>
                <w:sz w:val="20"/>
                <w:szCs w:val="20"/>
              </w:rPr>
            </w:pPr>
            <w:r>
              <w:rPr>
                <w:rFonts w:ascii="Times New Roman" w:hAnsi="Times New Roman" w:eastAsia="宋体" w:cs="Times New Roman"/>
                <w:bCs/>
                <w:snapToGrid w:val="0"/>
                <w:color w:val="auto"/>
                <w:kern w:val="0"/>
                <w:sz w:val="20"/>
                <w:szCs w:val="20"/>
              </w:rPr>
              <w:t>未配置应急设施</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1.4.2主要货物及吞吐量</w:t>
      </w:r>
    </w:p>
    <w:p>
      <w:pPr>
        <w:pStyle w:val="1025"/>
        <w:widowControl w:val="0"/>
        <w:spacing w:line="360" w:lineRule="auto"/>
        <w:ind w:firstLine="480" w:firstLineChars="200"/>
        <w:rPr>
          <w:rFonts w:hint="eastAsia" w:eastAsia="仿宋_GB2312"/>
          <w:color w:val="auto"/>
        </w:rPr>
      </w:pPr>
      <w:r>
        <w:rPr>
          <w:rFonts w:hint="eastAsia" w:eastAsia="仿宋_GB2312"/>
          <w:color w:val="auto"/>
        </w:rPr>
        <w:t>种及吞吐量：货种为</w:t>
      </w:r>
      <w:r>
        <w:rPr>
          <w:rFonts w:hint="eastAsia" w:eastAsia="仿宋_GB2312"/>
          <w:color w:val="auto"/>
          <w:lang w:val="en-US" w:eastAsia="zh-CN"/>
        </w:rPr>
        <w:t>肥料及磷矿</w:t>
      </w:r>
      <w:r>
        <w:rPr>
          <w:rFonts w:hint="eastAsia" w:eastAsia="仿宋_GB2312"/>
          <w:color w:val="auto"/>
        </w:rPr>
        <w:t>，设计吞吐能力</w:t>
      </w:r>
      <w:r>
        <w:rPr>
          <w:rFonts w:hint="eastAsia" w:eastAsia="仿宋_GB2312"/>
          <w:color w:val="auto"/>
          <w:lang w:val="en-US" w:eastAsia="zh-CN"/>
        </w:rPr>
        <w:t>10万</w:t>
      </w:r>
      <w:r>
        <w:rPr>
          <w:rFonts w:hint="eastAsia" w:eastAsia="仿宋_GB2312"/>
          <w:color w:val="auto"/>
        </w:rPr>
        <w:t>t/a，实际年吞吐量为</w:t>
      </w:r>
      <w:r>
        <w:rPr>
          <w:rFonts w:hint="eastAsia" w:eastAsia="仿宋_GB2312"/>
          <w:color w:val="auto"/>
          <w:lang w:val="en-US" w:eastAsia="zh-CN"/>
        </w:rPr>
        <w:t>10万</w:t>
      </w:r>
      <w:r>
        <w:rPr>
          <w:rFonts w:hint="eastAsia" w:eastAsia="仿宋_GB2312"/>
          <w:color w:val="auto"/>
        </w:rPr>
        <w:t>t/a。</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1.4.3装卸工艺</w:t>
      </w:r>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rPr>
        <w:t>货物流向和贮存方式：为</w:t>
      </w:r>
      <w:r>
        <w:rPr>
          <w:rFonts w:hint="eastAsia" w:eastAsia="仿宋_GB2312"/>
          <w:color w:val="auto"/>
          <w:lang w:val="en-US" w:eastAsia="zh-CN"/>
        </w:rPr>
        <w:t>肥料及磷矿出口</w:t>
      </w:r>
      <w:r>
        <w:rPr>
          <w:rFonts w:hint="eastAsia" w:eastAsia="仿宋_GB2312"/>
          <w:color w:val="auto"/>
        </w:rPr>
        <w:t>码头，</w:t>
      </w:r>
      <w:r>
        <w:rPr>
          <w:rFonts w:hint="eastAsia" w:eastAsia="仿宋_GB2312"/>
          <w:color w:val="auto"/>
          <w:lang w:val="en-US" w:eastAsia="zh-CN"/>
        </w:rPr>
        <w:t>货物不在码头陆域堆存。</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lang w:val="en-US" w:eastAsia="zh-CN"/>
        </w:rPr>
        <w:t>码头前沿布置2个散货泊位，其中1#泊位配置2台浮式起重机（配抓斗），浮趸与陆域通过趸船搭板连接，水平运输采用自卸汽车；2#泊位配置1台简易皮带机用于散货装船作业，后方采用自卸汽车将物料通过卸料漏斗经皮带机输送至散货船。</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1.4.4码头平面布置</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rPr>
        <w:t>项目位于长江右岸，</w:t>
      </w:r>
      <w:r>
        <w:rPr>
          <w:rFonts w:hint="eastAsia" w:eastAsia="仿宋_GB2312"/>
          <w:color w:val="auto"/>
          <w:lang w:val="en-US" w:eastAsia="zh-CN"/>
        </w:rPr>
        <w:t>1#泊位</w:t>
      </w:r>
      <w:r>
        <w:rPr>
          <w:rFonts w:hint="eastAsia" w:eastAsia="仿宋_GB2312"/>
          <w:color w:val="auto"/>
        </w:rPr>
        <w:t>采用</w:t>
      </w:r>
      <w:r>
        <w:rPr>
          <w:rFonts w:hint="eastAsia" w:eastAsia="仿宋_GB2312"/>
          <w:color w:val="auto"/>
          <w:lang w:val="en-US" w:eastAsia="zh-CN"/>
        </w:rPr>
        <w:t>斜坡码头结构，2#泊位采用浮</w:t>
      </w:r>
      <w:r>
        <w:rPr>
          <w:rFonts w:hint="eastAsia" w:eastAsia="仿宋_GB2312"/>
          <w:color w:val="auto"/>
        </w:rPr>
        <w:t>码头结构，布置</w:t>
      </w:r>
      <w:r>
        <w:rPr>
          <w:rFonts w:hint="eastAsia" w:eastAsia="仿宋_GB2312"/>
          <w:color w:val="auto"/>
          <w:lang w:val="en-US" w:eastAsia="zh-CN"/>
        </w:rPr>
        <w:t>2</w:t>
      </w:r>
      <w:r>
        <w:rPr>
          <w:rFonts w:hint="eastAsia" w:eastAsia="仿宋_GB2312"/>
          <w:color w:val="auto"/>
        </w:rPr>
        <w:t>个</w:t>
      </w:r>
      <w:r>
        <w:rPr>
          <w:rFonts w:hint="eastAsia" w:eastAsia="仿宋_GB2312"/>
          <w:color w:val="auto"/>
          <w:lang w:val="en-US" w:eastAsia="zh-CN"/>
        </w:rPr>
        <w:t>3</w:t>
      </w:r>
      <w:r>
        <w:rPr>
          <w:rFonts w:hint="eastAsia" w:eastAsia="仿宋_GB2312"/>
          <w:color w:val="auto"/>
        </w:rPr>
        <w:t>000DWT件散货泊位，泊位长度约</w:t>
      </w:r>
      <w:r>
        <w:rPr>
          <w:rFonts w:hint="eastAsia" w:eastAsia="仿宋_GB2312"/>
          <w:color w:val="auto"/>
          <w:lang w:val="en-US" w:eastAsia="zh-CN"/>
        </w:rPr>
        <w:t>248</w:t>
      </w:r>
      <w:r>
        <w:rPr>
          <w:rFonts w:hint="eastAsia" w:eastAsia="仿宋_GB2312"/>
          <w:color w:val="auto"/>
        </w:rPr>
        <w:t>m</w:t>
      </w:r>
      <w:r>
        <w:rPr>
          <w:rFonts w:hint="eastAsia" w:eastAsia="仿宋_GB2312"/>
          <w:color w:val="auto"/>
          <w:lang w:eastAsia="zh-CN"/>
        </w:rPr>
        <w:t>。</w:t>
      </w:r>
    </w:p>
    <w:p>
      <w:pPr>
        <w:pStyle w:val="1025"/>
        <w:widowControl w:val="0"/>
        <w:spacing w:line="360" w:lineRule="auto"/>
        <w:ind w:firstLine="480" w:firstLineChars="200"/>
        <w:rPr>
          <w:rFonts w:hint="eastAsia" w:eastAsia="仿宋_GB2312"/>
          <w:color w:val="auto"/>
          <w:lang w:eastAsia="zh-CN"/>
        </w:rPr>
      </w:pPr>
      <w:r>
        <w:rPr>
          <w:rFonts w:hint="eastAsia" w:eastAsia="仿宋_GB2312"/>
          <w:color w:val="auto"/>
          <w:lang w:eastAsia="zh-CN"/>
        </w:rPr>
        <w:t>码头主体结构由钢质趸船、集料斗、斜坡道、钢引桥</w:t>
      </w:r>
      <w:r>
        <w:rPr>
          <w:rFonts w:hint="eastAsia" w:eastAsia="仿宋_GB2312"/>
          <w:color w:val="auto"/>
          <w:lang w:val="en-US" w:eastAsia="zh-CN"/>
        </w:rPr>
        <w:t>廊道</w:t>
      </w:r>
      <w:r>
        <w:rPr>
          <w:rFonts w:hint="eastAsia" w:eastAsia="仿宋_GB2312"/>
          <w:color w:val="auto"/>
          <w:lang w:eastAsia="zh-CN"/>
        </w:rPr>
        <w:t>等组成；</w:t>
      </w:r>
      <w:r>
        <w:rPr>
          <w:rFonts w:hint="eastAsia" w:eastAsia="仿宋_GB2312"/>
          <w:color w:val="auto"/>
          <w:lang w:val="en-US" w:eastAsia="zh-CN"/>
        </w:rPr>
        <w:t>1#泊位</w:t>
      </w:r>
      <w:r>
        <w:rPr>
          <w:rFonts w:hint="eastAsia" w:eastAsia="仿宋_GB2312"/>
          <w:color w:val="auto"/>
          <w:lang w:eastAsia="zh-CN"/>
        </w:rPr>
        <w:t>靠水侧设置一艘</w:t>
      </w:r>
      <w:r>
        <w:rPr>
          <w:rFonts w:hint="eastAsia" w:eastAsia="仿宋_GB2312"/>
          <w:color w:val="auto"/>
          <w:lang w:val="en-US" w:eastAsia="zh-CN"/>
        </w:rPr>
        <w:t>45.95</w:t>
      </w:r>
      <w:r>
        <w:rPr>
          <w:rFonts w:hint="eastAsia" w:eastAsia="仿宋_GB2312"/>
          <w:color w:val="auto"/>
          <w:lang w:eastAsia="zh-CN"/>
        </w:rPr>
        <w:t>m×</w:t>
      </w:r>
      <w:r>
        <w:rPr>
          <w:rFonts w:hint="eastAsia" w:eastAsia="仿宋_GB2312"/>
          <w:color w:val="auto"/>
          <w:lang w:val="en-US" w:eastAsia="zh-CN"/>
        </w:rPr>
        <w:t>13.53</w:t>
      </w:r>
      <w:r>
        <w:rPr>
          <w:rFonts w:hint="eastAsia" w:eastAsia="仿宋_GB2312"/>
          <w:color w:val="auto"/>
          <w:lang w:eastAsia="zh-CN"/>
        </w:rPr>
        <w:t>m×</w:t>
      </w:r>
      <w:r>
        <w:rPr>
          <w:rFonts w:hint="eastAsia" w:eastAsia="仿宋_GB2312"/>
          <w:color w:val="auto"/>
          <w:lang w:val="en-US" w:eastAsia="zh-CN"/>
        </w:rPr>
        <w:t>2.2</w:t>
      </w:r>
      <w:r>
        <w:rPr>
          <w:rFonts w:hint="eastAsia" w:eastAsia="仿宋_GB2312"/>
          <w:color w:val="auto"/>
          <w:lang w:eastAsia="zh-CN"/>
        </w:rPr>
        <w:t>m钢质趸船，</w:t>
      </w:r>
      <w:r>
        <w:rPr>
          <w:rFonts w:hint="eastAsia" w:eastAsia="仿宋_GB2312"/>
          <w:color w:val="auto"/>
          <w:lang w:val="en-US" w:eastAsia="zh-CN"/>
        </w:rPr>
        <w:t>2#泊位</w:t>
      </w:r>
      <w:r>
        <w:rPr>
          <w:rFonts w:hint="eastAsia" w:eastAsia="仿宋_GB2312"/>
          <w:color w:val="auto"/>
          <w:lang w:eastAsia="zh-CN"/>
        </w:rPr>
        <w:t>设置一艘</w:t>
      </w:r>
      <w:r>
        <w:rPr>
          <w:rFonts w:hint="eastAsia" w:eastAsia="仿宋_GB2312"/>
          <w:color w:val="auto"/>
          <w:lang w:val="en-US" w:eastAsia="zh-CN"/>
        </w:rPr>
        <w:t>42</w:t>
      </w:r>
      <w:r>
        <w:rPr>
          <w:rFonts w:hint="eastAsia" w:eastAsia="仿宋_GB2312"/>
          <w:color w:val="auto"/>
          <w:lang w:eastAsia="zh-CN"/>
        </w:rPr>
        <w:t>m×</w:t>
      </w:r>
      <w:r>
        <w:rPr>
          <w:rFonts w:hint="eastAsia" w:eastAsia="仿宋_GB2312"/>
          <w:color w:val="auto"/>
          <w:lang w:val="en-US" w:eastAsia="zh-CN"/>
        </w:rPr>
        <w:t>12.82</w:t>
      </w:r>
      <w:r>
        <w:rPr>
          <w:rFonts w:hint="eastAsia" w:eastAsia="仿宋_GB2312"/>
          <w:color w:val="auto"/>
          <w:lang w:eastAsia="zh-CN"/>
        </w:rPr>
        <w:t>m×</w:t>
      </w:r>
      <w:r>
        <w:rPr>
          <w:rFonts w:hint="eastAsia" w:eastAsia="仿宋_GB2312"/>
          <w:color w:val="auto"/>
          <w:lang w:val="en-US" w:eastAsia="zh-CN"/>
        </w:rPr>
        <w:t>2</w:t>
      </w:r>
      <w:r>
        <w:rPr>
          <w:rFonts w:hint="eastAsia" w:eastAsia="仿宋_GB2312"/>
          <w:color w:val="auto"/>
          <w:lang w:eastAsia="zh-CN"/>
        </w:rPr>
        <w:t>m钢质趸船；</w:t>
      </w:r>
      <w:r>
        <w:rPr>
          <w:rFonts w:hint="eastAsia" w:eastAsia="仿宋_GB2312"/>
          <w:color w:val="auto"/>
          <w:lang w:val="en-US" w:eastAsia="zh-CN"/>
        </w:rPr>
        <w:t>2#</w:t>
      </w:r>
      <w:r>
        <w:rPr>
          <w:rFonts w:hint="eastAsia" w:eastAsia="仿宋_GB2312"/>
          <w:color w:val="auto"/>
          <w:lang w:eastAsia="zh-CN"/>
        </w:rPr>
        <w:t>趸船与大堤之间通过</w:t>
      </w:r>
      <w:r>
        <w:rPr>
          <w:rFonts w:hint="eastAsia" w:eastAsia="仿宋_GB2312"/>
          <w:color w:val="auto"/>
          <w:lang w:val="en-US" w:eastAsia="zh-CN"/>
        </w:rPr>
        <w:t>一座180</w:t>
      </w:r>
      <w:r>
        <w:rPr>
          <w:rFonts w:hint="eastAsia" w:eastAsia="仿宋_GB2312"/>
          <w:color w:val="auto"/>
          <w:lang w:eastAsia="zh-CN"/>
        </w:rPr>
        <w:t>m的钢引桥</w:t>
      </w:r>
      <w:r>
        <w:rPr>
          <w:rFonts w:hint="eastAsia" w:eastAsia="仿宋_GB2312"/>
          <w:color w:val="auto"/>
          <w:lang w:val="en-US" w:eastAsia="zh-CN"/>
        </w:rPr>
        <w:t>廊道</w:t>
      </w:r>
      <w:r>
        <w:rPr>
          <w:rFonts w:hint="eastAsia" w:eastAsia="仿宋_GB2312"/>
          <w:color w:val="auto"/>
          <w:lang w:eastAsia="zh-CN"/>
        </w:rPr>
        <w:t>连接，</w:t>
      </w:r>
      <w:r>
        <w:rPr>
          <w:rFonts w:hint="eastAsia" w:eastAsia="仿宋_GB2312"/>
          <w:color w:val="auto"/>
          <w:lang w:val="en-US" w:eastAsia="zh-CN"/>
        </w:rPr>
        <w:t>不设人行步道</w:t>
      </w:r>
      <w:r>
        <w:rPr>
          <w:rFonts w:hint="eastAsia" w:eastAsia="仿宋_GB2312"/>
          <w:color w:val="auto"/>
          <w:lang w:eastAsia="zh-CN"/>
        </w:rPr>
        <w:t>；</w:t>
      </w:r>
      <w:r>
        <w:rPr>
          <w:rFonts w:hint="eastAsia" w:eastAsia="仿宋_GB2312"/>
          <w:color w:val="auto"/>
          <w:lang w:val="en-US" w:eastAsia="zh-CN"/>
        </w:rPr>
        <w:t>港区后方</w:t>
      </w:r>
      <w:r>
        <w:rPr>
          <w:rFonts w:hint="eastAsia" w:eastAsia="仿宋_GB2312"/>
          <w:color w:val="auto"/>
          <w:lang w:eastAsia="zh-CN"/>
        </w:rPr>
        <w:t>设置了1座</w:t>
      </w:r>
      <w:r>
        <w:rPr>
          <w:rFonts w:hint="eastAsia" w:eastAsia="仿宋_GB2312"/>
          <w:color w:val="auto"/>
          <w:lang w:val="en-US" w:eastAsia="zh-CN"/>
        </w:rPr>
        <w:t>50</w:t>
      </w:r>
      <w:r>
        <w:rPr>
          <w:rFonts w:hint="eastAsia" w:eastAsia="仿宋_GB2312"/>
          <w:color w:val="auto"/>
          <w:lang w:eastAsia="zh-CN"/>
        </w:rPr>
        <w:t>m</w:t>
      </w:r>
      <w:r>
        <w:rPr>
          <w:rFonts w:hint="eastAsia" w:eastAsia="仿宋_GB2312"/>
          <w:color w:val="auto"/>
          <w:vertAlign w:val="superscript"/>
          <w:lang w:eastAsia="zh-CN"/>
        </w:rPr>
        <w:t>2</w:t>
      </w:r>
      <w:r>
        <w:rPr>
          <w:rFonts w:hint="eastAsia" w:eastAsia="仿宋_GB2312"/>
          <w:color w:val="auto"/>
          <w:lang w:eastAsia="zh-CN"/>
        </w:rPr>
        <w:t>控制操作间（也称观察楼）。</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1.4.5水工建筑物及桩基设施</w:t>
      </w:r>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lang w:val="en-US" w:eastAsia="zh-CN"/>
        </w:rPr>
        <w:t>项目水工建筑物桩基设施主要为钢质趸船系缆礅、钢引桥墩台以及</w:t>
      </w:r>
      <w:r>
        <w:rPr>
          <w:rFonts w:hint="eastAsia" w:eastAsia="仿宋_GB2312"/>
          <w:color w:val="auto"/>
          <w:lang w:eastAsia="zh-CN"/>
        </w:rPr>
        <w:t>钢引桥</w:t>
      </w:r>
      <w:r>
        <w:rPr>
          <w:rFonts w:hint="eastAsia" w:eastAsia="仿宋_GB2312"/>
          <w:color w:val="auto"/>
          <w:lang w:val="en-US" w:eastAsia="zh-CN"/>
        </w:rPr>
        <w:t>廊道等部分组成，钢引桥共计180m，宽1.5m；共设置1个系缆礅和1座固定钢引桥廊道桩基；全部采用浅基础，为灌注桩。</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1.4.6其他配套设施</w:t>
      </w:r>
    </w:p>
    <w:p>
      <w:pPr>
        <w:pStyle w:val="1025"/>
        <w:widowControl w:val="0"/>
        <w:spacing w:line="360" w:lineRule="auto"/>
        <w:ind w:firstLine="480" w:firstLineChars="200"/>
        <w:rPr>
          <w:color w:val="auto"/>
        </w:rPr>
      </w:pPr>
      <w:r>
        <w:rPr>
          <w:rFonts w:hint="eastAsia" w:eastAsia="仿宋_GB2312"/>
          <w:color w:val="auto"/>
          <w:lang w:val="en-US" w:eastAsia="zh-CN"/>
        </w:rPr>
        <w:t>后方观察楼生活用水由市政管网提供，生活污水经化粪池处理后由环卫部门吸污车定期清运；趸船面初期雨水直接排江，趸船工作人员生活污水交由海事部门认定的船舶污染物接受船收集处理；码头前沿设置2个室外消火栓；配置室内外消火栓、灭火器等消防设施。码头平台设置一座岸电系统，供码头用电。</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1.4.7现有工程污染物达标排放情况</w:t>
      </w:r>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根据现场勘察，现有码头已停止运营，现有工程无污染物排放。</w:t>
      </w:r>
    </w:p>
    <w:p>
      <w:pPr>
        <w:pStyle w:val="9"/>
        <w:widowControl w:val="0"/>
        <w:spacing w:before="120" w:after="120" w:line="360" w:lineRule="auto"/>
        <w:rPr>
          <w:rFonts w:hint="default" w:eastAsia="黑体"/>
          <w:b w:val="0"/>
          <w:color w:val="auto"/>
          <w:sz w:val="24"/>
          <w:lang w:val="en-US" w:eastAsia="zh-CN"/>
        </w:rPr>
      </w:pPr>
      <w:bookmarkStart w:id="289" w:name="_Toc13892"/>
      <w:r>
        <w:rPr>
          <w:rFonts w:eastAsia="黑体"/>
          <w:b w:val="0"/>
          <w:color w:val="auto"/>
          <w:sz w:val="24"/>
        </w:rPr>
        <w:t>2.</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5现有码头存在的主要环境问题</w:t>
      </w:r>
      <w:bookmarkEnd w:id="289"/>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现有码头主要环境问题见下表。</w:t>
      </w:r>
    </w:p>
    <w:p>
      <w:pPr>
        <w:pStyle w:val="1025"/>
        <w:widowControl w:val="0"/>
        <w:autoSpaceDE/>
        <w:autoSpaceDN/>
        <w:adjustRightInd/>
        <w:spacing w:line="360" w:lineRule="auto"/>
        <w:ind w:firstLine="0"/>
        <w:jc w:val="center"/>
        <w:textAlignment w:val="auto"/>
        <w:rPr>
          <w:rFonts w:ascii="Times New Roman" w:hAnsi="Times New Roman" w:eastAsia="黑体" w:cs="Times New Roman"/>
          <w:b/>
          <w:color w:val="auto"/>
          <w:sz w:val="21"/>
        </w:rPr>
      </w:pPr>
      <w:r>
        <w:rPr>
          <w:rFonts w:ascii="Times New Roman" w:hAnsi="Times New Roman" w:eastAsia="黑体" w:cs="Times New Roman"/>
          <w:b/>
          <w:color w:val="auto"/>
          <w:sz w:val="21"/>
        </w:rPr>
        <w:t>表2.1-</w:t>
      </w:r>
      <w:r>
        <w:rPr>
          <w:rFonts w:hint="eastAsia" w:ascii="Times New Roman" w:hAnsi="Times New Roman" w:eastAsia="黑体" w:cs="Times New Roman"/>
          <w:b/>
          <w:color w:val="auto"/>
          <w:sz w:val="21"/>
          <w:lang w:val="en-US" w:eastAsia="zh-CN"/>
        </w:rPr>
        <w:t>3</w:t>
      </w:r>
      <w:r>
        <w:rPr>
          <w:rFonts w:ascii="Times New Roman" w:hAnsi="Times New Roman" w:eastAsia="黑体" w:cs="Times New Roman"/>
          <w:b/>
          <w:color w:val="auto"/>
          <w:sz w:val="21"/>
        </w:rPr>
        <w:t xml:space="preserve">  现有</w:t>
      </w:r>
      <w:r>
        <w:rPr>
          <w:rFonts w:hint="eastAsia" w:eastAsia="黑体" w:cs="Times New Roman"/>
          <w:b/>
          <w:color w:val="auto"/>
          <w:sz w:val="21"/>
          <w:lang w:val="en-US" w:eastAsia="zh-CN"/>
        </w:rPr>
        <w:t>码头主要环境问题</w:t>
      </w:r>
      <w:r>
        <w:rPr>
          <w:rFonts w:ascii="Times New Roman" w:hAnsi="Times New Roman" w:eastAsia="黑体" w:cs="Times New Roman"/>
          <w:b/>
          <w:color w:val="auto"/>
          <w:sz w:val="21"/>
        </w:rPr>
        <w:t>表</w:t>
      </w:r>
    </w:p>
    <w:tbl>
      <w:tblPr>
        <w:tblStyle w:val="265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146"/>
        <w:gridCol w:w="23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blHeader/>
          <w:jc w:val="center"/>
        </w:trPr>
        <w:tc>
          <w:tcPr>
            <w:tcW w:w="3608" w:type="pct"/>
            <w:tcBorders>
              <w:bottom w:val="single" w:color="auto" w:sz="12" w:space="0"/>
            </w:tcBorders>
            <w:noWrap w:val="0"/>
            <w:vAlign w:val="center"/>
          </w:tcPr>
          <w:p>
            <w:pPr>
              <w:widowControl w:val="0"/>
              <w:adjustRightInd w:val="0"/>
              <w:snapToGrid w:val="0"/>
              <w:spacing w:line="240" w:lineRule="auto"/>
              <w:jc w:val="center"/>
              <w:rPr>
                <w:rFonts w:hint="eastAsia" w:ascii="Times New Roman" w:hAnsi="Times New Roman" w:eastAsia="宋体" w:cs="Times New Roman"/>
                <w:b/>
                <w:bCs w:val="0"/>
                <w:snapToGrid w:val="0"/>
                <w:color w:val="auto"/>
                <w:kern w:val="0"/>
                <w:sz w:val="20"/>
                <w:szCs w:val="20"/>
                <w:lang w:val="en-US" w:eastAsia="zh-CN"/>
              </w:rPr>
            </w:pPr>
            <w:r>
              <w:rPr>
                <w:rFonts w:hint="eastAsia" w:cs="Times New Roman"/>
                <w:b/>
                <w:bCs w:val="0"/>
                <w:snapToGrid w:val="0"/>
                <w:color w:val="auto"/>
                <w:kern w:val="0"/>
                <w:sz w:val="20"/>
                <w:szCs w:val="20"/>
                <w:lang w:val="en-US" w:eastAsia="zh-CN"/>
              </w:rPr>
              <w:t>主要环境问题</w:t>
            </w:r>
          </w:p>
        </w:tc>
        <w:tc>
          <w:tcPr>
            <w:tcW w:w="1391" w:type="pct"/>
            <w:tcBorders>
              <w:bottom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
                <w:bCs w:val="0"/>
                <w:snapToGrid w:val="0"/>
                <w:color w:val="auto"/>
                <w:kern w:val="0"/>
                <w:sz w:val="20"/>
                <w:szCs w:val="20"/>
                <w:lang w:val="en-US" w:eastAsia="zh-CN"/>
              </w:rPr>
            </w:pPr>
            <w:r>
              <w:rPr>
                <w:rFonts w:hint="eastAsia" w:cs="Times New Roman"/>
                <w:b/>
                <w:bCs w:val="0"/>
                <w:snapToGrid w:val="0"/>
                <w:color w:val="auto"/>
                <w:kern w:val="0"/>
                <w:sz w:val="20"/>
                <w:szCs w:val="20"/>
                <w:lang w:val="en-US" w:eastAsia="zh-CN"/>
              </w:rPr>
              <w:t>整改措施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tcBorders>
              <w:top w:val="single" w:color="auto" w:sz="12" w:space="0"/>
            </w:tcBorders>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eastAsia="宋体"/>
                <w:bCs/>
                <w:color w:val="auto"/>
                <w:sz w:val="18"/>
                <w:szCs w:val="18"/>
              </w:rPr>
              <w:t>项目未履行和办理排污许可证、环境风险应急预案和环保验收等环保手续</w:t>
            </w:r>
          </w:p>
        </w:tc>
        <w:tc>
          <w:tcPr>
            <w:tcW w:w="1391" w:type="pct"/>
            <w:vMerge w:val="restart"/>
            <w:tcBorders>
              <w:top w:val="single" w:color="auto" w:sz="12" w:space="0"/>
            </w:tcBorders>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eastAsia="宋体"/>
                <w:bCs/>
                <w:color w:val="auto"/>
                <w:sz w:val="18"/>
                <w:szCs w:val="18"/>
              </w:rPr>
              <w:t>根据现场勘查，现有码头已经停止运营，趸船待拆除，本次改建工程设置新的趸船，同时规范化设置各废气、废水等相关环保措施，并办理相关的环保手续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eastAsia="宋体"/>
                <w:bCs/>
                <w:color w:val="auto"/>
                <w:sz w:val="18"/>
                <w:szCs w:val="18"/>
              </w:rPr>
              <w:t>未设置趸船面初期雨水和冲洗废水收集系统，初期雨水和冲洗水直接排江</w:t>
            </w:r>
          </w:p>
        </w:tc>
        <w:tc>
          <w:tcPr>
            <w:tcW w:w="1391"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eastAsia="宋体"/>
                <w:bCs/>
                <w:color w:val="auto"/>
                <w:sz w:val="18"/>
                <w:szCs w:val="18"/>
              </w:rPr>
              <w:t>起吊机抓斗向料斗卸料过程未设置除（抑）尘措施</w:t>
            </w:r>
          </w:p>
        </w:tc>
        <w:tc>
          <w:tcPr>
            <w:tcW w:w="1391"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钢引桥廊道</w:t>
            </w:r>
            <w:r>
              <w:rPr>
                <w:rFonts w:hint="eastAsia" w:eastAsia="宋体"/>
                <w:bCs/>
                <w:color w:val="auto"/>
                <w:sz w:val="18"/>
                <w:szCs w:val="18"/>
              </w:rPr>
              <w:t>未封闭；</w:t>
            </w:r>
            <w:r>
              <w:rPr>
                <w:rFonts w:hint="eastAsia"/>
                <w:bCs/>
                <w:color w:val="auto"/>
                <w:sz w:val="18"/>
                <w:szCs w:val="18"/>
                <w:lang w:val="en-US" w:eastAsia="zh-CN"/>
              </w:rPr>
              <w:t>转运点未</w:t>
            </w:r>
            <w:r>
              <w:rPr>
                <w:rFonts w:hint="eastAsia" w:eastAsia="宋体"/>
                <w:bCs/>
                <w:color w:val="auto"/>
                <w:sz w:val="18"/>
                <w:szCs w:val="18"/>
              </w:rPr>
              <w:t>封闭，未设置负压系统收集和处置</w:t>
            </w:r>
            <w:r>
              <w:rPr>
                <w:rFonts w:hint="eastAsia"/>
                <w:bCs/>
                <w:color w:val="auto"/>
                <w:sz w:val="18"/>
                <w:szCs w:val="18"/>
                <w:lang w:val="en-US" w:eastAsia="zh-CN"/>
              </w:rPr>
              <w:t>肥料及磷矿</w:t>
            </w:r>
            <w:r>
              <w:rPr>
                <w:rFonts w:hint="eastAsia" w:eastAsia="宋体"/>
                <w:bCs/>
                <w:color w:val="auto"/>
                <w:sz w:val="18"/>
                <w:szCs w:val="18"/>
              </w:rPr>
              <w:t>落料过程产生的粉尘</w:t>
            </w:r>
          </w:p>
        </w:tc>
        <w:tc>
          <w:tcPr>
            <w:tcW w:w="1391"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转运点</w:t>
            </w:r>
            <w:r>
              <w:rPr>
                <w:rFonts w:hint="eastAsia" w:eastAsia="宋体"/>
                <w:bCs/>
                <w:color w:val="auto"/>
                <w:sz w:val="18"/>
                <w:szCs w:val="18"/>
              </w:rPr>
              <w:t>粘附</w:t>
            </w:r>
            <w:r>
              <w:rPr>
                <w:rFonts w:hint="eastAsia"/>
                <w:bCs/>
                <w:color w:val="auto"/>
                <w:sz w:val="18"/>
                <w:szCs w:val="18"/>
                <w:lang w:val="en-US" w:eastAsia="zh-CN"/>
              </w:rPr>
              <w:t>在</w:t>
            </w:r>
            <w:r>
              <w:rPr>
                <w:rFonts w:hint="eastAsia" w:eastAsia="宋体"/>
                <w:bCs/>
                <w:color w:val="auto"/>
                <w:sz w:val="18"/>
                <w:szCs w:val="18"/>
              </w:rPr>
              <w:t>皮带</w:t>
            </w:r>
            <w:r>
              <w:rPr>
                <w:rFonts w:hint="eastAsia"/>
                <w:bCs/>
                <w:color w:val="auto"/>
                <w:sz w:val="18"/>
                <w:szCs w:val="18"/>
                <w:lang w:val="en-US" w:eastAsia="zh-CN"/>
              </w:rPr>
              <w:t>机上的</w:t>
            </w:r>
            <w:r>
              <w:rPr>
                <w:rFonts w:hint="eastAsia" w:eastAsia="宋体"/>
                <w:bCs/>
                <w:color w:val="auto"/>
                <w:sz w:val="18"/>
                <w:szCs w:val="18"/>
              </w:rPr>
              <w:t>物料在皮带抖动等情况下，会直接落入长江，对水环境产生污染影响</w:t>
            </w:r>
          </w:p>
        </w:tc>
        <w:tc>
          <w:tcPr>
            <w:tcW w:w="1391"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3608" w:type="pct"/>
            <w:noWrap w:val="0"/>
            <w:vAlign w:val="center"/>
          </w:tcPr>
          <w:p>
            <w:pPr>
              <w:widowControl w:val="0"/>
              <w:spacing w:line="240" w:lineRule="auto"/>
              <w:jc w:val="center"/>
              <w:rPr>
                <w:rFonts w:ascii="Times New Roman" w:hAnsi="Times New Roman" w:eastAsia="宋体" w:cs="Times New Roman"/>
                <w:bCs/>
                <w:color w:val="auto"/>
                <w:kern w:val="2"/>
                <w:sz w:val="18"/>
                <w:szCs w:val="18"/>
                <w:lang w:val="en-US" w:eastAsia="zh-CN" w:bidi="ar-SA"/>
              </w:rPr>
            </w:pPr>
            <w:r>
              <w:rPr>
                <w:rFonts w:hint="eastAsia" w:eastAsia="宋体"/>
                <w:bCs/>
                <w:color w:val="auto"/>
                <w:sz w:val="18"/>
                <w:szCs w:val="18"/>
              </w:rPr>
              <w:t>码头未设置围油栏、吸油毡等环境风险应急物资</w:t>
            </w:r>
          </w:p>
        </w:tc>
        <w:tc>
          <w:tcPr>
            <w:tcW w:w="1391" w:type="pct"/>
            <w:vMerge w:val="continue"/>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p>
        </w:tc>
      </w:tr>
    </w:tbl>
    <w:p>
      <w:pPr>
        <w:pStyle w:val="8"/>
        <w:widowControl w:val="0"/>
        <w:spacing w:before="120" w:after="120" w:line="360" w:lineRule="auto"/>
        <w:rPr>
          <w:rFonts w:hint="default" w:ascii="Times New Roman" w:hAnsi="Times New Roman" w:eastAsia="黑体"/>
          <w:b w:val="0"/>
          <w:color w:val="auto"/>
          <w:szCs w:val="32"/>
          <w:lang w:val="en-US" w:eastAsia="zh-CN"/>
        </w:rPr>
      </w:pPr>
      <w:bookmarkStart w:id="290" w:name="_Toc23157"/>
      <w:r>
        <w:rPr>
          <w:rFonts w:ascii="Times New Roman" w:hAnsi="Times New Roman"/>
          <w:b w:val="0"/>
          <w:color w:val="auto"/>
          <w:szCs w:val="32"/>
        </w:rPr>
        <w:t>2.2</w:t>
      </w:r>
      <w:bookmarkEnd w:id="285"/>
      <w:r>
        <w:rPr>
          <w:rFonts w:hint="eastAsia" w:ascii="Times New Roman" w:hAnsi="Times New Roman"/>
          <w:b w:val="0"/>
          <w:color w:val="auto"/>
          <w:szCs w:val="32"/>
          <w:lang w:val="en-US" w:eastAsia="zh-CN"/>
        </w:rPr>
        <w:t>改建工程概况</w:t>
      </w:r>
      <w:bookmarkEnd w:id="290"/>
    </w:p>
    <w:p>
      <w:pPr>
        <w:pStyle w:val="9"/>
        <w:widowControl w:val="0"/>
        <w:spacing w:before="120" w:after="120" w:line="360" w:lineRule="auto"/>
        <w:rPr>
          <w:rFonts w:hint="default" w:eastAsia="黑体"/>
          <w:b w:val="0"/>
          <w:color w:val="auto"/>
          <w:sz w:val="24"/>
          <w:lang w:val="en-US" w:eastAsia="zh-CN"/>
        </w:rPr>
      </w:pPr>
      <w:bookmarkStart w:id="291" w:name="_Toc26747"/>
      <w:bookmarkStart w:id="292" w:name="_Toc144654744"/>
      <w:r>
        <w:rPr>
          <w:rFonts w:eastAsia="黑体"/>
          <w:b w:val="0"/>
          <w:color w:val="auto"/>
          <w:sz w:val="24"/>
        </w:rPr>
        <w:t>2.</w:t>
      </w:r>
      <w:r>
        <w:rPr>
          <w:rFonts w:hint="eastAsia" w:eastAsia="黑体"/>
          <w:b w:val="0"/>
          <w:color w:val="auto"/>
          <w:sz w:val="24"/>
          <w:lang w:val="en-US" w:eastAsia="zh-CN"/>
        </w:rPr>
        <w:t>2.1改建工程建设内容</w:t>
      </w:r>
      <w:bookmarkEnd w:id="291"/>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lang w:val="en-US" w:eastAsia="zh-CN"/>
        </w:rPr>
        <w:t>2022年，公司于2022年3月已取得宜都市发展和改革局下发的备案证，备案代码为2303-420581-04-01-363512，建设内容及规模：建设骨料输送廊道1条，设计输送能力为5000吨/时；修缮改造综合物流码头1处，包括2个3000吨级泊位，设计装卸能力为6000吨/时。</w:t>
      </w:r>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本次评价内容仅包括综合物流码头部分（建设2个3000吨级泊位，设计装卸能力为6000吨/时）廊道工程建设内容不包含在本次评价范围内，后期应按照相关要求另行办理环评手续。</w:t>
      </w:r>
      <w:r>
        <w:rPr>
          <w:rFonts w:hint="eastAsia" w:eastAsia="仿宋_GB2312"/>
          <w:b/>
          <w:bCs/>
          <w:color w:val="auto"/>
          <w:lang w:val="en-US" w:eastAsia="zh-CN"/>
        </w:rPr>
        <w:t>项目无陆域建设内容。</w:t>
      </w:r>
    </w:p>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技改项目建设内容组成一览见下表。</w:t>
      </w:r>
    </w:p>
    <w:p>
      <w:pPr>
        <w:pStyle w:val="1025"/>
        <w:widowControl w:val="0"/>
        <w:autoSpaceDE/>
        <w:autoSpaceDN/>
        <w:adjustRightInd/>
        <w:spacing w:line="360" w:lineRule="auto"/>
        <w:ind w:firstLine="0"/>
        <w:jc w:val="center"/>
        <w:textAlignment w:val="auto"/>
        <w:rPr>
          <w:rFonts w:ascii="Times New Roman" w:hAnsi="Times New Roman" w:eastAsia="黑体" w:cs="Times New Roman"/>
          <w:b/>
          <w:color w:val="auto"/>
          <w:sz w:val="21"/>
        </w:rPr>
      </w:pPr>
      <w:r>
        <w:rPr>
          <w:rFonts w:ascii="Times New Roman" w:hAnsi="Times New Roman" w:eastAsia="黑体" w:cs="Times New Roman"/>
          <w:b/>
          <w:color w:val="auto"/>
          <w:sz w:val="21"/>
        </w:rPr>
        <w:t>表2.</w:t>
      </w:r>
      <w:r>
        <w:rPr>
          <w:rFonts w:hint="eastAsia" w:eastAsia="黑体" w:cs="Times New Roman"/>
          <w:b/>
          <w:color w:val="auto"/>
          <w:sz w:val="21"/>
          <w:lang w:val="en-US" w:eastAsia="zh-CN"/>
        </w:rPr>
        <w:t>2</w:t>
      </w:r>
      <w:r>
        <w:rPr>
          <w:rFonts w:ascii="Times New Roman" w:hAnsi="Times New Roman" w:eastAsia="黑体" w:cs="Times New Roman"/>
          <w:b/>
          <w:color w:val="auto"/>
          <w:sz w:val="21"/>
        </w:rPr>
        <w:t>-</w:t>
      </w:r>
      <w:r>
        <w:rPr>
          <w:rFonts w:hint="eastAsia" w:eastAsia="黑体" w:cs="Times New Roman"/>
          <w:b/>
          <w:color w:val="auto"/>
          <w:sz w:val="21"/>
          <w:lang w:val="en-US" w:eastAsia="zh-CN"/>
        </w:rPr>
        <w:t>1</w:t>
      </w:r>
      <w:r>
        <w:rPr>
          <w:rFonts w:ascii="Times New Roman" w:hAnsi="Times New Roman" w:eastAsia="黑体" w:cs="Times New Roman"/>
          <w:b/>
          <w:color w:val="auto"/>
          <w:sz w:val="21"/>
        </w:rPr>
        <w:t xml:space="preserve">  </w:t>
      </w:r>
      <w:r>
        <w:rPr>
          <w:rFonts w:hint="eastAsia" w:ascii="Times New Roman" w:hAnsi="Times New Roman" w:eastAsia="黑体" w:cs="Times New Roman"/>
          <w:b/>
          <w:color w:val="auto"/>
          <w:sz w:val="21"/>
        </w:rPr>
        <w:t>改建工程建设内容组成一览</w:t>
      </w:r>
      <w:r>
        <w:rPr>
          <w:rFonts w:ascii="Times New Roman" w:hAnsi="Times New Roman" w:eastAsia="黑体" w:cs="Times New Roman"/>
          <w:b/>
          <w:color w:val="auto"/>
          <w:sz w:val="21"/>
        </w:rPr>
        <w:t>表</w:t>
      </w:r>
    </w:p>
    <w:tbl>
      <w:tblPr>
        <w:tblStyle w:val="265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8"/>
        <w:gridCol w:w="1019"/>
        <w:gridCol w:w="4973"/>
        <w:gridCol w:w="17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031" w:type="pct"/>
            <w:gridSpan w:val="2"/>
            <w:tcBorders>
              <w:bottom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
                <w:bCs w:val="0"/>
                <w:snapToGrid w:val="0"/>
                <w:color w:val="auto"/>
                <w:kern w:val="0"/>
                <w:sz w:val="20"/>
                <w:szCs w:val="20"/>
                <w:lang w:val="en-US" w:eastAsia="zh-CN"/>
              </w:rPr>
            </w:pPr>
            <w:r>
              <w:rPr>
                <w:rFonts w:hint="eastAsia" w:cs="Times New Roman"/>
                <w:b/>
                <w:bCs w:val="0"/>
                <w:snapToGrid w:val="0"/>
                <w:color w:val="auto"/>
                <w:kern w:val="0"/>
                <w:sz w:val="20"/>
                <w:szCs w:val="20"/>
                <w:lang w:val="en-US" w:eastAsia="zh-CN"/>
              </w:rPr>
              <w:t>项目组成</w:t>
            </w:r>
          </w:p>
        </w:tc>
        <w:tc>
          <w:tcPr>
            <w:tcW w:w="2919" w:type="pct"/>
            <w:tcBorders>
              <w:bottom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
                <w:bCs w:val="0"/>
                <w:snapToGrid w:val="0"/>
                <w:color w:val="auto"/>
                <w:kern w:val="0"/>
                <w:sz w:val="20"/>
                <w:szCs w:val="20"/>
                <w:lang w:val="en-US" w:eastAsia="zh-CN"/>
              </w:rPr>
            </w:pPr>
            <w:r>
              <w:rPr>
                <w:rFonts w:hint="eastAsia" w:cs="Times New Roman"/>
                <w:b/>
                <w:bCs w:val="0"/>
                <w:snapToGrid w:val="0"/>
                <w:color w:val="auto"/>
                <w:kern w:val="0"/>
                <w:sz w:val="20"/>
                <w:szCs w:val="20"/>
                <w:lang w:val="en-US" w:eastAsia="zh-CN"/>
              </w:rPr>
              <w:t>建设内容</w:t>
            </w:r>
          </w:p>
        </w:tc>
        <w:tc>
          <w:tcPr>
            <w:tcW w:w="1048" w:type="pct"/>
            <w:tcBorders>
              <w:bottom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
                <w:bCs w:val="0"/>
                <w:snapToGrid w:val="0"/>
                <w:color w:val="auto"/>
                <w:kern w:val="0"/>
                <w:sz w:val="20"/>
                <w:szCs w:val="20"/>
                <w:lang w:val="en-US" w:eastAsia="zh-CN"/>
              </w:rPr>
            </w:pPr>
            <w:r>
              <w:rPr>
                <w:rFonts w:hint="eastAsia" w:cs="Times New Roman"/>
                <w:b/>
                <w:bCs w:val="0"/>
                <w:snapToGrid w:val="0"/>
                <w:color w:val="auto"/>
                <w:kern w:val="0"/>
                <w:sz w:val="20"/>
                <w:szCs w:val="20"/>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031" w:type="pct"/>
            <w:gridSpan w:val="2"/>
            <w:vMerge w:val="restart"/>
            <w:tcBorders>
              <w:top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码头主体工程</w:t>
            </w:r>
          </w:p>
        </w:tc>
        <w:tc>
          <w:tcPr>
            <w:tcW w:w="2919" w:type="pct"/>
            <w:tcBorders>
              <w:top w:val="single" w:color="auto" w:sz="12" w:space="0"/>
            </w:tcBorders>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eastAsia="宋体"/>
                <w:bCs/>
                <w:snapToGrid w:val="0"/>
                <w:color w:val="auto"/>
                <w:kern w:val="0"/>
                <w:sz w:val="20"/>
                <w:szCs w:val="20"/>
              </w:rPr>
              <w:t>占用</w:t>
            </w:r>
            <w:r>
              <w:rPr>
                <w:rFonts w:hint="eastAsia" w:eastAsia="宋体"/>
                <w:bCs/>
                <w:snapToGrid w:val="0"/>
                <w:color w:val="auto"/>
                <w:kern w:val="0"/>
                <w:sz w:val="20"/>
                <w:szCs w:val="20"/>
              </w:rPr>
              <w:t>长江</w:t>
            </w:r>
            <w:r>
              <w:rPr>
                <w:rFonts w:eastAsia="宋体"/>
                <w:bCs/>
                <w:snapToGrid w:val="0"/>
                <w:color w:val="auto"/>
                <w:kern w:val="0"/>
                <w:sz w:val="20"/>
                <w:szCs w:val="20"/>
              </w:rPr>
              <w:t>岸线</w:t>
            </w:r>
            <w:r>
              <w:rPr>
                <w:rFonts w:hint="eastAsia" w:eastAsia="宋体"/>
                <w:bCs/>
                <w:snapToGrid w:val="0"/>
                <w:color w:val="auto"/>
                <w:kern w:val="0"/>
                <w:sz w:val="20"/>
                <w:szCs w:val="20"/>
                <w:lang w:val="en-US" w:eastAsia="zh-CN"/>
              </w:rPr>
              <w:t>248</w:t>
            </w:r>
            <w:r>
              <w:rPr>
                <w:rFonts w:eastAsia="宋体"/>
                <w:bCs/>
                <w:snapToGrid w:val="0"/>
                <w:color w:val="auto"/>
                <w:kern w:val="0"/>
                <w:sz w:val="20"/>
                <w:szCs w:val="20"/>
              </w:rPr>
              <w:t>m</w:t>
            </w:r>
            <w:r>
              <w:rPr>
                <w:rFonts w:hint="eastAsia" w:eastAsia="宋体"/>
                <w:bCs/>
                <w:snapToGrid w:val="0"/>
                <w:color w:val="auto"/>
                <w:kern w:val="0"/>
                <w:sz w:val="20"/>
                <w:szCs w:val="20"/>
              </w:rPr>
              <w:t>，</w:t>
            </w:r>
            <w:r>
              <w:rPr>
                <w:rFonts w:eastAsia="宋体"/>
                <w:bCs/>
                <w:snapToGrid w:val="0"/>
                <w:color w:val="auto"/>
                <w:kern w:val="0"/>
                <w:sz w:val="20"/>
                <w:szCs w:val="20"/>
              </w:rPr>
              <w:t>年设计吞吐量为</w:t>
            </w:r>
            <w:r>
              <w:rPr>
                <w:rFonts w:hint="eastAsia"/>
                <w:bCs/>
                <w:snapToGrid w:val="0"/>
                <w:color w:val="auto"/>
                <w:kern w:val="0"/>
                <w:sz w:val="20"/>
                <w:szCs w:val="20"/>
                <w:lang w:val="en-US" w:eastAsia="zh-CN"/>
              </w:rPr>
              <w:t>40</w:t>
            </w:r>
            <w:r>
              <w:rPr>
                <w:rFonts w:hint="eastAsia" w:eastAsia="宋体"/>
                <w:bCs/>
                <w:snapToGrid w:val="0"/>
                <w:color w:val="auto"/>
                <w:kern w:val="0"/>
                <w:sz w:val="20"/>
                <w:szCs w:val="20"/>
              </w:rPr>
              <w:t>0</w:t>
            </w:r>
            <w:r>
              <w:rPr>
                <w:rFonts w:eastAsia="宋体"/>
                <w:bCs/>
                <w:snapToGrid w:val="0"/>
                <w:color w:val="auto"/>
                <w:kern w:val="0"/>
                <w:sz w:val="20"/>
                <w:szCs w:val="20"/>
              </w:rPr>
              <w:t>万吨/年</w:t>
            </w:r>
          </w:p>
        </w:tc>
        <w:tc>
          <w:tcPr>
            <w:tcW w:w="1048" w:type="pct"/>
            <w:tcBorders>
              <w:top w:val="single" w:color="auto" w:sz="12" w:space="0"/>
            </w:tcBorders>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利用现有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031" w:type="pct"/>
            <w:gridSpan w:val="2"/>
            <w:vMerge w:val="continue"/>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p>
        </w:tc>
        <w:tc>
          <w:tcPr>
            <w:tcW w:w="2919"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hint="eastAsia" w:cs="Times New Roman"/>
                <w:bCs/>
                <w:snapToGrid w:val="0"/>
                <w:color w:val="auto"/>
                <w:kern w:val="0"/>
                <w:sz w:val="20"/>
                <w:szCs w:val="20"/>
                <w:lang w:val="en-US" w:eastAsia="zh-CN"/>
              </w:rPr>
              <w:t>技改设置</w:t>
            </w:r>
            <w:r>
              <w:rPr>
                <w:rFonts w:hint="eastAsia" w:ascii="Times New Roman" w:hAnsi="Times New Roman" w:eastAsia="宋体" w:cs="Times New Roman"/>
                <w:bCs/>
                <w:snapToGrid w:val="0"/>
                <w:color w:val="auto"/>
                <w:kern w:val="0"/>
                <w:sz w:val="20"/>
                <w:szCs w:val="20"/>
              </w:rPr>
              <w:t>停靠3000t级货船的散货泊位</w:t>
            </w:r>
            <w:r>
              <w:rPr>
                <w:rFonts w:hint="eastAsia" w:cs="Times New Roman"/>
                <w:bCs/>
                <w:snapToGrid w:val="0"/>
                <w:color w:val="auto"/>
                <w:kern w:val="0"/>
                <w:sz w:val="20"/>
                <w:szCs w:val="20"/>
                <w:lang w:val="en-US" w:eastAsia="zh-CN"/>
              </w:rPr>
              <w:t>2</w:t>
            </w:r>
            <w:r>
              <w:rPr>
                <w:rFonts w:hint="eastAsia" w:ascii="Times New Roman" w:hAnsi="Times New Roman" w:eastAsia="宋体" w:cs="Times New Roman"/>
                <w:bCs/>
                <w:snapToGrid w:val="0"/>
                <w:color w:val="auto"/>
                <w:kern w:val="0"/>
                <w:sz w:val="20"/>
                <w:szCs w:val="20"/>
              </w:rPr>
              <w:t>个，采用浮码头结构形式</w:t>
            </w:r>
          </w:p>
        </w:tc>
        <w:tc>
          <w:tcPr>
            <w:tcW w:w="1048" w:type="pct"/>
            <w:noWrap w:val="0"/>
            <w:vAlign w:val="center"/>
          </w:tcPr>
          <w:p>
            <w:pPr>
              <w:widowControl w:val="0"/>
              <w:adjustRightInd w:val="0"/>
              <w:snapToGrid w:val="0"/>
              <w:spacing w:line="240" w:lineRule="auto"/>
              <w:jc w:val="center"/>
              <w:rPr>
                <w:rFonts w:ascii="Times New Roman" w:hAnsi="Times New Roman" w:eastAsia="宋体" w:cs="Times New Roman"/>
                <w:bCs/>
                <w:snapToGrid w:val="0"/>
                <w:color w:val="auto"/>
                <w:kern w:val="0"/>
                <w:sz w:val="20"/>
                <w:szCs w:val="20"/>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1031" w:type="pct"/>
            <w:gridSpan w:val="2"/>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两个泊位各设置</w:t>
            </w:r>
            <w:r>
              <w:rPr>
                <w:rFonts w:hint="eastAsia" w:ascii="Times New Roman" w:hAnsi="Times New Roman" w:eastAsia="宋体" w:cs="Times New Roman"/>
                <w:bCs/>
                <w:snapToGrid w:val="0"/>
                <w:color w:val="auto"/>
                <w:kern w:val="0"/>
                <w:sz w:val="20"/>
                <w:szCs w:val="20"/>
                <w:lang w:eastAsia="zh-CN"/>
              </w:rPr>
              <w:t>1艘</w:t>
            </w:r>
            <w:r>
              <w:rPr>
                <w:rFonts w:hint="eastAsia" w:cs="Times New Roman"/>
                <w:bCs/>
                <w:snapToGrid w:val="0"/>
                <w:color w:val="auto"/>
                <w:kern w:val="0"/>
                <w:sz w:val="20"/>
                <w:szCs w:val="20"/>
                <w:lang w:val="en-US" w:eastAsia="zh-CN"/>
              </w:rPr>
              <w:t>85</w:t>
            </w:r>
            <w:r>
              <w:rPr>
                <w:rFonts w:hint="eastAsia" w:ascii="Times New Roman" w:hAnsi="Times New Roman" w:eastAsia="宋体" w:cs="Times New Roman"/>
                <w:bCs/>
                <w:snapToGrid w:val="0"/>
                <w:color w:val="auto"/>
                <w:kern w:val="0"/>
                <w:sz w:val="20"/>
                <w:szCs w:val="20"/>
                <w:lang w:eastAsia="zh-CN"/>
              </w:rPr>
              <w:t>×</w:t>
            </w:r>
            <w:r>
              <w:rPr>
                <w:rFonts w:hint="eastAsia" w:cs="Times New Roman"/>
                <w:bCs/>
                <w:snapToGrid w:val="0"/>
                <w:color w:val="auto"/>
                <w:kern w:val="0"/>
                <w:sz w:val="20"/>
                <w:szCs w:val="20"/>
                <w:lang w:val="en-US" w:eastAsia="zh-CN"/>
              </w:rPr>
              <w:t>18</w:t>
            </w:r>
            <w:r>
              <w:rPr>
                <w:rFonts w:hint="eastAsia" w:ascii="Times New Roman" w:hAnsi="Times New Roman" w:eastAsia="宋体" w:cs="Times New Roman"/>
                <w:bCs/>
                <w:snapToGrid w:val="0"/>
                <w:color w:val="auto"/>
                <w:kern w:val="0"/>
                <w:sz w:val="20"/>
                <w:szCs w:val="20"/>
                <w:lang w:eastAsia="zh-CN"/>
              </w:rPr>
              <w:t>m钢质趸船，</w:t>
            </w:r>
            <w:r>
              <w:rPr>
                <w:rFonts w:hint="eastAsia" w:cs="Times New Roman"/>
                <w:bCs/>
                <w:snapToGrid w:val="0"/>
                <w:color w:val="auto"/>
                <w:kern w:val="0"/>
                <w:sz w:val="20"/>
                <w:szCs w:val="20"/>
                <w:lang w:val="en-US" w:eastAsia="zh-CN"/>
              </w:rPr>
              <w:t>后方堆场散货经新建350</w:t>
            </w:r>
            <w:r>
              <w:rPr>
                <w:rFonts w:hint="eastAsia" w:ascii="Times New Roman" w:hAnsi="Times New Roman" w:eastAsia="宋体" w:cs="Times New Roman"/>
                <w:bCs/>
                <w:snapToGrid w:val="0"/>
                <w:color w:val="auto"/>
                <w:kern w:val="0"/>
                <w:sz w:val="20"/>
                <w:szCs w:val="20"/>
                <w:lang w:eastAsia="zh-CN"/>
              </w:rPr>
              <w:t>m钢引桥</w:t>
            </w:r>
            <w:r>
              <w:rPr>
                <w:rFonts w:hint="eastAsia" w:cs="Times New Roman"/>
                <w:bCs/>
                <w:snapToGrid w:val="0"/>
                <w:color w:val="auto"/>
                <w:kern w:val="0"/>
                <w:sz w:val="20"/>
                <w:szCs w:val="20"/>
                <w:lang w:val="en-US" w:eastAsia="zh-CN"/>
              </w:rPr>
              <w:t>廊道输送至2#转运楼</w:t>
            </w:r>
            <w:r>
              <w:rPr>
                <w:rFonts w:hint="eastAsia" w:ascii="Times New Roman" w:hAnsi="Times New Roman" w:eastAsia="宋体" w:cs="Times New Roman"/>
                <w:bCs/>
                <w:snapToGrid w:val="0"/>
                <w:color w:val="auto"/>
                <w:kern w:val="0"/>
                <w:sz w:val="20"/>
                <w:szCs w:val="20"/>
                <w:lang w:eastAsia="zh-CN"/>
              </w:rPr>
              <w:t>，2#转运楼</w:t>
            </w:r>
            <w:r>
              <w:rPr>
                <w:rFonts w:hint="eastAsia" w:cs="Times New Roman"/>
                <w:bCs/>
                <w:snapToGrid w:val="0"/>
                <w:color w:val="auto"/>
                <w:kern w:val="0"/>
                <w:sz w:val="20"/>
                <w:szCs w:val="20"/>
                <w:lang w:val="en-US" w:eastAsia="zh-CN"/>
              </w:rPr>
              <w:t>分别经过</w:t>
            </w:r>
            <w:r>
              <w:rPr>
                <w:rFonts w:hint="eastAsia" w:ascii="Times New Roman" w:hAnsi="Times New Roman" w:eastAsia="宋体" w:cs="Times New Roman"/>
                <w:bCs/>
                <w:snapToGrid w:val="0"/>
                <w:color w:val="auto"/>
                <w:kern w:val="0"/>
                <w:sz w:val="20"/>
                <w:szCs w:val="20"/>
                <w:lang w:eastAsia="zh-CN"/>
              </w:rPr>
              <w:t>带式输送机</w:t>
            </w:r>
            <w:r>
              <w:rPr>
                <w:rFonts w:hint="eastAsia" w:cs="Times New Roman"/>
                <w:bCs/>
                <w:snapToGrid w:val="0"/>
                <w:color w:val="auto"/>
                <w:kern w:val="0"/>
                <w:sz w:val="20"/>
                <w:szCs w:val="20"/>
                <w:lang w:eastAsia="zh-CN"/>
              </w:rPr>
              <w:t>、</w:t>
            </w:r>
            <w:r>
              <w:rPr>
                <w:rFonts w:hint="eastAsia" w:cs="Times New Roman"/>
                <w:bCs/>
                <w:snapToGrid w:val="0"/>
                <w:color w:val="auto"/>
                <w:kern w:val="0"/>
                <w:sz w:val="20"/>
                <w:szCs w:val="20"/>
                <w:lang w:val="en-US" w:eastAsia="zh-CN"/>
              </w:rPr>
              <w:t>1#转运楼、1#趸船转运平台、2#趸船转运平台</w:t>
            </w:r>
            <w:r>
              <w:rPr>
                <w:rFonts w:hint="eastAsia" w:ascii="Times New Roman" w:hAnsi="Times New Roman" w:eastAsia="宋体" w:cs="Times New Roman"/>
                <w:bCs/>
                <w:snapToGrid w:val="0"/>
                <w:color w:val="auto"/>
                <w:kern w:val="0"/>
                <w:sz w:val="20"/>
                <w:szCs w:val="20"/>
                <w:lang w:eastAsia="zh-CN"/>
              </w:rPr>
              <w:t>将物料分别输送至</w:t>
            </w:r>
            <w:r>
              <w:rPr>
                <w:rFonts w:hint="eastAsia" w:cs="Times New Roman"/>
                <w:bCs/>
                <w:snapToGrid w:val="0"/>
                <w:color w:val="auto"/>
                <w:kern w:val="0"/>
                <w:sz w:val="20"/>
                <w:szCs w:val="20"/>
                <w:lang w:val="en-US" w:eastAsia="zh-CN"/>
              </w:rPr>
              <w:t>弧形轨道</w:t>
            </w:r>
            <w:r>
              <w:rPr>
                <w:rFonts w:hint="eastAsia" w:ascii="Times New Roman" w:hAnsi="Times New Roman" w:eastAsia="宋体" w:cs="Times New Roman"/>
                <w:bCs/>
                <w:snapToGrid w:val="0"/>
                <w:color w:val="auto"/>
                <w:kern w:val="0"/>
                <w:sz w:val="20"/>
                <w:szCs w:val="20"/>
                <w:lang w:eastAsia="zh-CN"/>
              </w:rPr>
              <w:t>装船机</w:t>
            </w:r>
            <w:r>
              <w:rPr>
                <w:rFonts w:hint="eastAsia" w:cs="Times New Roman"/>
                <w:bCs/>
                <w:snapToGrid w:val="0"/>
                <w:color w:val="auto"/>
                <w:kern w:val="0"/>
                <w:sz w:val="20"/>
                <w:szCs w:val="20"/>
                <w:lang w:val="en-US" w:eastAsia="zh-CN"/>
              </w:rPr>
              <w:t>进行装船作业</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新建。后方堆场至2#转运楼已委托其余单位进行评价，本次仅对2#转运楼至装船作业进行评价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color w:val="auto"/>
                <w:kern w:val="2"/>
                <w:sz w:val="20"/>
                <w:szCs w:val="20"/>
                <w:lang w:val="en-US" w:eastAsia="zh-CN" w:bidi="ar-SA"/>
              </w:rPr>
            </w:pPr>
            <w:r>
              <w:rPr>
                <w:rFonts w:hint="eastAsia" w:cs="Times New Roman"/>
                <w:bCs/>
                <w:color w:val="auto"/>
                <w:kern w:val="2"/>
                <w:sz w:val="20"/>
                <w:szCs w:val="20"/>
                <w:lang w:val="en-US" w:eastAsia="zh-CN" w:bidi="ar-SA"/>
              </w:rPr>
              <w:t>公辅工程</w:t>
            </w: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桩基系统</w:t>
            </w: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桩基采用钻孔灌注桩，上部为现浇钢筋混凝土墩台</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供电系统</w:t>
            </w: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工程设置1</w:t>
            </w:r>
            <w:r>
              <w:rPr>
                <w:rFonts w:hint="eastAsia" w:ascii="Times New Roman" w:hAnsi="Times New Roman" w:eastAsia="宋体" w:cs="Times New Roman"/>
                <w:bCs/>
                <w:snapToGrid w:val="0"/>
                <w:color w:val="auto"/>
                <w:kern w:val="0"/>
                <w:sz w:val="20"/>
                <w:szCs w:val="20"/>
                <w:lang w:eastAsia="zh-CN"/>
              </w:rPr>
              <w:t>座变电所，10kV</w:t>
            </w:r>
            <w:r>
              <w:rPr>
                <w:rFonts w:hint="eastAsia" w:cs="Times New Roman"/>
                <w:bCs/>
                <w:snapToGrid w:val="0"/>
                <w:color w:val="auto"/>
                <w:kern w:val="0"/>
                <w:sz w:val="20"/>
                <w:szCs w:val="20"/>
                <w:lang w:eastAsia="zh-CN"/>
              </w:rPr>
              <w:t>，</w:t>
            </w:r>
            <w:r>
              <w:rPr>
                <w:rFonts w:hint="eastAsia" w:ascii="Times New Roman" w:hAnsi="Times New Roman" w:eastAsia="宋体" w:cs="Times New Roman"/>
                <w:bCs/>
                <w:snapToGrid w:val="0"/>
                <w:color w:val="auto"/>
                <w:kern w:val="0"/>
                <w:sz w:val="20"/>
                <w:szCs w:val="20"/>
                <w:lang w:eastAsia="zh-CN"/>
              </w:rPr>
              <w:t>电源进线采用单回路电缆进线</w:t>
            </w:r>
            <w:r>
              <w:rPr>
                <w:rFonts w:hint="eastAsia" w:cs="Times New Roman"/>
                <w:bCs/>
                <w:snapToGrid w:val="0"/>
                <w:color w:val="auto"/>
                <w:kern w:val="0"/>
                <w:sz w:val="20"/>
                <w:szCs w:val="20"/>
                <w:lang w:val="en-US" w:eastAsia="zh-CN"/>
              </w:rPr>
              <w:t>供配电，岸电电源系统接地方式采用IT系统，经隔离变压器为趸船上岸电箱供电</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照明系统</w:t>
            </w:r>
          </w:p>
        </w:tc>
        <w:tc>
          <w:tcPr>
            <w:tcW w:w="2919" w:type="pct"/>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工程转运楼、钢引桥等构筑物内采用三防吸顶或壁式工厂灯照明，趸船码头面采用泛光灯照明，并利用装船机灯具局部加强照明</w:t>
            </w:r>
          </w:p>
        </w:tc>
        <w:tc>
          <w:tcPr>
            <w:tcW w:w="1048" w:type="pct"/>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通信系统</w:t>
            </w: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港区内生产调度人员之间以及调度人员与移动机械操作人员之间的通信联系采用UHF无线对讲机</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消防系统</w:t>
            </w: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港区最高建筑屋顶设一座18m</w:t>
            </w:r>
            <w:r>
              <w:rPr>
                <w:rFonts w:hint="eastAsia" w:ascii="Times New Roman" w:hAnsi="Times New Roman" w:eastAsia="宋体" w:cs="Times New Roman"/>
                <w:bCs/>
                <w:snapToGrid w:val="0"/>
                <w:color w:val="auto"/>
                <w:kern w:val="0"/>
                <w:sz w:val="20"/>
                <w:szCs w:val="20"/>
                <w:vertAlign w:val="superscript"/>
                <w:lang w:eastAsia="zh-CN"/>
              </w:rPr>
              <w:t>3</w:t>
            </w:r>
            <w:r>
              <w:rPr>
                <w:rFonts w:hint="eastAsia" w:ascii="Times New Roman" w:hAnsi="Times New Roman" w:eastAsia="宋体" w:cs="Times New Roman"/>
                <w:bCs/>
                <w:snapToGrid w:val="0"/>
                <w:color w:val="auto"/>
                <w:kern w:val="0"/>
                <w:sz w:val="20"/>
                <w:szCs w:val="20"/>
                <w:lang w:eastAsia="zh-CN"/>
              </w:rPr>
              <w:t>消防水箱，提供火灾初期消防用水</w:t>
            </w:r>
            <w:r>
              <w:rPr>
                <w:rFonts w:hint="eastAsia" w:cs="Times New Roman"/>
                <w:bCs/>
                <w:snapToGrid w:val="0"/>
                <w:color w:val="auto"/>
                <w:kern w:val="0"/>
                <w:sz w:val="20"/>
                <w:szCs w:val="20"/>
                <w:lang w:eastAsia="zh-CN"/>
              </w:rPr>
              <w:t>；后方堆存区即“美洋化肥生产基地”新建一座消防水池和一座消防泵房，消防水池有效容积108m</w:t>
            </w:r>
            <w:r>
              <w:rPr>
                <w:rFonts w:hint="eastAsia" w:cs="Times New Roman"/>
                <w:bCs/>
                <w:snapToGrid w:val="0"/>
                <w:color w:val="auto"/>
                <w:kern w:val="0"/>
                <w:sz w:val="20"/>
                <w:szCs w:val="20"/>
                <w:vertAlign w:val="superscript"/>
                <w:lang w:eastAsia="zh-CN"/>
              </w:rPr>
              <w:t>3</w:t>
            </w:r>
            <w:r>
              <w:rPr>
                <w:rFonts w:hint="eastAsia" w:cs="Times New Roman"/>
                <w:bCs/>
                <w:snapToGrid w:val="0"/>
                <w:color w:val="auto"/>
                <w:kern w:val="0"/>
                <w:sz w:val="20"/>
                <w:szCs w:val="20"/>
                <w:lang w:eastAsia="zh-CN"/>
              </w:rPr>
              <w:t>，消防泵共2台，按一用一备运行</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hint="default"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给水</w:t>
            </w: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生活用水由市政自来水管网提供</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排水</w:t>
            </w:r>
          </w:p>
        </w:tc>
        <w:tc>
          <w:tcPr>
            <w:tcW w:w="2919" w:type="pct"/>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eastAsia="zh-CN"/>
              </w:rPr>
              <w:t>采用雨污分流制。码头面初期雨水、冲洗水</w:t>
            </w:r>
            <w:r>
              <w:rPr>
                <w:rFonts w:hint="eastAsia" w:cs="Times New Roman"/>
                <w:bCs/>
                <w:snapToGrid w:val="0"/>
                <w:color w:val="auto"/>
                <w:kern w:val="0"/>
                <w:sz w:val="20"/>
                <w:szCs w:val="20"/>
                <w:lang w:val="en-US" w:eastAsia="zh-CN"/>
              </w:rPr>
              <w:t>通过趸船收集坎收集后经各自趸船下方初期雨水收集柜储存，委托海事部门认定的船舶污染物接收船定期统一处理；</w:t>
            </w:r>
          </w:p>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码头工作人员生活污水经各自趸船下方生活污水储存柜储存，委托海事部门认定的船舶污染物接收船定期统一处理</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val="en-US" w:eastAsia="zh-CN"/>
              </w:rPr>
              <w:t>新建趸船</w:t>
            </w:r>
            <w:r>
              <w:rPr>
                <w:rFonts w:hint="eastAsia" w:cs="Times New Roman"/>
                <w:bCs/>
                <w:snapToGrid w:val="0"/>
                <w:color w:val="auto"/>
                <w:kern w:val="0"/>
                <w:sz w:val="20"/>
                <w:szCs w:val="20"/>
                <w:lang w:val="en-US" w:eastAsia="zh-CN"/>
              </w:rPr>
              <w:t>及相关</w:t>
            </w:r>
            <w:r>
              <w:rPr>
                <w:rFonts w:hint="eastAsia" w:ascii="Times New Roman" w:hAnsi="Times New Roman" w:eastAsia="宋体" w:cs="Times New Roman"/>
                <w:bCs/>
                <w:snapToGrid w:val="0"/>
                <w:color w:val="auto"/>
                <w:kern w:val="0"/>
                <w:sz w:val="20"/>
                <w:szCs w:val="20"/>
                <w:lang w:val="en-US" w:eastAsia="zh-CN"/>
              </w:rPr>
              <w:t>配套设施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color w:val="auto"/>
                <w:kern w:val="2"/>
                <w:sz w:val="20"/>
                <w:szCs w:val="20"/>
                <w:lang w:val="en-US" w:eastAsia="zh-CN" w:bidi="ar-SA"/>
              </w:rPr>
            </w:pPr>
            <w:r>
              <w:rPr>
                <w:rFonts w:hint="eastAsia" w:cs="Times New Roman"/>
                <w:bCs/>
                <w:color w:val="auto"/>
                <w:kern w:val="2"/>
                <w:sz w:val="20"/>
                <w:szCs w:val="20"/>
                <w:lang w:val="en-US" w:eastAsia="zh-CN" w:bidi="ar-SA"/>
              </w:rPr>
              <w:t>环保工程</w:t>
            </w:r>
          </w:p>
        </w:tc>
        <w:tc>
          <w:tcPr>
            <w:tcW w:w="598"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废气</w:t>
            </w: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装船过程产生的粉尘采用脉冲布袋除尘器处理后无组织排放</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hint="eastAsia" w:cs="Times New Roman"/>
                <w:bCs/>
                <w:color w:val="auto"/>
                <w:kern w:val="2"/>
                <w:sz w:val="20"/>
                <w:szCs w:val="20"/>
                <w:lang w:val="en-US" w:eastAsia="zh-CN" w:bidi="ar-SA"/>
              </w:rPr>
            </w:pPr>
          </w:p>
        </w:tc>
        <w:tc>
          <w:tcPr>
            <w:tcW w:w="598" w:type="pct"/>
            <w:vMerge w:val="continue"/>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p>
        </w:tc>
        <w:tc>
          <w:tcPr>
            <w:tcW w:w="2919" w:type="pct"/>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钢引桥廊道采用密闭廊道，转运点产生的粉尘采用脉冲布袋除尘器处理后无组织排放</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废水</w:t>
            </w: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ascii="Times New Roman" w:hAnsi="Times New Roman" w:eastAsia="宋体" w:cs="Times New Roman"/>
                <w:bCs/>
                <w:snapToGrid w:val="0"/>
                <w:color w:val="auto"/>
                <w:kern w:val="0"/>
                <w:sz w:val="20"/>
                <w:szCs w:val="20"/>
                <w:lang w:eastAsia="zh-CN"/>
              </w:rPr>
              <w:t>码头面初期雨水、冲洗水</w:t>
            </w:r>
            <w:r>
              <w:rPr>
                <w:rFonts w:hint="eastAsia" w:cs="Times New Roman"/>
                <w:bCs/>
                <w:snapToGrid w:val="0"/>
                <w:color w:val="auto"/>
                <w:kern w:val="0"/>
                <w:sz w:val="20"/>
                <w:szCs w:val="20"/>
                <w:lang w:val="en-US" w:eastAsia="zh-CN"/>
              </w:rPr>
              <w:t>通过趸船收集坎收集后经各自趸船下方初期雨水收集柜储存，委托海事部门认定的船舶污染物接收船定期统一处理</w:t>
            </w:r>
          </w:p>
        </w:tc>
        <w:tc>
          <w:tcPr>
            <w:tcW w:w="1048"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continue"/>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码头工作人员生活污水经各自趸船下方生活污水储存柜储存，委托海事部门认定的船舶污染物接收船定期统一处理</w:t>
            </w:r>
          </w:p>
        </w:tc>
        <w:tc>
          <w:tcPr>
            <w:tcW w:w="1048" w:type="pct"/>
            <w:vMerge w:val="continue"/>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continue"/>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到港船舶生活污水及油污水直接</w:t>
            </w:r>
            <w:r>
              <w:rPr>
                <w:rFonts w:hint="eastAsia" w:ascii="Times New Roman" w:hAnsi="Times New Roman" w:eastAsia="宋体" w:cs="Times New Roman"/>
                <w:bCs/>
                <w:snapToGrid w:val="0"/>
                <w:color w:val="auto"/>
                <w:kern w:val="0"/>
                <w:sz w:val="20"/>
                <w:szCs w:val="20"/>
                <w:lang w:eastAsia="zh-CN"/>
              </w:rPr>
              <w:t>交由海事部门认可的单位接收处理</w:t>
            </w:r>
            <w:r>
              <w:rPr>
                <w:rFonts w:hint="eastAsia"/>
                <w:color w:val="auto"/>
                <w:sz w:val="20"/>
                <w:szCs w:val="20"/>
                <w:lang w:eastAsia="zh-CN"/>
              </w:rPr>
              <w:t>，</w:t>
            </w:r>
            <w:r>
              <w:rPr>
                <w:rFonts w:hint="eastAsia"/>
                <w:color w:val="auto"/>
                <w:sz w:val="20"/>
                <w:szCs w:val="20"/>
                <w:lang w:val="en-US" w:eastAsia="zh-CN"/>
              </w:rPr>
              <w:t>本项目不接收</w:t>
            </w:r>
          </w:p>
        </w:tc>
        <w:tc>
          <w:tcPr>
            <w:tcW w:w="1048" w:type="pct"/>
            <w:vMerge w:val="continue"/>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噪声</w:t>
            </w: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船舶按规定鸣笛，禁止进出港船舶随意鸣笛；进出车辆按要求鸣笛，禁止随意鸣笛</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restar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固体废物</w:t>
            </w: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码头工作人员生活垃圾收集后交由环卫部门清运处理</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continue"/>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p>
        </w:tc>
        <w:tc>
          <w:tcPr>
            <w:tcW w:w="2919"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ascii="Times New Roman" w:hAnsi="Times New Roman" w:eastAsia="宋体" w:cs="Times New Roman"/>
                <w:bCs/>
                <w:snapToGrid w:val="0"/>
                <w:color w:val="auto"/>
                <w:kern w:val="0"/>
                <w:sz w:val="20"/>
                <w:szCs w:val="20"/>
                <w:lang w:eastAsia="zh-CN"/>
              </w:rPr>
              <w:t>到港船舶生活垃圾经趸船收集设施收集后交由海事部门认可的单位接收处理</w:t>
            </w:r>
          </w:p>
        </w:tc>
        <w:tc>
          <w:tcPr>
            <w:tcW w:w="1048" w:type="pct"/>
            <w:noWrap w:val="0"/>
            <w:vAlign w:val="center"/>
          </w:tcPr>
          <w:p>
            <w:pPr>
              <w:widowControl w:val="0"/>
              <w:adjustRightInd w:val="0"/>
              <w:snapToGrid w:val="0"/>
              <w:spacing w:line="240" w:lineRule="auto"/>
              <w:jc w:val="center"/>
              <w:rPr>
                <w:rFonts w:hint="eastAsia" w:ascii="Times New Roman" w:hAnsi="Times New Roman" w:eastAsia="宋体" w:cs="Times New Roman"/>
                <w:bCs/>
                <w:snapToGrid w:val="0"/>
                <w:color w:val="auto"/>
                <w:kern w:val="0"/>
                <w:sz w:val="20"/>
                <w:szCs w:val="20"/>
                <w:lang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vMerge w:val="continue"/>
            <w:noWrap w:val="0"/>
            <w:vAlign w:val="center"/>
          </w:tcPr>
          <w:p>
            <w:pPr>
              <w:widowControl w:val="0"/>
              <w:adjustRightInd w:val="0"/>
              <w:snapToGrid w:val="0"/>
              <w:spacing w:line="240" w:lineRule="auto"/>
              <w:jc w:val="center"/>
              <w:rPr>
                <w:rFonts w:ascii="Times New Roman" w:hAnsi="Times New Roman" w:eastAsia="宋体" w:cs="Times New Roman"/>
                <w:bCs/>
                <w:color w:val="auto"/>
                <w:kern w:val="2"/>
                <w:sz w:val="20"/>
                <w:szCs w:val="20"/>
                <w:lang w:val="en-US" w:eastAsia="zh-CN" w:bidi="ar-SA"/>
              </w:rPr>
            </w:pPr>
          </w:p>
        </w:tc>
        <w:tc>
          <w:tcPr>
            <w:tcW w:w="598" w:type="pct"/>
            <w:vMerge w:val="continue"/>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default" w:ascii="Times New Roman" w:hAnsi="Times New Roman" w:eastAsia="宋体" w:cs="Times New Roman"/>
                <w:bCs/>
                <w:snapToGrid w:val="0"/>
                <w:color w:val="auto"/>
                <w:kern w:val="0"/>
                <w:sz w:val="20"/>
                <w:szCs w:val="20"/>
                <w:lang w:val="en-US" w:eastAsia="zh-CN"/>
              </w:rPr>
              <w:t>设备维护过程产生的废润滑</w:t>
            </w:r>
            <w:r>
              <w:rPr>
                <w:rFonts w:hint="eastAsia" w:cs="Times New Roman"/>
                <w:bCs/>
                <w:snapToGrid w:val="0"/>
                <w:color w:val="auto"/>
                <w:kern w:val="0"/>
                <w:sz w:val="20"/>
                <w:szCs w:val="20"/>
                <w:lang w:val="en-US" w:eastAsia="zh-CN"/>
              </w:rPr>
              <w:t>暂存于趸船上设置的</w:t>
            </w:r>
            <w:r>
              <w:rPr>
                <w:rFonts w:hint="default" w:ascii="Times New Roman" w:hAnsi="Times New Roman" w:eastAsia="宋体" w:cs="Times New Roman"/>
                <w:bCs/>
                <w:snapToGrid w:val="0"/>
                <w:color w:val="auto"/>
                <w:kern w:val="0"/>
                <w:sz w:val="20"/>
                <w:szCs w:val="20"/>
                <w:lang w:val="en-US" w:eastAsia="zh-CN"/>
              </w:rPr>
              <w:t>20m</w:t>
            </w:r>
            <w:r>
              <w:rPr>
                <w:rFonts w:hint="default" w:ascii="Times New Roman" w:hAnsi="Times New Roman" w:eastAsia="宋体" w:cs="Times New Roman"/>
                <w:bCs/>
                <w:snapToGrid w:val="0"/>
                <w:color w:val="auto"/>
                <w:kern w:val="0"/>
                <w:sz w:val="20"/>
                <w:szCs w:val="20"/>
                <w:vertAlign w:val="superscript"/>
                <w:lang w:val="en-US" w:eastAsia="zh-CN"/>
              </w:rPr>
              <w:t>2</w:t>
            </w:r>
            <w:r>
              <w:rPr>
                <w:rFonts w:hint="default" w:ascii="Times New Roman" w:hAnsi="Times New Roman" w:eastAsia="宋体" w:cs="Times New Roman"/>
                <w:bCs/>
                <w:snapToGrid w:val="0"/>
                <w:color w:val="auto"/>
                <w:kern w:val="0"/>
                <w:sz w:val="20"/>
                <w:szCs w:val="20"/>
                <w:lang w:val="en-US" w:eastAsia="zh-CN"/>
              </w:rPr>
              <w:t>危废暂存间暂存后，交由有资质单位处置</w:t>
            </w:r>
          </w:p>
        </w:tc>
        <w:tc>
          <w:tcPr>
            <w:tcW w:w="104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433" w:type="pct"/>
            <w:noWrap w:val="0"/>
            <w:vAlign w:val="center"/>
          </w:tcPr>
          <w:p>
            <w:pPr>
              <w:widowControl w:val="0"/>
              <w:adjustRightInd w:val="0"/>
              <w:snapToGrid w:val="0"/>
              <w:spacing w:line="240" w:lineRule="auto"/>
              <w:jc w:val="center"/>
              <w:rPr>
                <w:rFonts w:hint="default" w:ascii="Times New Roman" w:hAnsi="Times New Roman" w:eastAsia="宋体" w:cs="Times New Roman"/>
                <w:bCs/>
                <w:color w:val="auto"/>
                <w:kern w:val="2"/>
                <w:sz w:val="20"/>
                <w:szCs w:val="20"/>
                <w:lang w:val="en-US" w:eastAsia="zh-CN" w:bidi="ar-SA"/>
              </w:rPr>
            </w:pPr>
            <w:r>
              <w:rPr>
                <w:rFonts w:hint="eastAsia" w:cs="Times New Roman"/>
                <w:bCs/>
                <w:color w:val="auto"/>
                <w:kern w:val="2"/>
                <w:sz w:val="20"/>
                <w:szCs w:val="20"/>
                <w:lang w:val="en-US" w:eastAsia="zh-CN" w:bidi="ar-SA"/>
              </w:rPr>
              <w:t>依托工程</w:t>
            </w:r>
          </w:p>
        </w:tc>
        <w:tc>
          <w:tcPr>
            <w:tcW w:w="598"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岸线</w:t>
            </w:r>
          </w:p>
        </w:tc>
        <w:tc>
          <w:tcPr>
            <w:tcW w:w="2919" w:type="pct"/>
            <w:noWrap w:val="0"/>
            <w:vAlign w:val="center"/>
          </w:tcPr>
          <w:p>
            <w:pPr>
              <w:widowControl w:val="0"/>
              <w:adjustRightInd w:val="0"/>
              <w:snapToGrid w:val="0"/>
              <w:spacing w:line="240" w:lineRule="auto"/>
              <w:jc w:val="center"/>
              <w:rPr>
                <w:rFonts w:hint="default" w:ascii="Times New Roman" w:hAnsi="Times New Roman" w:eastAsia="宋体"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技改项目依托原有岸线，不新增占用岸线</w:t>
            </w:r>
          </w:p>
        </w:tc>
        <w:tc>
          <w:tcPr>
            <w:tcW w:w="1048" w:type="pct"/>
            <w:noWrap w:val="0"/>
            <w:vAlign w:val="center"/>
          </w:tcPr>
          <w:p>
            <w:pPr>
              <w:widowControl w:val="0"/>
              <w:adjustRightInd w:val="0"/>
              <w:snapToGrid w:val="0"/>
              <w:spacing w:line="240" w:lineRule="auto"/>
              <w:jc w:val="center"/>
              <w:rPr>
                <w:rFonts w:hint="eastAsia" w:cs="Times New Roman"/>
                <w:bCs/>
                <w:snapToGrid w:val="0"/>
                <w:color w:val="auto"/>
                <w:kern w:val="0"/>
                <w:sz w:val="20"/>
                <w:szCs w:val="20"/>
                <w:lang w:val="en-US" w:eastAsia="zh-CN"/>
              </w:rPr>
            </w:pPr>
            <w:r>
              <w:rPr>
                <w:rFonts w:hint="eastAsia" w:cs="Times New Roman"/>
                <w:bCs/>
                <w:snapToGrid w:val="0"/>
                <w:color w:val="auto"/>
                <w:kern w:val="0"/>
                <w:sz w:val="20"/>
                <w:szCs w:val="20"/>
                <w:lang w:val="en-US" w:eastAsia="zh-CN"/>
              </w:rPr>
              <w:t>新建</w:t>
            </w:r>
          </w:p>
        </w:tc>
      </w:tr>
    </w:tbl>
    <w:p>
      <w:pPr>
        <w:pStyle w:val="1025"/>
        <w:widowControl w:val="0"/>
        <w:spacing w:line="360" w:lineRule="auto"/>
        <w:ind w:firstLine="480" w:firstLineChars="200"/>
        <w:rPr>
          <w:rFonts w:hint="default" w:eastAsia="仿宋_GB2312"/>
          <w:color w:val="auto"/>
          <w:lang w:val="en-US" w:eastAsia="zh-CN"/>
        </w:rPr>
      </w:pPr>
      <w:r>
        <w:rPr>
          <w:rFonts w:hint="eastAsia" w:eastAsia="仿宋_GB2312"/>
          <w:color w:val="auto"/>
          <w:lang w:val="en-US" w:eastAsia="zh-CN"/>
        </w:rPr>
        <w:t>主要经济技术指标见下表。</w:t>
      </w:r>
    </w:p>
    <w:p>
      <w:pPr>
        <w:pStyle w:val="1025"/>
        <w:widowControl w:val="0"/>
        <w:autoSpaceDE/>
        <w:autoSpaceDN/>
        <w:adjustRightInd/>
        <w:spacing w:line="360" w:lineRule="auto"/>
        <w:ind w:firstLine="0"/>
        <w:jc w:val="center"/>
        <w:textAlignment w:val="auto"/>
        <w:rPr>
          <w:rFonts w:eastAsia="黑体"/>
          <w:b/>
          <w:color w:val="auto"/>
          <w:sz w:val="21"/>
        </w:rPr>
      </w:pPr>
      <w:r>
        <w:rPr>
          <w:rFonts w:hint="eastAsia" w:eastAsia="黑体"/>
          <w:b/>
          <w:color w:val="auto"/>
          <w:sz w:val="21"/>
        </w:rPr>
        <w:t>表2.2-2  主要经济技术指标</w:t>
      </w:r>
    </w:p>
    <w:tbl>
      <w:tblPr>
        <w:tblStyle w:val="265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3"/>
        <w:gridCol w:w="2178"/>
        <w:gridCol w:w="1147"/>
        <w:gridCol w:w="1438"/>
        <w:gridCol w:w="29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blHeader/>
          <w:jc w:val="center"/>
        </w:trPr>
        <w:tc>
          <w:tcPr>
            <w:tcW w:w="442" w:type="pct"/>
            <w:tcBorders>
              <w:bottom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序号</w:t>
            </w:r>
          </w:p>
        </w:tc>
        <w:tc>
          <w:tcPr>
            <w:tcW w:w="1279" w:type="pct"/>
            <w:tcBorders>
              <w:bottom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项目</w:t>
            </w:r>
          </w:p>
        </w:tc>
        <w:tc>
          <w:tcPr>
            <w:tcW w:w="673" w:type="pct"/>
            <w:tcBorders>
              <w:bottom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单位</w:t>
            </w:r>
          </w:p>
        </w:tc>
        <w:tc>
          <w:tcPr>
            <w:tcW w:w="844" w:type="pct"/>
            <w:tcBorders>
              <w:bottom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数量</w:t>
            </w:r>
          </w:p>
        </w:tc>
        <w:tc>
          <w:tcPr>
            <w:tcW w:w="1760" w:type="pct"/>
            <w:tcBorders>
              <w:bottom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tcBorders>
              <w:top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1</w:t>
            </w:r>
          </w:p>
        </w:tc>
        <w:tc>
          <w:tcPr>
            <w:tcW w:w="1279" w:type="pct"/>
            <w:tcBorders>
              <w:top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码头年吞吐量</w:t>
            </w:r>
          </w:p>
        </w:tc>
        <w:tc>
          <w:tcPr>
            <w:tcW w:w="673" w:type="pct"/>
            <w:tcBorders>
              <w:top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万t/年</w:t>
            </w:r>
          </w:p>
        </w:tc>
        <w:tc>
          <w:tcPr>
            <w:tcW w:w="844" w:type="pct"/>
            <w:tcBorders>
              <w:top w:val="single" w:color="auto" w:sz="12" w:space="0"/>
            </w:tcBorders>
            <w:vAlign w:val="center"/>
          </w:tcPr>
          <w:p>
            <w:pPr>
              <w:pStyle w:val="1025"/>
              <w:widowControl w:val="0"/>
              <w:autoSpaceDE/>
              <w:autoSpaceDN/>
              <w:adjustRightInd/>
              <w:spacing w:line="240" w:lineRule="auto"/>
              <w:ind w:firstLine="0"/>
              <w:jc w:val="center"/>
              <w:textAlignment w:val="auto"/>
              <w:rPr>
                <w:rFonts w:hint="default"/>
                <w:color w:val="auto"/>
                <w:sz w:val="20"/>
                <w:szCs w:val="20"/>
                <w:lang w:val="en-US" w:eastAsia="zh-CN"/>
              </w:rPr>
            </w:pPr>
            <w:r>
              <w:rPr>
                <w:rFonts w:hint="eastAsia"/>
                <w:color w:val="auto"/>
                <w:sz w:val="20"/>
                <w:szCs w:val="20"/>
                <w:lang w:val="en-US" w:eastAsia="zh-CN"/>
              </w:rPr>
              <w:t>400</w:t>
            </w:r>
          </w:p>
        </w:tc>
        <w:tc>
          <w:tcPr>
            <w:tcW w:w="1760" w:type="pct"/>
            <w:tcBorders>
              <w:top w:val="single" w:color="auto" w:sz="12" w:space="0"/>
            </w:tcBorders>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2</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码头年设计通过能力</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万t/年</w:t>
            </w:r>
          </w:p>
        </w:tc>
        <w:tc>
          <w:tcPr>
            <w:tcW w:w="844" w:type="pct"/>
            <w:vAlign w:val="center"/>
          </w:tcPr>
          <w:p>
            <w:pPr>
              <w:pStyle w:val="1025"/>
              <w:widowControl w:val="0"/>
              <w:autoSpaceDE/>
              <w:autoSpaceDN/>
              <w:adjustRightInd/>
              <w:spacing w:line="240" w:lineRule="auto"/>
              <w:ind w:firstLine="0"/>
              <w:jc w:val="center"/>
              <w:textAlignment w:val="auto"/>
              <w:rPr>
                <w:rFonts w:hint="default"/>
                <w:color w:val="auto"/>
                <w:sz w:val="20"/>
                <w:szCs w:val="20"/>
                <w:lang w:val="en-US" w:eastAsia="zh-CN"/>
              </w:rPr>
            </w:pPr>
            <w:r>
              <w:rPr>
                <w:rFonts w:hint="eastAsia"/>
                <w:color w:val="auto"/>
                <w:sz w:val="20"/>
                <w:szCs w:val="20"/>
                <w:lang w:val="en-US" w:eastAsia="zh-CN"/>
              </w:rPr>
              <w:t>431.2</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3</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泊位数</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个</w:t>
            </w:r>
          </w:p>
        </w:tc>
        <w:tc>
          <w:tcPr>
            <w:tcW w:w="844"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2</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4</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泊位吨级</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t级</w:t>
            </w:r>
          </w:p>
        </w:tc>
        <w:tc>
          <w:tcPr>
            <w:tcW w:w="844"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3000</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5</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岸线长度</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m</w:t>
            </w:r>
          </w:p>
        </w:tc>
        <w:tc>
          <w:tcPr>
            <w:tcW w:w="844" w:type="pct"/>
            <w:vAlign w:val="center"/>
          </w:tcPr>
          <w:p>
            <w:pPr>
              <w:pStyle w:val="1025"/>
              <w:widowControl w:val="0"/>
              <w:autoSpaceDE/>
              <w:autoSpaceDN/>
              <w:adjustRightInd/>
              <w:spacing w:line="240" w:lineRule="auto"/>
              <w:ind w:firstLine="0"/>
              <w:jc w:val="center"/>
              <w:textAlignment w:val="auto"/>
              <w:rPr>
                <w:rFonts w:hint="default"/>
                <w:color w:val="auto"/>
                <w:sz w:val="20"/>
                <w:szCs w:val="20"/>
                <w:lang w:val="en-US" w:eastAsia="zh-CN"/>
              </w:rPr>
            </w:pPr>
            <w:r>
              <w:rPr>
                <w:rFonts w:hint="eastAsia"/>
                <w:color w:val="auto"/>
                <w:sz w:val="20"/>
                <w:szCs w:val="20"/>
                <w:lang w:val="en-US" w:eastAsia="zh-CN"/>
              </w:rPr>
              <w:t>248</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6</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设计代表船型</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m</w:t>
            </w:r>
          </w:p>
        </w:tc>
        <w:tc>
          <w:tcPr>
            <w:tcW w:w="844" w:type="pct"/>
            <w:vAlign w:val="center"/>
          </w:tcPr>
          <w:p>
            <w:pPr>
              <w:pStyle w:val="1025"/>
              <w:widowControl w:val="0"/>
              <w:autoSpaceDE/>
              <w:autoSpaceDN/>
              <w:adjustRightInd/>
              <w:spacing w:line="240" w:lineRule="auto"/>
              <w:ind w:firstLine="0"/>
              <w:jc w:val="center"/>
              <w:textAlignment w:val="auto"/>
              <w:rPr>
                <w:rFonts w:hint="default"/>
                <w:color w:val="auto"/>
                <w:sz w:val="20"/>
                <w:szCs w:val="20"/>
                <w:lang w:val="en-US" w:eastAsia="zh-CN"/>
              </w:rPr>
            </w:pPr>
            <w:r>
              <w:rPr>
                <w:rFonts w:hint="eastAsia"/>
                <w:color w:val="auto"/>
                <w:sz w:val="20"/>
                <w:szCs w:val="20"/>
                <w:lang w:val="en-US" w:eastAsia="zh-CN"/>
              </w:rPr>
              <w:t>85×18</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3000DWT货船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7</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定员</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人</w:t>
            </w:r>
          </w:p>
        </w:tc>
        <w:tc>
          <w:tcPr>
            <w:tcW w:w="844"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30</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442"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8</w:t>
            </w:r>
          </w:p>
        </w:tc>
        <w:tc>
          <w:tcPr>
            <w:tcW w:w="1279"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总投资</w:t>
            </w:r>
          </w:p>
        </w:tc>
        <w:tc>
          <w:tcPr>
            <w:tcW w:w="673"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万元</w:t>
            </w:r>
          </w:p>
        </w:tc>
        <w:tc>
          <w:tcPr>
            <w:tcW w:w="844" w:type="pct"/>
            <w:vAlign w:val="center"/>
          </w:tcPr>
          <w:p>
            <w:pPr>
              <w:pStyle w:val="1025"/>
              <w:widowControl w:val="0"/>
              <w:autoSpaceDE/>
              <w:autoSpaceDN/>
              <w:adjustRightInd/>
              <w:spacing w:line="240" w:lineRule="auto"/>
              <w:ind w:firstLine="0"/>
              <w:jc w:val="center"/>
              <w:textAlignment w:val="auto"/>
              <w:rPr>
                <w:rFonts w:hint="default"/>
                <w:color w:val="auto"/>
                <w:sz w:val="20"/>
                <w:szCs w:val="20"/>
                <w:lang w:val="en-US" w:eastAsia="zh-CN"/>
              </w:rPr>
            </w:pPr>
            <w:r>
              <w:rPr>
                <w:rFonts w:hint="eastAsia"/>
                <w:color w:val="auto"/>
                <w:sz w:val="20"/>
                <w:szCs w:val="20"/>
                <w:lang w:val="en-US" w:eastAsia="zh-CN"/>
              </w:rPr>
              <w:t>11708.16</w:t>
            </w:r>
          </w:p>
        </w:tc>
        <w:tc>
          <w:tcPr>
            <w:tcW w:w="1760" w:type="pct"/>
            <w:vAlign w:val="center"/>
          </w:tcPr>
          <w:p>
            <w:pPr>
              <w:pStyle w:val="1025"/>
              <w:widowControl w:val="0"/>
              <w:autoSpaceDE/>
              <w:autoSpaceDN/>
              <w:adjustRightInd/>
              <w:spacing w:line="240" w:lineRule="auto"/>
              <w:ind w:firstLine="0"/>
              <w:jc w:val="center"/>
              <w:textAlignment w:val="auto"/>
              <w:rPr>
                <w:rFonts w:hint="eastAsia"/>
                <w:color w:val="auto"/>
                <w:sz w:val="20"/>
                <w:szCs w:val="20"/>
                <w:lang w:val="en-US" w:eastAsia="zh-CN"/>
              </w:rPr>
            </w:pPr>
            <w:r>
              <w:rPr>
                <w:rFonts w:hint="eastAsia"/>
                <w:color w:val="auto"/>
                <w:sz w:val="20"/>
                <w:szCs w:val="20"/>
                <w:lang w:val="en-US" w:eastAsia="zh-CN"/>
              </w:rPr>
              <w:t>/</w:t>
            </w:r>
          </w:p>
        </w:tc>
      </w:tr>
    </w:tbl>
    <w:p>
      <w:pPr>
        <w:pStyle w:val="9"/>
        <w:widowControl w:val="0"/>
        <w:spacing w:before="120" w:after="120" w:line="360" w:lineRule="auto"/>
        <w:rPr>
          <w:rFonts w:hint="default" w:eastAsia="黑体"/>
          <w:b w:val="0"/>
          <w:color w:val="auto"/>
          <w:sz w:val="24"/>
          <w:lang w:val="en-US" w:eastAsia="zh-CN"/>
        </w:rPr>
      </w:pPr>
      <w:bookmarkStart w:id="293" w:name="_Toc13964"/>
      <w:r>
        <w:rPr>
          <w:rFonts w:eastAsia="黑体"/>
          <w:b w:val="0"/>
          <w:color w:val="auto"/>
          <w:sz w:val="24"/>
        </w:rPr>
        <w:t>2.</w:t>
      </w:r>
      <w:r>
        <w:rPr>
          <w:rFonts w:hint="eastAsia" w:eastAsia="黑体"/>
          <w:b w:val="0"/>
          <w:color w:val="auto"/>
          <w:sz w:val="24"/>
          <w:lang w:val="en-US" w:eastAsia="zh-CN"/>
        </w:rPr>
        <w:t>2.2改建工程设计方案</w:t>
      </w:r>
      <w:bookmarkEnd w:id="293"/>
    </w:p>
    <w:p>
      <w:pPr>
        <w:widowControl w:val="0"/>
        <w:tabs>
          <w:tab w:val="left" w:pos="-540"/>
        </w:tabs>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技改项目</w:t>
      </w:r>
      <w:r>
        <w:rPr>
          <w:rFonts w:hint="eastAsia" w:ascii="Times New Roman" w:hAnsi="Times New Roman" w:eastAsia="仿宋_GB2312" w:cs="Times New Roman"/>
          <w:color w:val="auto"/>
          <w:sz w:val="24"/>
          <w:lang w:val="en-US" w:eastAsia="zh-CN"/>
        </w:rPr>
        <w:t>设计代表船型为</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lang w:val="en-US" w:eastAsia="zh-CN"/>
        </w:rPr>
        <w:t>000吨级船舶。船型主尺度详见下表</w:t>
      </w:r>
      <w:r>
        <w:rPr>
          <w:rFonts w:hint="eastAsia" w:eastAsia="仿宋_GB2312" w:cs="Times New Roman"/>
          <w:color w:val="auto"/>
          <w:sz w:val="24"/>
          <w:lang w:val="en-US" w:eastAsia="zh-CN"/>
        </w:rPr>
        <w:t>。</w:t>
      </w:r>
    </w:p>
    <w:p>
      <w:pPr>
        <w:pStyle w:val="1025"/>
        <w:widowControl w:val="0"/>
        <w:autoSpaceDE/>
        <w:autoSpaceDN/>
        <w:adjustRightInd/>
        <w:spacing w:line="360" w:lineRule="auto"/>
        <w:ind w:firstLine="0"/>
        <w:jc w:val="center"/>
        <w:textAlignment w:val="auto"/>
        <w:rPr>
          <w:rFonts w:hint="default" w:eastAsia="黑体"/>
          <w:b/>
          <w:color w:val="auto"/>
          <w:sz w:val="21"/>
          <w:lang w:val="en-US" w:eastAsia="zh-CN"/>
        </w:rPr>
      </w:pPr>
      <w:r>
        <w:rPr>
          <w:rFonts w:eastAsia="黑体"/>
          <w:b/>
          <w:color w:val="auto"/>
          <w:sz w:val="21"/>
        </w:rPr>
        <w:t>表2.2-</w:t>
      </w:r>
      <w:r>
        <w:rPr>
          <w:rFonts w:hint="eastAsia" w:eastAsia="黑体"/>
          <w:b/>
          <w:color w:val="auto"/>
          <w:sz w:val="21"/>
          <w:lang w:val="en-US" w:eastAsia="zh-CN"/>
        </w:rPr>
        <w:t>3</w:t>
      </w:r>
      <w:r>
        <w:rPr>
          <w:rFonts w:eastAsia="黑体"/>
          <w:b/>
          <w:color w:val="auto"/>
          <w:sz w:val="21"/>
        </w:rPr>
        <w:t xml:space="preserve">  </w:t>
      </w:r>
      <w:r>
        <w:rPr>
          <w:rFonts w:hint="eastAsia" w:eastAsia="黑体"/>
          <w:b/>
          <w:color w:val="auto"/>
          <w:sz w:val="21"/>
          <w:lang w:val="en-US" w:eastAsia="zh-CN"/>
        </w:rPr>
        <w:t>本码头设计代表船型尺寸表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20"/>
        <w:gridCol w:w="1420"/>
        <w:gridCol w:w="1196"/>
        <w:gridCol w:w="1196"/>
        <w:gridCol w:w="1394"/>
        <w:gridCol w:w="18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船型</w:t>
            </w:r>
          </w:p>
        </w:tc>
        <w:tc>
          <w:tcPr>
            <w:tcW w:w="83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级别</w:t>
            </w:r>
          </w:p>
        </w:tc>
        <w:tc>
          <w:tcPr>
            <w:tcW w:w="702"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总长（m）</w:t>
            </w:r>
          </w:p>
        </w:tc>
        <w:tc>
          <w:tcPr>
            <w:tcW w:w="702"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型宽（m）</w:t>
            </w:r>
          </w:p>
        </w:tc>
        <w:tc>
          <w:tcPr>
            <w:tcW w:w="818"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设计吃水（m）</w:t>
            </w:r>
          </w:p>
        </w:tc>
        <w:tc>
          <w:tcPr>
            <w:tcW w:w="1109"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r>
              <w:rPr>
                <w:rFonts w:hint="eastAsia"/>
                <w:color w:val="auto"/>
                <w:sz w:val="20"/>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内河散货船</w:t>
            </w:r>
          </w:p>
        </w:tc>
        <w:tc>
          <w:tcPr>
            <w:tcW w:w="833" w:type="pct"/>
            <w:noWrap w:val="0"/>
            <w:vAlign w:val="center"/>
          </w:tcPr>
          <w:p>
            <w:pPr>
              <w:jc w:val="center"/>
              <w:rPr>
                <w:rFonts w:hint="default" w:eastAsia="宋体"/>
                <w:color w:val="auto"/>
                <w:sz w:val="20"/>
                <w:lang w:val="en-US" w:eastAsia="zh-CN"/>
              </w:rPr>
            </w:pPr>
            <w:r>
              <w:rPr>
                <w:rFonts w:hint="eastAsia"/>
                <w:color w:val="auto"/>
                <w:sz w:val="20"/>
                <w:lang w:val="en-US" w:eastAsia="zh-CN"/>
              </w:rPr>
              <w:t>3000吨级</w:t>
            </w:r>
          </w:p>
        </w:tc>
        <w:tc>
          <w:tcPr>
            <w:tcW w:w="702" w:type="pct"/>
            <w:noWrap w:val="0"/>
            <w:vAlign w:val="center"/>
          </w:tcPr>
          <w:p>
            <w:pPr>
              <w:jc w:val="center"/>
              <w:rPr>
                <w:rFonts w:hint="default" w:eastAsia="宋体"/>
                <w:color w:val="auto"/>
                <w:sz w:val="20"/>
                <w:lang w:val="en-US" w:eastAsia="zh-CN"/>
              </w:rPr>
            </w:pPr>
            <w:r>
              <w:rPr>
                <w:rFonts w:hint="eastAsia"/>
                <w:color w:val="auto"/>
                <w:sz w:val="20"/>
                <w:lang w:val="en-US" w:eastAsia="zh-CN"/>
              </w:rPr>
              <w:t>95.0</w:t>
            </w:r>
          </w:p>
        </w:tc>
        <w:tc>
          <w:tcPr>
            <w:tcW w:w="702"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16.2</w:t>
            </w:r>
          </w:p>
        </w:tc>
        <w:tc>
          <w:tcPr>
            <w:tcW w:w="818" w:type="pct"/>
            <w:noWrap w:val="0"/>
            <w:vAlign w:val="center"/>
          </w:tcPr>
          <w:p>
            <w:pPr>
              <w:jc w:val="center"/>
              <w:rPr>
                <w:rFonts w:hint="default" w:eastAsia="宋体"/>
                <w:color w:val="auto"/>
                <w:sz w:val="20"/>
                <w:lang w:val="en-US" w:eastAsia="zh-CN"/>
              </w:rPr>
            </w:pPr>
            <w:r>
              <w:rPr>
                <w:rFonts w:hint="eastAsia"/>
                <w:color w:val="auto"/>
                <w:sz w:val="20"/>
                <w:lang w:val="en-US" w:eastAsia="zh-CN"/>
              </w:rPr>
              <w:t>3.2</w:t>
            </w:r>
          </w:p>
        </w:tc>
        <w:tc>
          <w:tcPr>
            <w:tcW w:w="1109" w:type="pct"/>
            <w:noWrap w:val="0"/>
            <w:vAlign w:val="center"/>
          </w:tcPr>
          <w:p>
            <w:pPr>
              <w:jc w:val="center"/>
              <w:rPr>
                <w:rFonts w:hint="default" w:eastAsia="宋体"/>
                <w:color w:val="auto"/>
                <w:sz w:val="20"/>
                <w:lang w:val="en-US" w:eastAsia="zh-CN"/>
              </w:rPr>
            </w:pPr>
            <w:r>
              <w:rPr>
                <w:rFonts w:hint="eastAsia"/>
                <w:color w:val="auto"/>
                <w:sz w:val="20"/>
                <w:lang w:val="en-US" w:eastAsia="zh-CN"/>
              </w:rPr>
              <w:t>设计代表船型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3" w:type="pct"/>
            <w:noWrap w:val="0"/>
            <w:vAlign w:val="center"/>
          </w:tcPr>
          <w:p>
            <w:pPr>
              <w:pStyle w:val="1025"/>
              <w:autoSpaceDE/>
              <w:autoSpaceDN/>
              <w:adjustRightInd/>
              <w:spacing w:line="240" w:lineRule="auto"/>
              <w:ind w:firstLine="0"/>
              <w:jc w:val="center"/>
              <w:textAlignment w:val="auto"/>
              <w:rPr>
                <w:rFonts w:hint="default"/>
                <w:color w:val="auto"/>
                <w:sz w:val="20"/>
                <w:lang w:val="en-US" w:eastAsia="zh-CN"/>
              </w:rPr>
            </w:pPr>
            <w:r>
              <w:rPr>
                <w:rFonts w:hint="eastAsia"/>
                <w:color w:val="auto"/>
                <w:sz w:val="20"/>
                <w:lang w:val="en-US" w:eastAsia="zh-CN"/>
              </w:rPr>
              <w:t>内河散货船</w:t>
            </w:r>
          </w:p>
        </w:tc>
        <w:tc>
          <w:tcPr>
            <w:tcW w:w="833" w:type="pct"/>
            <w:noWrap w:val="0"/>
            <w:vAlign w:val="center"/>
          </w:tcPr>
          <w:p>
            <w:pPr>
              <w:jc w:val="center"/>
              <w:rPr>
                <w:rFonts w:hint="eastAsia"/>
                <w:color w:val="auto"/>
                <w:sz w:val="20"/>
                <w:lang w:val="en-US" w:eastAsia="zh-CN"/>
              </w:rPr>
            </w:pPr>
            <w:r>
              <w:rPr>
                <w:rFonts w:hint="eastAsia"/>
                <w:color w:val="auto"/>
                <w:sz w:val="20"/>
                <w:lang w:val="en-US" w:eastAsia="zh-CN"/>
              </w:rPr>
              <w:t>5000吨级</w:t>
            </w:r>
          </w:p>
        </w:tc>
        <w:tc>
          <w:tcPr>
            <w:tcW w:w="702" w:type="pct"/>
            <w:noWrap w:val="0"/>
            <w:vAlign w:val="center"/>
          </w:tcPr>
          <w:p>
            <w:pPr>
              <w:jc w:val="center"/>
              <w:rPr>
                <w:rFonts w:hint="default"/>
                <w:color w:val="auto"/>
                <w:sz w:val="20"/>
                <w:lang w:val="en-US" w:eastAsia="zh-CN"/>
              </w:rPr>
            </w:pPr>
            <w:r>
              <w:rPr>
                <w:rFonts w:hint="eastAsia"/>
                <w:color w:val="auto"/>
                <w:sz w:val="20"/>
                <w:lang w:val="en-US" w:eastAsia="zh-CN"/>
              </w:rPr>
              <w:t>110.0</w:t>
            </w:r>
          </w:p>
        </w:tc>
        <w:tc>
          <w:tcPr>
            <w:tcW w:w="702" w:type="pct"/>
            <w:noWrap w:val="0"/>
            <w:vAlign w:val="center"/>
          </w:tcPr>
          <w:p>
            <w:pPr>
              <w:pStyle w:val="1025"/>
              <w:autoSpaceDE/>
              <w:autoSpaceDN/>
              <w:adjustRightInd/>
              <w:spacing w:line="240" w:lineRule="auto"/>
              <w:ind w:firstLine="0"/>
              <w:jc w:val="center"/>
              <w:textAlignment w:val="auto"/>
              <w:rPr>
                <w:rFonts w:hint="default"/>
                <w:color w:val="auto"/>
                <w:sz w:val="20"/>
                <w:lang w:val="en-US" w:eastAsia="zh-CN"/>
              </w:rPr>
            </w:pPr>
            <w:r>
              <w:rPr>
                <w:rFonts w:hint="eastAsia"/>
                <w:color w:val="auto"/>
                <w:sz w:val="20"/>
                <w:lang w:val="en-US" w:eastAsia="zh-CN"/>
              </w:rPr>
              <w:t>19.2</w:t>
            </w:r>
          </w:p>
        </w:tc>
        <w:tc>
          <w:tcPr>
            <w:tcW w:w="818" w:type="pct"/>
            <w:noWrap w:val="0"/>
            <w:vAlign w:val="center"/>
          </w:tcPr>
          <w:p>
            <w:pPr>
              <w:jc w:val="center"/>
              <w:rPr>
                <w:rFonts w:hint="default"/>
                <w:color w:val="auto"/>
                <w:sz w:val="20"/>
                <w:lang w:val="en-US" w:eastAsia="zh-CN"/>
              </w:rPr>
            </w:pPr>
            <w:r>
              <w:rPr>
                <w:rFonts w:hint="eastAsia"/>
                <w:color w:val="auto"/>
                <w:sz w:val="20"/>
                <w:lang w:val="en-US" w:eastAsia="zh-CN"/>
              </w:rPr>
              <w:t>4.0</w:t>
            </w:r>
          </w:p>
        </w:tc>
        <w:tc>
          <w:tcPr>
            <w:tcW w:w="1109" w:type="pct"/>
            <w:noWrap w:val="0"/>
            <w:vAlign w:val="center"/>
          </w:tcPr>
          <w:p>
            <w:pPr>
              <w:jc w:val="center"/>
              <w:rPr>
                <w:rFonts w:hint="default"/>
                <w:color w:val="auto"/>
                <w:sz w:val="20"/>
                <w:lang w:val="en-US" w:eastAsia="zh-CN"/>
              </w:rPr>
            </w:pPr>
            <w:r>
              <w:rPr>
                <w:rFonts w:hint="eastAsia"/>
                <w:color w:val="auto"/>
                <w:sz w:val="20"/>
                <w:lang w:val="en-US" w:eastAsia="zh-CN"/>
              </w:rPr>
              <w:t>水工结构兼顾船型</w:t>
            </w:r>
          </w:p>
        </w:tc>
      </w:tr>
    </w:tbl>
    <w:p>
      <w:pPr>
        <w:pStyle w:val="9"/>
        <w:widowControl w:val="0"/>
        <w:spacing w:before="120" w:after="120" w:line="360" w:lineRule="auto"/>
        <w:rPr>
          <w:rFonts w:hint="eastAsia" w:eastAsia="黑体" w:cs="Times New Roman"/>
          <w:b w:val="0"/>
          <w:color w:val="auto"/>
          <w:sz w:val="24"/>
          <w:lang w:val="en-US" w:eastAsia="zh-CN"/>
        </w:rPr>
      </w:pPr>
      <w:bookmarkStart w:id="294" w:name="_Toc27675"/>
      <w:r>
        <w:rPr>
          <w:rFonts w:hint="eastAsia" w:eastAsia="黑体" w:cs="Times New Roman"/>
          <w:b w:val="0"/>
          <w:color w:val="auto"/>
          <w:sz w:val="24"/>
          <w:lang w:val="en-US" w:eastAsia="zh-CN"/>
        </w:rPr>
        <w:t>2.2.3总平面布置与外环境关系</w:t>
      </w:r>
      <w:bookmarkEnd w:id="294"/>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2.2.3.1水域布置</w:t>
      </w:r>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lang w:val="en-US" w:eastAsia="zh-CN"/>
        </w:rPr>
        <w:t>码头水域由上游向下游依次布置散货泊位2个，均为散货出口泊位，码头结构型式均采用浮式结构。码头前沿线与水流方向、等深线方向大致平行，2个泊位码头前沿线按一字型排列，占用岸线248m，与原占用岸线保持一致。</w:t>
      </w:r>
    </w:p>
    <w:p>
      <w:pPr>
        <w:pStyle w:val="1025"/>
        <w:widowControl w:val="0"/>
        <w:spacing w:line="360" w:lineRule="auto"/>
        <w:ind w:firstLine="480" w:firstLineChars="200"/>
        <w:rPr>
          <w:rFonts w:hint="eastAsia" w:eastAsia="仿宋_GB2312"/>
          <w:color w:val="auto"/>
          <w:lang w:val="en-US" w:eastAsia="zh-CN"/>
        </w:rPr>
      </w:pPr>
      <w:r>
        <w:rPr>
          <w:rFonts w:hint="eastAsia" w:eastAsia="仿宋_GB2312"/>
          <w:color w:val="auto"/>
          <w:lang w:val="en-US" w:eastAsia="zh-CN"/>
        </w:rPr>
        <w:t>2个泊位各设置1艘85.0×18.0m（长×宽）钢质趸船及钢撑杆消能系统，每艘趸船后方各通过1榀48×4.5m活动钢引桥与转运站墩台连接。</w:t>
      </w:r>
    </w:p>
    <w:p>
      <w:pPr>
        <w:pStyle w:val="1025"/>
        <w:widowControl w:val="0"/>
        <w:spacing w:line="360" w:lineRule="auto"/>
        <w:ind w:firstLine="480" w:firstLineChars="200"/>
        <w:rPr>
          <w:rFonts w:hint="eastAsia" w:ascii="Times New Roman" w:hAnsi="Times New Roman" w:eastAsia="仿宋_GB2312" w:cs="Times New Roman"/>
          <w:color w:val="auto"/>
          <w:lang w:eastAsia="zh-CN"/>
        </w:rPr>
      </w:pPr>
      <w:r>
        <w:rPr>
          <w:rFonts w:hint="eastAsia" w:eastAsia="仿宋_GB2312"/>
          <w:color w:val="auto"/>
          <w:lang w:val="en-US" w:eastAsia="zh-CN"/>
        </w:rPr>
        <w:t>1#转运楼墩台平面尺寸为12×13m，2#转运楼墩台平面尺寸为15×14m，变电所紧邻2#转运站墩台，平面尺寸为11×14m，1#、2#转运楼间通过两座54×4.5m固定钢引桥和一座8×6m的3#墩台连接。2#转运楼与堆存区的连接廊道由其他单位进行设计</w:t>
      </w:r>
      <w:r>
        <w:rPr>
          <w:rFonts w:eastAsia="仿宋_GB2312"/>
          <w:color w:val="auto"/>
        </w:rPr>
        <w:t>。</w:t>
      </w:r>
      <w:r>
        <w:rPr>
          <w:rFonts w:hint="eastAsia" w:eastAsia="仿宋_GB2312"/>
          <w:color w:val="auto"/>
          <w:lang w:val="en-US" w:eastAsia="zh-CN"/>
        </w:rPr>
        <w:t>项目无陆域建设内容</w:t>
      </w:r>
      <w:r>
        <w:rPr>
          <w:rFonts w:hint="eastAsia" w:ascii="Times New Roman" w:hAnsi="Times New Roman" w:eastAsia="仿宋_GB2312" w:cs="Times New Roman"/>
          <w:color w:val="auto"/>
          <w:lang w:eastAsia="zh-CN"/>
        </w:rPr>
        <w:t>。</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2.2.3.2与相邻工程关系</w:t>
      </w:r>
    </w:p>
    <w:p>
      <w:pPr>
        <w:pStyle w:val="1025"/>
        <w:widowControl w:val="0"/>
        <w:spacing w:line="360" w:lineRule="auto"/>
        <w:ind w:firstLine="480" w:firstLineChars="200"/>
        <w:rPr>
          <w:rFonts w:hint="eastAsia" w:ascii="Times New Roman" w:hAnsi="Times New Roman" w:eastAsia="仿宋_GB2312" w:cs="Times New Roman"/>
          <w:color w:val="auto"/>
          <w:lang w:eastAsia="zh-CN"/>
        </w:rPr>
      </w:pPr>
      <w:r>
        <w:rPr>
          <w:rFonts w:hint="eastAsia" w:eastAsia="仿宋_GB2312" w:cs="Times New Roman"/>
          <w:b w:val="0"/>
          <w:bCs/>
          <w:color w:val="auto"/>
          <w:sz w:val="24"/>
          <w:lang w:val="en-US" w:eastAsia="zh-CN"/>
        </w:rPr>
        <w:t>现有码头</w:t>
      </w:r>
      <w:r>
        <w:rPr>
          <w:rFonts w:hint="eastAsia" w:ascii="Times New Roman" w:hAnsi="Times New Roman" w:eastAsia="仿宋_GB2312" w:cs="Times New Roman"/>
          <w:b w:val="0"/>
          <w:bCs/>
          <w:color w:val="auto"/>
          <w:sz w:val="24"/>
        </w:rPr>
        <w:t>位于宜都市枝城镇洋溪村</w:t>
      </w:r>
      <w:r>
        <w:rPr>
          <w:rFonts w:hint="eastAsia" w:ascii="Times New Roman" w:hAnsi="Times New Roman" w:eastAsia="仿宋_GB2312" w:cs="Times New Roman"/>
          <w:b w:val="0"/>
          <w:bCs/>
          <w:color w:val="auto"/>
          <w:sz w:val="24"/>
          <w:lang w:val="en-US" w:eastAsia="zh-CN"/>
        </w:rPr>
        <w:t>附近</w:t>
      </w:r>
      <w:r>
        <w:rPr>
          <w:rFonts w:hint="eastAsia" w:ascii="Times New Roman" w:hAnsi="Times New Roman" w:eastAsia="仿宋_GB2312" w:cs="Times New Roman"/>
          <w:b w:val="0"/>
          <w:bCs/>
          <w:color w:val="auto"/>
          <w:sz w:val="24"/>
        </w:rPr>
        <w:t>，</w:t>
      </w:r>
      <w:r>
        <w:rPr>
          <w:rFonts w:hint="eastAsia" w:ascii="Times New Roman" w:hAnsi="Times New Roman" w:eastAsia="仿宋_GB2312" w:cs="Times New Roman"/>
          <w:b w:val="0"/>
          <w:bCs/>
          <w:color w:val="auto"/>
          <w:sz w:val="24"/>
          <w:lang w:val="en-US" w:eastAsia="zh-CN"/>
        </w:rPr>
        <w:t>距离</w:t>
      </w:r>
      <w:r>
        <w:rPr>
          <w:rFonts w:hint="eastAsia" w:ascii="Times New Roman" w:hAnsi="Times New Roman" w:eastAsia="仿宋_GB2312" w:cs="Times New Roman"/>
          <w:b w:val="0"/>
          <w:bCs/>
          <w:color w:val="auto"/>
          <w:sz w:val="24"/>
        </w:rPr>
        <w:t>枝城长江大桥下游约</w:t>
      </w:r>
      <w:r>
        <w:rPr>
          <w:rFonts w:hint="eastAsia" w:ascii="Times New Roman" w:hAnsi="Times New Roman" w:eastAsia="仿宋_GB2312" w:cs="Times New Roman"/>
          <w:b w:val="0"/>
          <w:bCs/>
          <w:color w:val="auto"/>
          <w:sz w:val="24"/>
          <w:lang w:val="en-US" w:eastAsia="zh-CN"/>
        </w:rPr>
        <w:t>5</w:t>
      </w:r>
      <w:r>
        <w:rPr>
          <w:rFonts w:hint="eastAsia" w:ascii="Times New Roman" w:hAnsi="Times New Roman" w:eastAsia="仿宋_GB2312" w:cs="Times New Roman"/>
          <w:b w:val="0"/>
          <w:bCs/>
          <w:color w:val="auto"/>
          <w:sz w:val="24"/>
        </w:rPr>
        <w:t>km，</w:t>
      </w:r>
      <w:r>
        <w:rPr>
          <w:rFonts w:hint="eastAsia" w:ascii="Times New Roman" w:hAnsi="Times New Roman" w:eastAsia="仿宋_GB2312" w:cs="Times New Roman"/>
          <w:b w:val="0"/>
          <w:bCs/>
          <w:color w:val="auto"/>
          <w:sz w:val="24"/>
          <w:lang w:val="en-US" w:eastAsia="zh-CN"/>
        </w:rPr>
        <w:t>宜都城区上游约15km，</w:t>
      </w:r>
      <w:r>
        <w:rPr>
          <w:rFonts w:hint="eastAsia" w:ascii="Times New Roman" w:hAnsi="Times New Roman" w:eastAsia="仿宋_GB2312" w:cs="Times New Roman"/>
          <w:b w:val="0"/>
          <w:bCs/>
          <w:color w:val="auto"/>
          <w:sz w:val="24"/>
        </w:rPr>
        <w:t>码头中心位于长江中游航道里程约</w:t>
      </w:r>
      <w:r>
        <w:rPr>
          <w:rFonts w:hint="eastAsia" w:ascii="Times New Roman" w:hAnsi="Times New Roman" w:eastAsia="仿宋_GB2312" w:cs="Times New Roman"/>
          <w:b w:val="0"/>
          <w:bCs/>
          <w:color w:val="auto"/>
          <w:sz w:val="24"/>
          <w:lang w:val="en-US" w:eastAsia="zh-CN"/>
        </w:rPr>
        <w:t>562.9</w:t>
      </w:r>
      <w:r>
        <w:rPr>
          <w:rFonts w:hint="eastAsia" w:ascii="Times New Roman" w:hAnsi="Times New Roman" w:eastAsia="仿宋_GB2312" w:cs="Times New Roman"/>
          <w:b w:val="0"/>
          <w:bCs/>
          <w:color w:val="auto"/>
          <w:sz w:val="24"/>
        </w:rPr>
        <w:t>km处</w:t>
      </w:r>
      <w:r>
        <w:rPr>
          <w:rFonts w:hint="eastAsia" w:ascii="Times New Roman" w:hAnsi="Times New Roman" w:eastAsia="仿宋_GB2312" w:cs="Times New Roman"/>
          <w:color w:val="auto"/>
          <w:lang w:eastAsia="zh-CN"/>
        </w:rPr>
        <w:t>。主要建设内容包括</w:t>
      </w:r>
      <w:r>
        <w:rPr>
          <w:rFonts w:hint="eastAsia" w:eastAsia="仿宋_GB2312" w:cs="Times New Roman"/>
          <w:color w:val="auto"/>
          <w:lang w:val="en-US" w:eastAsia="zh-CN"/>
        </w:rPr>
        <w:t>转运楼、墩台、钢引桥</w:t>
      </w:r>
      <w:r>
        <w:rPr>
          <w:rFonts w:hint="eastAsia" w:ascii="Times New Roman" w:hAnsi="Times New Roman" w:eastAsia="仿宋_GB2312" w:cs="Times New Roman"/>
          <w:color w:val="auto"/>
          <w:lang w:eastAsia="zh-CN"/>
        </w:rPr>
        <w:t>及相关配套工程。</w:t>
      </w:r>
    </w:p>
    <w:p>
      <w:pPr>
        <w:pStyle w:val="1025"/>
        <w:widowControl w:val="0"/>
        <w:spacing w:line="360" w:lineRule="auto"/>
        <w:ind w:firstLine="480" w:firstLineChars="200"/>
        <w:rPr>
          <w:rFonts w:hint="eastAsia" w:ascii="Times New Roman" w:hAnsi="Times New Roman" w:eastAsia="仿宋_GB2312" w:cs="Times New Roman"/>
          <w:color w:val="auto"/>
          <w:lang w:eastAsia="zh-CN"/>
        </w:rPr>
      </w:pPr>
      <w:r>
        <w:rPr>
          <w:rFonts w:hint="eastAsia" w:ascii="Times New Roman" w:hAnsi="Times New Roman" w:eastAsia="仿宋_GB2312" w:cs="Times New Roman"/>
          <w:color w:val="auto"/>
          <w:lang w:eastAsia="zh-CN"/>
        </w:rPr>
        <w:t>本工程评价范围内环境空气主要受影响环境保护目标为</w:t>
      </w:r>
      <w:r>
        <w:rPr>
          <w:rFonts w:hint="eastAsia" w:eastAsia="仿宋_GB2312" w:cs="Times New Roman"/>
          <w:color w:val="auto"/>
          <w:lang w:val="en-US" w:eastAsia="zh-CN"/>
        </w:rPr>
        <w:t>洋溪社区、洋溪村、洋溪幼儿园、洋溪小学及罗家岭</w:t>
      </w:r>
      <w:r>
        <w:rPr>
          <w:rFonts w:hint="eastAsia" w:ascii="Times New Roman" w:hAnsi="Times New Roman" w:eastAsia="仿宋_GB2312" w:cs="Times New Roman"/>
          <w:color w:val="auto"/>
          <w:lang w:eastAsia="zh-CN"/>
        </w:rPr>
        <w:t>，</w:t>
      </w:r>
      <w:r>
        <w:rPr>
          <w:rFonts w:hint="eastAsia" w:eastAsia="仿宋_GB2312" w:cs="Times New Roman"/>
          <w:color w:val="auto"/>
          <w:lang w:val="en-US" w:eastAsia="zh-CN"/>
        </w:rPr>
        <w:t>其中洋溪社区</w:t>
      </w:r>
      <w:r>
        <w:rPr>
          <w:rFonts w:hint="eastAsia" w:ascii="Times New Roman" w:hAnsi="Times New Roman" w:eastAsia="仿宋_GB2312" w:cs="Times New Roman"/>
          <w:color w:val="auto"/>
          <w:lang w:eastAsia="zh-CN"/>
        </w:rPr>
        <w:t>距离码头最近</w:t>
      </w:r>
      <w:r>
        <w:rPr>
          <w:rFonts w:hint="eastAsia" w:eastAsia="仿宋_GB2312" w:cs="Times New Roman"/>
          <w:color w:val="auto"/>
          <w:lang w:eastAsia="zh-CN"/>
        </w:rPr>
        <w:t>，</w:t>
      </w:r>
      <w:r>
        <w:rPr>
          <w:rFonts w:hint="eastAsia" w:ascii="Times New Roman" w:hAnsi="Times New Roman" w:eastAsia="仿宋_GB2312" w:cs="Times New Roman"/>
          <w:color w:val="auto"/>
          <w:lang w:eastAsia="zh-CN"/>
        </w:rPr>
        <w:t>距离为6</w:t>
      </w:r>
      <w:r>
        <w:rPr>
          <w:rFonts w:hint="eastAsia" w:eastAsia="仿宋_GB2312" w:cs="Times New Roman"/>
          <w:color w:val="auto"/>
          <w:lang w:val="en-US" w:eastAsia="zh-CN"/>
        </w:rPr>
        <w:t>9</w:t>
      </w:r>
      <w:r>
        <w:rPr>
          <w:rFonts w:hint="eastAsia" w:ascii="Times New Roman" w:hAnsi="Times New Roman" w:eastAsia="仿宋_GB2312" w:cs="Times New Roman"/>
          <w:color w:val="auto"/>
          <w:lang w:eastAsia="zh-CN"/>
        </w:rPr>
        <w:t>m。地表水及环境风险保护目标主要为</w:t>
      </w:r>
      <w:r>
        <w:rPr>
          <w:rFonts w:hint="eastAsia" w:eastAsia="仿宋_GB2312"/>
          <w:color w:val="auto"/>
          <w:sz w:val="24"/>
          <w:lang w:val="en-US" w:eastAsia="zh-CN"/>
        </w:rPr>
        <w:t>枝江市百里洲水厂新建取水口（在建），位于下游同岸约22km</w:t>
      </w:r>
      <w:r>
        <w:rPr>
          <w:rFonts w:hint="eastAsia" w:ascii="Times New Roman" w:hAnsi="Times New Roman" w:eastAsia="仿宋_GB2312" w:cs="Times New Roman"/>
          <w:color w:val="auto"/>
          <w:lang w:eastAsia="zh-CN"/>
        </w:rPr>
        <w:t>。本工程不在国家公园、自然保护区、自然公园等自然保护地、世界自然遗产、生态保护红线等区域范围内</w:t>
      </w:r>
      <w:r>
        <w:rPr>
          <w:rFonts w:hint="eastAsia" w:eastAsia="仿宋_GB2312" w:cs="Times New Roman"/>
          <w:color w:val="auto"/>
          <w:lang w:eastAsia="zh-CN"/>
        </w:rPr>
        <w:t>，</w:t>
      </w:r>
      <w:r>
        <w:rPr>
          <w:rFonts w:hint="eastAsia" w:eastAsia="仿宋_GB2312"/>
          <w:color w:val="auto"/>
          <w:sz w:val="24"/>
          <w:lang w:val="en-US" w:eastAsia="zh-CN"/>
        </w:rPr>
        <w:t>位于长江湖北宜昌中华鲟自然保护区</w:t>
      </w:r>
      <w:r>
        <w:rPr>
          <w:rFonts w:hint="eastAsia" w:eastAsia="仿宋_GB2312"/>
          <w:b/>
          <w:bCs/>
          <w:color w:val="auto"/>
          <w:sz w:val="24"/>
          <w:lang w:val="en-US" w:eastAsia="zh-CN"/>
        </w:rPr>
        <w:t>外围保护地带。</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2.3.3航道、锚地</w:t>
      </w:r>
    </w:p>
    <w:p>
      <w:pPr>
        <w:pStyle w:val="1025"/>
        <w:widowControl w:val="0"/>
        <w:spacing w:line="360" w:lineRule="auto"/>
        <w:ind w:firstLine="480" w:firstLineChars="200"/>
        <w:rPr>
          <w:rFonts w:hint="eastAsia" w:ascii="Times New Roman" w:hAnsi="Times New Roman" w:eastAsia="仿宋_GB2312" w:cs="Times New Roman"/>
          <w:color w:val="auto"/>
          <w:lang w:eastAsia="zh-CN"/>
        </w:rPr>
      </w:pPr>
      <w:r>
        <w:rPr>
          <w:rFonts w:hint="eastAsia" w:ascii="Times New Roman" w:hAnsi="Times New Roman" w:eastAsia="仿宋_GB2312" w:cs="Times New Roman"/>
          <w:color w:val="auto"/>
          <w:lang w:eastAsia="zh-CN"/>
        </w:rPr>
        <w:t>依据《长江干线通航标准》（JTS180-4-2020）中有关规定，本工程船舶航行所需的航道宽度按双线航道计算，根据公式计算，本工程设计代表船型所需航道宽度为80m，船舶所需航道水深3.</w:t>
      </w:r>
      <w:r>
        <w:rPr>
          <w:rFonts w:hint="eastAsia" w:eastAsia="仿宋_GB2312" w:cs="Times New Roman"/>
          <w:color w:val="auto"/>
          <w:lang w:val="en-US" w:eastAsia="zh-CN"/>
        </w:rPr>
        <w:t>7</w:t>
      </w:r>
      <w:r>
        <w:rPr>
          <w:rFonts w:hint="eastAsia" w:ascii="Times New Roman" w:hAnsi="Times New Roman" w:eastAsia="仿宋_GB2312" w:cs="Times New Roman"/>
          <w:color w:val="auto"/>
          <w:lang w:eastAsia="zh-CN"/>
        </w:rPr>
        <w:t>m。</w:t>
      </w:r>
    </w:p>
    <w:p>
      <w:pPr>
        <w:pStyle w:val="1025"/>
        <w:widowControl w:val="0"/>
        <w:spacing w:line="360" w:lineRule="auto"/>
        <w:ind w:firstLine="480" w:firstLineChars="200"/>
        <w:rPr>
          <w:rFonts w:hint="eastAsia" w:ascii="Times New Roman" w:hAnsi="Times New Roman" w:eastAsia="仿宋_GB2312" w:cs="Times New Roman"/>
          <w:color w:val="auto"/>
          <w:lang w:eastAsia="zh-CN"/>
        </w:rPr>
      </w:pPr>
      <w:r>
        <w:rPr>
          <w:rFonts w:hint="eastAsia" w:ascii="Times New Roman" w:hAnsi="Times New Roman" w:eastAsia="仿宋_GB2312" w:cs="Times New Roman"/>
          <w:color w:val="auto"/>
          <w:lang w:eastAsia="zh-CN"/>
        </w:rPr>
        <w:t>现阶段宜昌下临江坪以下航段航道最小维护宽度为100m，航道维护最小水深为3.8m。可满足本工程设计代表船型双向航行宽度</w:t>
      </w:r>
      <w:r>
        <w:rPr>
          <w:rFonts w:hint="eastAsia" w:ascii="Times New Roman" w:hAnsi="Times New Roman" w:eastAsia="仿宋_GB2312" w:cs="Times New Roman"/>
          <w:color w:val="auto"/>
          <w:lang w:val="en-US" w:eastAsia="zh-CN"/>
        </w:rPr>
        <w:t>及水深</w:t>
      </w:r>
      <w:r>
        <w:rPr>
          <w:rFonts w:hint="eastAsia" w:ascii="Times New Roman" w:hAnsi="Times New Roman" w:eastAsia="仿宋_GB2312" w:cs="Times New Roman"/>
          <w:color w:val="auto"/>
          <w:lang w:eastAsia="zh-CN"/>
        </w:rPr>
        <w:t>的要求。</w:t>
      </w:r>
    </w:p>
    <w:p>
      <w:pPr>
        <w:widowControl w:val="0"/>
        <w:tabs>
          <w:tab w:val="left" w:pos="-540"/>
        </w:tabs>
        <w:spacing w:line="360" w:lineRule="auto"/>
        <w:ind w:firstLine="480" w:firstLineChars="200"/>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根据《宜昌港总体规划（2020-2035年）》，宜昌港共规划港口锚地15处，主要包括古老背锚地、孙家河锚地、石鼓锚地、姚家港锚地、刘巷锚地、八亩滩锚地、杨家河锚地、平邑口锚地、峡口锚地、贾家店锚地、车站坪锚地、马家溪锚地、周衙坪锚地、锁风湾锚地、花桥锚地等。</w:t>
      </w:r>
    </w:p>
    <w:p>
      <w:pPr>
        <w:widowControl w:val="0"/>
        <w:tabs>
          <w:tab w:val="left" w:pos="-540"/>
        </w:tabs>
        <w:spacing w:line="360" w:lineRule="auto"/>
        <w:ind w:firstLine="480" w:firstLineChars="200"/>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拟建码头附近有石鼓南临时停泊区，未来规划为1500×100m的石鼓锚地。</w:t>
      </w:r>
    </w:p>
    <w:p>
      <w:pPr>
        <w:widowControl w:val="0"/>
        <w:tabs>
          <w:tab w:val="left" w:pos="-540"/>
        </w:tabs>
        <w:spacing w:line="360" w:lineRule="auto"/>
        <w:ind w:firstLine="480" w:firstLineChars="200"/>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现有锚地和规划锚地均能够满足本工程船舶的锚泊需要</w:t>
      </w:r>
      <w:r>
        <w:rPr>
          <w:rFonts w:hint="eastAsia" w:eastAsia="仿宋_GB2312" w:cs="Times New Roman"/>
          <w:color w:val="auto"/>
          <w:sz w:val="24"/>
          <w:lang w:val="en-US" w:eastAsia="zh-CN"/>
        </w:rPr>
        <w:t>，具体锚泊位置需服从主管部门的安排</w:t>
      </w:r>
      <w:r>
        <w:rPr>
          <w:rFonts w:hint="eastAsia" w:ascii="Times New Roman" w:hAnsi="Times New Roman" w:eastAsia="仿宋_GB2312" w:cs="Times New Roman"/>
          <w:color w:val="auto"/>
          <w:sz w:val="24"/>
          <w:lang w:val="en-US" w:eastAsia="zh-CN"/>
        </w:rPr>
        <w:t>。</w:t>
      </w:r>
    </w:p>
    <w:p>
      <w:pPr>
        <w:pStyle w:val="9"/>
        <w:widowControl w:val="0"/>
        <w:spacing w:before="120" w:after="120" w:line="360" w:lineRule="auto"/>
        <w:rPr>
          <w:rFonts w:hint="default" w:ascii="Times New Roman" w:hAnsi="Times New Roman" w:eastAsia="黑体" w:cs="Times New Roman"/>
          <w:b w:val="0"/>
          <w:color w:val="auto"/>
          <w:sz w:val="24"/>
          <w:lang w:val="en-US" w:eastAsia="zh-CN"/>
        </w:rPr>
      </w:pPr>
      <w:bookmarkStart w:id="295" w:name="_Toc5014"/>
      <w:r>
        <w:rPr>
          <w:rFonts w:ascii="Times New Roman" w:hAnsi="Times New Roman" w:eastAsia="黑体" w:cs="Times New Roman"/>
          <w:b w:val="0"/>
          <w:color w:val="auto"/>
          <w:sz w:val="24"/>
        </w:rPr>
        <w:t>2.</w:t>
      </w:r>
      <w:r>
        <w:rPr>
          <w:rFonts w:hint="eastAsia" w:ascii="Times New Roman" w:hAnsi="Times New Roman" w:eastAsia="黑体" w:cs="Times New Roman"/>
          <w:b w:val="0"/>
          <w:color w:val="auto"/>
          <w:sz w:val="24"/>
          <w:lang w:val="en-US" w:eastAsia="zh-CN"/>
        </w:rPr>
        <w:t>2.</w:t>
      </w:r>
      <w:r>
        <w:rPr>
          <w:rFonts w:hint="eastAsia" w:eastAsia="黑体" w:cs="Times New Roman"/>
          <w:b w:val="0"/>
          <w:color w:val="auto"/>
          <w:sz w:val="24"/>
          <w:lang w:val="en-US" w:eastAsia="zh-CN"/>
        </w:rPr>
        <w:t>3</w:t>
      </w:r>
      <w:r>
        <w:rPr>
          <w:rFonts w:hint="eastAsia" w:ascii="Times New Roman" w:hAnsi="Times New Roman" w:eastAsia="黑体" w:cs="Times New Roman"/>
          <w:b w:val="0"/>
          <w:color w:val="auto"/>
          <w:sz w:val="24"/>
          <w:lang w:val="en-US" w:eastAsia="zh-CN"/>
        </w:rPr>
        <w:t>装卸工艺</w:t>
      </w:r>
      <w:bookmarkEnd w:id="295"/>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2.2.</w:t>
      </w:r>
      <w:r>
        <w:rPr>
          <w:rFonts w:hint="eastAsia" w:eastAsia="黑体" w:cs="Times New Roman"/>
          <w:color w:val="auto"/>
          <w:szCs w:val="24"/>
          <w:lang w:val="en-US" w:eastAsia="zh-CN"/>
        </w:rPr>
        <w:t>3</w:t>
      </w:r>
      <w:r>
        <w:rPr>
          <w:rFonts w:hint="eastAsia" w:ascii="Times New Roman" w:hAnsi="Times New Roman" w:eastAsia="黑体" w:cs="Times New Roman"/>
          <w:color w:val="auto"/>
          <w:szCs w:val="24"/>
          <w:lang w:val="en-US" w:eastAsia="zh-CN"/>
        </w:rPr>
        <w:t>.1吞吐量</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本工程装卸货种、吞吐量及流向见下表。</w:t>
      </w:r>
    </w:p>
    <w:p>
      <w:pPr>
        <w:widowControl w:val="0"/>
        <w:tabs>
          <w:tab w:val="left" w:pos="-540"/>
        </w:tabs>
        <w:spacing w:line="360" w:lineRule="auto"/>
        <w:jc w:val="center"/>
        <w:rPr>
          <w:rFonts w:eastAsia="黑体"/>
          <w:b/>
          <w:color w:val="auto"/>
          <w:sz w:val="21"/>
        </w:rPr>
      </w:pPr>
    </w:p>
    <w:p>
      <w:pPr>
        <w:widowControl w:val="0"/>
        <w:tabs>
          <w:tab w:val="left" w:pos="-540"/>
        </w:tabs>
        <w:spacing w:line="360" w:lineRule="auto"/>
        <w:jc w:val="center"/>
        <w:rPr>
          <w:rFonts w:hint="default" w:eastAsia="黑体"/>
          <w:b/>
          <w:color w:val="auto"/>
          <w:sz w:val="21"/>
          <w:lang w:val="en-US" w:eastAsia="zh-CN"/>
        </w:rPr>
      </w:pPr>
      <w:r>
        <w:rPr>
          <w:rFonts w:eastAsia="黑体"/>
          <w:b/>
          <w:color w:val="auto"/>
          <w:sz w:val="21"/>
        </w:rPr>
        <w:t>表2.2-</w:t>
      </w:r>
      <w:r>
        <w:rPr>
          <w:rFonts w:hint="eastAsia" w:eastAsia="黑体"/>
          <w:b/>
          <w:color w:val="auto"/>
          <w:sz w:val="21"/>
          <w:lang w:val="en-US" w:eastAsia="zh-CN"/>
        </w:rPr>
        <w:t>5</w:t>
      </w:r>
      <w:r>
        <w:rPr>
          <w:rFonts w:eastAsia="黑体"/>
          <w:b/>
          <w:color w:val="auto"/>
          <w:sz w:val="21"/>
        </w:rPr>
        <w:t xml:space="preserve">  </w:t>
      </w:r>
      <w:r>
        <w:rPr>
          <w:rFonts w:hint="eastAsia" w:eastAsia="黑体"/>
          <w:b/>
          <w:color w:val="auto"/>
          <w:sz w:val="21"/>
          <w:lang w:val="en-US" w:eastAsia="zh-CN"/>
        </w:rPr>
        <w:t>吞吐量一览表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35"/>
        <w:gridCol w:w="1963"/>
        <w:gridCol w:w="2985"/>
        <w:gridCol w:w="21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eastAsia="宋体"/>
                <w:color w:val="auto"/>
                <w:sz w:val="20"/>
                <w:lang w:val="en-US" w:eastAsia="zh-CN"/>
              </w:rPr>
              <w:t>序号</w:t>
            </w:r>
          </w:p>
        </w:tc>
        <w:tc>
          <w:tcPr>
            <w:tcW w:w="115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eastAsia="宋体"/>
                <w:color w:val="auto"/>
                <w:sz w:val="20"/>
                <w:lang w:val="en-US" w:eastAsia="zh-CN"/>
              </w:rPr>
              <w:t>货种</w:t>
            </w:r>
          </w:p>
        </w:tc>
        <w:tc>
          <w:tcPr>
            <w:tcW w:w="175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eastAsia="宋体"/>
                <w:color w:val="auto"/>
                <w:sz w:val="20"/>
                <w:lang w:val="en-US" w:eastAsia="zh-CN"/>
              </w:rPr>
              <w:t>吞吐量</w:t>
            </w:r>
          </w:p>
        </w:tc>
        <w:tc>
          <w:tcPr>
            <w:tcW w:w="1250"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r>
              <w:rPr>
                <w:rFonts w:hint="eastAsia" w:eastAsia="宋体"/>
                <w:color w:val="auto"/>
                <w:sz w:val="20"/>
                <w:lang w:val="en-US" w:eastAsia="zh-CN"/>
              </w:rPr>
              <w:t>流向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1</w:t>
            </w:r>
          </w:p>
        </w:tc>
        <w:tc>
          <w:tcPr>
            <w:tcW w:w="1153" w:type="pct"/>
            <w:noWrap w:val="0"/>
            <w:vAlign w:val="center"/>
          </w:tcPr>
          <w:p>
            <w:pPr>
              <w:jc w:val="center"/>
              <w:rPr>
                <w:rFonts w:hint="eastAsia" w:eastAsia="宋体"/>
                <w:color w:val="auto"/>
                <w:sz w:val="20"/>
                <w:lang w:val="en-US" w:eastAsia="zh-CN"/>
              </w:rPr>
            </w:pPr>
            <w:r>
              <w:rPr>
                <w:rFonts w:hint="eastAsia"/>
                <w:color w:val="auto"/>
                <w:sz w:val="20"/>
                <w:lang w:val="en-US" w:eastAsia="zh-CN"/>
              </w:rPr>
              <w:t>砂石料</w:t>
            </w:r>
          </w:p>
        </w:tc>
        <w:tc>
          <w:tcPr>
            <w:tcW w:w="1753" w:type="pct"/>
            <w:noWrap w:val="0"/>
            <w:vAlign w:val="center"/>
          </w:tcPr>
          <w:p>
            <w:pPr>
              <w:jc w:val="center"/>
              <w:rPr>
                <w:rFonts w:hint="default" w:eastAsia="宋体"/>
                <w:color w:val="auto"/>
                <w:sz w:val="20"/>
                <w:lang w:val="en-US" w:eastAsia="zh-CN"/>
              </w:rPr>
            </w:pPr>
            <w:r>
              <w:rPr>
                <w:rFonts w:hint="eastAsia"/>
                <w:color w:val="auto"/>
                <w:sz w:val="20"/>
                <w:lang w:val="en-US" w:eastAsia="zh-CN"/>
              </w:rPr>
              <w:t>400万吨/年</w:t>
            </w:r>
          </w:p>
        </w:tc>
        <w:tc>
          <w:tcPr>
            <w:tcW w:w="1250" w:type="pct"/>
            <w:noWrap w:val="0"/>
            <w:vAlign w:val="center"/>
          </w:tcPr>
          <w:p>
            <w:pPr>
              <w:jc w:val="center"/>
              <w:rPr>
                <w:rFonts w:hint="default" w:eastAsia="宋体"/>
                <w:color w:val="auto"/>
                <w:sz w:val="20"/>
                <w:lang w:val="en-US" w:eastAsia="zh-CN"/>
              </w:rPr>
            </w:pPr>
            <w:r>
              <w:rPr>
                <w:rFonts w:hint="eastAsia" w:eastAsia="宋体"/>
                <w:color w:val="auto"/>
                <w:sz w:val="20"/>
                <w:lang w:val="en-US" w:eastAsia="zh-CN"/>
              </w:rPr>
              <w:t>散货出口</w:t>
            </w:r>
          </w:p>
        </w:tc>
      </w:tr>
    </w:tbl>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2.2.</w:t>
      </w:r>
      <w:r>
        <w:rPr>
          <w:rFonts w:hint="eastAsia" w:eastAsia="黑体" w:cs="Times New Roman"/>
          <w:color w:val="auto"/>
          <w:szCs w:val="24"/>
          <w:lang w:val="en-US" w:eastAsia="zh-CN"/>
        </w:rPr>
        <w:t>3</w:t>
      </w:r>
      <w:r>
        <w:rPr>
          <w:rFonts w:hint="eastAsia" w:ascii="Times New Roman" w:hAnsi="Times New Roman" w:eastAsia="黑体" w:cs="Times New Roman"/>
          <w:color w:val="auto"/>
          <w:szCs w:val="24"/>
          <w:lang w:val="en-US" w:eastAsia="zh-CN"/>
        </w:rPr>
        <w:t>.2物料参数</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砂石料：最大粒径≤</w:t>
      </w:r>
      <w:r>
        <w:rPr>
          <w:rFonts w:hint="eastAsia" w:eastAsia="仿宋_GB2312" w:cs="Times New Roman"/>
          <w:color w:val="auto"/>
          <w:sz w:val="24"/>
          <w:lang w:val="en-US" w:eastAsia="zh-CN"/>
        </w:rPr>
        <w:t>1</w:t>
      </w:r>
      <w:r>
        <w:rPr>
          <w:rFonts w:hint="eastAsia" w:ascii="Times New Roman" w:hAnsi="Times New Roman" w:eastAsia="仿宋_GB2312" w:cs="Times New Roman"/>
          <w:color w:val="auto"/>
          <w:sz w:val="24"/>
        </w:rPr>
        <w:t>00mm，1.3~1.6t/m</w:t>
      </w:r>
      <w:r>
        <w:rPr>
          <w:rFonts w:hint="eastAsia" w:ascii="Times New Roman" w:hAnsi="Times New Roman" w:eastAsia="仿宋_GB2312" w:cs="Times New Roman"/>
          <w:color w:val="auto"/>
          <w:sz w:val="24"/>
          <w:vertAlign w:val="superscript"/>
        </w:rPr>
        <w:t>3</w:t>
      </w:r>
      <w:r>
        <w:rPr>
          <w:rFonts w:hint="eastAsia" w:ascii="Times New Roman" w:hAnsi="Times New Roman" w:eastAsia="仿宋_GB2312" w:cs="Times New Roman"/>
          <w:color w:val="auto"/>
          <w:sz w:val="24"/>
        </w:rPr>
        <w:t>，输送角度≤16°</w:t>
      </w:r>
      <w:r>
        <w:rPr>
          <w:rFonts w:hint="eastAsia" w:ascii="Times New Roman" w:hAnsi="Times New Roman" w:eastAsia="仿宋_GB2312" w:cs="Times New Roman"/>
          <w:color w:val="auto"/>
          <w:sz w:val="24"/>
          <w:lang w:eastAsia="zh-CN"/>
        </w:rPr>
        <w:t>。</w:t>
      </w:r>
    </w:p>
    <w:p>
      <w:pPr>
        <w:widowControl w:val="0"/>
        <w:tabs>
          <w:tab w:val="left" w:pos="-540"/>
        </w:tabs>
        <w:spacing w:line="360" w:lineRule="auto"/>
        <w:jc w:val="center"/>
        <w:rPr>
          <w:rFonts w:hint="default" w:eastAsia="黑体"/>
          <w:b/>
          <w:color w:val="auto"/>
          <w:sz w:val="21"/>
          <w:lang w:val="en-US" w:eastAsia="zh-CN"/>
        </w:rPr>
      </w:pPr>
      <w:r>
        <w:rPr>
          <w:rFonts w:eastAsia="黑体"/>
          <w:b/>
          <w:color w:val="auto"/>
          <w:sz w:val="21"/>
        </w:rPr>
        <w:t>表2.2-</w:t>
      </w:r>
      <w:r>
        <w:rPr>
          <w:rFonts w:hint="eastAsia" w:eastAsia="黑体"/>
          <w:b/>
          <w:color w:val="auto"/>
          <w:sz w:val="21"/>
          <w:lang w:val="en-US" w:eastAsia="zh-CN"/>
        </w:rPr>
        <w:t>6</w:t>
      </w:r>
      <w:r>
        <w:rPr>
          <w:rFonts w:eastAsia="黑体"/>
          <w:b/>
          <w:color w:val="auto"/>
          <w:sz w:val="21"/>
        </w:rPr>
        <w:t xml:space="preserve">  </w:t>
      </w:r>
      <w:r>
        <w:rPr>
          <w:rFonts w:hint="eastAsia" w:eastAsia="黑体"/>
          <w:b/>
          <w:color w:val="auto"/>
          <w:sz w:val="21"/>
          <w:lang w:val="en-US" w:eastAsia="zh-CN"/>
        </w:rPr>
        <w:t>技改工程出口砂石料货种粒径分布情况表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92"/>
        <w:gridCol w:w="1754"/>
        <w:gridCol w:w="1933"/>
        <w:gridCol w:w="1977"/>
        <w:gridCol w:w="15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59"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货种</w:t>
            </w:r>
          </w:p>
        </w:tc>
        <w:tc>
          <w:tcPr>
            <w:tcW w:w="1030"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出口量（t/a）</w:t>
            </w:r>
          </w:p>
        </w:tc>
        <w:tc>
          <w:tcPr>
            <w:tcW w:w="1135"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占比（%）</w:t>
            </w:r>
          </w:p>
        </w:tc>
        <w:tc>
          <w:tcPr>
            <w:tcW w:w="1161"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粒径（mm）</w:t>
            </w:r>
          </w:p>
        </w:tc>
        <w:tc>
          <w:tcPr>
            <w:tcW w:w="913"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含水量（%）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59"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水洗砂</w:t>
            </w:r>
          </w:p>
        </w:tc>
        <w:tc>
          <w:tcPr>
            <w:tcW w:w="1030" w:type="pct"/>
            <w:tcBorders>
              <w:top w:val="single" w:color="auto" w:sz="12" w:space="0"/>
            </w:tcBorders>
            <w:noWrap w:val="0"/>
            <w:vAlign w:val="center"/>
          </w:tcPr>
          <w:p>
            <w:pPr>
              <w:jc w:val="center"/>
              <w:rPr>
                <w:rFonts w:hint="default" w:eastAsia="宋体"/>
                <w:color w:val="auto"/>
                <w:sz w:val="20"/>
                <w:lang w:val="en-US" w:eastAsia="zh-CN"/>
              </w:rPr>
            </w:pPr>
            <w:r>
              <w:rPr>
                <w:rFonts w:hint="eastAsia"/>
                <w:color w:val="auto"/>
                <w:sz w:val="20"/>
                <w:lang w:val="en-US" w:eastAsia="zh-CN"/>
              </w:rPr>
              <w:t>360</w:t>
            </w:r>
          </w:p>
        </w:tc>
        <w:tc>
          <w:tcPr>
            <w:tcW w:w="1135"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90</w:t>
            </w:r>
          </w:p>
        </w:tc>
        <w:tc>
          <w:tcPr>
            <w:tcW w:w="1161"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0~5</w:t>
            </w:r>
          </w:p>
        </w:tc>
        <w:tc>
          <w:tcPr>
            <w:tcW w:w="913" w:type="pct"/>
            <w:tcBorders>
              <w:top w:val="single" w:color="auto" w:sz="12" w:space="0"/>
            </w:tcBorders>
            <w:noWrap w:val="0"/>
            <w:vAlign w:val="center"/>
          </w:tcPr>
          <w:p>
            <w:pPr>
              <w:jc w:val="center"/>
              <w:rPr>
                <w:rFonts w:hint="default" w:eastAsia="宋体"/>
                <w:color w:val="auto"/>
                <w:sz w:val="20"/>
                <w:lang w:val="en-US" w:eastAsia="zh-CN"/>
              </w:rPr>
            </w:pPr>
            <w:r>
              <w:rPr>
                <w:rFonts w:hint="eastAsia"/>
                <w:color w:val="auto"/>
                <w:sz w:val="20"/>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59" w:type="pct"/>
            <w:noWrap w:val="0"/>
            <w:vAlign w:val="center"/>
          </w:tcPr>
          <w:p>
            <w:pPr>
              <w:pStyle w:val="1025"/>
              <w:autoSpaceDE/>
              <w:autoSpaceDN/>
              <w:adjustRightInd/>
              <w:spacing w:line="240" w:lineRule="auto"/>
              <w:ind w:firstLine="0" w:firstLineChars="0"/>
              <w:jc w:val="center"/>
              <w:textAlignment w:val="auto"/>
              <w:rPr>
                <w:rFonts w:hint="default" w:ascii="Times New Roman" w:hAnsi="Times New Roman" w:eastAsia="宋体" w:cs="Times New Roman"/>
                <w:color w:val="auto"/>
                <w:kern w:val="0"/>
                <w:sz w:val="20"/>
                <w:lang w:val="en-US" w:eastAsia="zh-CN" w:bidi="ar-SA"/>
              </w:rPr>
            </w:pPr>
            <w:r>
              <w:rPr>
                <w:rFonts w:hint="eastAsia"/>
                <w:color w:val="auto"/>
                <w:sz w:val="20"/>
                <w:lang w:val="en-US" w:eastAsia="zh-CN"/>
              </w:rPr>
              <w:t>骨料</w:t>
            </w:r>
          </w:p>
        </w:tc>
        <w:tc>
          <w:tcPr>
            <w:tcW w:w="1030" w:type="pct"/>
            <w:noWrap w:val="0"/>
            <w:vAlign w:val="center"/>
          </w:tcPr>
          <w:p>
            <w:pPr>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40</w:t>
            </w:r>
          </w:p>
        </w:tc>
        <w:tc>
          <w:tcPr>
            <w:tcW w:w="1135" w:type="pct"/>
            <w:noWrap w:val="0"/>
            <w:vAlign w:val="center"/>
          </w:tcPr>
          <w:p>
            <w:pPr>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10</w:t>
            </w:r>
          </w:p>
        </w:tc>
        <w:tc>
          <w:tcPr>
            <w:tcW w:w="1161" w:type="pct"/>
            <w:noWrap w:val="0"/>
            <w:vAlign w:val="center"/>
          </w:tcPr>
          <w:p>
            <w:pPr>
              <w:autoSpaceDE/>
              <w:autoSpaceDN/>
              <w:adjustRightInd/>
              <w:spacing w:line="240" w:lineRule="auto"/>
              <w:ind w:firstLine="0" w:firstLineChars="0"/>
              <w:jc w:val="center"/>
              <w:textAlignment w:val="auto"/>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5~16</w:t>
            </w:r>
          </w:p>
        </w:tc>
        <w:tc>
          <w:tcPr>
            <w:tcW w:w="913" w:type="pct"/>
            <w:noWrap w:val="0"/>
            <w:vAlign w:val="center"/>
          </w:tcPr>
          <w:p>
            <w:pPr>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5</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2.3.3装卸工艺方案</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本方案码头前沿技改2个浮码头泊位，采用弧形轨道装船机用于完成散货装船作业。水平运输设备选用带式输送机将物料由后方规划堆存区（现状为美洋化肥厂）输送至码头。</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每个趸船泊位上布置2台弧形轨道装船机，2条转接带式输送机和1个钢结构转运平台。码头共设置2个转运楼，每个转运楼内布置1台电动葫芦用于检修作业。</w:t>
      </w:r>
    </w:p>
    <w:p>
      <w:pPr>
        <w:widowControl w:val="0"/>
        <w:tabs>
          <w:tab w:val="left" w:pos="-540"/>
        </w:tabs>
        <w:spacing w:line="360" w:lineRule="auto"/>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2#转运楼至码头前方趸船转运平台采用2线带式输送机作业。每线输送机经由趸船转运平台进行分料，再经由趸船上2条转接带式输送机将物料分别输送至装船机</w:t>
      </w:r>
      <w:r>
        <w:rPr>
          <w:rFonts w:hint="eastAsia" w:ascii="Times New Roman" w:hAnsi="Times New Roman" w:eastAsia="仿宋_GB2312" w:cs="Times New Roman"/>
          <w:color w:val="auto"/>
          <w:sz w:val="24"/>
          <w:lang w:eastAsia="zh-CN"/>
        </w:rPr>
        <w:t>。</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2.3.4装卸工艺流程</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2#转运楼到1#泊位：2#转运楼→BC14带式输送机→BC13带式输送机→1#趸船转运平台→BC11/BC12带式输送机→弧形轨道装船机→船；</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2#转运楼到2#泊位：2#转运楼→BC23带式输送机→2#趸船转运平台→BC21/BC22带式输送机→弧形轨道装船机→船</w:t>
      </w:r>
      <w:r>
        <w:rPr>
          <w:rFonts w:hint="eastAsia" w:ascii="Times New Roman" w:hAnsi="Times New Roman" w:eastAsia="仿宋_GB2312" w:cs="Times New Roman"/>
          <w:color w:val="auto"/>
          <w:sz w:val="24"/>
        </w:rPr>
        <w:t>。</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2.3.5装卸设备选型</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散货</w:t>
      </w:r>
      <w:r>
        <w:rPr>
          <w:rFonts w:hint="eastAsia" w:ascii="Times New Roman" w:hAnsi="Times New Roman" w:eastAsia="仿宋_GB2312" w:cs="Times New Roman"/>
          <w:color w:val="auto"/>
          <w:sz w:val="24"/>
        </w:rPr>
        <w:t>装船设备选用</w:t>
      </w:r>
      <w:r>
        <w:rPr>
          <w:rFonts w:hint="eastAsia" w:eastAsia="仿宋_GB2312" w:cs="Times New Roman"/>
          <w:color w:val="auto"/>
          <w:sz w:val="24"/>
          <w:lang w:val="en-US" w:eastAsia="zh-CN"/>
        </w:rPr>
        <w:t>200</w:t>
      </w:r>
      <w:r>
        <w:rPr>
          <w:rFonts w:hint="eastAsia" w:ascii="Times New Roman" w:hAnsi="Times New Roman" w:eastAsia="仿宋_GB2312" w:cs="Times New Roman"/>
          <w:color w:val="auto"/>
          <w:sz w:val="24"/>
        </w:rPr>
        <w:t>0t/h弧形轨道装船机，水平运输选用DTⅡ（A）型带式输送机，其中2#转运楼至趸船转运平台带式输送机输送量3000t/h，趸船上转接带式输送机输送量</w:t>
      </w:r>
      <w:r>
        <w:rPr>
          <w:rFonts w:hint="eastAsia" w:eastAsia="仿宋_GB2312" w:cs="Times New Roman"/>
          <w:color w:val="auto"/>
          <w:sz w:val="24"/>
          <w:lang w:val="en-US" w:eastAsia="zh-CN"/>
        </w:rPr>
        <w:t>20</w:t>
      </w:r>
      <w:r>
        <w:rPr>
          <w:rFonts w:hint="eastAsia" w:ascii="Times New Roman" w:hAnsi="Times New Roman" w:eastAsia="仿宋_GB2312" w:cs="Times New Roman"/>
          <w:color w:val="auto"/>
          <w:sz w:val="24"/>
        </w:rPr>
        <w:t>00t/h</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具体设备选型见下表。</w:t>
      </w:r>
    </w:p>
    <w:p>
      <w:pPr>
        <w:widowControl w:val="0"/>
        <w:tabs>
          <w:tab w:val="left" w:pos="-540"/>
        </w:tabs>
        <w:spacing w:line="360" w:lineRule="auto"/>
        <w:jc w:val="center"/>
        <w:rPr>
          <w:rFonts w:hint="default" w:eastAsia="黑体"/>
          <w:b/>
          <w:color w:val="auto"/>
          <w:sz w:val="21"/>
          <w:lang w:val="en-US" w:eastAsia="zh-CN"/>
        </w:rPr>
      </w:pPr>
      <w:r>
        <w:rPr>
          <w:rFonts w:eastAsia="黑体"/>
          <w:b/>
          <w:color w:val="auto"/>
          <w:sz w:val="21"/>
        </w:rPr>
        <w:t>表2.2-</w:t>
      </w:r>
      <w:r>
        <w:rPr>
          <w:rFonts w:hint="eastAsia" w:eastAsia="黑体"/>
          <w:b/>
          <w:color w:val="auto"/>
          <w:sz w:val="21"/>
          <w:lang w:val="en-US" w:eastAsia="zh-CN"/>
        </w:rPr>
        <w:t>7</w:t>
      </w:r>
      <w:r>
        <w:rPr>
          <w:rFonts w:eastAsia="黑体"/>
          <w:b/>
          <w:color w:val="auto"/>
          <w:sz w:val="21"/>
        </w:rPr>
        <w:t xml:space="preserve">  </w:t>
      </w:r>
      <w:r>
        <w:rPr>
          <w:rFonts w:hint="eastAsia" w:eastAsia="黑体"/>
          <w:b/>
          <w:color w:val="auto"/>
          <w:sz w:val="21"/>
          <w:lang w:val="en-US" w:eastAsia="zh-CN"/>
        </w:rPr>
        <w:t>主要装卸工艺设备配置一览表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6"/>
        <w:gridCol w:w="2337"/>
        <w:gridCol w:w="3059"/>
        <w:gridCol w:w="1019"/>
        <w:gridCol w:w="11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序号</w:t>
            </w:r>
          </w:p>
        </w:tc>
        <w:tc>
          <w:tcPr>
            <w:tcW w:w="1372"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名称</w:t>
            </w:r>
          </w:p>
        </w:tc>
        <w:tc>
          <w:tcPr>
            <w:tcW w:w="1796"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规格</w:t>
            </w:r>
          </w:p>
        </w:tc>
        <w:tc>
          <w:tcPr>
            <w:tcW w:w="598"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单位</w:t>
            </w:r>
          </w:p>
        </w:tc>
        <w:tc>
          <w:tcPr>
            <w:tcW w:w="693" w:type="pct"/>
            <w:tcBorders>
              <w:top w:val="single" w:color="auto" w:sz="12" w:space="0"/>
              <w:bottom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r>
              <w:rPr>
                <w:rFonts w:hint="eastAsia"/>
                <w:color w:val="auto"/>
                <w:sz w:val="20"/>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1</w:t>
            </w:r>
          </w:p>
        </w:tc>
        <w:tc>
          <w:tcPr>
            <w:tcW w:w="1372" w:type="pct"/>
            <w:tcBorders>
              <w:top w:val="single" w:color="auto" w:sz="12" w:space="0"/>
            </w:tcBorders>
            <w:noWrap w:val="0"/>
            <w:vAlign w:val="center"/>
          </w:tcPr>
          <w:p>
            <w:pPr>
              <w:jc w:val="center"/>
              <w:rPr>
                <w:color w:val="auto"/>
                <w:sz w:val="20"/>
              </w:rPr>
            </w:pPr>
            <w:r>
              <w:rPr>
                <w:rFonts w:hint="eastAsia"/>
                <w:color w:val="auto"/>
                <w:sz w:val="20"/>
              </w:rPr>
              <w:t>弧形轨道装船机</w:t>
            </w:r>
          </w:p>
        </w:tc>
        <w:tc>
          <w:tcPr>
            <w:tcW w:w="1796" w:type="pct"/>
            <w:tcBorders>
              <w:top w:val="single" w:color="auto" w:sz="12" w:space="0"/>
            </w:tcBorders>
            <w:noWrap w:val="0"/>
            <w:vAlign w:val="center"/>
          </w:tcPr>
          <w:p>
            <w:pPr>
              <w:pStyle w:val="1025"/>
              <w:autoSpaceDE/>
              <w:autoSpaceDN/>
              <w:adjustRightInd/>
              <w:spacing w:line="240" w:lineRule="auto"/>
              <w:ind w:firstLine="0"/>
              <w:jc w:val="center"/>
              <w:textAlignment w:val="auto"/>
              <w:rPr>
                <w:color w:val="auto"/>
                <w:sz w:val="20"/>
              </w:rPr>
            </w:pPr>
            <w:r>
              <w:rPr>
                <w:rFonts w:hint="eastAsia"/>
                <w:color w:val="auto"/>
                <w:sz w:val="20"/>
                <w:lang w:val="en-US" w:eastAsia="zh-CN"/>
              </w:rPr>
              <w:t>200</w:t>
            </w:r>
            <w:r>
              <w:rPr>
                <w:rFonts w:hint="eastAsia"/>
                <w:color w:val="auto"/>
                <w:sz w:val="20"/>
              </w:rPr>
              <w:t>0t/h</w:t>
            </w:r>
          </w:p>
        </w:tc>
        <w:tc>
          <w:tcPr>
            <w:tcW w:w="598" w:type="pct"/>
            <w:tcBorders>
              <w:top w:val="single" w:color="auto" w:sz="12" w:space="0"/>
            </w:tcBorders>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台</w:t>
            </w:r>
          </w:p>
        </w:tc>
        <w:tc>
          <w:tcPr>
            <w:tcW w:w="693" w:type="pct"/>
            <w:tcBorders>
              <w:top w:val="single" w:color="auto" w:sz="12" w:space="0"/>
            </w:tcBorders>
            <w:noWrap w:val="0"/>
            <w:vAlign w:val="center"/>
          </w:tcPr>
          <w:p>
            <w:pPr>
              <w:jc w:val="center"/>
              <w:rPr>
                <w:rFonts w:hint="eastAsia" w:eastAsia="宋体"/>
                <w:color w:val="auto"/>
                <w:sz w:val="20"/>
                <w:lang w:val="en-US" w:eastAsia="zh-CN"/>
              </w:rPr>
            </w:pPr>
            <w:r>
              <w:rPr>
                <w:rFonts w:hint="eastAsia"/>
                <w:color w:val="auto"/>
                <w:sz w:val="20"/>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2</w:t>
            </w:r>
          </w:p>
        </w:tc>
        <w:tc>
          <w:tcPr>
            <w:tcW w:w="1372" w:type="pct"/>
            <w:noWrap w:val="0"/>
            <w:vAlign w:val="center"/>
          </w:tcPr>
          <w:p>
            <w:pPr>
              <w:jc w:val="center"/>
              <w:rPr>
                <w:color w:val="auto"/>
                <w:sz w:val="20"/>
              </w:rPr>
            </w:pPr>
            <w:r>
              <w:rPr>
                <w:rFonts w:hint="eastAsia"/>
                <w:color w:val="auto"/>
                <w:sz w:val="20"/>
              </w:rPr>
              <w:t>BC1</w:t>
            </w:r>
            <w:r>
              <w:rPr>
                <w:rFonts w:hint="eastAsia"/>
                <w:color w:val="auto"/>
                <w:sz w:val="20"/>
                <w:lang w:val="en-US" w:eastAsia="zh-CN"/>
              </w:rPr>
              <w:t>1</w:t>
            </w:r>
            <w:r>
              <w:rPr>
                <w:rFonts w:hint="eastAsia"/>
                <w:color w:val="auto"/>
                <w:sz w:val="20"/>
              </w:rPr>
              <w:t>带式输送机</w:t>
            </w:r>
          </w:p>
        </w:tc>
        <w:tc>
          <w:tcPr>
            <w:tcW w:w="1796" w:type="pct"/>
            <w:noWrap w:val="0"/>
            <w:vAlign w:val="center"/>
          </w:tcPr>
          <w:p>
            <w:pPr>
              <w:jc w:val="center"/>
              <w:rPr>
                <w:rFonts w:hint="default"/>
                <w:color w:val="auto"/>
                <w:sz w:val="20"/>
                <w:lang w:val="en-US"/>
              </w:rPr>
            </w:pPr>
            <w:r>
              <w:rPr>
                <w:rFonts w:hint="eastAsia"/>
                <w:color w:val="auto"/>
                <w:sz w:val="20"/>
              </w:rPr>
              <w:t>B=1400mm</w:t>
            </w:r>
            <w:r>
              <w:rPr>
                <w:rFonts w:hint="eastAsia"/>
                <w:color w:val="auto"/>
                <w:sz w:val="20"/>
                <w:lang w:val="en-US" w:eastAsia="zh-CN"/>
              </w:rPr>
              <w:t>，</w:t>
            </w:r>
            <w:r>
              <w:rPr>
                <w:rFonts w:hint="eastAsia"/>
                <w:color w:val="auto"/>
                <w:sz w:val="20"/>
              </w:rPr>
              <w:t>V=</w:t>
            </w:r>
            <w:r>
              <w:rPr>
                <w:rFonts w:hint="eastAsia"/>
                <w:color w:val="auto"/>
                <w:sz w:val="20"/>
                <w:lang w:val="en-US" w:eastAsia="zh-CN"/>
              </w:rPr>
              <w:t>2.5</w:t>
            </w:r>
            <w:r>
              <w:rPr>
                <w:rFonts w:hint="eastAsia"/>
                <w:color w:val="auto"/>
                <w:sz w:val="20"/>
              </w:rPr>
              <w:t>m/s</w:t>
            </w:r>
            <w:r>
              <w:rPr>
                <w:rFonts w:hint="eastAsia"/>
                <w:color w:val="auto"/>
                <w:sz w:val="20"/>
                <w:lang w:val="en-US" w:eastAsia="zh-CN"/>
              </w:rPr>
              <w:t>，L=25m</w:t>
            </w:r>
          </w:p>
        </w:tc>
        <w:tc>
          <w:tcPr>
            <w:tcW w:w="598" w:type="pct"/>
            <w:noWrap w:val="0"/>
            <w:vAlign w:val="center"/>
          </w:tcPr>
          <w:p>
            <w:pPr>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3</w:t>
            </w:r>
          </w:p>
        </w:tc>
        <w:tc>
          <w:tcPr>
            <w:tcW w:w="1372" w:type="pct"/>
            <w:noWrap w:val="0"/>
            <w:vAlign w:val="center"/>
          </w:tcPr>
          <w:p>
            <w:pPr>
              <w:jc w:val="center"/>
              <w:rPr>
                <w:color w:val="auto"/>
                <w:sz w:val="20"/>
              </w:rPr>
            </w:pPr>
            <w:r>
              <w:rPr>
                <w:rFonts w:hint="eastAsia"/>
                <w:color w:val="auto"/>
                <w:sz w:val="20"/>
              </w:rPr>
              <w:t>BC1</w:t>
            </w:r>
            <w:r>
              <w:rPr>
                <w:rFonts w:hint="eastAsia"/>
                <w:color w:val="auto"/>
                <w:sz w:val="20"/>
                <w:lang w:val="en-US" w:eastAsia="zh-CN"/>
              </w:rPr>
              <w:t>2</w:t>
            </w:r>
            <w:r>
              <w:rPr>
                <w:rFonts w:hint="eastAsia"/>
                <w:color w:val="auto"/>
                <w:sz w:val="20"/>
              </w:rPr>
              <w:t>带式输送机</w:t>
            </w:r>
          </w:p>
        </w:tc>
        <w:tc>
          <w:tcPr>
            <w:tcW w:w="1796" w:type="pct"/>
            <w:noWrap w:val="0"/>
            <w:vAlign w:val="center"/>
          </w:tcPr>
          <w:p>
            <w:pPr>
              <w:jc w:val="center"/>
              <w:rPr>
                <w:color w:val="auto"/>
                <w:sz w:val="20"/>
              </w:rPr>
            </w:pPr>
            <w:r>
              <w:rPr>
                <w:rFonts w:hint="eastAsia"/>
                <w:color w:val="auto"/>
                <w:sz w:val="20"/>
              </w:rPr>
              <w:t>B=1400mm</w:t>
            </w:r>
            <w:r>
              <w:rPr>
                <w:rFonts w:hint="eastAsia"/>
                <w:color w:val="auto"/>
                <w:sz w:val="20"/>
                <w:lang w:val="en-US" w:eastAsia="zh-CN"/>
              </w:rPr>
              <w:t>，</w:t>
            </w:r>
            <w:r>
              <w:rPr>
                <w:rFonts w:hint="eastAsia"/>
                <w:color w:val="auto"/>
                <w:sz w:val="20"/>
              </w:rPr>
              <w:t>V=2.5m/s</w:t>
            </w:r>
            <w:r>
              <w:rPr>
                <w:rFonts w:hint="eastAsia"/>
                <w:color w:val="auto"/>
                <w:sz w:val="20"/>
                <w:lang w:val="en-US" w:eastAsia="zh-CN"/>
              </w:rPr>
              <w:t>，L=25m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4</w:t>
            </w:r>
          </w:p>
        </w:tc>
        <w:tc>
          <w:tcPr>
            <w:tcW w:w="1372" w:type="pct"/>
            <w:noWrap w:val="0"/>
            <w:vAlign w:val="center"/>
          </w:tcPr>
          <w:p>
            <w:pPr>
              <w:jc w:val="center"/>
              <w:rPr>
                <w:color w:val="auto"/>
                <w:sz w:val="20"/>
              </w:rPr>
            </w:pPr>
            <w:r>
              <w:rPr>
                <w:rFonts w:hint="eastAsia"/>
                <w:color w:val="auto"/>
                <w:sz w:val="20"/>
              </w:rPr>
              <w:t>BC1</w:t>
            </w:r>
            <w:r>
              <w:rPr>
                <w:rFonts w:hint="eastAsia"/>
                <w:color w:val="auto"/>
                <w:sz w:val="20"/>
                <w:lang w:val="en-US" w:eastAsia="zh-CN"/>
              </w:rPr>
              <w:t>3</w:t>
            </w:r>
            <w:r>
              <w:rPr>
                <w:rFonts w:hint="eastAsia"/>
                <w:color w:val="auto"/>
                <w:sz w:val="20"/>
              </w:rPr>
              <w:t>带式输送机</w:t>
            </w:r>
          </w:p>
        </w:tc>
        <w:tc>
          <w:tcPr>
            <w:tcW w:w="1796" w:type="pct"/>
            <w:noWrap w:val="0"/>
            <w:vAlign w:val="center"/>
          </w:tcPr>
          <w:p>
            <w:pPr>
              <w:jc w:val="center"/>
              <w:rPr>
                <w:color w:val="auto"/>
                <w:sz w:val="20"/>
              </w:rPr>
            </w:pPr>
            <w:r>
              <w:rPr>
                <w:rFonts w:hint="eastAsia"/>
                <w:color w:val="auto"/>
                <w:sz w:val="20"/>
              </w:rPr>
              <w:t>B=1600mm</w:t>
            </w:r>
            <w:r>
              <w:rPr>
                <w:rFonts w:hint="eastAsia"/>
                <w:color w:val="auto"/>
                <w:sz w:val="20"/>
                <w:lang w:val="en-US" w:eastAsia="zh-CN"/>
              </w:rPr>
              <w:t>，</w:t>
            </w:r>
            <w:r>
              <w:rPr>
                <w:rFonts w:hint="eastAsia"/>
                <w:color w:val="auto"/>
                <w:sz w:val="20"/>
              </w:rPr>
              <w:t>V=3.15m/s</w:t>
            </w:r>
            <w:r>
              <w:rPr>
                <w:rFonts w:hint="eastAsia"/>
                <w:color w:val="auto"/>
                <w:sz w:val="20"/>
                <w:lang w:val="en-US" w:eastAsia="zh-CN"/>
              </w:rPr>
              <w:t>，L=62m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jc w:val="center"/>
              <w:textAlignment w:val="auto"/>
              <w:rPr>
                <w:rFonts w:hint="eastAsia" w:eastAsia="宋体"/>
                <w:color w:val="auto"/>
                <w:sz w:val="20"/>
                <w:lang w:val="en-US" w:eastAsia="zh-CN"/>
              </w:rPr>
            </w:pPr>
            <w:r>
              <w:rPr>
                <w:rFonts w:hint="eastAsia"/>
                <w:color w:val="auto"/>
                <w:sz w:val="20"/>
                <w:lang w:val="en-US" w:eastAsia="zh-CN"/>
              </w:rPr>
              <w:t>5</w:t>
            </w:r>
          </w:p>
        </w:tc>
        <w:tc>
          <w:tcPr>
            <w:tcW w:w="1372" w:type="pct"/>
            <w:noWrap w:val="0"/>
            <w:vAlign w:val="center"/>
          </w:tcPr>
          <w:p>
            <w:pPr>
              <w:jc w:val="center"/>
              <w:rPr>
                <w:color w:val="auto"/>
                <w:sz w:val="20"/>
              </w:rPr>
            </w:pPr>
            <w:r>
              <w:rPr>
                <w:rFonts w:hint="eastAsia"/>
                <w:color w:val="auto"/>
                <w:sz w:val="20"/>
              </w:rPr>
              <w:t>BC1</w:t>
            </w:r>
            <w:r>
              <w:rPr>
                <w:rFonts w:hint="eastAsia"/>
                <w:color w:val="auto"/>
                <w:sz w:val="20"/>
                <w:lang w:val="en-US" w:eastAsia="zh-CN"/>
              </w:rPr>
              <w:t>4</w:t>
            </w:r>
            <w:r>
              <w:rPr>
                <w:rFonts w:hint="eastAsia"/>
                <w:color w:val="auto"/>
                <w:sz w:val="20"/>
              </w:rPr>
              <w:t>带式输送机</w:t>
            </w:r>
          </w:p>
        </w:tc>
        <w:tc>
          <w:tcPr>
            <w:tcW w:w="1796" w:type="pct"/>
            <w:noWrap w:val="0"/>
            <w:vAlign w:val="center"/>
          </w:tcPr>
          <w:p>
            <w:pPr>
              <w:jc w:val="center"/>
              <w:rPr>
                <w:color w:val="auto"/>
                <w:sz w:val="20"/>
              </w:rPr>
            </w:pPr>
            <w:r>
              <w:rPr>
                <w:rFonts w:hint="eastAsia"/>
                <w:color w:val="auto"/>
                <w:sz w:val="20"/>
              </w:rPr>
              <w:t>B=1600mm</w:t>
            </w:r>
            <w:r>
              <w:rPr>
                <w:rFonts w:hint="eastAsia"/>
                <w:color w:val="auto"/>
                <w:sz w:val="20"/>
                <w:lang w:val="en-US" w:eastAsia="zh-CN"/>
              </w:rPr>
              <w:t>，</w:t>
            </w:r>
            <w:r>
              <w:rPr>
                <w:rFonts w:hint="eastAsia"/>
                <w:color w:val="auto"/>
                <w:sz w:val="20"/>
              </w:rPr>
              <w:t>V=3.15m/s</w:t>
            </w:r>
            <w:r>
              <w:rPr>
                <w:rFonts w:hint="eastAsia"/>
                <w:color w:val="auto"/>
                <w:sz w:val="20"/>
                <w:lang w:val="en-US" w:eastAsia="zh-CN"/>
              </w:rPr>
              <w:t>，L=126m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jc w:val="center"/>
              <w:textAlignment w:val="auto"/>
              <w:rPr>
                <w:rFonts w:hint="default" w:eastAsia="宋体"/>
                <w:color w:val="auto"/>
                <w:sz w:val="20"/>
                <w:lang w:val="en-US" w:eastAsia="zh-CN"/>
              </w:rPr>
            </w:pPr>
            <w:r>
              <w:rPr>
                <w:rFonts w:hint="eastAsia"/>
                <w:color w:val="auto"/>
                <w:sz w:val="20"/>
                <w:lang w:val="en-US" w:eastAsia="zh-CN"/>
              </w:rPr>
              <w:t>6</w:t>
            </w:r>
          </w:p>
        </w:tc>
        <w:tc>
          <w:tcPr>
            <w:tcW w:w="1372" w:type="pct"/>
            <w:noWrap w:val="0"/>
            <w:vAlign w:val="center"/>
          </w:tcPr>
          <w:p>
            <w:pPr>
              <w:jc w:val="center"/>
              <w:rPr>
                <w:color w:val="auto"/>
                <w:sz w:val="20"/>
              </w:rPr>
            </w:pPr>
            <w:r>
              <w:rPr>
                <w:rFonts w:hint="eastAsia"/>
                <w:color w:val="auto"/>
                <w:sz w:val="20"/>
              </w:rPr>
              <w:t>BC2</w:t>
            </w:r>
            <w:r>
              <w:rPr>
                <w:rFonts w:hint="eastAsia"/>
                <w:color w:val="auto"/>
                <w:sz w:val="20"/>
                <w:lang w:val="en-US" w:eastAsia="zh-CN"/>
              </w:rPr>
              <w:t>1</w:t>
            </w:r>
            <w:r>
              <w:rPr>
                <w:rFonts w:hint="eastAsia"/>
                <w:color w:val="auto"/>
                <w:sz w:val="20"/>
              </w:rPr>
              <w:t>带式输送机</w:t>
            </w:r>
          </w:p>
        </w:tc>
        <w:tc>
          <w:tcPr>
            <w:tcW w:w="1796" w:type="pct"/>
            <w:noWrap w:val="0"/>
            <w:vAlign w:val="center"/>
          </w:tcPr>
          <w:p>
            <w:pPr>
              <w:jc w:val="center"/>
              <w:rPr>
                <w:color w:val="auto"/>
                <w:sz w:val="20"/>
              </w:rPr>
            </w:pPr>
            <w:r>
              <w:rPr>
                <w:rFonts w:hint="eastAsia"/>
                <w:color w:val="auto"/>
                <w:sz w:val="20"/>
              </w:rPr>
              <w:t>B=1400mm</w:t>
            </w:r>
            <w:r>
              <w:rPr>
                <w:rFonts w:hint="eastAsia"/>
                <w:color w:val="auto"/>
                <w:sz w:val="20"/>
                <w:lang w:val="en-US" w:eastAsia="zh-CN"/>
              </w:rPr>
              <w:t>，</w:t>
            </w:r>
            <w:r>
              <w:rPr>
                <w:rFonts w:hint="eastAsia"/>
                <w:color w:val="auto"/>
                <w:sz w:val="20"/>
              </w:rPr>
              <w:t>V=2.5m/s</w:t>
            </w:r>
            <w:r>
              <w:rPr>
                <w:rFonts w:hint="eastAsia"/>
                <w:color w:val="auto"/>
                <w:sz w:val="20"/>
                <w:lang w:val="en-US" w:eastAsia="zh-CN"/>
              </w:rPr>
              <w:t>，L=25m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firstLineChars="0"/>
              <w:jc w:val="center"/>
              <w:textAlignment w:val="auto"/>
              <w:rPr>
                <w:rFonts w:hint="eastAsia" w:ascii="Times New Roman" w:hAnsi="Times New Roman" w:eastAsia="宋体" w:cs="Times New Roman"/>
                <w:color w:val="auto"/>
                <w:kern w:val="0"/>
                <w:sz w:val="20"/>
                <w:lang w:val="en-US" w:eastAsia="zh-CN" w:bidi="ar-SA"/>
              </w:rPr>
            </w:pPr>
            <w:r>
              <w:rPr>
                <w:rFonts w:hint="eastAsia"/>
                <w:color w:val="auto"/>
                <w:sz w:val="20"/>
                <w:lang w:val="en-US" w:eastAsia="zh-CN"/>
              </w:rPr>
              <w:t>7</w:t>
            </w:r>
          </w:p>
        </w:tc>
        <w:tc>
          <w:tcPr>
            <w:tcW w:w="1372" w:type="pct"/>
            <w:noWrap w:val="0"/>
            <w:vAlign w:val="center"/>
          </w:tcPr>
          <w:p>
            <w:pPr>
              <w:jc w:val="center"/>
              <w:rPr>
                <w:color w:val="auto"/>
                <w:sz w:val="20"/>
              </w:rPr>
            </w:pPr>
            <w:r>
              <w:rPr>
                <w:rFonts w:hint="eastAsia"/>
                <w:color w:val="auto"/>
                <w:sz w:val="20"/>
              </w:rPr>
              <w:t>BC2</w:t>
            </w:r>
            <w:r>
              <w:rPr>
                <w:rFonts w:hint="eastAsia"/>
                <w:color w:val="auto"/>
                <w:sz w:val="20"/>
                <w:lang w:val="en-US" w:eastAsia="zh-CN"/>
              </w:rPr>
              <w:t>2</w:t>
            </w:r>
            <w:r>
              <w:rPr>
                <w:rFonts w:hint="eastAsia"/>
                <w:color w:val="auto"/>
                <w:sz w:val="20"/>
              </w:rPr>
              <w:t>带式输送机</w:t>
            </w:r>
          </w:p>
        </w:tc>
        <w:tc>
          <w:tcPr>
            <w:tcW w:w="1796" w:type="pct"/>
            <w:noWrap w:val="0"/>
            <w:vAlign w:val="center"/>
          </w:tcPr>
          <w:p>
            <w:pPr>
              <w:jc w:val="center"/>
              <w:rPr>
                <w:color w:val="auto"/>
                <w:sz w:val="20"/>
              </w:rPr>
            </w:pPr>
            <w:r>
              <w:rPr>
                <w:rFonts w:hint="eastAsia"/>
                <w:color w:val="auto"/>
                <w:sz w:val="20"/>
              </w:rPr>
              <w:t>B=1400mm</w:t>
            </w:r>
            <w:r>
              <w:rPr>
                <w:rFonts w:hint="eastAsia"/>
                <w:color w:val="auto"/>
                <w:sz w:val="20"/>
                <w:lang w:val="en-US" w:eastAsia="zh-CN"/>
              </w:rPr>
              <w:t>，</w:t>
            </w:r>
            <w:r>
              <w:rPr>
                <w:rFonts w:hint="eastAsia"/>
                <w:color w:val="auto"/>
                <w:sz w:val="20"/>
              </w:rPr>
              <w:t>V=2.5m/s</w:t>
            </w:r>
            <w:r>
              <w:rPr>
                <w:rFonts w:hint="eastAsia"/>
                <w:color w:val="auto"/>
                <w:sz w:val="20"/>
                <w:lang w:val="en-US" w:eastAsia="zh-CN"/>
              </w:rPr>
              <w:t>，L=25m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firstLineChars="0"/>
              <w:jc w:val="center"/>
              <w:textAlignment w:val="auto"/>
              <w:rPr>
                <w:rFonts w:hint="default" w:ascii="Times New Roman" w:hAnsi="Times New Roman" w:eastAsia="宋体" w:cs="Times New Roman"/>
                <w:color w:val="auto"/>
                <w:kern w:val="0"/>
                <w:sz w:val="20"/>
                <w:lang w:val="en-US" w:eastAsia="zh-CN" w:bidi="ar-SA"/>
              </w:rPr>
            </w:pPr>
            <w:r>
              <w:rPr>
                <w:rFonts w:hint="eastAsia"/>
                <w:color w:val="auto"/>
                <w:sz w:val="20"/>
                <w:lang w:val="en-US" w:eastAsia="zh-CN"/>
              </w:rPr>
              <w:t>8</w:t>
            </w:r>
          </w:p>
        </w:tc>
        <w:tc>
          <w:tcPr>
            <w:tcW w:w="1372" w:type="pct"/>
            <w:noWrap w:val="0"/>
            <w:vAlign w:val="center"/>
          </w:tcPr>
          <w:p>
            <w:pPr>
              <w:jc w:val="center"/>
              <w:rPr>
                <w:color w:val="auto"/>
                <w:sz w:val="20"/>
              </w:rPr>
            </w:pPr>
            <w:r>
              <w:rPr>
                <w:rFonts w:hint="eastAsia"/>
                <w:color w:val="auto"/>
                <w:sz w:val="20"/>
              </w:rPr>
              <w:t>BC2</w:t>
            </w:r>
            <w:r>
              <w:rPr>
                <w:rFonts w:hint="eastAsia"/>
                <w:color w:val="auto"/>
                <w:sz w:val="20"/>
                <w:lang w:val="en-US" w:eastAsia="zh-CN"/>
              </w:rPr>
              <w:t>3</w:t>
            </w:r>
            <w:r>
              <w:rPr>
                <w:rFonts w:hint="eastAsia"/>
                <w:color w:val="auto"/>
                <w:sz w:val="20"/>
              </w:rPr>
              <w:t>带式输送机</w:t>
            </w:r>
          </w:p>
        </w:tc>
        <w:tc>
          <w:tcPr>
            <w:tcW w:w="1796" w:type="pct"/>
            <w:noWrap w:val="0"/>
            <w:vAlign w:val="center"/>
          </w:tcPr>
          <w:p>
            <w:pPr>
              <w:jc w:val="center"/>
              <w:rPr>
                <w:color w:val="auto"/>
                <w:kern w:val="2"/>
                <w:sz w:val="20"/>
                <w:lang w:val="en-US" w:eastAsia="zh-CN" w:bidi="ar-SA"/>
              </w:rPr>
            </w:pPr>
            <w:r>
              <w:rPr>
                <w:rFonts w:hint="eastAsia"/>
                <w:color w:val="auto"/>
                <w:sz w:val="20"/>
              </w:rPr>
              <w:t>B=1600mm</w:t>
            </w:r>
            <w:r>
              <w:rPr>
                <w:rFonts w:hint="eastAsia"/>
                <w:color w:val="auto"/>
                <w:sz w:val="20"/>
                <w:lang w:val="en-US" w:eastAsia="zh-CN"/>
              </w:rPr>
              <w:t>，</w:t>
            </w:r>
            <w:r>
              <w:rPr>
                <w:rFonts w:hint="eastAsia"/>
                <w:color w:val="auto"/>
                <w:sz w:val="20"/>
              </w:rPr>
              <w:t>V=3.15m/s</w:t>
            </w:r>
            <w:r>
              <w:rPr>
                <w:rFonts w:hint="eastAsia"/>
                <w:color w:val="auto"/>
                <w:sz w:val="20"/>
                <w:lang w:val="en-US" w:eastAsia="zh-CN"/>
              </w:rPr>
              <w:t>，L=62m</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firstLineChars="0"/>
              <w:jc w:val="center"/>
              <w:textAlignment w:val="auto"/>
              <w:rPr>
                <w:rFonts w:hint="default" w:ascii="Times New Roman" w:hAnsi="Times New Roman" w:eastAsia="宋体" w:cs="Times New Roman"/>
                <w:color w:val="auto"/>
                <w:kern w:val="0"/>
                <w:sz w:val="20"/>
                <w:lang w:val="en-US" w:eastAsia="zh-CN" w:bidi="ar-SA"/>
              </w:rPr>
            </w:pPr>
            <w:r>
              <w:rPr>
                <w:rFonts w:hint="eastAsia"/>
                <w:color w:val="auto"/>
                <w:sz w:val="20"/>
                <w:lang w:val="en-US" w:eastAsia="zh-CN"/>
              </w:rPr>
              <w:t>9</w:t>
            </w:r>
          </w:p>
        </w:tc>
        <w:tc>
          <w:tcPr>
            <w:tcW w:w="1372" w:type="pct"/>
            <w:noWrap w:val="0"/>
            <w:vAlign w:val="center"/>
          </w:tcPr>
          <w:p>
            <w:pPr>
              <w:jc w:val="center"/>
              <w:rPr>
                <w:rFonts w:ascii="Times New Roman" w:hAnsi="Times New Roman" w:eastAsia="宋体" w:cs="Times New Roman"/>
                <w:color w:val="auto"/>
                <w:kern w:val="2"/>
                <w:sz w:val="20"/>
                <w:lang w:val="en-US" w:eastAsia="zh-CN" w:bidi="ar-SA"/>
              </w:rPr>
            </w:pPr>
            <w:r>
              <w:rPr>
                <w:rFonts w:hint="eastAsia"/>
                <w:color w:val="auto"/>
                <w:sz w:val="20"/>
              </w:rPr>
              <w:t>电动葫芦</w:t>
            </w:r>
          </w:p>
        </w:tc>
        <w:tc>
          <w:tcPr>
            <w:tcW w:w="1796" w:type="pct"/>
            <w:noWrap w:val="0"/>
            <w:vAlign w:val="center"/>
          </w:tcPr>
          <w:p>
            <w:pPr>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5t</w:t>
            </w:r>
          </w:p>
        </w:tc>
        <w:tc>
          <w:tcPr>
            <w:tcW w:w="598" w:type="pct"/>
            <w:noWrap w:val="0"/>
            <w:vAlign w:val="center"/>
          </w:tcPr>
          <w:p>
            <w:pPr>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noWrap w:val="0"/>
            <w:vAlign w:val="center"/>
          </w:tcPr>
          <w:p>
            <w:pPr>
              <w:pStyle w:val="1025"/>
              <w:autoSpaceDE/>
              <w:autoSpaceDN/>
              <w:adjustRightInd/>
              <w:spacing w:line="240" w:lineRule="auto"/>
              <w:ind w:firstLine="0" w:firstLineChars="0"/>
              <w:jc w:val="center"/>
              <w:textAlignment w:val="auto"/>
              <w:rPr>
                <w:rFonts w:hint="default" w:ascii="Times New Roman" w:hAnsi="Times New Roman" w:eastAsia="宋体" w:cs="Times New Roman"/>
                <w:color w:val="auto"/>
                <w:kern w:val="0"/>
                <w:sz w:val="20"/>
                <w:lang w:val="en-US" w:eastAsia="zh-CN" w:bidi="ar-SA"/>
              </w:rPr>
            </w:pPr>
            <w:r>
              <w:rPr>
                <w:rFonts w:hint="eastAsia"/>
                <w:color w:val="auto"/>
                <w:sz w:val="20"/>
                <w:lang w:val="en-US" w:eastAsia="zh-CN"/>
              </w:rPr>
              <w:t>10</w:t>
            </w:r>
          </w:p>
        </w:tc>
        <w:tc>
          <w:tcPr>
            <w:tcW w:w="1372" w:type="pct"/>
            <w:noWrap w:val="0"/>
            <w:vAlign w:val="center"/>
          </w:tcPr>
          <w:p>
            <w:pPr>
              <w:jc w:val="center"/>
              <w:rPr>
                <w:rFonts w:hint="default" w:eastAsia="宋体"/>
                <w:color w:val="auto"/>
                <w:sz w:val="20"/>
                <w:lang w:val="en-US" w:eastAsia="zh-CN"/>
              </w:rPr>
            </w:pPr>
            <w:r>
              <w:rPr>
                <w:rFonts w:hint="eastAsia"/>
                <w:color w:val="auto"/>
                <w:sz w:val="20"/>
                <w:lang w:val="en-US" w:eastAsia="zh-CN"/>
              </w:rPr>
              <w:t>三通分料漏斗</w:t>
            </w:r>
          </w:p>
        </w:tc>
        <w:tc>
          <w:tcPr>
            <w:tcW w:w="1796" w:type="pct"/>
            <w:noWrap w:val="0"/>
            <w:vAlign w:val="center"/>
          </w:tcPr>
          <w:p>
            <w:pPr>
              <w:jc w:val="center"/>
              <w:rPr>
                <w:rFonts w:hint="default" w:eastAsia="宋体"/>
                <w:color w:val="auto"/>
                <w:sz w:val="20"/>
                <w:lang w:val="en-US" w:eastAsia="zh-CN"/>
              </w:rPr>
            </w:pPr>
            <w:r>
              <w:rPr>
                <w:rFonts w:hint="eastAsia"/>
                <w:color w:val="auto"/>
                <w:sz w:val="20"/>
                <w:lang w:val="en-US" w:eastAsia="zh-CN"/>
              </w:rPr>
              <w:t>/</w:t>
            </w:r>
          </w:p>
        </w:tc>
        <w:tc>
          <w:tcPr>
            <w:tcW w:w="598" w:type="pct"/>
            <w:noWrap w:val="0"/>
            <w:vAlign w:val="center"/>
          </w:tcPr>
          <w:p>
            <w:pPr>
              <w:pStyle w:val="1025"/>
              <w:autoSpaceDE/>
              <w:autoSpaceDN/>
              <w:adjustRightInd/>
              <w:spacing w:line="240" w:lineRule="auto"/>
              <w:ind w:firstLine="0"/>
              <w:jc w:val="center"/>
              <w:textAlignment w:val="auto"/>
              <w:rPr>
                <w:color w:val="auto"/>
                <w:sz w:val="20"/>
              </w:rPr>
            </w:pPr>
            <w:r>
              <w:rPr>
                <w:rFonts w:hint="eastAsia"/>
                <w:color w:val="auto"/>
                <w:sz w:val="20"/>
                <w:lang w:val="en-US" w:eastAsia="zh-CN"/>
              </w:rPr>
              <w:t>台</w:t>
            </w:r>
          </w:p>
        </w:tc>
        <w:tc>
          <w:tcPr>
            <w:tcW w:w="693" w:type="pct"/>
            <w:noWrap w:val="0"/>
            <w:vAlign w:val="center"/>
          </w:tcPr>
          <w:p>
            <w:pPr>
              <w:jc w:val="center"/>
              <w:rPr>
                <w:rFonts w:hint="default" w:eastAsia="宋体"/>
                <w:color w:val="auto"/>
                <w:sz w:val="20"/>
                <w:lang w:val="en-US" w:eastAsia="zh-CN"/>
              </w:rPr>
            </w:pPr>
            <w:r>
              <w:rPr>
                <w:rFonts w:hint="eastAsia"/>
                <w:color w:val="auto"/>
                <w:sz w:val="20"/>
                <w:lang w:val="en-US" w:eastAsia="zh-CN"/>
              </w:rPr>
              <w:t>2</w:t>
            </w:r>
          </w:p>
        </w:tc>
      </w:tr>
    </w:tbl>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2.3.6泊位年通过能力</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根据计算：单个泊位年通过能力</w:t>
      </w:r>
      <w:r>
        <w:rPr>
          <w:rFonts w:hint="eastAsia" w:ascii="Times New Roman" w:hAnsi="Times New Roman" w:eastAsia="仿宋_GB2312" w:cs="Times New Roman"/>
          <w:color w:val="auto"/>
          <w:sz w:val="24"/>
          <w:lang w:val="en-US" w:eastAsia="zh-CN"/>
        </w:rPr>
        <w:t>215.6</w:t>
      </w:r>
      <w:r>
        <w:rPr>
          <w:rFonts w:hint="eastAsia" w:ascii="Times New Roman" w:hAnsi="Times New Roman" w:eastAsia="仿宋_GB2312" w:cs="Times New Roman"/>
          <w:color w:val="auto"/>
          <w:sz w:val="24"/>
        </w:rPr>
        <w:t>万吨/年，实际2个出口泊位，年通过能力达</w:t>
      </w:r>
      <w:r>
        <w:rPr>
          <w:rFonts w:hint="eastAsia" w:ascii="Times New Roman" w:hAnsi="Times New Roman" w:eastAsia="仿宋_GB2312" w:cs="Times New Roman"/>
          <w:color w:val="auto"/>
          <w:sz w:val="24"/>
          <w:lang w:val="en-US" w:eastAsia="zh-CN"/>
        </w:rPr>
        <w:t>431.2</w:t>
      </w:r>
      <w:r>
        <w:rPr>
          <w:rFonts w:hint="eastAsia" w:ascii="Times New Roman" w:hAnsi="Times New Roman" w:eastAsia="仿宋_GB2312" w:cs="Times New Roman"/>
          <w:color w:val="auto"/>
          <w:sz w:val="24"/>
        </w:rPr>
        <w:t>万吨/年，可满足砂石料年吞吐量需求</w:t>
      </w:r>
      <w:r>
        <w:rPr>
          <w:rFonts w:hint="eastAsia" w:ascii="Times New Roman" w:hAnsi="Times New Roman" w:eastAsia="仿宋_GB2312" w:cs="Times New Roman"/>
          <w:color w:val="auto"/>
          <w:sz w:val="24"/>
          <w:lang w:eastAsia="zh-CN"/>
        </w:rPr>
        <w:t>。</w:t>
      </w:r>
    </w:p>
    <w:p>
      <w:pPr>
        <w:pStyle w:val="9"/>
        <w:widowControl w:val="0"/>
        <w:spacing w:before="120" w:after="120" w:line="360" w:lineRule="auto"/>
        <w:rPr>
          <w:rFonts w:hint="default" w:eastAsia="黑体"/>
          <w:b w:val="0"/>
          <w:color w:val="auto"/>
          <w:sz w:val="24"/>
          <w:lang w:val="en-US" w:eastAsia="zh-CN"/>
        </w:rPr>
      </w:pPr>
      <w:bookmarkStart w:id="296" w:name="_Toc3681"/>
      <w:r>
        <w:rPr>
          <w:rFonts w:eastAsia="黑体"/>
          <w:b w:val="0"/>
          <w:color w:val="auto"/>
          <w:sz w:val="24"/>
        </w:rPr>
        <w:t>2.</w:t>
      </w:r>
      <w:r>
        <w:rPr>
          <w:rFonts w:hint="eastAsia" w:eastAsia="黑体"/>
          <w:b w:val="0"/>
          <w:color w:val="auto"/>
          <w:sz w:val="24"/>
          <w:lang w:val="en-US" w:eastAsia="zh-CN"/>
        </w:rPr>
        <w:t>2.4水工建筑物</w:t>
      </w:r>
      <w:bookmarkEnd w:id="296"/>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2.4.1结构方案</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2个泊位均采用浮式结构形式，其结构型式及特征如下：</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两个泊位水域各自设置一艘钢趸船，尺度为85.0×18.0m（总长×型宽），趸船采用锚链锚泊及撑杆墩固定的系留方式。每艘趸船的岸侧距上下游端部各布设一套撑杆式消能设施。由撑杆、高桩墩式撑杆墩等构成。撑杆长36.0m，撑杆顶部设有栏杆，每座撑墩基础采用4根Φ1000钻孔灌注桩，上部为钢筋砼实体墩。撑杆一端搁置在撑墩上，另一端随水位涨落与趸船同步上下摆动，利用布置在撑杆两端的橡胶护舷的压缩变形来吸收船舶靠泊能量，同时也能减少船舶靠泊时的水平变位，以满足安全靠泊和正常使用要求。为满足船舶系缆和趸船的锚泊要求，码头在岸上设有</w:t>
      </w:r>
      <w:r>
        <w:rPr>
          <w:rFonts w:hint="eastAsia" w:eastAsia="仿宋_GB2312" w:cs="Times New Roman"/>
          <w:color w:val="auto"/>
          <w:sz w:val="24"/>
          <w:lang w:val="en-US" w:eastAsia="zh-CN"/>
        </w:rPr>
        <w:t>4</w:t>
      </w:r>
      <w:r>
        <w:rPr>
          <w:rFonts w:hint="eastAsia" w:ascii="Times New Roman" w:hAnsi="Times New Roman" w:eastAsia="仿宋_GB2312" w:cs="Times New Roman"/>
          <w:color w:val="auto"/>
          <w:sz w:val="24"/>
        </w:rPr>
        <w:t>座550kN毛石砼系船块体。</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每艘趸船后方设1座现浇钢筋砼墩台，1#泊位后方1#墩台平面尺寸为12×13m，2#泊位后方2#墩台平面尺寸为15×14m，基础采用Φ1000钻孔灌注桩。墩台与钢趸船之间通过活动钢引桥连接，活动钢引桥尺度为48m×4.5m，采用桁架式结构。1#与3#墩台、2#与3#墩台之间均通过钢联桥连接。</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变电所平台一座（平台尺度为1</w:t>
      </w:r>
      <w:r>
        <w:rPr>
          <w:rFonts w:hint="eastAsia" w:eastAsia="仿宋_GB2312" w:cs="Times New Roman"/>
          <w:color w:val="auto"/>
          <w:sz w:val="24"/>
          <w:lang w:val="en-US" w:eastAsia="zh-CN"/>
        </w:rPr>
        <w:t>1</w:t>
      </w:r>
      <w:r>
        <w:rPr>
          <w:rFonts w:hint="eastAsia" w:ascii="Times New Roman" w:hAnsi="Times New Roman" w:eastAsia="仿宋_GB2312" w:cs="Times New Roman"/>
          <w:color w:val="auto"/>
          <w:sz w:val="24"/>
        </w:rPr>
        <w:t>×1</w:t>
      </w:r>
      <w:r>
        <w:rPr>
          <w:rFonts w:hint="eastAsia" w:eastAsia="仿宋_GB2312" w:cs="Times New Roman"/>
          <w:color w:val="auto"/>
          <w:sz w:val="24"/>
          <w:lang w:val="en-US" w:eastAsia="zh-CN"/>
        </w:rPr>
        <w:t>4</w:t>
      </w:r>
      <w:r>
        <w:rPr>
          <w:rFonts w:hint="eastAsia" w:ascii="Times New Roman" w:hAnsi="Times New Roman" w:eastAsia="仿宋_GB2312" w:cs="Times New Roman"/>
          <w:color w:val="auto"/>
          <w:sz w:val="24"/>
        </w:rPr>
        <w:t>m），紧邻2#墩台，为高桩墩式结构，桩基采用Φ1000钻孔灌注桩，上部为现浇钢筋混凝土墩台</w:t>
      </w:r>
      <w:r>
        <w:rPr>
          <w:rFonts w:hint="eastAsia" w:ascii="Times New Roman" w:hAnsi="Times New Roman" w:eastAsia="仿宋_GB2312" w:cs="Times New Roman"/>
          <w:color w:val="auto"/>
          <w:sz w:val="24"/>
          <w:lang w:eastAsia="zh-CN"/>
        </w:rPr>
        <w:t>。</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eastAsia="黑体"/>
          <w:color w:val="auto"/>
          <w:szCs w:val="24"/>
        </w:rPr>
        <w:t>2.</w:t>
      </w:r>
      <w:r>
        <w:rPr>
          <w:rFonts w:hint="eastAsia" w:eastAsia="黑体"/>
          <w:color w:val="auto"/>
          <w:szCs w:val="24"/>
          <w:lang w:val="en-US" w:eastAsia="zh-CN"/>
        </w:rPr>
        <w:t>2.4.2主要工程量</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rPr>
        <w:t>水工建筑物工程数量详见</w:t>
      </w:r>
      <w:r>
        <w:rPr>
          <w:rFonts w:hint="eastAsia" w:ascii="Times New Roman" w:hAnsi="Times New Roman" w:eastAsia="仿宋_GB2312" w:cs="Times New Roman"/>
          <w:color w:val="auto"/>
          <w:sz w:val="24"/>
          <w:lang w:val="en-US" w:eastAsia="zh-CN"/>
        </w:rPr>
        <w:t>下</w:t>
      </w:r>
      <w:r>
        <w:rPr>
          <w:rFonts w:hint="eastAsia" w:ascii="Times New Roman" w:hAnsi="Times New Roman" w:eastAsia="仿宋_GB2312" w:cs="Times New Roman"/>
          <w:color w:val="auto"/>
          <w:sz w:val="24"/>
        </w:rPr>
        <w:t>表</w:t>
      </w:r>
      <w:r>
        <w:rPr>
          <w:rFonts w:hint="eastAsia" w:ascii="Times New Roman" w:hAnsi="Times New Roman" w:eastAsia="仿宋_GB2312" w:cs="Times New Roman"/>
          <w:color w:val="auto"/>
          <w:sz w:val="24"/>
          <w:lang w:val="en-US" w:eastAsia="zh-CN"/>
        </w:rPr>
        <w:t>。</w:t>
      </w:r>
    </w:p>
    <w:p>
      <w:pPr>
        <w:widowControl w:val="0"/>
        <w:spacing w:line="360" w:lineRule="auto"/>
        <w:jc w:val="center"/>
        <w:rPr>
          <w:rFonts w:hint="default" w:eastAsia="黑体"/>
          <w:b/>
          <w:color w:val="auto"/>
          <w:lang w:val="en-US" w:eastAsia="zh-CN"/>
        </w:rPr>
      </w:pPr>
      <w:r>
        <w:rPr>
          <w:rFonts w:eastAsia="黑体"/>
          <w:b/>
          <w:color w:val="auto"/>
        </w:rPr>
        <w:t>表2.2</w:t>
      </w:r>
      <w:r>
        <w:rPr>
          <w:rFonts w:hint="eastAsia" w:eastAsia="黑体"/>
          <w:b/>
          <w:color w:val="auto"/>
          <w:lang w:val="en-US" w:eastAsia="zh-CN"/>
        </w:rPr>
        <w:t>-8</w:t>
      </w:r>
      <w:r>
        <w:rPr>
          <w:rFonts w:eastAsia="黑体"/>
          <w:b/>
          <w:color w:val="auto"/>
        </w:rPr>
        <w:t xml:space="preserve">  </w:t>
      </w:r>
      <w:r>
        <w:rPr>
          <w:rFonts w:hint="eastAsia" w:eastAsia="黑体"/>
          <w:b/>
          <w:color w:val="auto"/>
          <w:lang w:val="en-US" w:eastAsia="zh-CN"/>
        </w:rPr>
        <w:t>主要水工结构工程量</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37"/>
        <w:gridCol w:w="2112"/>
        <w:gridCol w:w="869"/>
        <w:gridCol w:w="736"/>
        <w:gridCol w:w="794"/>
        <w:gridCol w:w="689"/>
        <w:gridCol w:w="794"/>
        <w:gridCol w:w="18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序号</w:t>
            </w:r>
          </w:p>
        </w:tc>
        <w:tc>
          <w:tcPr>
            <w:tcW w:w="1240"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项目</w:t>
            </w:r>
          </w:p>
        </w:tc>
        <w:tc>
          <w:tcPr>
            <w:tcW w:w="510"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型号</w:t>
            </w:r>
          </w:p>
        </w:tc>
        <w:tc>
          <w:tcPr>
            <w:tcW w:w="432"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单位</w:t>
            </w:r>
          </w:p>
        </w:tc>
        <w:tc>
          <w:tcPr>
            <w:tcW w:w="466"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单量</w:t>
            </w:r>
          </w:p>
        </w:tc>
        <w:tc>
          <w:tcPr>
            <w:tcW w:w="404"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数量</w:t>
            </w:r>
          </w:p>
        </w:tc>
        <w:tc>
          <w:tcPr>
            <w:tcW w:w="466"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总量</w:t>
            </w:r>
          </w:p>
        </w:tc>
        <w:tc>
          <w:tcPr>
            <w:tcW w:w="1106" w:type="pct"/>
            <w:tcBorders>
              <w:top w:val="single" w:color="auto" w:sz="12"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1240"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钢质趸船</w:t>
            </w:r>
          </w:p>
        </w:tc>
        <w:tc>
          <w:tcPr>
            <w:tcW w:w="510"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p>
        </w:tc>
        <w:tc>
          <w:tcPr>
            <w:tcW w:w="432"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条</w:t>
            </w:r>
          </w:p>
        </w:tc>
        <w:tc>
          <w:tcPr>
            <w:tcW w:w="466"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404"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466"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2.0</w:t>
            </w:r>
          </w:p>
        </w:tc>
        <w:tc>
          <w:tcPr>
            <w:tcW w:w="1106"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85*18*</w:t>
            </w:r>
            <w:r>
              <w:rPr>
                <w:rFonts w:hint="eastAsia" w:cs="Times New Roman"/>
                <w:color w:val="auto"/>
                <w:kern w:val="0"/>
                <w:sz w:val="20"/>
                <w:lang w:val="en-US" w:eastAsia="zh-CN"/>
              </w:rPr>
              <w:t>3.0</w:t>
            </w:r>
            <w:r>
              <w:rPr>
                <w:rFonts w:hint="eastAsia" w:ascii="Times New Roman" w:hAnsi="Times New Roman" w:eastAsia="宋体" w:cs="Times New Roman"/>
                <w:color w:val="auto"/>
                <w:kern w:val="0"/>
                <w:sz w:val="20"/>
                <w:lang w:val="en-US" w:eastAsia="zh-CN"/>
              </w:rPr>
              <w:t>m（长*宽*型深），另趸船上考虑钢结构分料平台，单个约80t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48m*4.5m活动钢引桥</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73.44</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r>
              <w:rPr>
                <w:rFonts w:hint="eastAsia" w:cs="Times New Roman"/>
                <w:color w:val="auto"/>
                <w:kern w:val="0"/>
                <w:sz w:val="20"/>
                <w:lang w:val="en-US" w:eastAsia="zh-CN"/>
              </w:rPr>
              <w:t>46.88</w:t>
            </w:r>
          </w:p>
        </w:tc>
        <w:tc>
          <w:tcPr>
            <w:tcW w:w="1106"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3</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撑杆墩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75.0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300.0</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撑杆墩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eastAsia" w:ascii="Times New Roman" w:hAnsi="Times New Roman" w:eastAsia="宋体" w:cs="Times New Roman"/>
                <w:color w:val="auto"/>
                <w:kern w:val="0"/>
                <w:sz w:val="20"/>
                <w:lang w:val="en-US" w:eastAsia="zh-CN" w:bidi="ar-SA"/>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3</w:t>
            </w:r>
            <w:r>
              <w:rPr>
                <w:rFonts w:hint="eastAsia" w:cs="Times New Roman"/>
                <w:color w:val="auto"/>
                <w:kern w:val="0"/>
                <w:sz w:val="20"/>
                <w:lang w:val="en-US" w:eastAsia="zh-CN"/>
              </w:rPr>
              <w:t>6</w:t>
            </w:r>
            <w:r>
              <w:rPr>
                <w:rFonts w:hint="default" w:ascii="Times New Roman" w:hAnsi="Times New Roman" w:eastAsia="宋体" w:cs="Times New Roman"/>
                <w:color w:val="auto"/>
                <w:kern w:val="0"/>
                <w:sz w:val="20"/>
                <w:lang w:val="en-US" w:eastAsia="zh-CN"/>
              </w:rPr>
              <w:t>m钢撑杆</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25.8</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103.2</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74" w:type="pct"/>
            <w:vMerge w:val="continue"/>
            <w:noWrap w:val="0"/>
            <w:vAlign w:val="center"/>
          </w:tcPr>
          <w:p>
            <w:pPr>
              <w:jc w:val="center"/>
              <w:rPr>
                <w:rFonts w:hint="eastAsia" w:ascii="Times New Roman" w:hAnsi="Times New Roman" w:eastAsia="宋体" w:cs="Times New Roman"/>
                <w:color w:val="auto"/>
                <w:kern w:val="0"/>
                <w:sz w:val="20"/>
                <w:lang w:val="en-US" w:eastAsia="zh-CN" w:bidi="ar-SA"/>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Φ1000,δ=1</w:t>
            </w:r>
            <w:r>
              <w:rPr>
                <w:rFonts w:hint="eastAsia" w:cs="Times New Roman"/>
                <w:color w:val="auto"/>
                <w:kern w:val="0"/>
                <w:sz w:val="20"/>
                <w:lang w:val="en-US" w:eastAsia="zh-CN"/>
              </w:rPr>
              <w:t>0</w:t>
            </w:r>
            <w:r>
              <w:rPr>
                <w:rFonts w:hint="default" w:ascii="Times New Roman" w:hAnsi="Times New Roman" w:eastAsia="宋体" w:cs="Times New Roman"/>
                <w:color w:val="auto"/>
                <w:kern w:val="0"/>
                <w:sz w:val="20"/>
                <w:lang w:val="en-US" w:eastAsia="zh-CN"/>
              </w:rPr>
              <w:t>mm,L=</w:t>
            </w:r>
            <w:r>
              <w:rPr>
                <w:rFonts w:hint="eastAsia" w:cs="Times New Roman"/>
                <w:color w:val="auto"/>
                <w:kern w:val="0"/>
                <w:sz w:val="20"/>
                <w:lang w:val="en-US" w:eastAsia="zh-CN"/>
              </w:rPr>
              <w:t>8</w:t>
            </w:r>
            <w:r>
              <w:rPr>
                <w:rFonts w:hint="default" w:ascii="Times New Roman" w:hAnsi="Times New Roman" w:eastAsia="宋体" w:cs="Times New Roman"/>
                <w:color w:val="auto"/>
                <w:kern w:val="0"/>
                <w:sz w:val="20"/>
                <w:lang w:val="en-US" w:eastAsia="zh-CN"/>
              </w:rPr>
              <w:t>m钢</w:t>
            </w:r>
            <w:r>
              <w:rPr>
                <w:rFonts w:hint="eastAsia" w:cs="Times New Roman"/>
                <w:color w:val="auto"/>
                <w:kern w:val="0"/>
                <w:sz w:val="20"/>
                <w:lang w:val="en-US" w:eastAsia="zh-CN"/>
              </w:rPr>
              <w:t>护筒</w:t>
            </w:r>
          </w:p>
        </w:tc>
        <w:tc>
          <w:tcPr>
            <w:tcW w:w="510" w:type="pc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13</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31.2</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74" w:type="pct"/>
            <w:vMerge w:val="continue"/>
            <w:noWrap w:val="0"/>
            <w:vAlign w:val="center"/>
          </w:tcPr>
          <w:p>
            <w:pPr>
              <w:jc w:val="center"/>
              <w:rPr>
                <w:rFonts w:hint="eastAsia" w:ascii="Times New Roman" w:hAnsi="Times New Roman" w:eastAsia="宋体" w:cs="Times New Roman"/>
                <w:color w:val="auto"/>
                <w:kern w:val="0"/>
                <w:sz w:val="20"/>
                <w:lang w:val="en-US" w:eastAsia="zh-CN" w:bidi="ar-SA"/>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21.3</w:t>
            </w:r>
            <w:r>
              <w:rPr>
                <w:rFonts w:hint="default" w:ascii="Times New Roman" w:hAnsi="Times New Roman" w:eastAsia="宋体" w:cs="Times New Roman"/>
                <w:color w:val="auto"/>
                <w:kern w:val="0"/>
                <w:sz w:val="20"/>
                <w:lang w:val="en-US" w:eastAsia="zh-CN"/>
              </w:rPr>
              <w:t>m</w:t>
            </w:r>
            <w:r>
              <w:rPr>
                <w:rFonts w:hint="eastAsia" w:cs="Times New Roman"/>
                <w:color w:val="auto"/>
                <w:kern w:val="0"/>
                <w:sz w:val="20"/>
                <w:lang w:val="en-US" w:eastAsia="zh-CN"/>
              </w:rPr>
              <w:t>钻孔灌注桩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16.7</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16</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267.5</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4</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1</w:t>
            </w:r>
            <w:r>
              <w:rPr>
                <w:rFonts w:hint="eastAsia" w:cs="Times New Roman"/>
                <w:color w:val="auto"/>
                <w:kern w:val="0"/>
                <w:sz w:val="20"/>
                <w:lang w:val="en-US" w:eastAsia="zh-CN"/>
              </w:rPr>
              <w:t>2</w:t>
            </w:r>
            <w:r>
              <w:rPr>
                <w:rFonts w:hint="default"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3</w:t>
            </w:r>
            <w:r>
              <w:rPr>
                <w:rFonts w:hint="default" w:ascii="Times New Roman" w:hAnsi="Times New Roman" w:eastAsia="宋体" w:cs="Times New Roman"/>
                <w:color w:val="auto"/>
                <w:kern w:val="0"/>
                <w:sz w:val="20"/>
                <w:lang w:val="en-US" w:eastAsia="zh-CN"/>
              </w:rPr>
              <w:t>m墩台</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312.0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312.0</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1#墩台1</w:t>
            </w:r>
            <w:r>
              <w:rPr>
                <w:rFonts w:hint="eastAsia" w:cs="Times New Roman"/>
                <w:color w:val="auto"/>
                <w:kern w:val="0"/>
                <w:sz w:val="20"/>
                <w:lang w:val="en-US" w:eastAsia="zh-CN"/>
              </w:rPr>
              <w:t>2</w:t>
            </w:r>
            <w:r>
              <w:rPr>
                <w:rFonts w:hint="eastAsia"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3</w:t>
            </w:r>
            <w:r>
              <w:rPr>
                <w:rFonts w:hint="eastAsia" w:ascii="Times New Roman" w:hAnsi="Times New Roman" w:eastAsia="宋体" w:cs="Times New Roman"/>
                <w:color w:val="auto"/>
                <w:kern w:val="0"/>
                <w:sz w:val="20"/>
                <w:lang w:val="en-US" w:eastAsia="zh-CN"/>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eastAsia" w:ascii="Times New Roman" w:hAnsi="Times New Roman" w:eastAsia="宋体" w:cs="Times New Roman"/>
                <w:color w:val="auto"/>
                <w:kern w:val="0"/>
                <w:sz w:val="20"/>
                <w:lang w:val="en-US" w:eastAsia="zh-CN" w:bidi="ar-SA"/>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14.6</w:t>
            </w:r>
            <w:r>
              <w:rPr>
                <w:rFonts w:hint="default" w:ascii="Times New Roman" w:hAnsi="Times New Roman" w:eastAsia="宋体" w:cs="Times New Roman"/>
                <w:color w:val="auto"/>
                <w:kern w:val="0"/>
                <w:sz w:val="20"/>
                <w:lang w:val="en-US" w:eastAsia="zh-CN"/>
              </w:rPr>
              <w:t>m混凝土立柱</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11.5</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103.1</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横撑</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14.4</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14.4</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Φ1000,δ=10mm,L=8m钢护筒</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17.6</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16.7</w:t>
            </w:r>
            <w:r>
              <w:rPr>
                <w:rFonts w:hint="default" w:ascii="Times New Roman" w:hAnsi="Times New Roman" w:eastAsia="宋体" w:cs="Times New Roman"/>
                <w:color w:val="auto"/>
                <w:kern w:val="0"/>
                <w:sz w:val="20"/>
                <w:lang w:val="en-US" w:eastAsia="zh-CN"/>
              </w:rPr>
              <w:t>m钻孔灌注桩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13.1</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118.0</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5</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15</w:t>
            </w:r>
            <w:r>
              <w:rPr>
                <w:rFonts w:hint="default"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4</w:t>
            </w:r>
            <w:r>
              <w:rPr>
                <w:rFonts w:hint="default" w:ascii="Times New Roman" w:hAnsi="Times New Roman" w:eastAsia="宋体" w:cs="Times New Roman"/>
                <w:color w:val="auto"/>
                <w:kern w:val="0"/>
                <w:sz w:val="20"/>
                <w:lang w:val="en-US" w:eastAsia="zh-CN"/>
              </w:rPr>
              <w:t>m墩台</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420.0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420.0</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2#墩台</w:t>
            </w:r>
            <w:r>
              <w:rPr>
                <w:rFonts w:hint="eastAsia" w:cs="Times New Roman"/>
                <w:color w:val="auto"/>
                <w:kern w:val="0"/>
                <w:sz w:val="20"/>
                <w:lang w:val="en-US" w:eastAsia="zh-CN"/>
              </w:rPr>
              <w:t>15</w:t>
            </w:r>
            <w:r>
              <w:rPr>
                <w:rFonts w:hint="eastAsia"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4</w:t>
            </w:r>
            <w:r>
              <w:rPr>
                <w:rFonts w:hint="eastAsia" w:ascii="Times New Roman" w:hAnsi="Times New Roman" w:eastAsia="宋体" w:cs="Times New Roman"/>
                <w:color w:val="auto"/>
                <w:kern w:val="0"/>
                <w:sz w:val="20"/>
                <w:lang w:val="en-US" w:eastAsia="zh-CN"/>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7.1</w:t>
            </w:r>
            <w:r>
              <w:rPr>
                <w:rFonts w:hint="default" w:ascii="Times New Roman" w:hAnsi="Times New Roman" w:eastAsia="宋体" w:cs="Times New Roman"/>
                <w:color w:val="auto"/>
                <w:kern w:val="0"/>
                <w:sz w:val="20"/>
                <w:lang w:val="en-US" w:eastAsia="zh-CN"/>
              </w:rPr>
              <w:t>m混凝土立柱</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5.6</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66.9</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Φ1000,δ=10mm,L=8m钢护筒</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23.4</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25.8</w:t>
            </w:r>
            <w:r>
              <w:rPr>
                <w:rFonts w:hint="default" w:ascii="Times New Roman" w:hAnsi="Times New Roman" w:eastAsia="宋体" w:cs="Times New Roman"/>
                <w:color w:val="auto"/>
                <w:kern w:val="0"/>
                <w:sz w:val="20"/>
                <w:lang w:val="en-US" w:eastAsia="zh-CN"/>
              </w:rPr>
              <w:t>m钻孔灌注桩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20.3</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243.0</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6</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8</w:t>
            </w:r>
            <w:r>
              <w:rPr>
                <w:rFonts w:hint="default" w:ascii="Times New Roman" w:hAnsi="Times New Roman" w:eastAsia="宋体" w:cs="Times New Roman"/>
                <w:color w:val="auto"/>
                <w:kern w:val="0"/>
                <w:sz w:val="20"/>
                <w:lang w:val="en-US" w:eastAsia="zh-CN"/>
              </w:rPr>
              <w:t>m*</w:t>
            </w:r>
            <w:r>
              <w:rPr>
                <w:rFonts w:hint="eastAsia" w:cs="Times New Roman"/>
                <w:color w:val="auto"/>
                <w:kern w:val="0"/>
                <w:sz w:val="20"/>
                <w:lang w:val="en-US" w:eastAsia="zh-CN"/>
              </w:rPr>
              <w:t>6</w:t>
            </w:r>
            <w:r>
              <w:rPr>
                <w:rFonts w:hint="default" w:ascii="Times New Roman" w:hAnsi="Times New Roman" w:eastAsia="宋体" w:cs="Times New Roman"/>
                <w:color w:val="auto"/>
                <w:kern w:val="0"/>
                <w:sz w:val="20"/>
                <w:lang w:val="en-US" w:eastAsia="zh-CN"/>
              </w:rPr>
              <w:t>m墩台</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86.4</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86.4</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3#墩台</w:t>
            </w:r>
            <w:r>
              <w:rPr>
                <w:rFonts w:hint="eastAsia" w:cs="Times New Roman"/>
                <w:color w:val="auto"/>
                <w:kern w:val="0"/>
                <w:sz w:val="20"/>
                <w:lang w:val="en-US" w:eastAsia="zh-CN"/>
              </w:rPr>
              <w:t>8</w:t>
            </w:r>
            <w:r>
              <w:rPr>
                <w:rFonts w:hint="eastAsia" w:ascii="Times New Roman" w:hAnsi="Times New Roman" w:eastAsia="宋体" w:cs="Times New Roman"/>
                <w:color w:val="auto"/>
                <w:kern w:val="0"/>
                <w:sz w:val="20"/>
                <w:lang w:val="en-US" w:eastAsia="zh-CN"/>
              </w:rPr>
              <w:t>m*</w:t>
            </w:r>
            <w:r>
              <w:rPr>
                <w:rFonts w:hint="eastAsia" w:cs="Times New Roman"/>
                <w:color w:val="auto"/>
                <w:kern w:val="0"/>
                <w:sz w:val="20"/>
                <w:lang w:val="en-US" w:eastAsia="zh-CN"/>
              </w:rPr>
              <w:t>6</w:t>
            </w:r>
            <w:r>
              <w:rPr>
                <w:rFonts w:hint="eastAsia" w:ascii="Times New Roman" w:hAnsi="Times New Roman" w:eastAsia="宋体" w:cs="Times New Roman"/>
                <w:color w:val="auto"/>
                <w:kern w:val="0"/>
                <w:sz w:val="20"/>
                <w:lang w:val="en-US" w:eastAsia="zh-CN"/>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14</w:t>
            </w:r>
            <w:r>
              <w:rPr>
                <w:rFonts w:hint="default" w:ascii="Times New Roman" w:hAnsi="Times New Roman" w:eastAsia="宋体" w:cs="Times New Roman"/>
                <w:color w:val="auto"/>
                <w:kern w:val="0"/>
                <w:sz w:val="20"/>
                <w:lang w:val="en-US" w:eastAsia="zh-CN"/>
              </w:rPr>
              <w:t>m混凝土立柱</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11.0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44.0</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横撑</w:t>
            </w:r>
          </w:p>
        </w:tc>
        <w:tc>
          <w:tcPr>
            <w:tcW w:w="510" w:type="pc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eastAsia" w:cs="Times New Roman"/>
                <w:color w:val="auto"/>
                <w:kern w:val="0"/>
                <w:sz w:val="20"/>
                <w:lang w:val="en-US" w:eastAsia="zh-CN"/>
              </w:rPr>
            </w:pPr>
            <w:r>
              <w:rPr>
                <w:rFonts w:hint="eastAsia" w:cs="Times New Roman"/>
                <w:color w:val="auto"/>
                <w:kern w:val="0"/>
                <w:sz w:val="20"/>
                <w:lang w:val="en-US" w:eastAsia="zh-CN"/>
              </w:rPr>
              <w:t>4.5</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4.5</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Φ1000,δ=10mm,L=8m钢护筒</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7.8</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18.7</w:t>
            </w:r>
            <w:r>
              <w:rPr>
                <w:rFonts w:hint="default" w:ascii="Times New Roman" w:hAnsi="Times New Roman" w:eastAsia="宋体" w:cs="Times New Roman"/>
                <w:color w:val="auto"/>
                <w:kern w:val="0"/>
                <w:sz w:val="20"/>
                <w:lang w:val="en-US" w:eastAsia="zh-CN"/>
              </w:rPr>
              <w:t>m钻孔灌注桩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14.7</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58.7</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7</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54</w:t>
            </w:r>
            <w:r>
              <w:rPr>
                <w:rFonts w:hint="default" w:ascii="Times New Roman" w:hAnsi="Times New Roman" w:eastAsia="宋体" w:cs="Times New Roman"/>
                <w:color w:val="auto"/>
                <w:kern w:val="0"/>
                <w:sz w:val="20"/>
                <w:lang w:val="en-US" w:eastAsia="zh-CN"/>
              </w:rPr>
              <w:t>m*4.5m固定钢引桥</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82.62</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165.24</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固定钢引桥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钢引桥防腐</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1215.0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2430.0</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8</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地梁(1</w:t>
            </w:r>
            <w:r>
              <w:rPr>
                <w:rFonts w:hint="eastAsia" w:cs="Times New Roman"/>
                <w:color w:val="auto"/>
                <w:kern w:val="0"/>
                <w:sz w:val="20"/>
                <w:lang w:val="en-US" w:eastAsia="zh-CN"/>
              </w:rPr>
              <w:t>2</w:t>
            </w:r>
            <w:r>
              <w:rPr>
                <w:rFonts w:hint="default"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3</w:t>
            </w:r>
            <w:r>
              <w:rPr>
                <w:rFonts w:hint="default" w:ascii="Times New Roman" w:hAnsi="Times New Roman" w:eastAsia="宋体" w:cs="Times New Roman"/>
                <w:color w:val="auto"/>
                <w:kern w:val="0"/>
                <w:sz w:val="20"/>
                <w:lang w:val="en-US" w:eastAsia="zh-CN"/>
              </w:rPr>
              <w:t>m)</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135</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135</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地梁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9</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地梁(</w:t>
            </w:r>
            <w:r>
              <w:rPr>
                <w:rFonts w:hint="eastAsia" w:cs="Times New Roman"/>
                <w:color w:val="auto"/>
                <w:kern w:val="0"/>
                <w:sz w:val="20"/>
                <w:lang w:val="en-US" w:eastAsia="zh-CN"/>
              </w:rPr>
              <w:t>26</w:t>
            </w:r>
            <w:r>
              <w:rPr>
                <w:rFonts w:hint="default" w:ascii="Times New Roman" w:hAnsi="Times New Roman" w:eastAsia="宋体" w:cs="Times New Roman"/>
                <w:color w:val="auto"/>
                <w:kern w:val="0"/>
                <w:sz w:val="20"/>
                <w:lang w:val="en-US" w:eastAsia="zh-CN"/>
              </w:rPr>
              <w:t>m*1</w:t>
            </w:r>
            <w:r>
              <w:rPr>
                <w:rFonts w:hint="eastAsia" w:cs="Times New Roman"/>
                <w:color w:val="auto"/>
                <w:kern w:val="0"/>
                <w:sz w:val="20"/>
                <w:lang w:val="en-US" w:eastAsia="zh-CN"/>
              </w:rPr>
              <w:t>4</w:t>
            </w:r>
            <w:r>
              <w:rPr>
                <w:rFonts w:hint="default" w:ascii="Times New Roman" w:hAnsi="Times New Roman" w:eastAsia="宋体" w:cs="Times New Roman"/>
                <w:color w:val="auto"/>
                <w:kern w:val="0"/>
                <w:sz w:val="20"/>
                <w:lang w:val="en-US" w:eastAsia="zh-CN"/>
              </w:rPr>
              <w:t>m)</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316.8</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316.8</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10</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地梁(</w:t>
            </w:r>
            <w:r>
              <w:rPr>
                <w:rFonts w:hint="eastAsia" w:cs="Times New Roman"/>
                <w:color w:val="auto"/>
                <w:kern w:val="0"/>
                <w:sz w:val="20"/>
                <w:lang w:val="en-US" w:eastAsia="zh-CN"/>
              </w:rPr>
              <w:t>8</w:t>
            </w:r>
            <w:r>
              <w:rPr>
                <w:rFonts w:hint="default" w:ascii="Times New Roman" w:hAnsi="Times New Roman" w:eastAsia="宋体" w:cs="Times New Roman"/>
                <w:color w:val="auto"/>
                <w:kern w:val="0"/>
                <w:sz w:val="20"/>
                <w:lang w:val="en-US" w:eastAsia="zh-CN"/>
              </w:rPr>
              <w:t>m*</w:t>
            </w:r>
            <w:r>
              <w:rPr>
                <w:rFonts w:hint="eastAsia" w:cs="Times New Roman"/>
                <w:color w:val="auto"/>
                <w:kern w:val="0"/>
                <w:sz w:val="20"/>
                <w:lang w:val="en-US" w:eastAsia="zh-CN"/>
              </w:rPr>
              <w:t>6</w:t>
            </w:r>
            <w:r>
              <w:rPr>
                <w:rFonts w:hint="default" w:ascii="Times New Roman" w:hAnsi="Times New Roman" w:eastAsia="宋体" w:cs="Times New Roman"/>
                <w:color w:val="auto"/>
                <w:kern w:val="0"/>
                <w:sz w:val="20"/>
                <w:lang w:val="en-US" w:eastAsia="zh-CN"/>
              </w:rPr>
              <w:t>m)</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50.4</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rPr>
              <w:t>50.4</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11</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素混凝土垫层100mm</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C15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404"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58.4</w:t>
            </w:r>
          </w:p>
        </w:tc>
        <w:tc>
          <w:tcPr>
            <w:tcW w:w="1106"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restar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12</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1</w:t>
            </w:r>
            <w:r>
              <w:rPr>
                <w:rFonts w:hint="eastAsia" w:cs="Times New Roman"/>
                <w:color w:val="auto"/>
                <w:kern w:val="0"/>
                <w:sz w:val="20"/>
                <w:lang w:val="en-US" w:eastAsia="zh-CN"/>
              </w:rPr>
              <w:t>4</w:t>
            </w:r>
            <w:r>
              <w:rPr>
                <w:rFonts w:hint="default" w:ascii="Times New Roman" w:hAnsi="Times New Roman" w:eastAsia="宋体" w:cs="Times New Roman"/>
                <w:color w:val="auto"/>
                <w:kern w:val="0"/>
                <w:sz w:val="20"/>
                <w:lang w:val="en-US" w:eastAsia="zh-CN"/>
              </w:rPr>
              <w:t>*11m变电所墩台</w:t>
            </w:r>
          </w:p>
        </w:tc>
        <w:tc>
          <w:tcPr>
            <w:tcW w:w="51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308</w:t>
            </w:r>
            <w:r>
              <w:rPr>
                <w:rFonts w:hint="eastAsia" w:ascii="Times New Roman" w:hAnsi="Times New Roman" w:eastAsia="宋体" w:cs="Times New Roman"/>
                <w:color w:val="auto"/>
                <w:kern w:val="0"/>
                <w:sz w:val="20"/>
                <w:lang w:val="en-US" w:eastAsia="zh-CN"/>
              </w:rPr>
              <w:t>.0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308</w:t>
            </w:r>
            <w:r>
              <w:rPr>
                <w:rFonts w:hint="eastAsia" w:ascii="Times New Roman" w:hAnsi="Times New Roman" w:eastAsia="宋体" w:cs="Times New Roman"/>
                <w:color w:val="auto"/>
                <w:kern w:val="0"/>
                <w:sz w:val="20"/>
                <w:lang w:val="en-US" w:eastAsia="zh-CN"/>
              </w:rPr>
              <w:t>.0</w:t>
            </w:r>
          </w:p>
        </w:tc>
        <w:tc>
          <w:tcPr>
            <w:tcW w:w="1106" w:type="pct"/>
            <w:vMerge w:val="restart"/>
            <w:noWrap w:val="0"/>
            <w:vAlign w:val="center"/>
          </w:tcPr>
          <w:p>
            <w:pPr>
              <w:jc w:val="center"/>
              <w:rPr>
                <w:rFonts w:hint="eastAsia"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变电所平台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w:t>
            </w:r>
            <w:r>
              <w:rPr>
                <w:rFonts w:hint="eastAsia" w:cs="Times New Roman"/>
                <w:color w:val="auto"/>
                <w:kern w:val="0"/>
                <w:sz w:val="20"/>
                <w:lang w:val="en-US" w:eastAsia="zh-CN"/>
              </w:rPr>
              <w:t>7.1</w:t>
            </w:r>
            <w:r>
              <w:rPr>
                <w:rFonts w:hint="default" w:ascii="Times New Roman" w:hAnsi="Times New Roman" w:eastAsia="宋体" w:cs="Times New Roman"/>
                <w:color w:val="auto"/>
                <w:kern w:val="0"/>
                <w:sz w:val="20"/>
                <w:lang w:val="en-US" w:eastAsia="zh-CN"/>
              </w:rPr>
              <w:t>m混凝土立柱</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5.6</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50.2</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Φ1000,δ=10mm,L=8m钢护筒</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Q235</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17.6</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vMerge w:val="continue"/>
            <w:noWrap w:val="0"/>
            <w:vAlign w:val="center"/>
          </w:tcPr>
          <w:p>
            <w:pPr>
              <w:jc w:val="center"/>
              <w:rPr>
                <w:rFonts w:hint="default" w:ascii="Times New Roman" w:hAnsi="Times New Roman" w:eastAsia="宋体" w:cs="Times New Roman"/>
                <w:color w:val="auto"/>
                <w:kern w:val="0"/>
                <w:sz w:val="20"/>
                <w:lang w:val="en-US" w:eastAsia="zh-CN"/>
              </w:rPr>
            </w:pP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Φ1000,L=2</w:t>
            </w:r>
            <w:r>
              <w:rPr>
                <w:rFonts w:hint="eastAsia" w:cs="Times New Roman"/>
                <w:color w:val="auto"/>
                <w:kern w:val="0"/>
                <w:sz w:val="20"/>
                <w:lang w:val="en-US" w:eastAsia="zh-CN"/>
              </w:rPr>
              <w:t>5.8</w:t>
            </w:r>
            <w:r>
              <w:rPr>
                <w:rFonts w:hint="default" w:ascii="Times New Roman" w:hAnsi="Times New Roman" w:eastAsia="宋体" w:cs="Times New Roman"/>
                <w:color w:val="auto"/>
                <w:kern w:val="0"/>
                <w:sz w:val="20"/>
                <w:lang w:val="en-US" w:eastAsia="zh-CN"/>
              </w:rPr>
              <w:t>m钻孔灌注桩</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C30</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/根</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20.3</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9</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182.3</w:t>
            </w:r>
          </w:p>
        </w:tc>
        <w:tc>
          <w:tcPr>
            <w:tcW w:w="1106" w:type="pct"/>
            <w:vMerge w:val="continue"/>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13</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抛石(10~100kg)，厚1.5m</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432"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p>
        </w:tc>
        <w:tc>
          <w:tcPr>
            <w:tcW w:w="466"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404"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975.0</w:t>
            </w:r>
          </w:p>
        </w:tc>
        <w:tc>
          <w:tcPr>
            <w:tcW w:w="1106"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cs="Times New Roman"/>
                <w:color w:val="auto"/>
                <w:kern w:val="0"/>
                <w:sz w:val="20"/>
                <w:lang w:val="en-US" w:eastAsia="zh-CN"/>
              </w:rPr>
              <w:t>14</w:t>
            </w:r>
          </w:p>
        </w:tc>
        <w:tc>
          <w:tcPr>
            <w:tcW w:w="124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550KN地牛</w:t>
            </w:r>
          </w:p>
        </w:tc>
        <w:tc>
          <w:tcPr>
            <w:tcW w:w="510" w:type="pct"/>
            <w:noWrap w:val="0"/>
            <w:vAlign w:val="center"/>
          </w:tcPr>
          <w:p>
            <w:pPr>
              <w:jc w:val="center"/>
              <w:rPr>
                <w:rFonts w:hint="default" w:ascii="Times New Roman" w:hAnsi="Times New Roman" w:eastAsia="宋体" w:cs="Times New Roman"/>
                <w:color w:val="auto"/>
                <w:kern w:val="0"/>
                <w:sz w:val="20"/>
                <w:lang w:val="en-US" w:eastAsia="zh-CN"/>
              </w:rPr>
            </w:pPr>
            <w:r>
              <w:rPr>
                <w:rFonts w:hint="default" w:ascii="Times New Roman" w:hAnsi="Times New Roman" w:eastAsia="宋体" w:cs="Times New Roman"/>
                <w:color w:val="auto"/>
                <w:kern w:val="0"/>
                <w:sz w:val="20"/>
                <w:lang w:val="en-US" w:eastAsia="zh-CN"/>
              </w:rPr>
              <w:t>砼C20块石砼</w:t>
            </w:r>
          </w:p>
        </w:tc>
        <w:tc>
          <w:tcPr>
            <w:tcW w:w="432"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rPr>
              <w:t>m</w:t>
            </w:r>
            <w:r>
              <w:rPr>
                <w:rFonts w:hint="eastAsia" w:ascii="Times New Roman" w:hAnsi="Times New Roman" w:eastAsia="宋体" w:cs="Times New Roman"/>
                <w:color w:val="auto"/>
                <w:kern w:val="0"/>
                <w:sz w:val="20"/>
                <w:vertAlign w:val="superscript"/>
                <w:lang w:val="en-US" w:eastAsia="zh-CN"/>
              </w:rPr>
              <w:t>3</w:t>
            </w:r>
            <w:r>
              <w:rPr>
                <w:rFonts w:hint="eastAsia" w:ascii="Times New Roman" w:hAnsi="Times New Roman" w:eastAsia="宋体" w:cs="Times New Roman"/>
                <w:color w:val="auto"/>
                <w:kern w:val="0"/>
                <w:sz w:val="20"/>
                <w:lang w:val="en-US" w:eastAsia="zh-CN"/>
              </w:rPr>
              <w:t>/座</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115.00</w:t>
            </w:r>
          </w:p>
        </w:tc>
        <w:tc>
          <w:tcPr>
            <w:tcW w:w="404"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4</w:t>
            </w:r>
          </w:p>
        </w:tc>
        <w:tc>
          <w:tcPr>
            <w:tcW w:w="466"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460.0</w:t>
            </w:r>
          </w:p>
        </w:tc>
        <w:tc>
          <w:tcPr>
            <w:tcW w:w="1106" w:type="pct"/>
            <w:noWrap w:val="0"/>
            <w:vAlign w:val="center"/>
          </w:tcPr>
          <w:p>
            <w:pPr>
              <w:jc w:val="center"/>
              <w:rPr>
                <w:rFonts w:hint="eastAsia" w:ascii="Times New Roman" w:hAnsi="Times New Roman" w:eastAsia="宋体" w:cs="Times New Roman"/>
                <w:color w:val="auto"/>
                <w:kern w:val="0"/>
                <w:sz w:val="20"/>
                <w:lang w:val="en-US" w:eastAsia="zh-CN"/>
              </w:rPr>
            </w:pPr>
          </w:p>
        </w:tc>
      </w:tr>
    </w:tbl>
    <w:p>
      <w:pPr>
        <w:pStyle w:val="9"/>
        <w:widowControl w:val="0"/>
        <w:spacing w:before="120" w:after="120" w:line="360" w:lineRule="auto"/>
        <w:rPr>
          <w:rFonts w:ascii="Times New Roman" w:hAnsi="Times New Roman" w:eastAsia="黑体" w:cs="Times New Roman"/>
          <w:b w:val="0"/>
          <w:color w:val="auto"/>
          <w:sz w:val="24"/>
        </w:rPr>
      </w:pPr>
      <w:bookmarkStart w:id="297" w:name="_Toc340589341"/>
      <w:bookmarkStart w:id="298" w:name="_Toc11579"/>
      <w:bookmarkStart w:id="299" w:name="_Toc343702750"/>
      <w:bookmarkStart w:id="300" w:name="_Toc305859460"/>
      <w:bookmarkStart w:id="301" w:name="_Toc305859471"/>
      <w:r>
        <w:rPr>
          <w:rFonts w:ascii="Times New Roman" w:hAnsi="Times New Roman" w:eastAsia="黑体" w:cs="Times New Roman"/>
          <w:b w:val="0"/>
          <w:color w:val="auto"/>
          <w:sz w:val="24"/>
        </w:rPr>
        <w:t>2.</w:t>
      </w:r>
      <w:r>
        <w:rPr>
          <w:rFonts w:hint="eastAsia" w:ascii="Times New Roman" w:hAnsi="Times New Roman" w:eastAsia="黑体" w:cs="Times New Roman"/>
          <w:b w:val="0"/>
          <w:color w:val="auto"/>
          <w:sz w:val="24"/>
          <w:lang w:val="en-US" w:eastAsia="zh-CN"/>
        </w:rPr>
        <w:t>2.</w:t>
      </w:r>
      <w:r>
        <w:rPr>
          <w:rFonts w:hint="eastAsia" w:eastAsia="黑体" w:cs="Times New Roman"/>
          <w:b w:val="0"/>
          <w:color w:val="auto"/>
          <w:sz w:val="24"/>
          <w:lang w:val="en-US" w:eastAsia="zh-CN"/>
        </w:rPr>
        <w:t>5</w:t>
      </w:r>
      <w:r>
        <w:rPr>
          <w:rFonts w:ascii="Times New Roman" w:hAnsi="Times New Roman" w:eastAsia="黑体" w:cs="Times New Roman"/>
          <w:b w:val="0"/>
          <w:color w:val="auto"/>
          <w:sz w:val="24"/>
        </w:rPr>
        <w:t>公用工程</w:t>
      </w:r>
      <w:bookmarkEnd w:id="297"/>
      <w:bookmarkEnd w:id="298"/>
    </w:p>
    <w:p>
      <w:pPr>
        <w:pStyle w:val="5"/>
        <w:widowControl w:val="0"/>
        <w:adjustRightInd/>
        <w:spacing w:before="156" w:beforeLines="50" w:after="156" w:afterLines="50" w:line="360" w:lineRule="auto"/>
        <w:ind w:firstLine="0"/>
        <w:textAlignment w:val="auto"/>
        <w:outlineLvl w:val="3"/>
        <w:rPr>
          <w:rFonts w:ascii="Times New Roman" w:hAnsi="Times New Roman" w:eastAsia="黑体" w:cs="Times New Roman"/>
          <w:color w:val="auto"/>
          <w:szCs w:val="24"/>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5</w:t>
      </w:r>
      <w:r>
        <w:rPr>
          <w:rFonts w:hint="eastAsia" w:ascii="Times New Roman" w:hAnsi="Times New Roman" w:eastAsia="黑体" w:cs="Times New Roman"/>
          <w:color w:val="auto"/>
          <w:szCs w:val="24"/>
          <w:lang w:val="en-US" w:eastAsia="zh-CN"/>
        </w:rPr>
        <w:t>.1</w:t>
      </w:r>
      <w:r>
        <w:rPr>
          <w:rFonts w:ascii="Times New Roman" w:hAnsi="Times New Roman" w:eastAsia="黑体" w:cs="Times New Roman"/>
          <w:color w:val="auto"/>
          <w:szCs w:val="24"/>
        </w:rPr>
        <w:t>给排水</w:t>
      </w:r>
    </w:p>
    <w:p>
      <w:pPr>
        <w:widowControl w:val="0"/>
        <w:spacing w:line="360" w:lineRule="auto"/>
        <w:ind w:firstLine="480" w:firstLineChars="200"/>
        <w:rPr>
          <w:rFonts w:eastAsia="仿宋_GB2312"/>
          <w:color w:val="auto"/>
          <w:sz w:val="24"/>
        </w:rPr>
      </w:pPr>
      <w:r>
        <w:rPr>
          <w:rFonts w:eastAsia="仿宋_GB2312"/>
          <w:color w:val="auto"/>
          <w:sz w:val="24"/>
        </w:rPr>
        <w:t>（1）给水</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本工程用水由附近市政管网供给，设1处接管点，接管管径DN100，给水压力不小于0.25MPa</w:t>
      </w:r>
      <w:r>
        <w:rPr>
          <w:rFonts w:eastAsia="仿宋_GB2312"/>
          <w:color w:val="auto"/>
          <w:sz w:val="24"/>
        </w:rPr>
        <w:t>。</w:t>
      </w:r>
      <w:r>
        <w:rPr>
          <w:rFonts w:hint="eastAsia" w:eastAsia="仿宋_GB2312"/>
          <w:color w:val="auto"/>
          <w:sz w:val="24"/>
          <w:lang w:eastAsia="zh-CN"/>
        </w:rPr>
        <w:t>港区共设置三套给水系统，分别为船舶补水+生活+生产合一的给水系统、消防给水系统。</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船舶补水+生活+生产合一的给水管网用于供给船舶上水、港区工作人员生活用水以及码头面</w:t>
      </w:r>
      <w:r>
        <w:rPr>
          <w:rFonts w:hint="eastAsia" w:eastAsia="仿宋_GB2312"/>
          <w:color w:val="auto"/>
          <w:sz w:val="24"/>
          <w:lang w:val="en-US" w:eastAsia="zh-CN"/>
        </w:rPr>
        <w:t>冲洗</w:t>
      </w:r>
      <w:r>
        <w:rPr>
          <w:rFonts w:hint="eastAsia" w:eastAsia="仿宋_GB2312"/>
          <w:color w:val="auto"/>
          <w:sz w:val="24"/>
          <w:lang w:eastAsia="zh-CN"/>
        </w:rPr>
        <w:t>用水。</w:t>
      </w:r>
    </w:p>
    <w:p>
      <w:pPr>
        <w:widowControl w:val="0"/>
        <w:spacing w:line="360" w:lineRule="auto"/>
        <w:ind w:firstLine="480" w:firstLineChars="200"/>
        <w:rPr>
          <w:rFonts w:eastAsia="仿宋_GB2312"/>
          <w:color w:val="auto"/>
          <w:sz w:val="24"/>
        </w:rPr>
      </w:pPr>
      <w:r>
        <w:rPr>
          <w:rFonts w:eastAsia="仿宋_GB2312"/>
          <w:color w:val="auto"/>
          <w:sz w:val="24"/>
        </w:rPr>
        <w:t>（2）排水</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本工程排水体制采用雨污分流制。</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码头面人员生活污水</w:t>
      </w:r>
      <w:r>
        <w:rPr>
          <w:rFonts w:hint="eastAsia" w:eastAsia="仿宋_GB2312"/>
          <w:color w:val="auto"/>
          <w:sz w:val="24"/>
        </w:rPr>
        <w:t>经各自趸船下方生活污水储存柜储存，委托海事部门认定的船舶污染物接收船定期统一处理</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趸船收集坎收集进入初期雨水收集柜储存，委托海事部门认定的船舶污染物接收船定期统一处理。</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5</w:t>
      </w:r>
      <w:r>
        <w:rPr>
          <w:rFonts w:ascii="Times New Roman" w:hAnsi="Times New Roman" w:eastAsia="黑体" w:cs="Times New Roman"/>
          <w:color w:val="auto"/>
          <w:szCs w:val="24"/>
        </w:rPr>
        <w:t>.2供电</w:t>
      </w:r>
      <w:r>
        <w:rPr>
          <w:rFonts w:hint="eastAsia" w:ascii="Times New Roman" w:hAnsi="Times New Roman" w:eastAsia="黑体" w:cs="Times New Roman"/>
          <w:color w:val="auto"/>
          <w:szCs w:val="24"/>
          <w:lang w:val="en-US" w:eastAsia="zh-CN"/>
        </w:rPr>
        <w:t>及照明</w:t>
      </w:r>
    </w:p>
    <w:p>
      <w:pPr>
        <w:widowControl w:val="0"/>
        <w:spacing w:line="360" w:lineRule="auto"/>
        <w:ind w:firstLine="480" w:firstLineChars="200"/>
        <w:rPr>
          <w:rFonts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供电</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本工程变电所位于码头平台附近，靠近负荷中心且便于外部进线位置，10kV电源引自后方陆域变电所，10kV电源进线采用单回路电缆进线，配电电压</w:t>
      </w:r>
      <w:r>
        <w:rPr>
          <w:rFonts w:hint="eastAsia" w:eastAsia="仿宋_GB2312"/>
          <w:color w:val="auto"/>
          <w:sz w:val="24"/>
          <w:lang w:eastAsia="zh-CN"/>
        </w:rPr>
        <w:t>：</w:t>
      </w:r>
      <w:r>
        <w:rPr>
          <w:rFonts w:hint="eastAsia" w:eastAsia="仿宋_GB2312"/>
          <w:color w:val="auto"/>
          <w:sz w:val="24"/>
        </w:rPr>
        <w:t>10kV和220/380V</w:t>
      </w:r>
      <w:r>
        <w:rPr>
          <w:rFonts w:eastAsia="仿宋_GB2312"/>
          <w:color w:val="auto"/>
          <w:sz w:val="24"/>
        </w:rPr>
        <w:t>。</w:t>
      </w:r>
      <w:r>
        <w:rPr>
          <w:rFonts w:hint="eastAsia" w:eastAsia="仿宋_GB2312"/>
          <w:color w:val="auto"/>
          <w:sz w:val="24"/>
        </w:rPr>
        <w:t>本工程用电负荷均为三级</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工程共设1座变电所，10kV电源进线采用单回路电缆进线。变电所内设10kV配电系统、1台1600kVA节能干式变压器、0.4kV配电系统。10kV和0.4kV配电系统主接线均采用单母线放射式接线方式。供电范围包括装船机、皮带机、趸船、岸电、潜污泵、码头和引桥照明等。供配电线路采用电缆沿电缆桥架敷设至用电设备附近后，穿镀锌钢管敷设至用电设备</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本工程岸电电源系统接地方式采用IT系统，经隔离变压器为趸船上岸电箱供电。</w:t>
      </w:r>
    </w:p>
    <w:p>
      <w:pPr>
        <w:widowControl w:val="0"/>
        <w:spacing w:line="360" w:lineRule="auto"/>
        <w:ind w:firstLine="480" w:firstLineChars="200"/>
        <w:rPr>
          <w:rFonts w:hint="default" w:eastAsia="仿宋_GB2312"/>
          <w:color w:val="auto"/>
          <w:sz w:val="24"/>
          <w:lang w:val="en-US"/>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照明</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本工程</w:t>
      </w:r>
      <w:r>
        <w:rPr>
          <w:rFonts w:hint="eastAsia" w:eastAsia="仿宋_GB2312" w:cs="Times New Roman"/>
          <w:color w:val="auto"/>
          <w:sz w:val="24"/>
          <w:lang w:val="en-US" w:eastAsia="zh-CN"/>
        </w:rPr>
        <w:t>转运楼、趸船</w:t>
      </w:r>
      <w:r>
        <w:rPr>
          <w:rFonts w:hint="eastAsia" w:ascii="Times New Roman" w:hAnsi="Times New Roman" w:eastAsia="仿宋_GB2312" w:cs="Times New Roman"/>
          <w:color w:val="auto"/>
          <w:sz w:val="24"/>
          <w:lang w:eastAsia="zh-CN"/>
        </w:rPr>
        <w:t>转运</w:t>
      </w:r>
      <w:r>
        <w:rPr>
          <w:rFonts w:hint="eastAsia" w:eastAsia="仿宋_GB2312" w:cs="Times New Roman"/>
          <w:color w:val="auto"/>
          <w:sz w:val="24"/>
          <w:lang w:val="en-US" w:eastAsia="zh-CN"/>
        </w:rPr>
        <w:t>平台及</w:t>
      </w:r>
      <w:r>
        <w:rPr>
          <w:rFonts w:hint="eastAsia" w:ascii="Times New Roman" w:hAnsi="Times New Roman" w:eastAsia="仿宋_GB2312" w:cs="Times New Roman"/>
          <w:color w:val="auto"/>
          <w:sz w:val="24"/>
          <w:lang w:eastAsia="zh-CN"/>
        </w:rPr>
        <w:t>引桥等构筑物内采用三防吸顶或壁式工厂灯照明，趸船码头面采用泛光灯照明，并利用装船机灯具局部加强照明。照明灯具主要采用LED节能型灯具。本工程照明的照度值不低于国家规范规定的值，码头面水平照度不低于10lx，转运站、引桥等处照度不低于50lx。</w:t>
      </w:r>
    </w:p>
    <w:p>
      <w:pPr>
        <w:pStyle w:val="5"/>
        <w:widowControl w:val="0"/>
        <w:adjustRightInd/>
        <w:spacing w:before="156" w:beforeLines="50" w:after="156" w:afterLines="50" w:line="360" w:lineRule="auto"/>
        <w:ind w:firstLine="0"/>
        <w:textAlignment w:val="auto"/>
        <w:outlineLvl w:val="3"/>
        <w:rPr>
          <w:rFonts w:ascii="Times New Roman" w:hAnsi="Times New Roman" w:eastAsia="黑体" w:cs="Times New Roman"/>
          <w:color w:val="auto"/>
          <w:szCs w:val="24"/>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5</w:t>
      </w:r>
      <w:r>
        <w:rPr>
          <w:rFonts w:hint="eastAsia" w:ascii="Times New Roman" w:hAnsi="Times New Roman" w:eastAsia="黑体" w:cs="Times New Roman"/>
          <w:color w:val="auto"/>
          <w:szCs w:val="24"/>
          <w:lang w:val="en-US" w:eastAsia="zh-CN"/>
        </w:rPr>
        <w:t>.3</w:t>
      </w:r>
      <w:r>
        <w:rPr>
          <w:rFonts w:ascii="Times New Roman" w:hAnsi="Times New Roman" w:eastAsia="黑体" w:cs="Times New Roman"/>
          <w:color w:val="auto"/>
          <w:szCs w:val="24"/>
        </w:rPr>
        <w:t>消防系统</w:t>
      </w:r>
    </w:p>
    <w:p>
      <w:pPr>
        <w:widowControl w:val="0"/>
        <w:spacing w:line="360" w:lineRule="auto"/>
        <w:ind w:firstLine="480" w:firstLineChars="200"/>
        <w:rPr>
          <w:rFonts w:eastAsia="仿宋_GB2312"/>
          <w:color w:val="auto"/>
          <w:sz w:val="24"/>
        </w:rPr>
      </w:pPr>
      <w:r>
        <w:rPr>
          <w:rFonts w:hint="eastAsia" w:eastAsia="仿宋_GB2312"/>
          <w:color w:val="auto"/>
          <w:sz w:val="24"/>
        </w:rPr>
        <w:t>在港区最高建筑屋顶设一座18m</w:t>
      </w:r>
      <w:r>
        <w:rPr>
          <w:rFonts w:hint="eastAsia" w:eastAsia="仿宋_GB2312"/>
          <w:color w:val="auto"/>
          <w:sz w:val="24"/>
          <w:vertAlign w:val="superscript"/>
        </w:rPr>
        <w:t>3</w:t>
      </w:r>
      <w:r>
        <w:rPr>
          <w:rFonts w:hint="eastAsia" w:eastAsia="仿宋_GB2312"/>
          <w:color w:val="auto"/>
          <w:sz w:val="24"/>
        </w:rPr>
        <w:t>消防水箱，提供火灾初期消防用水。消防水箱最低水位到最不利消火栓的静水压力不小于0.07MPa，若高度不满足以上要求需在水箱出口增加一套消防稳压设备</w:t>
      </w:r>
      <w:r>
        <w:rPr>
          <w:rFonts w:eastAsia="仿宋_GB2312"/>
          <w:color w:val="auto"/>
          <w:sz w:val="24"/>
        </w:rPr>
        <w:t>。</w:t>
      </w:r>
    </w:p>
    <w:p>
      <w:pPr>
        <w:pStyle w:val="5"/>
        <w:widowControl w:val="0"/>
        <w:adjustRightInd/>
        <w:spacing w:before="156" w:beforeLines="50" w:after="156" w:afterLines="50" w:line="360" w:lineRule="auto"/>
        <w:ind w:firstLine="0"/>
        <w:textAlignment w:val="auto"/>
        <w:outlineLvl w:val="3"/>
        <w:rPr>
          <w:rFonts w:ascii="Times New Roman" w:hAnsi="Times New Roman" w:eastAsia="黑体" w:cs="Times New Roman"/>
          <w:color w:val="auto"/>
          <w:szCs w:val="24"/>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5</w:t>
      </w:r>
      <w:r>
        <w:rPr>
          <w:rFonts w:hint="eastAsia" w:ascii="Times New Roman" w:hAnsi="Times New Roman" w:eastAsia="黑体" w:cs="Times New Roman"/>
          <w:color w:val="auto"/>
          <w:szCs w:val="24"/>
          <w:lang w:val="en-US" w:eastAsia="zh-CN"/>
        </w:rPr>
        <w:t>.3通信及控制</w:t>
      </w:r>
      <w:r>
        <w:rPr>
          <w:rFonts w:ascii="Times New Roman" w:hAnsi="Times New Roman" w:eastAsia="黑体" w:cs="Times New Roman"/>
          <w:color w:val="auto"/>
          <w:szCs w:val="24"/>
        </w:rPr>
        <w:t>系统</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通信</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本工程不设有线通信。港区内生产调度人员之间以及调度人员与移动机械操作人员之间的通信联系采用UHF无线对讲机</w:t>
      </w:r>
      <w:r>
        <w:rPr>
          <w:rFonts w:hint="eastAsia" w:ascii="Times New Roman" w:hAnsi="Times New Roman" w:eastAsia="仿宋_GB2312" w:cs="Times New Roman"/>
          <w:color w:val="auto"/>
          <w:sz w:val="24"/>
          <w:lang w:eastAsia="zh-CN"/>
        </w:rPr>
        <w:t>。</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无线通信。本工程码头区不设短波单边带（SSB）电台和甚高频（VHF）船、岸通信电台，进出码头区船舶与码头区之间的远、近通信联系将依托临近港现有的船、岸通信设施或由后方陆域统一考虑设计。</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本工程工业电视监视系统，在主要出入口和重点作业区域设置超高清摄像头，并将信号通过光纤送至后方陆域监控中心。摄像机由监控中心专线统一供电，视频电缆穿镀锌钢管埋地敷设。</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控制系统</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本工程控制系统的设计内容为皮带机的工艺流程控制，在机旁设就地控制箱，在变电所内设现场I/O站，在后方陆域中央控制室内设PLC站，所有控制信号直接接入转运站的现场I/O站，并集中送至中央控制室内的PLC站，PLC站通过光缆与中控系统通信</w:t>
      </w:r>
      <w:r>
        <w:rPr>
          <w:rFonts w:hint="eastAsia" w:ascii="Times New Roman" w:hAnsi="Times New Roman" w:eastAsia="仿宋_GB2312" w:cs="Times New Roman"/>
          <w:color w:val="auto"/>
          <w:sz w:val="24"/>
          <w:lang w:eastAsia="zh-CN"/>
        </w:rPr>
        <w:t>。</w:t>
      </w:r>
    </w:p>
    <w:p>
      <w:pPr>
        <w:pStyle w:val="9"/>
        <w:widowControl w:val="0"/>
        <w:spacing w:before="120" w:after="120" w:line="360" w:lineRule="auto"/>
        <w:rPr>
          <w:rFonts w:hint="default" w:ascii="Times New Roman" w:hAnsi="Times New Roman" w:eastAsia="黑体" w:cs="Times New Roman"/>
          <w:b w:val="0"/>
          <w:color w:val="auto"/>
          <w:sz w:val="24"/>
          <w:lang w:val="en-US" w:eastAsia="zh-CN"/>
        </w:rPr>
      </w:pPr>
      <w:bookmarkStart w:id="302" w:name="_Toc14891"/>
      <w:r>
        <w:rPr>
          <w:rFonts w:ascii="Times New Roman" w:hAnsi="Times New Roman" w:eastAsia="黑体" w:cs="Times New Roman"/>
          <w:b w:val="0"/>
          <w:color w:val="auto"/>
          <w:sz w:val="24"/>
        </w:rPr>
        <w:t>2.</w:t>
      </w:r>
      <w:r>
        <w:rPr>
          <w:rFonts w:hint="eastAsia" w:ascii="Times New Roman" w:hAnsi="Times New Roman" w:eastAsia="黑体" w:cs="Times New Roman"/>
          <w:b w:val="0"/>
          <w:color w:val="auto"/>
          <w:sz w:val="24"/>
          <w:lang w:val="en-US" w:eastAsia="zh-CN"/>
        </w:rPr>
        <w:t>2.</w:t>
      </w:r>
      <w:r>
        <w:rPr>
          <w:rFonts w:hint="eastAsia" w:eastAsia="黑体" w:cs="Times New Roman"/>
          <w:b w:val="0"/>
          <w:color w:val="auto"/>
          <w:sz w:val="24"/>
          <w:lang w:val="en-US" w:eastAsia="zh-CN"/>
        </w:rPr>
        <w:t>6施工平面布置</w:t>
      </w:r>
      <w:bookmarkEnd w:id="302"/>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eastAsia="zh-CN"/>
        </w:rPr>
      </w:pPr>
      <w:r>
        <w:rPr>
          <w:rFonts w:hint="eastAsia" w:eastAsia="黑体" w:cs="Times New Roman"/>
          <w:color w:val="auto"/>
          <w:szCs w:val="24"/>
          <w:lang w:val="en-US" w:eastAsia="zh-CN"/>
        </w:rPr>
        <w:t>2.2.6</w:t>
      </w:r>
      <w:r>
        <w:rPr>
          <w:rFonts w:hint="eastAsia" w:ascii="Times New Roman" w:hAnsi="Times New Roman" w:eastAsia="黑体" w:cs="Times New Roman"/>
          <w:color w:val="auto"/>
          <w:szCs w:val="24"/>
          <w:lang w:eastAsia="zh-CN"/>
        </w:rPr>
        <w:t>.1取、弃土场</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本工程挖方</w:t>
      </w:r>
      <w:r>
        <w:rPr>
          <w:rFonts w:hint="eastAsia" w:eastAsia="仿宋_GB2312" w:cs="Times New Roman"/>
          <w:color w:val="auto"/>
          <w:sz w:val="24"/>
          <w:lang w:val="en-US" w:eastAsia="zh-CN"/>
        </w:rPr>
        <w:t>0.</w:t>
      </w:r>
      <w:r>
        <w:rPr>
          <w:rFonts w:hint="eastAsia" w:ascii="Times New Roman" w:hAnsi="Times New Roman" w:eastAsia="仿宋_GB2312" w:cs="Times New Roman"/>
          <w:color w:val="auto"/>
          <w:sz w:val="24"/>
          <w:lang w:eastAsia="zh-CN"/>
        </w:rPr>
        <w:t>0</w:t>
      </w:r>
      <w:r>
        <w:rPr>
          <w:rFonts w:hint="eastAsia" w:eastAsia="仿宋_GB2312" w:cs="Times New Roman"/>
          <w:color w:val="auto"/>
          <w:sz w:val="24"/>
          <w:lang w:val="en-US" w:eastAsia="zh-CN"/>
        </w:rPr>
        <w:t>2</w:t>
      </w:r>
      <w:r>
        <w:rPr>
          <w:rFonts w:hint="eastAsia" w:ascii="Times New Roman" w:hAnsi="Times New Roman" w:eastAsia="仿宋_GB2312" w:cs="Times New Roman"/>
          <w:color w:val="auto"/>
          <w:sz w:val="24"/>
          <w:lang w:eastAsia="zh-CN"/>
        </w:rPr>
        <w:t>万m</w:t>
      </w:r>
      <w:r>
        <w:rPr>
          <w:rFonts w:hint="eastAsia" w:ascii="Times New Roman" w:hAnsi="Times New Roman" w:eastAsia="仿宋_GB2312" w:cs="Times New Roman"/>
          <w:color w:val="auto"/>
          <w:sz w:val="24"/>
          <w:vertAlign w:val="superscript"/>
          <w:lang w:eastAsia="zh-CN"/>
        </w:rPr>
        <w:t>3</w:t>
      </w:r>
      <w:r>
        <w:rPr>
          <w:rFonts w:hint="eastAsia" w:ascii="Times New Roman" w:hAnsi="Times New Roman" w:eastAsia="仿宋_GB2312" w:cs="Times New Roman"/>
          <w:color w:val="auto"/>
          <w:sz w:val="24"/>
          <w:lang w:eastAsia="zh-CN"/>
        </w:rPr>
        <w:t>，无借方，</w:t>
      </w:r>
      <w:r>
        <w:rPr>
          <w:rFonts w:hint="eastAsia" w:eastAsia="仿宋_GB2312" w:cs="Times New Roman"/>
          <w:color w:val="auto"/>
          <w:sz w:val="24"/>
          <w:lang w:val="en-US" w:eastAsia="zh-CN"/>
        </w:rPr>
        <w:t>挖方全部回填</w:t>
      </w:r>
      <w:r>
        <w:rPr>
          <w:rFonts w:hint="eastAsia" w:ascii="Times New Roman" w:hAnsi="Times New Roman" w:eastAsia="仿宋_GB2312" w:cs="Times New Roman"/>
          <w:color w:val="auto"/>
          <w:sz w:val="24"/>
          <w:lang w:eastAsia="zh-CN"/>
        </w:rPr>
        <w:t>，不设置取、弃土场。</w:t>
      </w:r>
    </w:p>
    <w:p>
      <w:pPr>
        <w:pStyle w:val="5"/>
        <w:widowControl w:val="0"/>
        <w:adjustRightInd/>
        <w:spacing w:before="156" w:beforeLines="50" w:after="156" w:afterLines="50" w:line="360" w:lineRule="auto"/>
        <w:ind w:firstLine="0"/>
        <w:textAlignment w:val="auto"/>
        <w:outlineLvl w:val="3"/>
        <w:rPr>
          <w:rFonts w:hint="eastAsia" w:eastAsia="黑体" w:cs="Times New Roman"/>
          <w:color w:val="auto"/>
          <w:szCs w:val="24"/>
          <w:lang w:val="en-US" w:eastAsia="zh-CN"/>
        </w:rPr>
      </w:pPr>
      <w:r>
        <w:rPr>
          <w:rFonts w:hint="eastAsia" w:eastAsia="黑体" w:cs="Times New Roman"/>
          <w:color w:val="auto"/>
          <w:szCs w:val="24"/>
          <w:lang w:val="en-US" w:eastAsia="zh-CN"/>
        </w:rPr>
        <w:t>2.2.6.2施工临时场地</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本工程施工期在</w:t>
      </w:r>
      <w:r>
        <w:rPr>
          <w:rFonts w:hint="eastAsia" w:eastAsia="仿宋_GB2312" w:cs="Times New Roman"/>
          <w:color w:val="auto"/>
          <w:sz w:val="24"/>
          <w:lang w:val="en-US" w:eastAsia="zh-CN"/>
        </w:rPr>
        <w:t>港区内</w:t>
      </w:r>
      <w:r>
        <w:rPr>
          <w:rFonts w:hint="eastAsia" w:ascii="Times New Roman" w:hAnsi="Times New Roman" w:eastAsia="仿宋_GB2312" w:cs="Times New Roman"/>
          <w:color w:val="auto"/>
          <w:sz w:val="24"/>
          <w:lang w:eastAsia="zh-CN"/>
        </w:rPr>
        <w:t>预留商品混凝土用地设置1处施工场地，主要布设施工营地、材料堆场、钢筋加工棚等，不新增临时用地。施工人员租用</w:t>
      </w:r>
      <w:r>
        <w:rPr>
          <w:rFonts w:hint="eastAsia" w:eastAsia="仿宋_GB2312" w:cs="Times New Roman"/>
          <w:color w:val="auto"/>
          <w:sz w:val="24"/>
          <w:lang w:val="en-US" w:eastAsia="zh-CN"/>
        </w:rPr>
        <w:t>洋溪社区</w:t>
      </w:r>
      <w:r>
        <w:rPr>
          <w:rFonts w:hint="eastAsia" w:ascii="Times New Roman" w:hAnsi="Times New Roman" w:eastAsia="仿宋_GB2312" w:cs="Times New Roman"/>
          <w:color w:val="auto"/>
          <w:sz w:val="24"/>
          <w:lang w:eastAsia="zh-CN"/>
        </w:rPr>
        <w:t>附近</w:t>
      </w:r>
      <w:r>
        <w:rPr>
          <w:rFonts w:hint="eastAsia" w:eastAsia="仿宋_GB2312" w:cs="Times New Roman"/>
          <w:color w:val="auto"/>
          <w:sz w:val="24"/>
          <w:lang w:val="en-US" w:eastAsia="zh-CN"/>
        </w:rPr>
        <w:t>民房</w:t>
      </w:r>
      <w:r>
        <w:rPr>
          <w:rFonts w:hint="eastAsia" w:ascii="Times New Roman" w:hAnsi="Times New Roman" w:eastAsia="仿宋_GB2312" w:cs="Times New Roman"/>
          <w:color w:val="auto"/>
          <w:sz w:val="24"/>
          <w:lang w:eastAsia="zh-CN"/>
        </w:rPr>
        <w:t>作为办公休息地点，项目不设施工生活区。</w:t>
      </w:r>
    </w:p>
    <w:p>
      <w:pPr>
        <w:pStyle w:val="5"/>
        <w:widowControl w:val="0"/>
        <w:adjustRightInd/>
        <w:spacing w:before="156" w:beforeLines="50" w:after="156" w:afterLines="50" w:line="360" w:lineRule="auto"/>
        <w:ind w:firstLine="0"/>
        <w:textAlignment w:val="auto"/>
        <w:outlineLvl w:val="3"/>
        <w:rPr>
          <w:rFonts w:hint="eastAsia" w:eastAsia="黑体" w:cs="Times New Roman"/>
          <w:color w:val="auto"/>
          <w:szCs w:val="24"/>
          <w:lang w:val="en-US" w:eastAsia="zh-CN"/>
        </w:rPr>
      </w:pPr>
      <w:r>
        <w:rPr>
          <w:rFonts w:hint="eastAsia" w:eastAsia="黑体" w:cs="Times New Roman"/>
          <w:color w:val="auto"/>
          <w:szCs w:val="24"/>
          <w:lang w:val="en-US" w:eastAsia="zh-CN"/>
        </w:rPr>
        <w:t>2.2.6.3施工临时道路</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本工程可由</w:t>
      </w:r>
      <w:r>
        <w:rPr>
          <w:rFonts w:hint="eastAsia" w:eastAsia="仿宋_GB2312" w:cs="Times New Roman"/>
          <w:color w:val="auto"/>
          <w:sz w:val="24"/>
          <w:lang w:val="en-US" w:eastAsia="zh-CN"/>
        </w:rPr>
        <w:t>南侧红东</w:t>
      </w:r>
      <w:r>
        <w:rPr>
          <w:rFonts w:hint="eastAsia" w:ascii="Times New Roman" w:hAnsi="Times New Roman" w:eastAsia="仿宋_GB2312" w:cs="Times New Roman"/>
          <w:color w:val="auto"/>
          <w:sz w:val="24"/>
          <w:lang w:eastAsia="zh-CN"/>
        </w:rPr>
        <w:t>公路进入现场，可满足施工机械进出施工现场要求，可满足施工机械进出施工现场要求</w:t>
      </w:r>
    </w:p>
    <w:bookmarkEnd w:id="299"/>
    <w:bookmarkEnd w:id="300"/>
    <w:bookmarkEnd w:id="301"/>
    <w:p>
      <w:pPr>
        <w:pStyle w:val="9"/>
        <w:widowControl w:val="0"/>
        <w:spacing w:before="120" w:after="120" w:line="360" w:lineRule="auto"/>
        <w:rPr>
          <w:rFonts w:ascii="Times New Roman" w:hAnsi="Times New Roman" w:eastAsia="黑体" w:cs="Times New Roman"/>
          <w:b w:val="0"/>
          <w:color w:val="auto"/>
          <w:sz w:val="24"/>
        </w:rPr>
      </w:pPr>
      <w:bookmarkStart w:id="303" w:name="_Toc305859461"/>
      <w:bookmarkStart w:id="304" w:name="_Toc343702763"/>
      <w:bookmarkStart w:id="305" w:name="_Toc20822"/>
      <w:r>
        <w:rPr>
          <w:rFonts w:ascii="Times New Roman" w:hAnsi="Times New Roman" w:eastAsia="黑体" w:cs="Times New Roman"/>
          <w:b w:val="0"/>
          <w:color w:val="auto"/>
          <w:sz w:val="24"/>
        </w:rPr>
        <w:t>2.</w:t>
      </w:r>
      <w:r>
        <w:rPr>
          <w:rFonts w:hint="eastAsia" w:ascii="Times New Roman" w:hAnsi="Times New Roman" w:eastAsia="黑体" w:cs="Times New Roman"/>
          <w:b w:val="0"/>
          <w:color w:val="auto"/>
          <w:sz w:val="24"/>
          <w:lang w:val="en-US" w:eastAsia="zh-CN"/>
        </w:rPr>
        <w:t>2.</w:t>
      </w:r>
      <w:r>
        <w:rPr>
          <w:rFonts w:hint="eastAsia" w:eastAsia="黑体" w:cs="Times New Roman"/>
          <w:b w:val="0"/>
          <w:color w:val="auto"/>
          <w:sz w:val="24"/>
          <w:lang w:val="en-US" w:eastAsia="zh-CN"/>
        </w:rPr>
        <w:t>7</w:t>
      </w:r>
      <w:r>
        <w:rPr>
          <w:rFonts w:ascii="Times New Roman" w:hAnsi="Times New Roman" w:eastAsia="黑体" w:cs="Times New Roman"/>
          <w:b w:val="0"/>
          <w:color w:val="auto"/>
          <w:sz w:val="24"/>
        </w:rPr>
        <w:t>劳动定员与工作制度</w:t>
      </w:r>
      <w:bookmarkEnd w:id="303"/>
      <w:bookmarkEnd w:id="304"/>
      <w:bookmarkEnd w:id="305"/>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劳动定员：码头劳动定员</w:t>
      </w:r>
      <w:r>
        <w:rPr>
          <w:rFonts w:hint="eastAsia" w:ascii="Times New Roman" w:hAnsi="Times New Roman" w:eastAsia="仿宋_GB2312" w:cs="Times New Roman"/>
          <w:color w:val="auto"/>
          <w:sz w:val="24"/>
          <w:lang w:val="en-US" w:eastAsia="zh-CN"/>
        </w:rPr>
        <w:t>30</w:t>
      </w:r>
      <w:r>
        <w:rPr>
          <w:rFonts w:hint="eastAsia" w:ascii="Times New Roman" w:hAnsi="Times New Roman" w:eastAsia="仿宋_GB2312" w:cs="Times New Roman"/>
          <w:color w:val="auto"/>
          <w:sz w:val="24"/>
        </w:rPr>
        <w:t>人。不提供食宿，员工食宿自理</w:t>
      </w:r>
      <w:r>
        <w:rPr>
          <w:rFonts w:hint="eastAsia" w:eastAsia="仿宋_GB2312" w:cs="Times New Roman"/>
          <w:color w:val="auto"/>
          <w:sz w:val="24"/>
          <w:lang w:eastAsia="zh-CN"/>
        </w:rPr>
        <w:t>。</w:t>
      </w:r>
    </w:p>
    <w:p>
      <w:pPr>
        <w:widowControl w:val="0"/>
        <w:spacing w:line="360" w:lineRule="auto"/>
        <w:ind w:firstLine="480" w:firstLineChars="200"/>
        <w:rPr>
          <w:rFonts w:eastAsia="仿宋_GB2312"/>
          <w:color w:val="auto"/>
          <w:sz w:val="24"/>
        </w:rPr>
      </w:pPr>
      <w:r>
        <w:rPr>
          <w:rFonts w:hint="eastAsia" w:eastAsia="仿宋_GB2312"/>
          <w:color w:val="auto"/>
          <w:sz w:val="24"/>
        </w:rPr>
        <w:t>工作制度：年工作时间</w:t>
      </w:r>
      <w:r>
        <w:rPr>
          <w:rFonts w:hint="eastAsia" w:eastAsia="仿宋_GB2312"/>
          <w:color w:val="auto"/>
          <w:sz w:val="24"/>
          <w:lang w:val="en-US" w:eastAsia="zh-CN"/>
        </w:rPr>
        <w:t>330</w:t>
      </w:r>
      <w:r>
        <w:rPr>
          <w:rFonts w:hint="eastAsia" w:eastAsia="仿宋_GB2312"/>
          <w:color w:val="auto"/>
          <w:sz w:val="24"/>
        </w:rPr>
        <w:t>天，采用三</w:t>
      </w:r>
      <w:r>
        <w:rPr>
          <w:rFonts w:hint="eastAsia" w:eastAsia="仿宋_GB2312"/>
          <w:color w:val="auto"/>
          <w:sz w:val="24"/>
          <w:lang w:val="en-US" w:eastAsia="zh-CN"/>
        </w:rPr>
        <w:t>班</w:t>
      </w:r>
      <w:r>
        <w:rPr>
          <w:rFonts w:hint="eastAsia" w:eastAsia="仿宋_GB2312"/>
          <w:color w:val="auto"/>
          <w:sz w:val="24"/>
        </w:rPr>
        <w:t>制。</w:t>
      </w:r>
    </w:p>
    <w:p>
      <w:pPr>
        <w:pStyle w:val="9"/>
        <w:widowControl w:val="0"/>
        <w:spacing w:before="120" w:after="120" w:line="360" w:lineRule="auto"/>
        <w:rPr>
          <w:rFonts w:hint="default" w:ascii="Times New Roman" w:hAnsi="Times New Roman" w:eastAsia="黑体" w:cs="Times New Roman"/>
          <w:b w:val="0"/>
          <w:color w:val="auto"/>
          <w:sz w:val="24"/>
          <w:lang w:val="en-US" w:eastAsia="zh-CN"/>
        </w:rPr>
      </w:pPr>
      <w:bookmarkStart w:id="306" w:name="_Toc8849"/>
      <w:r>
        <w:rPr>
          <w:rFonts w:hint="eastAsia" w:eastAsia="黑体" w:cs="Times New Roman"/>
          <w:b w:val="0"/>
          <w:color w:val="auto"/>
          <w:sz w:val="24"/>
          <w:lang w:val="en-US" w:eastAsia="zh-CN"/>
        </w:rPr>
        <w:t>2.2.8施工方案</w:t>
      </w:r>
      <w:bookmarkEnd w:id="306"/>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.8</w:t>
      </w:r>
      <w:r>
        <w:rPr>
          <w:rFonts w:hint="eastAsia" w:ascii="Times New Roman" w:hAnsi="Times New Roman" w:eastAsia="黑体" w:cs="Times New Roman"/>
          <w:color w:val="auto"/>
          <w:szCs w:val="24"/>
          <w:lang w:val="en-US" w:eastAsia="zh-CN"/>
        </w:rPr>
        <w:t>.1</w:t>
      </w:r>
      <w:r>
        <w:rPr>
          <w:rFonts w:hint="eastAsia" w:eastAsia="黑体" w:cs="Times New Roman"/>
          <w:color w:val="auto"/>
          <w:szCs w:val="24"/>
          <w:lang w:val="en-US" w:eastAsia="zh-CN"/>
        </w:rPr>
        <w:t>现有码头拆除方案</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现有码头工程设计船型靠泊能力较低，装卸工艺方案落后，起重能力较低，装卸设备和水工设施已接近折旧年限，不符合《港口建设管理规定》及相关规范要求。</w:t>
      </w:r>
      <w:r>
        <w:rPr>
          <w:rFonts w:hint="eastAsia" w:eastAsia="仿宋_GB2312" w:cs="Times New Roman"/>
          <w:color w:val="auto"/>
          <w:sz w:val="24"/>
          <w:lang w:val="en-US" w:eastAsia="zh-CN"/>
        </w:rPr>
        <w:t>同时现有码头</w:t>
      </w:r>
      <w:r>
        <w:rPr>
          <w:rFonts w:hint="eastAsia" w:ascii="Times New Roman" w:hAnsi="Times New Roman" w:eastAsia="仿宋_GB2312" w:cs="Times New Roman"/>
          <w:color w:val="auto"/>
          <w:sz w:val="24"/>
          <w:lang w:eastAsia="zh-CN"/>
        </w:rPr>
        <w:t>缺乏相应的环保措施，因此建设单位需要对码头进行改造和规范提升，将拆除现有码头，对现有码头趸船、皮带机等设备拆除、清运。</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根据现场踏勘，现有码头属于简易的装卸码头，涉及的建设内容主要包括趸船、起重机、接料漏斗、皮带机等，其中起重机为趸船配套设备，接料漏斗为皮带机配套设备。具体拆除顺序为：</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①首先移除皮带机及其配套的接料漏斗，通过汽车运输将皮带机和接料漏斗移除。</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②其次，移除趸船及其配套的起重机，通过其他船支将趸船及其配套的起重机移除。</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③然后拆除现有码头的系船地牛装置，系船地牛构筑于坡岸地表，采用铁制，利用风镐和气焊设备等进行拆除。</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拆除工作应在本次项目建成投产前完成</w:t>
      </w:r>
      <w:r>
        <w:rPr>
          <w:rFonts w:hint="eastAsia" w:eastAsia="仿宋_GB2312" w:cs="Times New Roman"/>
          <w:color w:val="auto"/>
          <w:sz w:val="24"/>
          <w:lang w:eastAsia="zh-CN"/>
        </w:rPr>
        <w:t>。</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rPr>
      </w:pPr>
      <w:r>
        <w:rPr>
          <w:rFonts w:ascii="Times New Roman" w:hAnsi="Times New Roman" w:eastAsia="黑体" w:cs="Times New Roman"/>
          <w:color w:val="auto"/>
          <w:szCs w:val="24"/>
        </w:rPr>
        <w:t>2.</w:t>
      </w:r>
      <w:r>
        <w:rPr>
          <w:rFonts w:hint="eastAsia" w:ascii="Times New Roman" w:hAnsi="Times New Roman" w:eastAsia="黑体" w:cs="Times New Roman"/>
          <w:color w:val="auto"/>
          <w:szCs w:val="24"/>
          <w:lang w:val="en-US" w:eastAsia="zh-CN"/>
        </w:rPr>
        <w:t>2.</w:t>
      </w:r>
      <w:r>
        <w:rPr>
          <w:rFonts w:hint="eastAsia" w:eastAsia="黑体" w:cs="Times New Roman"/>
          <w:color w:val="auto"/>
          <w:szCs w:val="24"/>
          <w:lang w:val="en-US" w:eastAsia="zh-CN"/>
        </w:rPr>
        <w:t>8.2技改码头施工内容</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eastAsia="zh-CN"/>
        </w:rPr>
        <w:t>（</w:t>
      </w:r>
      <w:r>
        <w:rPr>
          <w:rFonts w:hint="eastAsia" w:eastAsia="仿宋_GB2312" w:cs="Times New Roman"/>
          <w:color w:val="auto"/>
          <w:sz w:val="24"/>
          <w:lang w:val="en-US" w:eastAsia="zh-CN"/>
        </w:rPr>
        <w:t>1</w:t>
      </w:r>
      <w:r>
        <w:rPr>
          <w:rFonts w:hint="eastAsia" w:eastAsia="仿宋_GB2312" w:cs="Times New Roman"/>
          <w:color w:val="auto"/>
          <w:sz w:val="24"/>
          <w:lang w:eastAsia="zh-CN"/>
        </w:rPr>
        <w:t>）</w:t>
      </w:r>
      <w:r>
        <w:rPr>
          <w:rFonts w:hint="eastAsia" w:eastAsia="仿宋_GB2312" w:cs="Times New Roman"/>
          <w:color w:val="auto"/>
          <w:sz w:val="24"/>
          <w:lang w:val="en-US" w:eastAsia="zh-CN"/>
        </w:rPr>
        <w:t>码头施工内容</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①测量放线</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轴线定位桩是根据</w:t>
      </w:r>
      <w:r>
        <w:rPr>
          <w:rFonts w:hint="eastAsia" w:eastAsia="仿宋_GB2312" w:cs="Times New Roman"/>
          <w:color w:val="auto"/>
          <w:sz w:val="24"/>
          <w:lang w:val="en-US" w:eastAsia="zh-CN"/>
        </w:rPr>
        <w:t>施工负责</w:t>
      </w:r>
      <w:r>
        <w:rPr>
          <w:rFonts w:hint="eastAsia" w:ascii="Times New Roman" w:hAnsi="Times New Roman" w:eastAsia="仿宋_GB2312" w:cs="Times New Roman"/>
          <w:color w:val="auto"/>
          <w:sz w:val="24"/>
          <w:lang w:eastAsia="zh-CN"/>
        </w:rPr>
        <w:t>的定位桩及建筑物施工平面图进行放线的</w:t>
      </w:r>
      <w:r>
        <w:rPr>
          <w:rFonts w:hint="eastAsia" w:eastAsia="仿宋_GB2312" w:cs="Times New Roman"/>
          <w:color w:val="auto"/>
          <w:sz w:val="24"/>
          <w:lang w:eastAsia="zh-CN"/>
        </w:rPr>
        <w:t>。</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②旋挖桩位</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在桩位处利用</w:t>
      </w:r>
      <w:r>
        <w:rPr>
          <w:rFonts w:hint="eastAsia" w:eastAsia="仿宋_GB2312" w:cs="Times New Roman"/>
          <w:color w:val="auto"/>
          <w:sz w:val="24"/>
          <w:lang w:val="en-US" w:eastAsia="zh-CN"/>
        </w:rPr>
        <w:t>回旋钻</w:t>
      </w:r>
      <w:r>
        <w:rPr>
          <w:rFonts w:hint="eastAsia" w:ascii="Times New Roman" w:hAnsi="Times New Roman" w:eastAsia="仿宋_GB2312" w:cs="Times New Roman"/>
          <w:color w:val="auto"/>
          <w:sz w:val="24"/>
          <w:lang w:eastAsia="zh-CN"/>
        </w:rPr>
        <w:t>机预先开挖一个直径φ</w:t>
      </w:r>
      <w:r>
        <w:rPr>
          <w:rFonts w:hint="eastAsia" w:eastAsia="仿宋_GB2312" w:cs="Times New Roman"/>
          <w:color w:val="auto"/>
          <w:sz w:val="24"/>
          <w:lang w:val="en-US" w:eastAsia="zh-CN"/>
        </w:rPr>
        <w:t>12</w:t>
      </w:r>
      <w:r>
        <w:rPr>
          <w:rFonts w:hint="eastAsia" w:ascii="Times New Roman" w:hAnsi="Times New Roman" w:eastAsia="仿宋_GB2312" w:cs="Times New Roman"/>
          <w:color w:val="auto"/>
          <w:sz w:val="24"/>
          <w:lang w:eastAsia="zh-CN"/>
        </w:rPr>
        <w:t>00</w:t>
      </w:r>
      <w:r>
        <w:rPr>
          <w:rFonts w:hint="eastAsia" w:eastAsia="仿宋_GB2312" w:cs="Times New Roman"/>
          <w:color w:val="auto"/>
          <w:sz w:val="24"/>
          <w:lang w:val="en-US" w:eastAsia="zh-CN"/>
        </w:rPr>
        <w:t>mm</w:t>
      </w:r>
      <w:r>
        <w:rPr>
          <w:rFonts w:hint="eastAsia" w:ascii="Times New Roman" w:hAnsi="Times New Roman" w:eastAsia="仿宋_GB2312" w:cs="Times New Roman"/>
          <w:color w:val="auto"/>
          <w:sz w:val="24"/>
          <w:lang w:eastAsia="zh-CN"/>
        </w:rPr>
        <w:t>（对应φ</w:t>
      </w:r>
      <w:r>
        <w:rPr>
          <w:rFonts w:hint="eastAsia" w:eastAsia="仿宋_GB2312" w:cs="Times New Roman"/>
          <w:color w:val="auto"/>
          <w:sz w:val="24"/>
          <w:lang w:val="en-US" w:eastAsia="zh-CN"/>
        </w:rPr>
        <w:t>1000mm钢</w:t>
      </w:r>
      <w:r>
        <w:rPr>
          <w:rFonts w:hint="eastAsia" w:ascii="Times New Roman" w:hAnsi="Times New Roman" w:eastAsia="仿宋_GB2312" w:cs="Times New Roman"/>
          <w:color w:val="auto"/>
          <w:sz w:val="24"/>
          <w:lang w:eastAsia="zh-CN"/>
        </w:rPr>
        <w:t>护筒）、</w:t>
      </w:r>
      <w:r>
        <w:rPr>
          <w:rFonts w:hint="eastAsia" w:eastAsia="仿宋_GB2312" w:cs="Times New Roman"/>
          <w:color w:val="auto"/>
          <w:sz w:val="24"/>
          <w:lang w:val="en-US" w:eastAsia="zh-CN"/>
        </w:rPr>
        <w:t>孔深30m以内</w:t>
      </w:r>
      <w:r>
        <w:rPr>
          <w:rFonts w:hint="eastAsia" w:ascii="Times New Roman" w:hAnsi="Times New Roman" w:eastAsia="仿宋_GB2312" w:cs="Times New Roman"/>
          <w:color w:val="auto"/>
          <w:sz w:val="24"/>
          <w:lang w:eastAsia="zh-CN"/>
        </w:rPr>
        <w:t>的栽桩孔，钢护筒由起重船配合钻孔定位船直接嵌入栽桩孔内，在护筒内、外侧均浇筑水下混凝土以嵌固稳定钢护筒</w:t>
      </w:r>
      <w:r>
        <w:rPr>
          <w:rFonts w:hint="eastAsia" w:eastAsia="仿宋_GB2312" w:cs="Times New Roman"/>
          <w:color w:val="auto"/>
          <w:sz w:val="24"/>
          <w:lang w:eastAsia="zh-CN"/>
        </w:rPr>
        <w:t>。</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③钢护筒就位及固定</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首根护筒底部就位完成后，随即进行下一根钢护筒的就位工作。钢护筒依次就位后应立即吊装一层钢撑</w:t>
      </w:r>
      <w:r>
        <w:rPr>
          <w:rFonts w:hint="eastAsia" w:eastAsia="仿宋_GB2312" w:cs="Times New Roman"/>
          <w:color w:val="auto"/>
          <w:sz w:val="24"/>
          <w:lang w:val="en-US" w:eastAsia="zh-CN"/>
        </w:rPr>
        <w:t>杆</w:t>
      </w:r>
      <w:r>
        <w:rPr>
          <w:rFonts w:hint="eastAsia" w:ascii="Times New Roman" w:hAnsi="Times New Roman" w:eastAsia="仿宋_GB2312" w:cs="Times New Roman"/>
          <w:color w:val="auto"/>
          <w:sz w:val="24"/>
          <w:lang w:eastAsia="zh-CN"/>
        </w:rPr>
        <w:t>并焊接牢固。钢护筒就位工作以此顺序逐次进行，直至所有钢护筒沉放、固定完毕。钢撑</w:t>
      </w:r>
      <w:r>
        <w:rPr>
          <w:rFonts w:hint="eastAsia" w:eastAsia="仿宋_GB2312" w:cs="Times New Roman"/>
          <w:color w:val="auto"/>
          <w:sz w:val="24"/>
          <w:lang w:val="en-US" w:eastAsia="zh-CN"/>
        </w:rPr>
        <w:t>杆</w:t>
      </w:r>
      <w:r>
        <w:rPr>
          <w:rFonts w:hint="eastAsia" w:ascii="Times New Roman" w:hAnsi="Times New Roman" w:eastAsia="仿宋_GB2312" w:cs="Times New Roman"/>
          <w:color w:val="auto"/>
          <w:sz w:val="24"/>
          <w:lang w:eastAsia="zh-CN"/>
        </w:rPr>
        <w:t>在钢结构厂加工防腐，水路运到现场，起重船吊装至预先设置在钢护筒的临时牛腿处，随后完成定位并焊接安装。所有钢护筒在淹没前均应焊接牢固</w:t>
      </w:r>
      <w:r>
        <w:rPr>
          <w:rFonts w:hint="eastAsia" w:eastAsia="仿宋_GB2312" w:cs="Times New Roman"/>
          <w:color w:val="auto"/>
          <w:sz w:val="24"/>
          <w:lang w:eastAsia="zh-CN"/>
        </w:rPr>
        <w:t>。</w:t>
      </w:r>
    </w:p>
    <w:p>
      <w:pPr>
        <w:widowControl w:val="0"/>
        <w:spacing w:line="360" w:lineRule="auto"/>
        <w:ind w:firstLine="480" w:firstLineChars="200"/>
        <w:rPr>
          <w:rFonts w:hint="eastAsia" w:eastAsia="仿宋_GB2312" w:cs="Times New Roman"/>
          <w:color w:val="auto"/>
          <w:sz w:val="24"/>
          <w:lang w:val="en-US" w:eastAsia="zh-CN"/>
        </w:rPr>
      </w:pPr>
      <w:r>
        <w:rPr>
          <w:rFonts w:hint="eastAsia" w:eastAsia="仿宋_GB2312" w:cs="Times New Roman"/>
          <w:color w:val="auto"/>
          <w:sz w:val="24"/>
          <w:lang w:val="en-US" w:eastAsia="zh-CN"/>
        </w:rPr>
        <w:t>④架设施工钻孔平台</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eastAsia="仿宋_GB2312" w:cs="Times New Roman"/>
          <w:color w:val="auto"/>
          <w:sz w:val="24"/>
          <w:lang w:val="en-US" w:eastAsia="zh-CN"/>
        </w:rPr>
        <w:t>钢护筒就位并可靠连接后，即可开展施工钻孔平台的搭设工作。桩基成孔、浇筑均在施工钻孔平台上进行。搭设时需先在钢护筒顶部设置牛腿，搭设钻孔平台，钻孔平台平面尺寸根据实际情况确定。平台完成后，即可在此平台上进行灌注桩钻孔作业。</w:t>
      </w:r>
      <w:r>
        <w:rPr>
          <w:rFonts w:hint="eastAsia" w:ascii="Times New Roman" w:hAnsi="Times New Roman" w:eastAsia="仿宋_GB2312" w:cs="Times New Roman"/>
          <w:color w:val="auto"/>
          <w:sz w:val="24"/>
          <w:lang w:eastAsia="zh-CN"/>
        </w:rPr>
        <w:t>钻孔灌注桩施工时在泥浆池四周设置土堤围堰。</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⑤桩基成孔、墩台混凝土浇筑</w:t>
      </w:r>
    </w:p>
    <w:p>
      <w:pPr>
        <w:widowControl w:val="0"/>
        <w:spacing w:line="360" w:lineRule="auto"/>
        <w:ind w:firstLine="480" w:firstLineChars="200"/>
        <w:rPr>
          <w:rFonts w:hint="eastAsia" w:eastAsia="仿宋_GB2312" w:cs="Times New Roman"/>
          <w:color w:val="auto"/>
          <w:sz w:val="24"/>
          <w:lang w:val="en-US" w:eastAsia="zh-CN"/>
        </w:rPr>
      </w:pPr>
      <w:r>
        <w:rPr>
          <w:rFonts w:hint="eastAsia" w:eastAsia="仿宋_GB2312" w:cs="Times New Roman"/>
          <w:color w:val="auto"/>
          <w:sz w:val="24"/>
          <w:lang w:val="en-US" w:eastAsia="zh-CN"/>
        </w:rPr>
        <w:t>钻孔完成后，进行钢筋笼吊装，钢筋笼在陆上加工场加工，由水路运到现场，起重船吊装钢筋笼，并用型钢焊接固定在护筒上口。</w:t>
      </w:r>
    </w:p>
    <w:p>
      <w:pPr>
        <w:widowControl w:val="0"/>
        <w:spacing w:line="360" w:lineRule="auto"/>
        <w:ind w:firstLine="480" w:firstLineChars="200"/>
        <w:rPr>
          <w:rFonts w:hint="default" w:eastAsia="仿宋_GB2312" w:cs="Times New Roman"/>
          <w:color w:val="auto"/>
          <w:sz w:val="24"/>
          <w:lang w:val="en-US" w:eastAsia="zh-CN"/>
        </w:rPr>
      </w:pPr>
      <w:r>
        <w:rPr>
          <w:rFonts w:hint="eastAsia" w:eastAsia="仿宋_GB2312" w:cs="Times New Roman"/>
          <w:color w:val="auto"/>
          <w:sz w:val="24"/>
          <w:lang w:val="en-US" w:eastAsia="zh-CN"/>
        </w:rPr>
        <w:t>钢筋吊装完成后，进行灌注桩混凝土浇筑作业，混凝土在生产厂家厂区内混凝土搅拌站进行生产，制成后的混凝土从码头转运至船上运送至施工现场，采用导管法施工，并应连续浇筑。桩基地面以上部分采用半圆管形钢模支模现浇。不在现场进行混凝土搅拌作业。</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eastAsia="仿宋_GB2312" w:cs="Times New Roman"/>
          <w:color w:val="auto"/>
          <w:sz w:val="24"/>
          <w:lang w:val="en-US" w:eastAsia="zh-CN"/>
        </w:rPr>
        <w:t>在钻孔灌注桩桩基钻孔施工作业时，需设置泥浆池，从泥浆池中抽出泥浆水注入钻孔内，对钻孔壁进行保护，泥浆水通过泥浆泵的抽压在泥浆池和钻孔内循环回用</w:t>
      </w:r>
      <w:r>
        <w:rPr>
          <w:rFonts w:hint="eastAsia" w:ascii="Times New Roman" w:hAnsi="Times New Roman" w:eastAsia="仿宋_GB2312" w:cs="Times New Roman"/>
          <w:color w:val="auto"/>
          <w:sz w:val="24"/>
          <w:lang w:eastAsia="zh-CN"/>
        </w:rPr>
        <w:t>。此外，混凝土浇筑期间还需设置必要的降温措施，以利于大体积混凝土水化热散失。</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eastAsia="仿宋_GB2312" w:cs="Times New Roman"/>
          <w:color w:val="auto"/>
          <w:sz w:val="24"/>
          <w:lang w:val="en-US" w:eastAsia="zh-CN"/>
        </w:rPr>
        <w:t>⑦钢撑杆的制作安装</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eastAsia="zh-CN"/>
        </w:rPr>
        <w:t>安装采用所需钢管在钢结构厂加工防腐，水路运至工程区域，采用起重船吊装至预先设置在钢护筒的临时牛腿处，随后完成定位并焊接安装</w:t>
      </w:r>
      <w:r>
        <w:rPr>
          <w:rFonts w:hint="eastAsia" w:eastAsia="仿宋_GB2312" w:cs="Times New Roman"/>
          <w:color w:val="auto"/>
          <w:sz w:val="24"/>
          <w:lang w:eastAsia="zh-CN"/>
        </w:rPr>
        <w:t>。</w:t>
      </w:r>
      <w:r>
        <w:rPr>
          <w:rFonts w:hint="eastAsia" w:eastAsia="仿宋_GB2312" w:cs="Times New Roman"/>
          <w:color w:val="auto"/>
          <w:sz w:val="24"/>
          <w:lang w:val="en-US" w:eastAsia="zh-CN"/>
        </w:rPr>
        <w:t>钢撑杆应在桩基施工完成后在低水位期间抢水位实施。</w:t>
      </w:r>
    </w:p>
    <w:p>
      <w:pPr>
        <w:widowControl w:val="0"/>
        <w:spacing w:line="360" w:lineRule="auto"/>
        <w:ind w:firstLine="480" w:firstLineChars="200"/>
        <w:rPr>
          <w:rFonts w:hint="default" w:eastAsia="仿宋_GB2312" w:cs="Times New Roman"/>
          <w:color w:val="auto"/>
          <w:sz w:val="24"/>
          <w:lang w:val="en-US" w:eastAsia="zh-CN"/>
        </w:rPr>
      </w:pPr>
      <w:r>
        <w:rPr>
          <w:rFonts w:hint="eastAsia" w:eastAsia="仿宋_GB2312" w:cs="Times New Roman"/>
          <w:color w:val="auto"/>
          <w:sz w:val="24"/>
          <w:lang w:val="en-US" w:eastAsia="zh-CN"/>
        </w:rPr>
        <w:t>⑧转运楼施工</w:t>
      </w:r>
    </w:p>
    <w:p>
      <w:pPr>
        <w:widowControl w:val="0"/>
        <w:spacing w:line="360" w:lineRule="auto"/>
        <w:ind w:firstLine="480" w:firstLineChars="200"/>
        <w:rPr>
          <w:rFonts w:hint="eastAsia" w:eastAsia="仿宋_GB2312" w:cs="Times New Roman"/>
          <w:color w:val="auto"/>
          <w:sz w:val="24"/>
          <w:lang w:val="en-US" w:eastAsia="zh-CN"/>
        </w:rPr>
      </w:pPr>
      <w:r>
        <w:rPr>
          <w:rFonts w:hint="eastAsia" w:eastAsia="仿宋_GB2312" w:cs="Times New Roman"/>
          <w:color w:val="auto"/>
          <w:sz w:val="24"/>
          <w:lang w:val="en-US" w:eastAsia="zh-CN"/>
        </w:rPr>
        <w:t>转运楼采用现浇钢筋混凝土架空框架结构，基础采用Φ1000mm的钻孔灌注桩。变电所采用现浇钢筋混凝土墩台结构，基础采用Φ1000mm的钻孔灌注桩。</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⑨钢引桥吊装</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钢引桥必须在墩柱完成后安装，建议在现场拼装后一次性吊装。钢引桥利用大型起重船在高水位时吊装</w:t>
      </w:r>
      <w:r>
        <w:rPr>
          <w:rFonts w:hint="eastAsia" w:eastAsia="仿宋_GB2312" w:cs="Times New Roman"/>
          <w:color w:val="auto"/>
          <w:sz w:val="24"/>
          <w:lang w:eastAsia="zh-CN"/>
        </w:rPr>
        <w:t>。</w:t>
      </w:r>
    </w:p>
    <w:p>
      <w:pPr>
        <w:widowControl w:val="0"/>
        <w:spacing w:line="360" w:lineRule="auto"/>
        <w:ind w:firstLine="480" w:firstLineChars="200"/>
        <w:rPr>
          <w:rFonts w:hint="default" w:eastAsia="仿宋_GB2312" w:cs="Times New Roman"/>
          <w:color w:val="auto"/>
          <w:sz w:val="24"/>
          <w:lang w:val="en-US" w:eastAsia="zh-CN"/>
        </w:rPr>
      </w:pPr>
      <w:r>
        <w:rPr>
          <w:rFonts w:hint="eastAsia" w:eastAsia="仿宋_GB2312" w:cs="Times New Roman"/>
          <w:color w:val="auto"/>
          <w:sz w:val="24"/>
          <w:lang w:val="en-US" w:eastAsia="zh-CN"/>
        </w:rPr>
        <w:t>⑩护岸施工</w:t>
      </w:r>
    </w:p>
    <w:p>
      <w:pPr>
        <w:widowControl w:val="0"/>
        <w:spacing w:line="360" w:lineRule="auto"/>
        <w:ind w:firstLine="480" w:firstLineChars="200"/>
        <w:rPr>
          <w:rFonts w:hint="default" w:eastAsia="仿宋_GB2312" w:cs="Times New Roman"/>
          <w:color w:val="auto"/>
          <w:sz w:val="24"/>
          <w:lang w:val="en-US" w:eastAsia="zh-CN"/>
        </w:rPr>
      </w:pPr>
      <w:r>
        <w:rPr>
          <w:rFonts w:hint="eastAsia" w:eastAsia="仿宋_GB2312" w:cs="Times New Roman"/>
          <w:color w:val="auto"/>
          <w:sz w:val="24"/>
          <w:lang w:val="en-US" w:eastAsia="zh-CN"/>
        </w:rPr>
        <w:t>采用陆上推填法进行抛石堤护岸的施工。</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eastAsia="zh-CN"/>
        </w:rPr>
        <w:t>（</w:t>
      </w:r>
      <w:r>
        <w:rPr>
          <w:rFonts w:hint="eastAsia" w:eastAsia="仿宋_GB2312" w:cs="Times New Roman"/>
          <w:color w:val="auto"/>
          <w:sz w:val="24"/>
          <w:lang w:val="en-US" w:eastAsia="zh-CN"/>
        </w:rPr>
        <w:t>2</w:t>
      </w:r>
      <w:r>
        <w:rPr>
          <w:rFonts w:hint="eastAsia" w:eastAsia="仿宋_GB2312" w:cs="Times New Roman"/>
          <w:color w:val="auto"/>
          <w:sz w:val="24"/>
          <w:lang w:eastAsia="zh-CN"/>
        </w:rPr>
        <w:t>）</w:t>
      </w:r>
      <w:r>
        <w:rPr>
          <w:rFonts w:hint="eastAsia" w:eastAsia="仿宋_GB2312" w:cs="Times New Roman"/>
          <w:color w:val="auto"/>
          <w:sz w:val="24"/>
          <w:lang w:val="en-US" w:eastAsia="zh-CN"/>
        </w:rPr>
        <w:t>码头施工工艺流程</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码头</w:t>
      </w:r>
      <w:r>
        <w:rPr>
          <w:rFonts w:hint="eastAsia" w:eastAsia="仿宋_GB2312" w:cs="Times New Roman"/>
          <w:color w:val="auto"/>
          <w:sz w:val="24"/>
          <w:lang w:val="en-US" w:eastAsia="zh-CN"/>
        </w:rPr>
        <w:t>施工</w:t>
      </w:r>
      <w:r>
        <w:rPr>
          <w:rFonts w:hint="eastAsia" w:ascii="Times New Roman" w:hAnsi="Times New Roman" w:eastAsia="仿宋_GB2312" w:cs="Times New Roman"/>
          <w:color w:val="auto"/>
          <w:sz w:val="24"/>
          <w:lang w:eastAsia="zh-CN"/>
        </w:rPr>
        <w:t>具体工艺流程见下图</w:t>
      </w:r>
      <w:r>
        <w:rPr>
          <w:rFonts w:hint="eastAsia" w:eastAsia="仿宋_GB2312" w:cs="Times New Roman"/>
          <w:color w:val="auto"/>
          <w:sz w:val="24"/>
          <w:lang w:eastAsia="zh-CN"/>
        </w:rPr>
        <w:t>。</w:t>
      </w:r>
    </w:p>
    <w:p>
      <w:pPr>
        <w:widowControl w:val="0"/>
        <w:spacing w:line="360" w:lineRule="auto"/>
        <w:jc w:val="center"/>
        <w:rPr>
          <w:rFonts w:hint="eastAsia" w:eastAsia="仿宋_GB2312"/>
          <w:color w:val="auto"/>
          <w:sz w:val="24"/>
          <w:szCs w:val="24"/>
        </w:rPr>
      </w:pPr>
      <w:r>
        <w:rPr>
          <w:rFonts w:hint="eastAsia" w:eastAsia="仿宋_GB2312"/>
          <w:color w:val="auto"/>
          <w:sz w:val="24"/>
          <w:szCs w:val="24"/>
        </w:rPr>
        <w:object>
          <v:shape id="_x0000_i1026" o:spt="75" type="#_x0000_t75" style="height:339.5pt;width:201.8pt;" o:ole="t" filled="f" o:preferrelative="t" stroked="f" coordsize="21600,21600">
            <v:path/>
            <v:fill on="f" focussize="0,0"/>
            <v:stroke on="f"/>
            <v:imagedata r:id="rId35" cropbottom="9168f" o:title=""/>
            <o:lock v:ext="edit" aspectratio="f"/>
            <w10:wrap type="none"/>
            <w10:anchorlock/>
          </v:shape>
          <o:OLEObject Type="Embed" ProgID="Visio.Drawing.15" ShapeID="_x0000_i1026" DrawAspect="Content" ObjectID="_1468075726" r:id="rId34">
            <o:LockedField>false</o:LockedField>
          </o:OLEObject>
        </w:object>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2.2</w:t>
      </w:r>
      <w:r>
        <w:rPr>
          <w:rFonts w:eastAsia="黑体"/>
          <w:b/>
          <w:color w:val="auto"/>
          <w:szCs w:val="21"/>
          <w:lang w:val="zh-CN"/>
        </w:rPr>
        <w:t xml:space="preserve">-1  </w:t>
      </w:r>
      <w:r>
        <w:rPr>
          <w:rFonts w:hint="eastAsia" w:eastAsia="黑体"/>
          <w:b/>
          <w:color w:val="auto"/>
          <w:szCs w:val="21"/>
          <w:lang w:val="en-US" w:eastAsia="zh-CN"/>
        </w:rPr>
        <w:t>码头施工工艺流程图</w:t>
      </w:r>
    </w:p>
    <w:p>
      <w:pPr>
        <w:pStyle w:val="9"/>
        <w:widowControl w:val="0"/>
        <w:spacing w:before="120" w:after="120" w:line="360" w:lineRule="auto"/>
        <w:rPr>
          <w:rFonts w:hint="default" w:ascii="Times New Roman" w:hAnsi="Times New Roman" w:eastAsia="黑体" w:cs="Times New Roman"/>
          <w:b w:val="0"/>
          <w:color w:val="auto"/>
          <w:sz w:val="24"/>
          <w:lang w:val="en-US"/>
        </w:rPr>
      </w:pPr>
      <w:bookmarkStart w:id="307" w:name="_Toc14496"/>
      <w:r>
        <w:rPr>
          <w:rFonts w:ascii="Times New Roman" w:hAnsi="Times New Roman" w:eastAsia="黑体" w:cs="Times New Roman"/>
          <w:b w:val="0"/>
          <w:color w:val="auto"/>
          <w:sz w:val="24"/>
        </w:rPr>
        <w:t>2.</w:t>
      </w:r>
      <w:r>
        <w:rPr>
          <w:rFonts w:hint="eastAsia" w:ascii="Times New Roman" w:hAnsi="Times New Roman" w:eastAsia="黑体" w:cs="Times New Roman"/>
          <w:b w:val="0"/>
          <w:color w:val="auto"/>
          <w:sz w:val="24"/>
          <w:lang w:val="en-US" w:eastAsia="zh-CN"/>
        </w:rPr>
        <w:t>2.</w:t>
      </w:r>
      <w:r>
        <w:rPr>
          <w:rFonts w:hint="eastAsia" w:eastAsia="黑体" w:cs="Times New Roman"/>
          <w:b w:val="0"/>
          <w:color w:val="auto"/>
          <w:sz w:val="24"/>
          <w:lang w:val="en-US" w:eastAsia="zh-CN"/>
        </w:rPr>
        <w:t>9</w:t>
      </w:r>
      <w:r>
        <w:rPr>
          <w:rFonts w:hint="eastAsia" w:ascii="Times New Roman" w:hAnsi="Times New Roman" w:eastAsia="黑体" w:cs="Times New Roman"/>
          <w:b w:val="0"/>
          <w:color w:val="auto"/>
          <w:sz w:val="24"/>
          <w:lang w:val="en-US" w:eastAsia="zh-CN"/>
        </w:rPr>
        <w:t>总投资及建设工期</w:t>
      </w:r>
      <w:bookmarkEnd w:id="307"/>
    </w:p>
    <w:p>
      <w:pPr>
        <w:widowControl w:val="0"/>
        <w:tabs>
          <w:tab w:val="left" w:pos="-540"/>
        </w:tabs>
        <w:spacing w:line="360" w:lineRule="auto"/>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lang w:eastAsia="zh-CN"/>
        </w:rPr>
        <w:t>本工程</w:t>
      </w:r>
      <w:r>
        <w:rPr>
          <w:rFonts w:hint="eastAsia" w:ascii="Times New Roman" w:hAnsi="Times New Roman" w:eastAsia="仿宋_GB2312" w:cs="Times New Roman"/>
          <w:color w:val="auto"/>
          <w:sz w:val="24"/>
          <w:lang w:val="en-US" w:eastAsia="zh-CN"/>
        </w:rPr>
        <w:t>总投资为11708.16万元，</w:t>
      </w:r>
      <w:r>
        <w:rPr>
          <w:rFonts w:hint="eastAsia" w:ascii="Times New Roman" w:hAnsi="Times New Roman" w:eastAsia="仿宋_GB2312" w:cs="Times New Roman"/>
          <w:color w:val="auto"/>
          <w:sz w:val="24"/>
          <w:lang w:eastAsia="zh-CN"/>
        </w:rPr>
        <w:t>控制工期主要工程项目为水工建筑物</w:t>
      </w:r>
      <w:r>
        <w:rPr>
          <w:rFonts w:hint="eastAsia" w:eastAsia="仿宋_GB2312" w:cs="Times New Roman"/>
          <w:color w:val="auto"/>
          <w:sz w:val="24"/>
          <w:lang w:eastAsia="zh-CN"/>
        </w:rPr>
        <w:t>、</w:t>
      </w:r>
      <w:r>
        <w:rPr>
          <w:rFonts w:hint="eastAsia" w:eastAsia="仿宋_GB2312" w:cs="Times New Roman"/>
          <w:color w:val="auto"/>
          <w:sz w:val="24"/>
          <w:lang w:val="en-US" w:eastAsia="zh-CN"/>
        </w:rPr>
        <w:t>转运楼、墩台及附属设施</w:t>
      </w:r>
      <w:r>
        <w:rPr>
          <w:rFonts w:hint="eastAsia" w:ascii="Times New Roman" w:hAnsi="Times New Roman" w:eastAsia="仿宋_GB2312" w:cs="Times New Roman"/>
          <w:color w:val="auto"/>
          <w:sz w:val="24"/>
          <w:lang w:eastAsia="zh-CN"/>
        </w:rPr>
        <w:t>施工等，根据施工方案，经测算本工程施工期约</w:t>
      </w:r>
      <w:r>
        <w:rPr>
          <w:rFonts w:hint="eastAsia" w:ascii="Times New Roman" w:hAnsi="Times New Roman" w:eastAsia="仿宋_GB2312" w:cs="Times New Roman"/>
          <w:color w:val="auto"/>
          <w:sz w:val="24"/>
          <w:lang w:val="en-US" w:eastAsia="zh-CN"/>
        </w:rPr>
        <w:t>12</w:t>
      </w:r>
      <w:r>
        <w:rPr>
          <w:rFonts w:hint="eastAsia" w:ascii="Times New Roman" w:hAnsi="Times New Roman" w:eastAsia="仿宋_GB2312" w:cs="Times New Roman"/>
          <w:color w:val="auto"/>
          <w:sz w:val="24"/>
          <w:lang w:eastAsia="zh-CN"/>
        </w:rPr>
        <w:t>个月</w:t>
      </w:r>
      <w:r>
        <w:rPr>
          <w:rFonts w:hint="eastAsia" w:ascii="Times New Roman" w:hAnsi="Times New Roman" w:eastAsia="仿宋_GB2312" w:cs="Times New Roman"/>
          <w:color w:val="auto"/>
          <w:sz w:val="24"/>
          <w:lang w:val="en-US" w:eastAsia="zh-CN"/>
        </w:rPr>
        <w:t>。</w:t>
      </w:r>
    </w:p>
    <w:p>
      <w:pPr>
        <w:widowControl w:val="0"/>
        <w:tabs>
          <w:tab w:val="left" w:pos="-540"/>
        </w:tabs>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施工进度安排见下表</w:t>
      </w:r>
      <w:r>
        <w:rPr>
          <w:rFonts w:hint="eastAsia" w:ascii="Times New Roman" w:hAnsi="Times New Roman" w:eastAsia="仿宋_GB2312" w:cs="Times New Roman"/>
          <w:color w:val="auto"/>
          <w:sz w:val="24"/>
          <w:lang w:eastAsia="zh-CN"/>
        </w:rPr>
        <w:t>。</w:t>
      </w:r>
    </w:p>
    <w:p>
      <w:pPr>
        <w:widowControl w:val="0"/>
        <w:spacing w:line="360" w:lineRule="auto"/>
        <w:jc w:val="center"/>
        <w:rPr>
          <w:rFonts w:hint="default" w:eastAsia="黑体"/>
          <w:b/>
          <w:color w:val="auto"/>
          <w:lang w:val="en-US" w:eastAsia="zh-CN"/>
        </w:rPr>
      </w:pPr>
      <w:r>
        <w:rPr>
          <w:rFonts w:eastAsia="黑体"/>
          <w:b/>
          <w:color w:val="auto"/>
        </w:rPr>
        <w:t>表2.2-</w:t>
      </w:r>
      <w:r>
        <w:rPr>
          <w:rFonts w:hint="eastAsia" w:eastAsia="黑体"/>
          <w:b/>
          <w:color w:val="auto"/>
          <w:lang w:val="en-US" w:eastAsia="zh-CN"/>
        </w:rPr>
        <w:t>9</w:t>
      </w:r>
      <w:r>
        <w:rPr>
          <w:rFonts w:eastAsia="黑体"/>
          <w:b/>
          <w:color w:val="auto"/>
        </w:rPr>
        <w:t xml:space="preserve">  </w:t>
      </w:r>
      <w:r>
        <w:rPr>
          <w:rFonts w:hint="eastAsia" w:eastAsia="黑体"/>
          <w:b/>
          <w:color w:val="auto"/>
          <w:lang w:val="en-US" w:eastAsia="zh-CN"/>
        </w:rPr>
        <w:t>施工进度表</w:t>
      </w:r>
    </w:p>
    <w:tbl>
      <w:tblPr>
        <w:tblStyle w:val="92"/>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52"/>
        <w:gridCol w:w="1940"/>
        <w:gridCol w:w="562"/>
        <w:gridCol w:w="446"/>
        <w:gridCol w:w="434"/>
        <w:gridCol w:w="494"/>
        <w:gridCol w:w="463"/>
        <w:gridCol w:w="463"/>
        <w:gridCol w:w="463"/>
        <w:gridCol w:w="463"/>
        <w:gridCol w:w="448"/>
        <w:gridCol w:w="479"/>
        <w:gridCol w:w="495"/>
        <w:gridCol w:w="5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vMerge w:val="restart"/>
            <w:tcBorders>
              <w:top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序号</w:t>
            </w:r>
          </w:p>
        </w:tc>
        <w:tc>
          <w:tcPr>
            <w:tcW w:w="1139" w:type="pct"/>
            <w:vMerge w:val="restart"/>
            <w:tcBorders>
              <w:top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工程项目</w:t>
            </w:r>
          </w:p>
        </w:tc>
        <w:tc>
          <w:tcPr>
            <w:tcW w:w="3359" w:type="pct"/>
            <w:gridSpan w:val="12"/>
            <w:tcBorders>
              <w:top w:val="single" w:color="auto" w:sz="12" w:space="0"/>
              <w:bottom w:val="single" w:color="auto" w:sz="4"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施工月份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vMerge w:val="continue"/>
            <w:tcBorders>
              <w:bottom w:val="single" w:color="auto" w:sz="12" w:space="0"/>
            </w:tcBorders>
            <w:noWrap w:val="0"/>
            <w:vAlign w:val="center"/>
          </w:tcPr>
          <w:p>
            <w:pPr>
              <w:jc w:val="center"/>
              <w:rPr>
                <w:rFonts w:hint="eastAsia" w:eastAsia="宋体"/>
                <w:color w:val="auto"/>
                <w:kern w:val="0"/>
                <w:sz w:val="20"/>
                <w:lang w:val="en-US" w:eastAsia="zh-CN"/>
              </w:rPr>
            </w:pPr>
          </w:p>
        </w:tc>
        <w:tc>
          <w:tcPr>
            <w:tcW w:w="1139" w:type="pct"/>
            <w:vMerge w:val="continue"/>
            <w:tcBorders>
              <w:bottom w:val="single" w:color="auto" w:sz="12" w:space="0"/>
            </w:tcBorders>
            <w:noWrap w:val="0"/>
            <w:vAlign w:val="center"/>
          </w:tcPr>
          <w:p>
            <w:pPr>
              <w:jc w:val="center"/>
              <w:rPr>
                <w:rFonts w:hint="eastAsia" w:eastAsia="宋体"/>
                <w:color w:val="auto"/>
                <w:kern w:val="0"/>
                <w:sz w:val="20"/>
                <w:lang w:val="en-US" w:eastAsia="zh-CN"/>
              </w:rPr>
            </w:pPr>
          </w:p>
        </w:tc>
        <w:tc>
          <w:tcPr>
            <w:tcW w:w="330"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1</w:t>
            </w:r>
          </w:p>
        </w:tc>
        <w:tc>
          <w:tcPr>
            <w:tcW w:w="262"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2</w:t>
            </w:r>
          </w:p>
        </w:tc>
        <w:tc>
          <w:tcPr>
            <w:tcW w:w="255"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3</w:t>
            </w:r>
          </w:p>
        </w:tc>
        <w:tc>
          <w:tcPr>
            <w:tcW w:w="290"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4</w:t>
            </w:r>
          </w:p>
        </w:tc>
        <w:tc>
          <w:tcPr>
            <w:tcW w:w="272"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5</w:t>
            </w:r>
          </w:p>
        </w:tc>
        <w:tc>
          <w:tcPr>
            <w:tcW w:w="272"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6</w:t>
            </w:r>
          </w:p>
        </w:tc>
        <w:tc>
          <w:tcPr>
            <w:tcW w:w="272"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7</w:t>
            </w:r>
          </w:p>
        </w:tc>
        <w:tc>
          <w:tcPr>
            <w:tcW w:w="272"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8</w:t>
            </w:r>
          </w:p>
        </w:tc>
        <w:tc>
          <w:tcPr>
            <w:tcW w:w="263"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9</w:t>
            </w:r>
          </w:p>
        </w:tc>
        <w:tc>
          <w:tcPr>
            <w:tcW w:w="281"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10</w:t>
            </w:r>
          </w:p>
        </w:tc>
        <w:tc>
          <w:tcPr>
            <w:tcW w:w="290"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11</w:t>
            </w:r>
          </w:p>
        </w:tc>
        <w:tc>
          <w:tcPr>
            <w:tcW w:w="294" w:type="pct"/>
            <w:tcBorders>
              <w:top w:val="single" w:color="auto" w:sz="4" w:space="0"/>
              <w:bottom w:val="single" w:color="auto" w:sz="12" w:space="0"/>
            </w:tcBorders>
            <w:noWrap w:val="0"/>
            <w:vAlign w:val="center"/>
          </w:tcPr>
          <w:p>
            <w:pPr>
              <w:jc w:val="center"/>
              <w:rPr>
                <w:rFonts w:hint="default" w:eastAsia="宋体"/>
                <w:color w:val="auto"/>
                <w:kern w:val="0"/>
                <w:sz w:val="20"/>
                <w:lang w:val="en-US" w:eastAsia="zh-CN"/>
              </w:rPr>
            </w:pPr>
            <w:r>
              <w:rPr>
                <w:rFonts w:hint="eastAsia" w:eastAsia="宋体"/>
                <w:color w:val="auto"/>
                <w:kern w:val="0"/>
                <w:sz w:val="20"/>
                <w:lang w:val="en-US" w:eastAsia="zh-CN"/>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1</w:t>
            </w:r>
          </w:p>
        </w:tc>
        <w:tc>
          <w:tcPr>
            <w:tcW w:w="1139"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施工准备</w:t>
            </w:r>
          </w:p>
        </w:tc>
        <w:tc>
          <w:tcPr>
            <w:tcW w:w="330"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59264" behindDoc="0" locked="0" layoutInCell="1" allowOverlap="1">
                      <wp:simplePos x="0" y="0"/>
                      <wp:positionH relativeFrom="column">
                        <wp:posOffset>-64135</wp:posOffset>
                      </wp:positionH>
                      <wp:positionV relativeFrom="paragraph">
                        <wp:posOffset>80645</wp:posOffset>
                      </wp:positionV>
                      <wp:extent cx="209550" cy="76200"/>
                      <wp:effectExtent l="0" t="0" r="0" b="0"/>
                      <wp:wrapNone/>
                      <wp:docPr id="35" name="矩形 35"/>
                      <wp:cNvGraphicFramePr/>
                      <a:graphic xmlns:a="http://schemas.openxmlformats.org/drawingml/2006/main">
                        <a:graphicData uri="http://schemas.microsoft.com/office/word/2010/wordprocessingShape">
                          <wps:wsp>
                            <wps:cNvSpPr/>
                            <wps:spPr>
                              <a:xfrm>
                                <a:off x="3196590" y="5522595"/>
                                <a:ext cx="209550"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pt;margin-top:6.35pt;height:6pt;width:16.5pt;z-index:251659264;v-text-anchor:middle;mso-width-relative:page;mso-height-relative:page;" fillcolor="#000000 [3213]" filled="t" stroked="f" coordsize="21600,21600" o:gfxdata="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72U4NgAAAAIAQAADwAAAAAAAAABACAAAAAiAAAAZHJzL2Rvd25yZXYueG1sUEsB&#10;AhQAFAAAAAgAh07iQPRldShnAgAAwAQAAA4AAAAAAAAAAQAgAAAAJwEAAGRycy9lMm9Eb2MueG1s&#10;UEsFBgAAAAAGAAYAWQEAAAAGAAAAAA==&#10;">
                      <v:fill on="t" focussize="0,0"/>
                      <v:stroke on="f" weight="2pt"/>
                      <v:imagedata o:title=""/>
                      <o:lock v:ext="edit" aspectratio="f"/>
                    </v:rect>
                  </w:pict>
                </mc:Fallback>
              </mc:AlternateContent>
            </w:r>
          </w:p>
        </w:tc>
        <w:tc>
          <w:tcPr>
            <w:tcW w:w="262" w:type="pct"/>
            <w:tcBorders>
              <w:top w:val="single" w:color="auto" w:sz="12" w:space="0"/>
            </w:tcBorders>
            <w:noWrap w:val="0"/>
            <w:vAlign w:val="center"/>
          </w:tcPr>
          <w:p>
            <w:pPr>
              <w:jc w:val="center"/>
              <w:rPr>
                <w:rFonts w:hint="default" w:ascii="Times New Roman" w:hAnsi="Times New Roman" w:eastAsia="宋体" w:cs="Times New Roman"/>
                <w:color w:val="auto"/>
                <w:kern w:val="0"/>
                <w:sz w:val="20"/>
                <w:lang w:val="en-US" w:eastAsia="zh-CN"/>
              </w:rPr>
            </w:pPr>
          </w:p>
        </w:tc>
        <w:tc>
          <w:tcPr>
            <w:tcW w:w="255"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81"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tcBorders>
              <w:top w:val="single" w:color="auto" w:sz="12" w:space="0"/>
            </w:tcBorders>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2</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基础施工</w:t>
            </w:r>
          </w:p>
        </w:tc>
        <w:tc>
          <w:tcPr>
            <w:tcW w:w="330" w:type="pct"/>
            <w:noWrap w:val="0"/>
            <w:vAlign w:val="center"/>
          </w:tcPr>
          <w:p>
            <w:pPr>
              <w:jc w:val="center"/>
              <w:rPr>
                <w:rFonts w:hint="eastAsia"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141605</wp:posOffset>
                      </wp:positionH>
                      <wp:positionV relativeFrom="paragraph">
                        <wp:posOffset>71755</wp:posOffset>
                      </wp:positionV>
                      <wp:extent cx="431165" cy="76200"/>
                      <wp:effectExtent l="0" t="0" r="6985" b="0"/>
                      <wp:wrapNone/>
                      <wp:docPr id="36" name="矩形 36"/>
                      <wp:cNvGraphicFramePr/>
                      <a:graphic xmlns:a="http://schemas.openxmlformats.org/drawingml/2006/main">
                        <a:graphicData uri="http://schemas.microsoft.com/office/word/2010/wordprocessingShape">
                          <wps:wsp>
                            <wps:cNvSpPr/>
                            <wps:spPr>
                              <a:xfrm>
                                <a:off x="0" y="0"/>
                                <a:ext cx="431165"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5pt;margin-top:5.65pt;height:6pt;width:33.95pt;z-index:251660288;v-text-anchor:middle;mso-width-relative:page;mso-height-relative:page;" fillcolor="#000000 [3213]" filled="t" stroked="f" coordsize="21600,21600" o:gfxdata="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62iZkdQA&#10;AAAHAQAADwAAAAAAAAABACAAAAAiAAAAZHJzL2Rvd25yZXYueG1sUEsBAhQAFAAAAAgAh07iQBFM&#10;pztcAgAAtAQAAA4AAAAAAAAAAQAgAAAAIwEAAGRycy9lMm9Eb2MueG1sUEsFBgAAAAAGAAYAWQEA&#10;APEFAAAAAA==&#10;">
                      <v:fill on="t" focussize="0,0"/>
                      <v:stroke on="f" weight="2pt"/>
                      <v:imagedata o:title=""/>
                      <o:lock v:ext="edit" aspectratio="f"/>
                    </v:rect>
                  </w:pict>
                </mc:Fallback>
              </mc:AlternateContent>
            </w: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55"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81"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3</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墩台及钢引桥</w:t>
            </w:r>
          </w:p>
        </w:tc>
        <w:tc>
          <w:tcPr>
            <w:tcW w:w="33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62865</wp:posOffset>
                      </wp:positionH>
                      <wp:positionV relativeFrom="paragraph">
                        <wp:posOffset>73660</wp:posOffset>
                      </wp:positionV>
                      <wp:extent cx="679450" cy="76200"/>
                      <wp:effectExtent l="0" t="0" r="6350" b="0"/>
                      <wp:wrapNone/>
                      <wp:docPr id="37" name="矩形 37"/>
                      <wp:cNvGraphicFramePr/>
                      <a:graphic xmlns:a="http://schemas.openxmlformats.org/drawingml/2006/main">
                        <a:graphicData uri="http://schemas.microsoft.com/office/word/2010/wordprocessingShape">
                          <wps:wsp>
                            <wps:cNvSpPr/>
                            <wps:spPr>
                              <a:xfrm>
                                <a:off x="0" y="0"/>
                                <a:ext cx="679450"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pt;margin-top:5.8pt;height:6pt;width:53.5pt;z-index:251661312;v-text-anchor:middle;mso-width-relative:page;mso-height-relative:page;" fillcolor="#000000 [3213]" filled="t" stroked="f" coordsize="21600,21600" o:gfxdata="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dbC8h1AAA&#10;AAcBAAAPAAAAAAAAAAEAIAAAACIAAABkcnMvZG93bnJldi54bWxQSwECFAAUAAAACACHTuJAr8Dx&#10;/lsCAAC0BAAADgAAAAAAAAABACAAAAAjAQAAZHJzL2Uyb0RvYy54bWxQSwUGAAAAAAYABgBZAQAA&#10;8AUAAAAA&#10;">
                      <v:fill on="t" focussize="0,0"/>
                      <v:stroke on="f" weight="2pt"/>
                      <v:imagedata o:title=""/>
                      <o:lock v:ext="edit" aspectratio="f"/>
                    </v:rect>
                  </w:pict>
                </mc:Fallback>
              </mc:AlternateContent>
            </w:r>
          </w:p>
        </w:tc>
        <w:tc>
          <w:tcPr>
            <w:tcW w:w="255"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9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7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7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7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7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3"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81"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9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94" w:type="pct"/>
            <w:noWrap w:val="0"/>
            <w:vAlign w:val="center"/>
          </w:tcPr>
          <w:p>
            <w:pPr>
              <w:jc w:val="center"/>
              <w:rPr>
                <w:rFonts w:hint="default"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4</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附属设施</w:t>
            </w:r>
          </w:p>
        </w:tc>
        <w:tc>
          <w:tcPr>
            <w:tcW w:w="33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55"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215265</wp:posOffset>
                      </wp:positionH>
                      <wp:positionV relativeFrom="paragraph">
                        <wp:posOffset>70485</wp:posOffset>
                      </wp:positionV>
                      <wp:extent cx="605790" cy="76200"/>
                      <wp:effectExtent l="0" t="0" r="3810" b="0"/>
                      <wp:wrapNone/>
                      <wp:docPr id="38" name="矩形 38"/>
                      <wp:cNvGraphicFramePr/>
                      <a:graphic xmlns:a="http://schemas.openxmlformats.org/drawingml/2006/main">
                        <a:graphicData uri="http://schemas.microsoft.com/office/word/2010/wordprocessingShape">
                          <wps:wsp>
                            <wps:cNvSpPr/>
                            <wps:spPr>
                              <a:xfrm>
                                <a:off x="0" y="0"/>
                                <a:ext cx="605790"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95pt;margin-top:5.55pt;height:6pt;width:47.7pt;z-index:251662336;v-text-anchor:middle;mso-width-relative:page;mso-height-relative:page;" fillcolor="#000000 [3213]" filled="t" stroked="f" coordsize="21600,21600" o:gfxdata="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gZlcP&#10;1wAAAAgBAAAPAAAAAAAAAAEAIAAAACIAAABkcnMvZG93bnJldi54bWxQSwECFAAUAAAACACHTuJA&#10;fbIXZFsCAAC0BAAADgAAAAAAAAABACAAAAAmAQAAZHJzL2Uyb0RvYy54bWxQSwUGAAAAAAYABgBZ&#10;AQAA8wUAAAAA&#10;">
                      <v:fill on="t" focussize="0,0"/>
                      <v:stroke on="f" weight="2pt"/>
                      <v:imagedata o:title=""/>
                      <o:lock v:ext="edit" aspectratio="f"/>
                    </v:rect>
                  </w:pict>
                </mc:Fallback>
              </mc:AlternateContent>
            </w: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81"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5</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趸船制作安装</w:t>
            </w:r>
          </w:p>
        </w:tc>
        <w:tc>
          <w:tcPr>
            <w:tcW w:w="33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66040</wp:posOffset>
                      </wp:positionH>
                      <wp:positionV relativeFrom="paragraph">
                        <wp:posOffset>78105</wp:posOffset>
                      </wp:positionV>
                      <wp:extent cx="1922780" cy="76200"/>
                      <wp:effectExtent l="0" t="0" r="1270" b="0"/>
                      <wp:wrapNone/>
                      <wp:docPr id="39" name="矩形 39"/>
                      <wp:cNvGraphicFramePr/>
                      <a:graphic xmlns:a="http://schemas.openxmlformats.org/drawingml/2006/main">
                        <a:graphicData uri="http://schemas.microsoft.com/office/word/2010/wordprocessingShape">
                          <wps:wsp>
                            <wps:cNvSpPr/>
                            <wps:spPr>
                              <a:xfrm>
                                <a:off x="0" y="0"/>
                                <a:ext cx="1922780"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pt;margin-top:6.15pt;height:6pt;width:151.4pt;z-index:251663360;v-text-anchor:middle;mso-width-relative:page;mso-height-relative:page;" fillcolor="#000000 [3213]" filled="t" stroked="f" coordsize="21600,21600" o:gfxdata="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7qc3&#10;RNcAAAAIAQAADwAAAAAAAAABACAAAAAiAAAAZHJzL2Rvd25yZXYueG1sUEsBAhQAFAAAAAgAh07i&#10;QJbMvjJcAgAAtQQAAA4AAAAAAAAAAQAgAAAAJgEAAGRycy9lMm9Eb2MueG1sUEsFBgAAAAAGAAYA&#10;WQEAAPQFAAAAAA==&#10;">
                      <v:fill on="t" focussize="0,0"/>
                      <v:stroke on="f" weight="2pt"/>
                      <v:imagedata o:title=""/>
                      <o:lock v:ext="edit" aspectratio="f"/>
                    </v:rect>
                  </w:pict>
                </mc:Fallback>
              </mc:AlternateContent>
            </w:r>
          </w:p>
        </w:tc>
        <w:tc>
          <w:tcPr>
            <w:tcW w:w="255"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81"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6</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配套设施</w:t>
            </w:r>
          </w:p>
        </w:tc>
        <w:tc>
          <w:tcPr>
            <w:tcW w:w="33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55"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noWrap w:val="0"/>
            <w:vAlign w:val="center"/>
          </w:tcPr>
          <w:p>
            <w:pPr>
              <w:jc w:val="center"/>
              <w:rPr>
                <w:rFonts w:hint="eastAsia"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-57785</wp:posOffset>
                      </wp:positionH>
                      <wp:positionV relativeFrom="paragraph">
                        <wp:posOffset>69215</wp:posOffset>
                      </wp:positionV>
                      <wp:extent cx="896620" cy="76200"/>
                      <wp:effectExtent l="0" t="0" r="17780" b="0"/>
                      <wp:wrapNone/>
                      <wp:docPr id="40" name="矩形 40"/>
                      <wp:cNvGraphicFramePr/>
                      <a:graphic xmlns:a="http://schemas.openxmlformats.org/drawingml/2006/main">
                        <a:graphicData uri="http://schemas.microsoft.com/office/word/2010/wordprocessingShape">
                          <wps:wsp>
                            <wps:cNvSpPr/>
                            <wps:spPr>
                              <a:xfrm>
                                <a:off x="0" y="0"/>
                                <a:ext cx="896620"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5pt;margin-top:5.45pt;height:6pt;width:70.6pt;z-index:251664384;v-text-anchor:middle;mso-width-relative:page;mso-height-relative:page;" fillcolor="#000000 [3213]" filled="t" stroked="f" coordsize="21600,21600" o:gfxdata="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0QsTKtcA&#10;AAAIAQAADwAAAAAAAAABACAAAAAiAAAAZHJzL2Rvd25yZXYueG1sUEsBAhQAFAAAAAgAh07iQJha&#10;Fq9ZAgAAtAQAAA4AAAAAAAAAAQAgAAAAJgEAAGRycy9lMm9Eb2MueG1sUEsFBgAAAAAGAAYAWQEA&#10;APEFAAAAAA==&#10;">
                      <v:fill on="t" focussize="0,0"/>
                      <v:stroke on="f" weight="2pt"/>
                      <v:imagedata o:title=""/>
                      <o:lock v:ext="edit" aspectratio="f"/>
                    </v:rect>
                  </w:pict>
                </mc:Fallback>
              </mc:AlternateContent>
            </w:r>
          </w:p>
        </w:tc>
        <w:tc>
          <w:tcPr>
            <w:tcW w:w="281"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noWrap w:val="0"/>
            <w:vAlign w:val="center"/>
          </w:tcPr>
          <w:p>
            <w:pPr>
              <w:jc w:val="center"/>
              <w:rPr>
                <w:rFonts w:hint="eastAsia" w:ascii="Times New Roman" w:hAnsi="Times New Roman" w:eastAsia="宋体" w:cs="Times New Roman"/>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7</w:t>
            </w:r>
          </w:p>
        </w:tc>
        <w:tc>
          <w:tcPr>
            <w:tcW w:w="1139" w:type="pct"/>
            <w:noWrap w:val="0"/>
            <w:vAlign w:val="center"/>
          </w:tcPr>
          <w:p>
            <w:pPr>
              <w:jc w:val="center"/>
              <w:rPr>
                <w:rFonts w:hint="default" w:ascii="Times New Roman" w:hAnsi="Times New Roman" w:eastAsia="宋体" w:cs="Times New Roman"/>
                <w:color w:val="auto"/>
                <w:kern w:val="0"/>
                <w:sz w:val="20"/>
                <w:lang w:val="en-US" w:eastAsia="zh-CN"/>
              </w:rPr>
            </w:pPr>
            <w:r>
              <w:rPr>
                <w:rFonts w:hint="eastAsia" w:ascii="Times New Roman" w:hAnsi="Times New Roman" w:eastAsia="宋体" w:cs="Times New Roman"/>
                <w:color w:val="auto"/>
                <w:kern w:val="0"/>
                <w:sz w:val="20"/>
                <w:lang w:val="en-US" w:eastAsia="zh-CN"/>
              </w:rPr>
              <w:t>竣工验收</w:t>
            </w:r>
          </w:p>
        </w:tc>
        <w:tc>
          <w:tcPr>
            <w:tcW w:w="330"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62" w:type="pct"/>
            <w:noWrap w:val="0"/>
            <w:vAlign w:val="center"/>
          </w:tcPr>
          <w:p>
            <w:pPr>
              <w:jc w:val="center"/>
              <w:rPr>
                <w:rFonts w:hint="default" w:ascii="Times New Roman" w:hAnsi="Times New Roman" w:eastAsia="宋体" w:cs="Times New Roman"/>
                <w:color w:val="auto"/>
                <w:kern w:val="0"/>
                <w:sz w:val="20"/>
                <w:lang w:val="en-US" w:eastAsia="zh-CN"/>
              </w:rPr>
            </w:pPr>
          </w:p>
        </w:tc>
        <w:tc>
          <w:tcPr>
            <w:tcW w:w="255"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72"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63"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81"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0" w:type="pct"/>
            <w:noWrap w:val="0"/>
            <w:vAlign w:val="center"/>
          </w:tcPr>
          <w:p>
            <w:pPr>
              <w:jc w:val="center"/>
              <w:rPr>
                <w:rFonts w:hint="eastAsia" w:ascii="Times New Roman" w:hAnsi="Times New Roman" w:eastAsia="宋体" w:cs="Times New Roman"/>
                <w:color w:val="auto"/>
                <w:kern w:val="0"/>
                <w:sz w:val="20"/>
                <w:lang w:val="en-US" w:eastAsia="zh-CN"/>
              </w:rPr>
            </w:pPr>
          </w:p>
        </w:tc>
        <w:tc>
          <w:tcPr>
            <w:tcW w:w="294" w:type="pct"/>
            <w:noWrap w:val="0"/>
            <w:vAlign w:val="center"/>
          </w:tcPr>
          <w:p>
            <w:pPr>
              <w:jc w:val="center"/>
              <w:rPr>
                <w:rFonts w:hint="eastAsia" w:ascii="Times New Roman" w:hAnsi="Times New Roman" w:eastAsia="宋体" w:cs="Times New Roman"/>
                <w:color w:val="auto"/>
                <w:kern w:val="0"/>
                <w:sz w:val="20"/>
                <w:lang w:val="en-US" w:eastAsia="zh-CN"/>
              </w:rPr>
            </w:pP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-53975</wp:posOffset>
                      </wp:positionH>
                      <wp:positionV relativeFrom="paragraph">
                        <wp:posOffset>69215</wp:posOffset>
                      </wp:positionV>
                      <wp:extent cx="255905" cy="76200"/>
                      <wp:effectExtent l="0" t="0" r="10795" b="0"/>
                      <wp:wrapNone/>
                      <wp:docPr id="41" name="矩形 41"/>
                      <wp:cNvGraphicFramePr/>
                      <a:graphic xmlns:a="http://schemas.openxmlformats.org/drawingml/2006/main">
                        <a:graphicData uri="http://schemas.microsoft.com/office/word/2010/wordprocessingShape">
                          <wps:wsp>
                            <wps:cNvSpPr/>
                            <wps:spPr>
                              <a:xfrm>
                                <a:off x="0" y="0"/>
                                <a:ext cx="255905" cy="762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5pt;margin-top:5.45pt;height:6pt;width:20.15pt;z-index:251665408;v-text-anchor:middle;mso-width-relative:page;mso-height-relative:page;" fillcolor="#000000 [3213]" filled="t" stroked="f" coordsize="21600,21600" o:gfxdata="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bcPIrX&#10;AAAABwEAAA8AAAAAAAAAAQAgAAAAIgAAAGRycy9kb3ducmV2LnhtbFBLAQIUABQAAAAIAIdO4kBj&#10;fVEDWgIAALQEAAAOAAAAAAAAAAEAIAAAACYBAABkcnMvZTJvRG9jLnhtbFBLBQYAAAAABgAGAFkB&#10;AADyBQAAAAA=&#10;">
                      <v:fill on="t" focussize="0,0"/>
                      <v:stroke on="f" weight="2pt"/>
                      <v:imagedata o:title=""/>
                      <o:lock v:ext="edit" aspectratio="f"/>
                    </v:rect>
                  </w:pict>
                </mc:Fallback>
              </mc:AlternateContent>
            </w:r>
          </w:p>
        </w:tc>
      </w:tr>
    </w:tbl>
    <w:p>
      <w:pPr>
        <w:widowControl w:val="0"/>
        <w:spacing w:line="360" w:lineRule="auto"/>
        <w:ind w:firstLine="480" w:firstLineChars="200"/>
        <w:rPr>
          <w:rFonts w:eastAsia="仿宋_GB2312"/>
          <w:color w:val="auto"/>
          <w:sz w:val="24"/>
        </w:rPr>
      </w:pPr>
    </w:p>
    <w:bookmarkEnd w:id="292"/>
    <w:p>
      <w:pPr>
        <w:widowControl w:val="0"/>
        <w:spacing w:line="360" w:lineRule="auto"/>
        <w:ind w:firstLine="480" w:firstLineChars="200"/>
        <w:rPr>
          <w:rFonts w:eastAsia="仿宋_GB2312"/>
          <w:color w:val="auto"/>
          <w:sz w:val="24"/>
        </w:rPr>
        <w:sectPr>
          <w:headerReference r:id="rId14"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widowControl w:val="0"/>
        <w:spacing w:before="240" w:after="240" w:line="360" w:lineRule="auto"/>
        <w:jc w:val="center"/>
        <w:outlineLvl w:val="0"/>
        <w:rPr>
          <w:rFonts w:eastAsia="黑体"/>
          <w:color w:val="auto"/>
          <w:sz w:val="44"/>
          <w:szCs w:val="44"/>
        </w:rPr>
      </w:pPr>
      <w:bookmarkStart w:id="308" w:name="_Toc12131"/>
      <w:bookmarkStart w:id="309" w:name="_Toc141061940"/>
      <w:bookmarkStart w:id="310" w:name="_Toc133067322"/>
      <w:bookmarkStart w:id="311" w:name="_Toc131226871"/>
      <w:r>
        <w:rPr>
          <w:rFonts w:eastAsia="黑体"/>
          <w:color w:val="auto"/>
          <w:sz w:val="44"/>
          <w:szCs w:val="44"/>
        </w:rPr>
        <w:t>3</w:t>
      </w:r>
      <w:r>
        <w:rPr>
          <w:rFonts w:hint="eastAsia" w:eastAsia="黑体"/>
          <w:color w:val="auto"/>
          <w:sz w:val="44"/>
          <w:szCs w:val="44"/>
          <w:lang w:val="en-US" w:eastAsia="zh-CN"/>
        </w:rPr>
        <w:t>建设项目</w:t>
      </w:r>
      <w:r>
        <w:rPr>
          <w:rFonts w:eastAsia="黑体"/>
          <w:color w:val="auto"/>
          <w:sz w:val="44"/>
          <w:szCs w:val="44"/>
        </w:rPr>
        <w:t>工程分析</w:t>
      </w:r>
      <w:bookmarkEnd w:id="308"/>
    </w:p>
    <w:p>
      <w:pPr>
        <w:pStyle w:val="8"/>
        <w:widowControl w:val="0"/>
        <w:spacing w:before="120" w:after="120" w:line="360" w:lineRule="auto"/>
        <w:rPr>
          <w:rFonts w:hint="eastAsia" w:ascii="Times New Roman" w:hAnsi="Times New Roman" w:cs="Times New Roman"/>
          <w:b w:val="0"/>
          <w:bCs/>
          <w:color w:val="auto"/>
          <w:szCs w:val="32"/>
        </w:rPr>
      </w:pPr>
      <w:bookmarkStart w:id="312" w:name="_Toc23990"/>
      <w:r>
        <w:rPr>
          <w:rFonts w:hint="eastAsia" w:ascii="Times New Roman" w:hAnsi="Times New Roman" w:cs="Times New Roman"/>
          <w:b w:val="0"/>
          <w:bCs/>
          <w:color w:val="auto"/>
          <w:szCs w:val="32"/>
        </w:rPr>
        <w:t>3.1施工期</w:t>
      </w:r>
      <w:r>
        <w:rPr>
          <w:rFonts w:hint="eastAsia" w:ascii="Times New Roman" w:hAnsi="Times New Roman" w:cs="Times New Roman"/>
          <w:b w:val="0"/>
          <w:bCs/>
          <w:color w:val="auto"/>
          <w:szCs w:val="32"/>
          <w:lang w:val="en-US" w:eastAsia="zh-CN"/>
        </w:rPr>
        <w:t>工程</w:t>
      </w:r>
      <w:r>
        <w:rPr>
          <w:rFonts w:hint="eastAsia" w:ascii="Times New Roman" w:hAnsi="Times New Roman" w:cs="Times New Roman"/>
          <w:b w:val="0"/>
          <w:bCs/>
          <w:color w:val="auto"/>
          <w:szCs w:val="32"/>
        </w:rPr>
        <w:t>分析</w:t>
      </w:r>
      <w:bookmarkEnd w:id="312"/>
    </w:p>
    <w:p>
      <w:pPr>
        <w:pStyle w:val="9"/>
        <w:widowControl w:val="0"/>
        <w:spacing w:before="120" w:after="120" w:line="360" w:lineRule="auto"/>
        <w:rPr>
          <w:rFonts w:hint="eastAsia" w:ascii="Times New Roman" w:hAnsi="Times New Roman" w:eastAsia="黑体" w:cs="Times New Roman"/>
          <w:b w:val="0"/>
          <w:bCs/>
          <w:color w:val="auto"/>
          <w:sz w:val="24"/>
        </w:rPr>
      </w:pPr>
      <w:bookmarkStart w:id="313" w:name="_Toc8852"/>
      <w:r>
        <w:rPr>
          <w:rFonts w:hint="eastAsia" w:eastAsia="黑体" w:cs="Times New Roman"/>
          <w:b w:val="0"/>
          <w:bCs/>
          <w:color w:val="auto"/>
          <w:sz w:val="24"/>
          <w:lang w:val="en-US" w:eastAsia="zh-CN"/>
        </w:rPr>
        <w:t>3.1.1</w:t>
      </w:r>
      <w:r>
        <w:rPr>
          <w:rFonts w:hint="eastAsia" w:ascii="Times New Roman" w:hAnsi="Times New Roman" w:eastAsia="黑体" w:cs="Times New Roman"/>
          <w:b w:val="0"/>
          <w:bCs/>
          <w:color w:val="auto"/>
          <w:sz w:val="24"/>
        </w:rPr>
        <w:t>施工期工艺流程和产排污节点</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本工程码头面设计高水位为</w:t>
      </w:r>
      <w:r>
        <w:rPr>
          <w:rFonts w:hint="eastAsia" w:eastAsia="仿宋_GB2312"/>
          <w:color w:val="auto"/>
          <w:sz w:val="24"/>
          <w:szCs w:val="24"/>
          <w:lang w:val="en-US" w:eastAsia="zh-CN"/>
        </w:rPr>
        <w:t>4</w:t>
      </w:r>
      <w:r>
        <w:rPr>
          <w:rFonts w:hint="eastAsia" w:eastAsia="仿宋_GB2312"/>
          <w:color w:val="auto"/>
          <w:sz w:val="24"/>
          <w:szCs w:val="24"/>
        </w:rPr>
        <w:t>8.90m，设计低水位</w:t>
      </w:r>
      <w:r>
        <w:rPr>
          <w:rFonts w:hint="eastAsia" w:eastAsia="仿宋_GB2312"/>
          <w:color w:val="auto"/>
          <w:sz w:val="24"/>
          <w:szCs w:val="24"/>
          <w:lang w:val="en-US" w:eastAsia="zh-CN"/>
        </w:rPr>
        <w:t>35.14</w:t>
      </w:r>
      <w:r>
        <w:rPr>
          <w:rFonts w:hint="eastAsia" w:eastAsia="仿宋_GB2312"/>
          <w:color w:val="auto"/>
          <w:sz w:val="24"/>
          <w:szCs w:val="24"/>
        </w:rPr>
        <w:t>m（98%保证率），码头前沿设计水深</w:t>
      </w:r>
      <w:r>
        <w:rPr>
          <w:rFonts w:hint="eastAsia" w:eastAsia="仿宋_GB2312"/>
          <w:color w:val="auto"/>
          <w:sz w:val="24"/>
          <w:szCs w:val="24"/>
          <w:lang w:val="en-US" w:eastAsia="zh-CN"/>
        </w:rPr>
        <w:t>4.2</w:t>
      </w:r>
      <w:r>
        <w:rPr>
          <w:rFonts w:hint="eastAsia" w:eastAsia="仿宋_GB2312"/>
          <w:color w:val="auto"/>
          <w:sz w:val="24"/>
          <w:szCs w:val="24"/>
        </w:rPr>
        <w:t>m，码头前沿设计河底高程</w:t>
      </w:r>
      <w:r>
        <w:rPr>
          <w:rFonts w:hint="eastAsia" w:eastAsia="仿宋_GB2312"/>
          <w:color w:val="auto"/>
          <w:sz w:val="24"/>
          <w:szCs w:val="24"/>
          <w:lang w:val="en-US" w:eastAsia="zh-CN"/>
        </w:rPr>
        <w:t>30.94</w:t>
      </w:r>
      <w:r>
        <w:rPr>
          <w:rFonts w:hint="eastAsia" w:eastAsia="仿宋_GB2312"/>
          <w:color w:val="auto"/>
          <w:sz w:val="24"/>
          <w:szCs w:val="24"/>
        </w:rPr>
        <w:t>m。根据本工程码头结构剖面图（见附图），本工程前沿河底高程低于</w:t>
      </w:r>
      <w:r>
        <w:rPr>
          <w:rFonts w:hint="eastAsia" w:eastAsia="仿宋_GB2312"/>
          <w:color w:val="auto"/>
          <w:sz w:val="24"/>
          <w:szCs w:val="24"/>
          <w:lang w:val="en-US" w:eastAsia="zh-CN"/>
        </w:rPr>
        <w:t>30.94</w:t>
      </w:r>
      <w:r>
        <w:rPr>
          <w:rFonts w:hint="eastAsia" w:eastAsia="仿宋_GB2312"/>
          <w:color w:val="auto"/>
          <w:sz w:val="24"/>
          <w:szCs w:val="24"/>
        </w:rPr>
        <w:t>m，能满足码头设计河底高程需求，故施工期无水下疏浚工程。</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本工程施工期包括</w:t>
      </w:r>
      <w:r>
        <w:rPr>
          <w:rFonts w:hint="eastAsia" w:eastAsia="仿宋_GB2312"/>
          <w:color w:val="auto"/>
          <w:sz w:val="24"/>
          <w:szCs w:val="24"/>
          <w:lang w:val="en-US" w:eastAsia="zh-CN"/>
        </w:rPr>
        <w:t>现有设施拆除、</w:t>
      </w:r>
      <w:r>
        <w:rPr>
          <w:rFonts w:hint="eastAsia" w:eastAsia="仿宋_GB2312"/>
          <w:color w:val="auto"/>
          <w:sz w:val="24"/>
          <w:szCs w:val="24"/>
        </w:rPr>
        <w:t>码头工程、设备安装工程及其他配套工程</w:t>
      </w:r>
      <w:r>
        <w:rPr>
          <w:rFonts w:hint="eastAsia" w:eastAsia="仿宋_GB2312"/>
          <w:color w:val="auto"/>
          <w:sz w:val="24"/>
          <w:szCs w:val="24"/>
          <w:lang w:eastAsia="zh-CN"/>
        </w:rPr>
        <w:t>。</w:t>
      </w:r>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3.1.</w:t>
      </w:r>
      <w:r>
        <w:rPr>
          <w:rFonts w:hint="eastAsia" w:eastAsia="黑体" w:cs="Times New Roman"/>
          <w:color w:val="auto"/>
          <w:szCs w:val="24"/>
          <w:lang w:val="en-US" w:eastAsia="zh-CN"/>
        </w:rPr>
        <w:t>1</w:t>
      </w:r>
      <w:r>
        <w:rPr>
          <w:rFonts w:hint="eastAsia" w:ascii="Times New Roman" w:hAnsi="Times New Roman" w:eastAsia="黑体" w:cs="Times New Roman"/>
          <w:color w:val="auto"/>
          <w:szCs w:val="24"/>
          <w:lang w:val="en-US" w:eastAsia="zh-CN"/>
        </w:rPr>
        <w:t>.1</w:t>
      </w:r>
      <w:r>
        <w:rPr>
          <w:rFonts w:hint="eastAsia" w:eastAsia="黑体" w:cs="Times New Roman"/>
          <w:color w:val="auto"/>
          <w:szCs w:val="24"/>
          <w:lang w:val="en-US" w:eastAsia="zh-CN"/>
        </w:rPr>
        <w:t>施工期</w:t>
      </w:r>
      <w:r>
        <w:rPr>
          <w:rFonts w:hint="eastAsia" w:ascii="Times New Roman" w:hAnsi="Times New Roman" w:eastAsia="黑体" w:cs="Times New Roman"/>
          <w:color w:val="auto"/>
          <w:szCs w:val="24"/>
          <w:lang w:val="en-US" w:eastAsia="zh-CN"/>
        </w:rPr>
        <w:t>工艺流程及产污节点</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码头工程施工包括现有设施拆除、技改项目施工平台、灌注桩施工、墩台施工、钢引桥及钢质趸船定制安装以及其余附属设施安装工程。具体工艺流程及产污节点见下图。</w:t>
      </w:r>
    </w:p>
    <w:p>
      <w:pPr>
        <w:widowControl w:val="0"/>
        <w:spacing w:line="360" w:lineRule="auto"/>
        <w:jc w:val="center"/>
        <w:rPr>
          <w:rFonts w:eastAsia="黑体"/>
          <w:b/>
          <w:color w:val="auto"/>
          <w:szCs w:val="21"/>
          <w:lang w:val="zh-CN"/>
        </w:rPr>
      </w:pPr>
      <w:r>
        <w:rPr>
          <w:rFonts w:eastAsia="黑体"/>
          <w:b/>
          <w:color w:val="auto"/>
          <w:szCs w:val="21"/>
          <w:lang w:val="zh-CN"/>
        </w:rPr>
        <w:object>
          <v:shape id="_x0000_i1027" o:spt="75" type="#_x0000_t75" style="height:310.95pt;width:251.85pt;" o:ole="t" filled="f" o:preferrelative="t" stroked="f" coordsize="21600,21600">
            <v:path/>
            <v:fill on="f" focussize="0,0"/>
            <v:stroke on="f"/>
            <v:imagedata r:id="rId37" o:title=""/>
            <o:lock v:ext="edit" aspectratio="f"/>
            <w10:wrap type="none"/>
            <w10:anchorlock/>
          </v:shape>
          <o:OLEObject Type="Embed" ProgID="Visio.Drawing.15" ShapeID="_x0000_i1027" DrawAspect="Content" ObjectID="_1468075727" r:id="rId36">
            <o:LockedField>false</o:LockedField>
          </o:OLEObject>
        </w:object>
      </w:r>
    </w:p>
    <w:p>
      <w:pPr>
        <w:widowControl w:val="0"/>
        <w:spacing w:line="360" w:lineRule="auto"/>
        <w:ind w:firstLine="422" w:firstLineChars="200"/>
        <w:jc w:val="center"/>
        <w:rPr>
          <w:rFonts w:hint="eastAsia" w:eastAsia="仿宋_GB2312"/>
          <w:color w:val="auto"/>
          <w:sz w:val="24"/>
          <w:szCs w:val="24"/>
        </w:rPr>
      </w:pPr>
      <w:r>
        <w:rPr>
          <w:rFonts w:eastAsia="黑体"/>
          <w:b/>
          <w:color w:val="auto"/>
          <w:szCs w:val="21"/>
          <w:lang w:val="zh-CN"/>
        </w:rPr>
        <w:t>图3.</w:t>
      </w:r>
      <w:r>
        <w:rPr>
          <w:rFonts w:hint="eastAsia" w:eastAsia="黑体"/>
          <w:b/>
          <w:color w:val="auto"/>
          <w:szCs w:val="21"/>
          <w:lang w:val="en-US" w:eastAsia="zh-CN"/>
        </w:rPr>
        <w:t>1</w:t>
      </w:r>
      <w:r>
        <w:rPr>
          <w:rFonts w:eastAsia="黑体"/>
          <w:b/>
          <w:color w:val="auto"/>
          <w:szCs w:val="21"/>
          <w:lang w:val="zh-CN"/>
        </w:rPr>
        <w:t xml:space="preserve">-1  </w:t>
      </w:r>
      <w:r>
        <w:rPr>
          <w:rFonts w:hint="eastAsia" w:eastAsia="黑体"/>
          <w:b/>
          <w:color w:val="auto"/>
          <w:szCs w:val="21"/>
          <w:lang w:val="en-US" w:eastAsia="zh-CN"/>
        </w:rPr>
        <w:t>码头工程工艺流程及产污节点示意图</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3.1.</w:t>
      </w:r>
      <w:r>
        <w:rPr>
          <w:rFonts w:hint="eastAsia" w:eastAsia="黑体" w:cs="Times New Roman"/>
          <w:color w:val="auto"/>
          <w:szCs w:val="24"/>
          <w:lang w:val="en-US" w:eastAsia="zh-CN"/>
        </w:rPr>
        <w:t>1</w:t>
      </w:r>
      <w:r>
        <w:rPr>
          <w:rFonts w:hint="eastAsia" w:ascii="Times New Roman" w:hAnsi="Times New Roman" w:eastAsia="黑体" w:cs="Times New Roman"/>
          <w:color w:val="auto"/>
          <w:szCs w:val="24"/>
          <w:lang w:val="en-US" w:eastAsia="zh-CN"/>
        </w:rPr>
        <w:t>.</w:t>
      </w:r>
      <w:r>
        <w:rPr>
          <w:rFonts w:hint="eastAsia" w:eastAsia="黑体" w:cs="Times New Roman"/>
          <w:color w:val="auto"/>
          <w:szCs w:val="24"/>
          <w:lang w:val="en-US" w:eastAsia="zh-CN"/>
        </w:rPr>
        <w:t>2施工期产污环节</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码头工程施工包括施工平台、灌注桩施工、墩台施工、钢引桥及钢质趸船定制安装以及其余附属设施安装工程。具体工艺流程及产污节点见下图。</w:t>
      </w:r>
    </w:p>
    <w:p>
      <w:pPr>
        <w:widowControl w:val="0"/>
        <w:spacing w:line="360" w:lineRule="auto"/>
        <w:jc w:val="center"/>
        <w:rPr>
          <w:rFonts w:eastAsia="黑体"/>
          <w:b/>
          <w:bCs/>
          <w:color w:val="auto"/>
          <w:szCs w:val="21"/>
        </w:rPr>
      </w:pPr>
      <w:r>
        <w:rPr>
          <w:rFonts w:eastAsia="黑体"/>
          <w:b/>
          <w:bCs/>
          <w:color w:val="auto"/>
          <w:szCs w:val="21"/>
        </w:rPr>
        <w:t>表3.</w:t>
      </w:r>
      <w:r>
        <w:rPr>
          <w:rFonts w:hint="eastAsia" w:eastAsia="黑体"/>
          <w:b/>
          <w:bCs/>
          <w:color w:val="auto"/>
          <w:szCs w:val="21"/>
          <w:lang w:val="en-US" w:eastAsia="zh-CN"/>
        </w:rPr>
        <w:t>1-</w:t>
      </w:r>
      <w:r>
        <w:rPr>
          <w:rFonts w:eastAsia="黑体"/>
          <w:b/>
          <w:bCs/>
          <w:color w:val="auto"/>
          <w:szCs w:val="21"/>
        </w:rPr>
        <w:t xml:space="preserve">1  </w:t>
      </w:r>
      <w:r>
        <w:rPr>
          <w:rFonts w:hint="eastAsia" w:eastAsia="黑体"/>
          <w:b/>
          <w:bCs/>
          <w:color w:val="auto"/>
          <w:szCs w:val="21"/>
          <w:lang w:val="en-US" w:eastAsia="zh-CN"/>
        </w:rPr>
        <w:t>技改项目施工期污染因子汇总</w:t>
      </w:r>
      <w:r>
        <w:rPr>
          <w:rFonts w:eastAsia="黑体"/>
          <w:b/>
          <w:bCs/>
          <w:color w:val="auto"/>
          <w:szCs w:val="21"/>
        </w:rPr>
        <w:t>一览表</w:t>
      </w:r>
    </w:p>
    <w:tbl>
      <w:tblPr>
        <w:tblStyle w:val="92"/>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3110"/>
        <w:gridCol w:w="2775"/>
        <w:gridCol w:w="19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noWrap w:val="0"/>
            <w:vAlign w:val="center"/>
          </w:tcPr>
          <w:p>
            <w:pPr>
              <w:widowControl w:val="0"/>
              <w:jc w:val="center"/>
              <w:rPr>
                <w:color w:val="auto"/>
                <w:sz w:val="20"/>
              </w:rPr>
            </w:pPr>
            <w:r>
              <w:rPr>
                <w:color w:val="auto"/>
                <w:sz w:val="20"/>
              </w:rPr>
              <w:t>类别</w:t>
            </w:r>
          </w:p>
        </w:tc>
        <w:tc>
          <w:tcPr>
            <w:tcW w:w="3110" w:type="dxa"/>
            <w:noWrap w:val="0"/>
            <w:vAlign w:val="center"/>
          </w:tcPr>
          <w:p>
            <w:pPr>
              <w:widowControl w:val="0"/>
              <w:jc w:val="center"/>
              <w:rPr>
                <w:color w:val="auto"/>
                <w:sz w:val="20"/>
              </w:rPr>
            </w:pPr>
            <w:r>
              <w:rPr>
                <w:color w:val="auto"/>
                <w:sz w:val="20"/>
              </w:rPr>
              <w:t>污染物</w:t>
            </w:r>
          </w:p>
        </w:tc>
        <w:tc>
          <w:tcPr>
            <w:tcW w:w="2775" w:type="dxa"/>
            <w:noWrap w:val="0"/>
            <w:vAlign w:val="center"/>
          </w:tcPr>
          <w:p>
            <w:pPr>
              <w:widowControl w:val="0"/>
              <w:jc w:val="center"/>
              <w:rPr>
                <w:color w:val="auto"/>
                <w:sz w:val="20"/>
              </w:rPr>
            </w:pPr>
            <w:r>
              <w:rPr>
                <w:color w:val="auto"/>
                <w:sz w:val="20"/>
              </w:rPr>
              <w:t>产物环节说明</w:t>
            </w:r>
          </w:p>
        </w:tc>
        <w:tc>
          <w:tcPr>
            <w:tcW w:w="1943"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废气</w:t>
            </w:r>
          </w:p>
        </w:tc>
        <w:tc>
          <w:tcPr>
            <w:tcW w:w="3110" w:type="dxa"/>
            <w:noWrap w:val="0"/>
            <w:vAlign w:val="center"/>
          </w:tcPr>
          <w:p>
            <w:pPr>
              <w:widowControl w:val="0"/>
              <w:jc w:val="center"/>
              <w:rPr>
                <w:color w:val="auto"/>
                <w:sz w:val="20"/>
              </w:rPr>
            </w:pPr>
            <w:r>
              <w:rPr>
                <w:color w:val="auto"/>
                <w:sz w:val="20"/>
              </w:rPr>
              <w:t>施工扬尘</w:t>
            </w:r>
          </w:p>
        </w:tc>
        <w:tc>
          <w:tcPr>
            <w:tcW w:w="2775" w:type="dxa"/>
            <w:noWrap w:val="0"/>
            <w:vAlign w:val="center"/>
          </w:tcPr>
          <w:p>
            <w:pPr>
              <w:widowControl w:val="0"/>
              <w:jc w:val="center"/>
              <w:rPr>
                <w:rFonts w:hint="default"/>
                <w:color w:val="auto"/>
                <w:sz w:val="20"/>
                <w:lang w:val="en-US" w:eastAsia="zh-CN"/>
              </w:rPr>
            </w:pPr>
            <w:r>
              <w:rPr>
                <w:color w:val="auto"/>
                <w:sz w:val="20"/>
              </w:rPr>
              <w:t>土方开挖回填、渣土、砂石等堆放、装卸</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color w:val="auto"/>
                <w:sz w:val="20"/>
              </w:rPr>
            </w:pPr>
            <w:r>
              <w:rPr>
                <w:color w:val="auto"/>
                <w:sz w:val="20"/>
              </w:rPr>
              <w:t>运输扬尘</w:t>
            </w:r>
          </w:p>
        </w:tc>
        <w:tc>
          <w:tcPr>
            <w:tcW w:w="2775" w:type="dxa"/>
            <w:noWrap w:val="0"/>
            <w:vAlign w:val="center"/>
          </w:tcPr>
          <w:p>
            <w:pPr>
              <w:widowControl w:val="0"/>
              <w:jc w:val="center"/>
              <w:rPr>
                <w:color w:val="auto"/>
                <w:sz w:val="20"/>
              </w:rPr>
            </w:pPr>
            <w:r>
              <w:rPr>
                <w:color w:val="auto"/>
                <w:sz w:val="20"/>
              </w:rPr>
              <w:t>渣土、砂石等运输</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default"/>
                <w:color w:val="auto"/>
                <w:sz w:val="20"/>
                <w:lang w:val="en-US"/>
              </w:rPr>
            </w:pPr>
            <w:r>
              <w:rPr>
                <w:color w:val="auto"/>
                <w:sz w:val="20"/>
              </w:rPr>
              <w:t>施工船舶、车辆和机械燃油废气</w:t>
            </w:r>
          </w:p>
        </w:tc>
        <w:tc>
          <w:tcPr>
            <w:tcW w:w="2775" w:type="dxa"/>
            <w:noWrap w:val="0"/>
            <w:vAlign w:val="center"/>
          </w:tcPr>
          <w:p>
            <w:pPr>
              <w:widowControl w:val="0"/>
              <w:jc w:val="center"/>
              <w:rPr>
                <w:color w:val="auto"/>
                <w:sz w:val="20"/>
              </w:rPr>
            </w:pPr>
            <w:r>
              <w:rPr>
                <w:color w:val="auto"/>
                <w:sz w:val="20"/>
              </w:rPr>
              <w:t>各种输运车辆、拖船、柴油机械设备</w:t>
            </w:r>
          </w:p>
        </w:tc>
        <w:tc>
          <w:tcPr>
            <w:tcW w:w="1943" w:type="dxa"/>
            <w:noWrap w:val="0"/>
            <w:vAlign w:val="center"/>
          </w:tcPr>
          <w:p>
            <w:pPr>
              <w:widowControl w:val="0"/>
              <w:jc w:val="center"/>
              <w:rPr>
                <w:rFonts w:hint="default"/>
                <w:color w:val="auto"/>
                <w:sz w:val="20"/>
                <w:lang w:val="en-US" w:eastAsia="zh-CN"/>
              </w:rPr>
            </w:pPr>
            <w:r>
              <w:rPr>
                <w:color w:val="auto"/>
                <w:sz w:val="20"/>
              </w:rPr>
              <w:t>SO</w:t>
            </w:r>
            <w:r>
              <w:rPr>
                <w:color w:val="auto"/>
                <w:sz w:val="20"/>
                <w:vertAlign w:val="subscript"/>
              </w:rPr>
              <w:t>2</w:t>
            </w:r>
            <w:r>
              <w:rPr>
                <w:color w:val="auto"/>
                <w:sz w:val="20"/>
              </w:rPr>
              <w:t>、CO、NO</w:t>
            </w:r>
            <w:r>
              <w:rPr>
                <w:color w:val="auto"/>
                <w:sz w:val="20"/>
                <w:vertAlign w:val="subscript"/>
              </w:rPr>
              <w:t>x</w:t>
            </w:r>
            <w:r>
              <w:rPr>
                <w:color w:val="auto"/>
                <w:sz w:val="20"/>
              </w:rPr>
              <w:t>、NMHC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废水</w:t>
            </w:r>
          </w:p>
        </w:tc>
        <w:tc>
          <w:tcPr>
            <w:tcW w:w="3110" w:type="dxa"/>
            <w:vMerge w:val="restart"/>
            <w:noWrap w:val="0"/>
            <w:vAlign w:val="center"/>
          </w:tcPr>
          <w:p>
            <w:pPr>
              <w:widowControl w:val="0"/>
              <w:jc w:val="center"/>
              <w:rPr>
                <w:rFonts w:hint="default"/>
                <w:color w:val="auto"/>
                <w:sz w:val="20"/>
                <w:lang w:val="en-US" w:eastAsia="zh-CN"/>
              </w:rPr>
            </w:pPr>
            <w:r>
              <w:rPr>
                <w:color w:val="auto"/>
                <w:sz w:val="20"/>
              </w:rPr>
              <w:t>施工废水</w:t>
            </w:r>
          </w:p>
        </w:tc>
        <w:tc>
          <w:tcPr>
            <w:tcW w:w="2775" w:type="dxa"/>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color w:val="auto"/>
                <w:sz w:val="20"/>
              </w:rPr>
              <w:t>流动机械设备清洗</w:t>
            </w:r>
          </w:p>
        </w:tc>
        <w:tc>
          <w:tcPr>
            <w:tcW w:w="1943" w:type="dxa"/>
            <w:noWrap w:val="0"/>
            <w:vAlign w:val="center"/>
          </w:tcPr>
          <w:p>
            <w:pPr>
              <w:widowControl w:val="0"/>
              <w:jc w:val="center"/>
              <w:rPr>
                <w:rFonts w:hint="eastAsia"/>
                <w:color w:val="auto"/>
                <w:sz w:val="20"/>
                <w:lang w:val="en-US" w:eastAsia="zh-CN"/>
              </w:rPr>
            </w:pPr>
            <w:r>
              <w:rPr>
                <w:rFonts w:hint="eastAsia"/>
                <w:color w:val="auto"/>
                <w:sz w:val="20"/>
                <w:lang w:val="en-US" w:eastAsia="zh-CN"/>
              </w:rPr>
              <w:t>S</w:t>
            </w:r>
            <w:r>
              <w:rPr>
                <w:rFonts w:hint="default"/>
                <w:color w:val="auto"/>
                <w:sz w:val="20"/>
                <w:lang w:val="en-US" w:eastAsia="zh-CN"/>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vMerge w:val="continue"/>
            <w:noWrap w:val="0"/>
            <w:vAlign w:val="center"/>
          </w:tcPr>
          <w:p>
            <w:pPr>
              <w:widowControl w:val="0"/>
              <w:jc w:val="center"/>
              <w:rPr>
                <w:rFonts w:hint="default"/>
                <w:color w:val="auto"/>
                <w:sz w:val="20"/>
                <w:lang w:val="en-US" w:eastAsia="zh-CN"/>
              </w:rPr>
            </w:pPr>
          </w:p>
        </w:tc>
        <w:tc>
          <w:tcPr>
            <w:tcW w:w="2775" w:type="dxa"/>
            <w:noWrap w:val="0"/>
            <w:vAlign w:val="center"/>
          </w:tcPr>
          <w:p>
            <w:pPr>
              <w:widowControl w:val="0"/>
              <w:jc w:val="center"/>
              <w:rPr>
                <w:rFonts w:ascii="Times New Roman" w:hAnsi="Times New Roman" w:eastAsia="宋体" w:cs="Times New Roman"/>
                <w:color w:val="auto"/>
                <w:kern w:val="2"/>
                <w:sz w:val="20"/>
                <w:lang w:val="en-US" w:eastAsia="zh-CN" w:bidi="ar-SA"/>
              </w:rPr>
            </w:pPr>
            <w:r>
              <w:rPr>
                <w:color w:val="auto"/>
                <w:sz w:val="20"/>
              </w:rPr>
              <w:t>钻孔灌注桩泥浆水</w:t>
            </w:r>
          </w:p>
        </w:tc>
        <w:tc>
          <w:tcPr>
            <w:tcW w:w="1943" w:type="dxa"/>
            <w:noWrap w:val="0"/>
            <w:vAlign w:val="center"/>
          </w:tcPr>
          <w:p>
            <w:pPr>
              <w:widowControl w:val="0"/>
              <w:jc w:val="center"/>
              <w:rPr>
                <w:rFonts w:hint="eastAsia"/>
                <w:color w:val="auto"/>
                <w:sz w:val="20"/>
                <w:lang w:val="en-US" w:eastAsia="zh-CN"/>
              </w:rPr>
            </w:pPr>
            <w:r>
              <w:rPr>
                <w:rFonts w:hint="default"/>
                <w:color w:val="auto"/>
                <w:sz w:val="20"/>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vMerge w:val="continue"/>
            <w:noWrap w:val="0"/>
            <w:vAlign w:val="center"/>
          </w:tcPr>
          <w:p>
            <w:pPr>
              <w:widowControl w:val="0"/>
              <w:jc w:val="center"/>
              <w:rPr>
                <w:rFonts w:hint="default"/>
                <w:color w:val="auto"/>
                <w:sz w:val="20"/>
                <w:lang w:val="en-US" w:eastAsia="zh-CN"/>
              </w:rPr>
            </w:pPr>
          </w:p>
        </w:tc>
        <w:tc>
          <w:tcPr>
            <w:tcW w:w="2775" w:type="dxa"/>
            <w:noWrap w:val="0"/>
            <w:vAlign w:val="center"/>
          </w:tcPr>
          <w:p>
            <w:pPr>
              <w:widowControl w:val="0"/>
              <w:jc w:val="center"/>
              <w:rPr>
                <w:color w:val="auto"/>
                <w:sz w:val="20"/>
              </w:rPr>
            </w:pPr>
            <w:r>
              <w:rPr>
                <w:color w:val="auto"/>
                <w:sz w:val="20"/>
              </w:rPr>
              <w:t>混凝土养护</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vMerge w:val="restart"/>
            <w:noWrap w:val="0"/>
            <w:vAlign w:val="center"/>
          </w:tcPr>
          <w:p>
            <w:pPr>
              <w:widowControl w:val="0"/>
              <w:jc w:val="center"/>
              <w:rPr>
                <w:rFonts w:hint="eastAsia"/>
                <w:color w:val="auto"/>
                <w:sz w:val="20"/>
                <w:lang w:val="en-US" w:eastAsia="zh-CN"/>
              </w:rPr>
            </w:pPr>
            <w:r>
              <w:rPr>
                <w:color w:val="auto"/>
                <w:sz w:val="20"/>
              </w:rPr>
              <w:t>施工船舶污水</w:t>
            </w:r>
          </w:p>
        </w:tc>
        <w:tc>
          <w:tcPr>
            <w:tcW w:w="2775" w:type="dxa"/>
            <w:noWrap w:val="0"/>
            <w:vAlign w:val="center"/>
          </w:tcPr>
          <w:p>
            <w:pPr>
              <w:widowControl w:val="0"/>
              <w:jc w:val="center"/>
              <w:rPr>
                <w:color w:val="auto"/>
                <w:sz w:val="20"/>
              </w:rPr>
            </w:pPr>
            <w:r>
              <w:rPr>
                <w:color w:val="auto"/>
                <w:sz w:val="20"/>
              </w:rPr>
              <w:t>船舶生活污水</w:t>
            </w:r>
          </w:p>
        </w:tc>
        <w:tc>
          <w:tcPr>
            <w:tcW w:w="1943" w:type="dxa"/>
            <w:noWrap w:val="0"/>
            <w:vAlign w:val="center"/>
          </w:tcPr>
          <w:p>
            <w:pPr>
              <w:widowControl w:val="0"/>
              <w:jc w:val="center"/>
              <w:rPr>
                <w:rFonts w:hint="eastAsia"/>
                <w:color w:val="auto"/>
                <w:sz w:val="20"/>
                <w:lang w:val="en-US" w:eastAsia="zh-CN"/>
              </w:rPr>
            </w:pPr>
            <w:r>
              <w:rPr>
                <w:color w:val="auto"/>
                <w:sz w:val="20"/>
              </w:rPr>
              <w:t>COD、BOD</w:t>
            </w:r>
            <w:r>
              <w:rPr>
                <w:color w:val="auto"/>
                <w:sz w:val="20"/>
                <w:vertAlign w:val="subscript"/>
              </w:rPr>
              <w:t>5</w:t>
            </w:r>
            <w:r>
              <w:rPr>
                <w:color w:val="auto"/>
                <w:sz w:val="20"/>
              </w:rPr>
              <w:t>、NH</w:t>
            </w:r>
            <w:r>
              <w:rPr>
                <w:color w:val="auto"/>
                <w:sz w:val="20"/>
                <w:vertAlign w:val="subscript"/>
              </w:rPr>
              <w:t>3</w:t>
            </w:r>
            <w:r>
              <w:rPr>
                <w:color w:val="auto"/>
                <w:sz w:val="20"/>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vMerge w:val="continue"/>
            <w:noWrap w:val="0"/>
            <w:vAlign w:val="center"/>
          </w:tcPr>
          <w:p>
            <w:pPr>
              <w:widowControl w:val="0"/>
              <w:jc w:val="center"/>
              <w:rPr>
                <w:color w:val="auto"/>
                <w:sz w:val="20"/>
              </w:rPr>
            </w:pPr>
          </w:p>
        </w:tc>
        <w:tc>
          <w:tcPr>
            <w:tcW w:w="2775" w:type="dxa"/>
            <w:noWrap w:val="0"/>
            <w:vAlign w:val="center"/>
          </w:tcPr>
          <w:p>
            <w:pPr>
              <w:widowControl w:val="0"/>
              <w:jc w:val="center"/>
              <w:rPr>
                <w:color w:val="auto"/>
                <w:sz w:val="20"/>
              </w:rPr>
            </w:pPr>
            <w:r>
              <w:rPr>
                <w:color w:val="auto"/>
                <w:sz w:val="20"/>
              </w:rPr>
              <w:t>船舶油污水</w:t>
            </w:r>
          </w:p>
        </w:tc>
        <w:tc>
          <w:tcPr>
            <w:tcW w:w="1943" w:type="dxa"/>
            <w:noWrap w:val="0"/>
            <w:vAlign w:val="center"/>
          </w:tcPr>
          <w:p>
            <w:pPr>
              <w:widowControl w:val="0"/>
              <w:jc w:val="center"/>
              <w:rPr>
                <w:rFonts w:hint="default"/>
                <w:color w:val="auto"/>
                <w:sz w:val="20"/>
                <w:lang w:val="en-US" w:eastAsia="zh-CN"/>
              </w:rPr>
            </w:pPr>
            <w:r>
              <w:rPr>
                <w:rFonts w:hint="default"/>
                <w:color w:val="auto"/>
                <w:sz w:val="20"/>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eastAsia"/>
                <w:color w:val="auto"/>
                <w:sz w:val="20"/>
                <w:lang w:val="en-US" w:eastAsia="zh-CN"/>
              </w:rPr>
            </w:pPr>
            <w:r>
              <w:rPr>
                <w:color w:val="auto"/>
                <w:sz w:val="20"/>
              </w:rPr>
              <w:t>施工生活污水</w:t>
            </w:r>
          </w:p>
        </w:tc>
        <w:tc>
          <w:tcPr>
            <w:tcW w:w="2775" w:type="dxa"/>
            <w:noWrap w:val="0"/>
            <w:vAlign w:val="center"/>
          </w:tcPr>
          <w:p>
            <w:pPr>
              <w:widowControl w:val="0"/>
              <w:jc w:val="center"/>
              <w:rPr>
                <w:color w:val="auto"/>
                <w:sz w:val="20"/>
              </w:rPr>
            </w:pPr>
            <w:r>
              <w:rPr>
                <w:color w:val="auto"/>
                <w:sz w:val="20"/>
              </w:rPr>
              <w:t>施工人员生活污水</w:t>
            </w:r>
          </w:p>
        </w:tc>
        <w:tc>
          <w:tcPr>
            <w:tcW w:w="1943" w:type="dxa"/>
            <w:noWrap w:val="0"/>
            <w:vAlign w:val="center"/>
          </w:tcPr>
          <w:p>
            <w:pPr>
              <w:widowControl w:val="0"/>
              <w:jc w:val="center"/>
              <w:rPr>
                <w:rFonts w:hint="eastAsia"/>
                <w:color w:val="auto"/>
                <w:sz w:val="20"/>
                <w:lang w:val="en-US" w:eastAsia="zh-CN"/>
              </w:rPr>
            </w:pPr>
            <w:r>
              <w:rPr>
                <w:color w:val="auto"/>
                <w:sz w:val="20"/>
              </w:rPr>
              <w:t>COD、BOD</w:t>
            </w:r>
            <w:r>
              <w:rPr>
                <w:color w:val="auto"/>
                <w:sz w:val="20"/>
                <w:vertAlign w:val="subscript"/>
              </w:rPr>
              <w:t>5</w:t>
            </w:r>
            <w:r>
              <w:rPr>
                <w:color w:val="auto"/>
                <w:sz w:val="20"/>
              </w:rPr>
              <w:t>、NH</w:t>
            </w:r>
            <w:r>
              <w:rPr>
                <w:color w:val="auto"/>
                <w:sz w:val="20"/>
                <w:vertAlign w:val="subscript"/>
              </w:rPr>
              <w:t>3</w:t>
            </w:r>
            <w:r>
              <w:rPr>
                <w:color w:val="auto"/>
                <w:sz w:val="20"/>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噪音</w:t>
            </w:r>
          </w:p>
        </w:tc>
        <w:tc>
          <w:tcPr>
            <w:tcW w:w="3110" w:type="dxa"/>
            <w:noWrap w:val="0"/>
            <w:vAlign w:val="center"/>
          </w:tcPr>
          <w:p>
            <w:pPr>
              <w:widowControl w:val="0"/>
              <w:jc w:val="center"/>
              <w:rPr>
                <w:rFonts w:hint="default"/>
                <w:color w:val="auto"/>
                <w:sz w:val="20"/>
                <w:lang w:val="en-US" w:eastAsia="zh-CN"/>
              </w:rPr>
            </w:pPr>
            <w:r>
              <w:rPr>
                <w:rFonts w:hint="default"/>
                <w:color w:val="auto"/>
                <w:sz w:val="20"/>
                <w:lang w:val="en-US" w:eastAsia="zh-CN"/>
              </w:rPr>
              <w:t>船舶噪声</w:t>
            </w:r>
          </w:p>
        </w:tc>
        <w:tc>
          <w:tcPr>
            <w:tcW w:w="2775" w:type="dxa"/>
            <w:noWrap w:val="0"/>
            <w:vAlign w:val="center"/>
          </w:tcPr>
          <w:p>
            <w:pPr>
              <w:widowControl w:val="0"/>
              <w:jc w:val="center"/>
              <w:rPr>
                <w:rFonts w:hint="default"/>
                <w:color w:val="auto"/>
                <w:sz w:val="20"/>
                <w:lang w:val="en-US" w:eastAsia="zh-CN"/>
              </w:rPr>
            </w:pPr>
            <w:r>
              <w:rPr>
                <w:rFonts w:hint="eastAsia"/>
                <w:color w:val="auto"/>
                <w:sz w:val="20"/>
                <w:lang w:val="en-US" w:eastAsia="zh-CN"/>
              </w:rPr>
              <w:t>施工</w:t>
            </w:r>
            <w:r>
              <w:rPr>
                <w:rFonts w:hint="default"/>
                <w:color w:val="auto"/>
                <w:sz w:val="20"/>
                <w:lang w:val="en-US" w:eastAsia="zh-CN"/>
              </w:rPr>
              <w:t>船舶</w:t>
            </w:r>
          </w:p>
        </w:tc>
        <w:tc>
          <w:tcPr>
            <w:tcW w:w="1943" w:type="dxa"/>
            <w:noWrap w:val="0"/>
            <w:vAlign w:val="center"/>
          </w:tcPr>
          <w:p>
            <w:pPr>
              <w:widowControl w:val="0"/>
              <w:jc w:val="center"/>
              <w:rPr>
                <w:rFonts w:hint="default"/>
                <w:color w:val="auto"/>
                <w:sz w:val="20"/>
                <w:lang w:val="en-US" w:eastAsia="zh-CN"/>
              </w:rPr>
            </w:pPr>
            <w:r>
              <w:rPr>
                <w:rFonts w:hint="default"/>
                <w:color w:val="auto"/>
                <w:sz w:val="20"/>
                <w:lang w:val="en-US" w:eastAsia="zh-CN"/>
              </w:rPr>
              <w:t>连续等效A声级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default"/>
                <w:color w:val="auto"/>
                <w:sz w:val="20"/>
                <w:lang w:val="en-US" w:eastAsia="zh-CN"/>
              </w:rPr>
            </w:pPr>
            <w:r>
              <w:rPr>
                <w:rFonts w:hint="default"/>
                <w:color w:val="auto"/>
                <w:sz w:val="20"/>
                <w:lang w:val="en-US" w:eastAsia="zh-CN"/>
              </w:rPr>
              <w:t>机械设备噪声</w:t>
            </w:r>
          </w:p>
        </w:tc>
        <w:tc>
          <w:tcPr>
            <w:tcW w:w="2775" w:type="dxa"/>
            <w:noWrap w:val="0"/>
            <w:vAlign w:val="center"/>
          </w:tcPr>
          <w:p>
            <w:pPr>
              <w:widowControl w:val="0"/>
              <w:jc w:val="center"/>
              <w:rPr>
                <w:rFonts w:hint="default"/>
                <w:color w:val="auto"/>
                <w:sz w:val="20"/>
                <w:lang w:val="en-US" w:eastAsia="zh-CN"/>
              </w:rPr>
            </w:pPr>
            <w:r>
              <w:rPr>
                <w:rFonts w:hint="default"/>
                <w:color w:val="auto"/>
                <w:sz w:val="20"/>
                <w:lang w:val="en-US" w:eastAsia="zh-CN"/>
              </w:rPr>
              <w:t>各类</w:t>
            </w:r>
            <w:r>
              <w:rPr>
                <w:rFonts w:hint="eastAsia"/>
                <w:color w:val="auto"/>
                <w:sz w:val="20"/>
                <w:lang w:val="en-US" w:eastAsia="zh-CN"/>
              </w:rPr>
              <w:t>机械</w:t>
            </w:r>
            <w:r>
              <w:rPr>
                <w:rFonts w:hint="default"/>
                <w:color w:val="auto"/>
                <w:sz w:val="20"/>
                <w:lang w:val="en-US" w:eastAsia="zh-CN"/>
              </w:rPr>
              <w:t>等设备</w:t>
            </w:r>
          </w:p>
        </w:tc>
        <w:tc>
          <w:tcPr>
            <w:tcW w:w="1943" w:type="dxa"/>
            <w:noWrap w:val="0"/>
            <w:vAlign w:val="center"/>
          </w:tcPr>
          <w:p>
            <w:pPr>
              <w:widowControl w:val="0"/>
              <w:jc w:val="center"/>
              <w:rPr>
                <w:rFonts w:hint="default"/>
                <w:color w:val="auto"/>
                <w:sz w:val="20"/>
                <w:lang w:val="en-US" w:eastAsia="zh-CN"/>
              </w:rPr>
            </w:pPr>
            <w:r>
              <w:rPr>
                <w:rFonts w:hint="default"/>
                <w:color w:val="auto"/>
                <w:sz w:val="20"/>
                <w:lang w:val="en-US" w:eastAsia="zh-CN"/>
              </w:rPr>
              <w:t>连续等效A声级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固废</w:t>
            </w:r>
          </w:p>
        </w:tc>
        <w:tc>
          <w:tcPr>
            <w:tcW w:w="3110" w:type="dxa"/>
            <w:noWrap w:val="0"/>
            <w:vAlign w:val="center"/>
          </w:tcPr>
          <w:p>
            <w:pPr>
              <w:widowControl w:val="0"/>
              <w:jc w:val="center"/>
              <w:rPr>
                <w:rFonts w:hint="default"/>
                <w:color w:val="auto"/>
                <w:sz w:val="20"/>
                <w:lang w:val="en-US" w:eastAsia="zh-CN"/>
              </w:rPr>
            </w:pPr>
            <w:r>
              <w:rPr>
                <w:rFonts w:hint="eastAsia"/>
                <w:color w:val="auto"/>
                <w:sz w:val="20"/>
                <w:lang w:val="en-US" w:eastAsia="zh-CN"/>
              </w:rPr>
              <w:t>施工船舶</w:t>
            </w:r>
            <w:r>
              <w:rPr>
                <w:rFonts w:hint="default"/>
                <w:color w:val="auto"/>
                <w:sz w:val="20"/>
                <w:lang w:val="en-US" w:eastAsia="zh-CN"/>
              </w:rPr>
              <w:t>生活垃圾</w:t>
            </w:r>
          </w:p>
        </w:tc>
        <w:tc>
          <w:tcPr>
            <w:tcW w:w="2775" w:type="dxa"/>
            <w:noWrap w:val="0"/>
            <w:vAlign w:val="center"/>
          </w:tcPr>
          <w:p>
            <w:pPr>
              <w:widowControl w:val="0"/>
              <w:jc w:val="center"/>
              <w:rPr>
                <w:rFonts w:hint="default"/>
                <w:color w:val="auto"/>
                <w:sz w:val="20"/>
                <w:lang w:val="en-US" w:eastAsia="zh-CN"/>
              </w:rPr>
            </w:pPr>
            <w:r>
              <w:rPr>
                <w:rFonts w:hint="default"/>
                <w:color w:val="auto"/>
                <w:sz w:val="20"/>
                <w:lang w:val="en-US" w:eastAsia="zh-CN"/>
              </w:rPr>
              <w:t>到港船舶</w:t>
            </w:r>
            <w:r>
              <w:rPr>
                <w:rFonts w:hint="eastAsia"/>
                <w:color w:val="auto"/>
                <w:sz w:val="20"/>
                <w:lang w:val="en-US" w:eastAsia="zh-CN"/>
              </w:rPr>
              <w:t>、本项目趸船</w:t>
            </w:r>
          </w:p>
        </w:tc>
        <w:tc>
          <w:tcPr>
            <w:tcW w:w="1943" w:type="dxa"/>
            <w:noWrap w:val="0"/>
            <w:vAlign w:val="center"/>
          </w:tcPr>
          <w:p>
            <w:pPr>
              <w:widowControl w:val="0"/>
              <w:jc w:val="center"/>
              <w:rPr>
                <w:rFonts w:hint="default"/>
                <w:color w:val="auto"/>
                <w:sz w:val="20"/>
                <w:lang w:val="en-US" w:eastAsia="zh-CN"/>
              </w:rPr>
            </w:pPr>
            <w:r>
              <w:rPr>
                <w:rFonts w:hint="default"/>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default"/>
                <w:color w:val="auto"/>
                <w:sz w:val="20"/>
                <w:lang w:val="en-US" w:eastAsia="zh-CN"/>
              </w:rPr>
            </w:pPr>
            <w:r>
              <w:rPr>
                <w:rFonts w:hint="eastAsia"/>
                <w:color w:val="auto"/>
                <w:sz w:val="20"/>
                <w:lang w:val="en-US" w:eastAsia="zh-CN"/>
              </w:rPr>
              <w:t>陆域人员生活垃圾</w:t>
            </w:r>
          </w:p>
        </w:tc>
        <w:tc>
          <w:tcPr>
            <w:tcW w:w="2775" w:type="dxa"/>
            <w:noWrap w:val="0"/>
            <w:vAlign w:val="center"/>
          </w:tcPr>
          <w:p>
            <w:pPr>
              <w:widowControl w:val="0"/>
              <w:jc w:val="center"/>
              <w:rPr>
                <w:rFonts w:hint="default"/>
                <w:color w:val="auto"/>
                <w:sz w:val="20"/>
                <w:lang w:val="en-US" w:eastAsia="zh-CN"/>
              </w:rPr>
            </w:pPr>
            <w:r>
              <w:rPr>
                <w:rFonts w:hint="default"/>
                <w:color w:val="auto"/>
                <w:sz w:val="20"/>
                <w:lang w:val="en-US" w:eastAsia="zh-CN"/>
              </w:rPr>
              <w:t>趸船及其他设备维修</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default"/>
                <w:color w:val="auto"/>
                <w:sz w:val="20"/>
                <w:lang w:val="en-US" w:eastAsia="zh-CN"/>
              </w:rPr>
            </w:pPr>
            <w:r>
              <w:rPr>
                <w:rFonts w:hint="eastAsia"/>
                <w:color w:val="auto"/>
                <w:sz w:val="20"/>
                <w:lang w:val="en-US" w:eastAsia="zh-CN"/>
              </w:rPr>
              <w:t>建筑垃圾</w:t>
            </w:r>
          </w:p>
        </w:tc>
        <w:tc>
          <w:tcPr>
            <w:tcW w:w="2775" w:type="dxa"/>
            <w:noWrap w:val="0"/>
            <w:vAlign w:val="center"/>
          </w:tcPr>
          <w:p>
            <w:pPr>
              <w:widowControl w:val="0"/>
              <w:jc w:val="center"/>
              <w:rPr>
                <w:rFonts w:hint="default"/>
                <w:color w:val="auto"/>
                <w:sz w:val="20"/>
                <w:lang w:val="en-US" w:eastAsia="zh-CN"/>
              </w:rPr>
            </w:pPr>
            <w:r>
              <w:rPr>
                <w:rFonts w:hint="default"/>
                <w:color w:val="auto"/>
                <w:sz w:val="20"/>
                <w:lang w:val="en-US" w:eastAsia="zh-CN"/>
              </w:rPr>
              <w:t>废钢筋、电焊渣、废包装袋、废混凝土块灌注桩钻孔渣等</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一般固废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3110" w:type="dxa"/>
            <w:noWrap w:val="0"/>
            <w:vAlign w:val="center"/>
          </w:tcPr>
          <w:p>
            <w:pPr>
              <w:widowControl w:val="0"/>
              <w:jc w:val="center"/>
              <w:rPr>
                <w:rFonts w:hint="default"/>
                <w:color w:val="auto"/>
                <w:sz w:val="20"/>
                <w:lang w:val="en-US" w:eastAsia="zh-CN"/>
              </w:rPr>
            </w:pPr>
            <w:r>
              <w:rPr>
                <w:rFonts w:hint="eastAsia"/>
                <w:color w:val="auto"/>
                <w:sz w:val="20"/>
                <w:lang w:val="en-US" w:eastAsia="zh-CN"/>
              </w:rPr>
              <w:t>拆除的废弃钢质趸船及配套设施</w:t>
            </w:r>
          </w:p>
        </w:tc>
        <w:tc>
          <w:tcPr>
            <w:tcW w:w="2775" w:type="dxa"/>
            <w:noWrap w:val="0"/>
            <w:vAlign w:val="center"/>
          </w:tcPr>
          <w:p>
            <w:pPr>
              <w:widowControl w:val="0"/>
              <w:jc w:val="center"/>
              <w:rPr>
                <w:rFonts w:hint="default"/>
                <w:color w:val="auto"/>
                <w:sz w:val="20"/>
                <w:lang w:val="en-US" w:eastAsia="zh-CN"/>
              </w:rPr>
            </w:pPr>
            <w:r>
              <w:rPr>
                <w:rFonts w:hint="eastAsia"/>
                <w:color w:val="auto"/>
                <w:sz w:val="20"/>
                <w:lang w:val="en-US" w:eastAsia="zh-CN"/>
              </w:rPr>
              <w:t>现有工程拆除</w:t>
            </w:r>
          </w:p>
        </w:tc>
        <w:tc>
          <w:tcPr>
            <w:tcW w:w="1943" w:type="dxa"/>
            <w:noWrap w:val="0"/>
            <w:vAlign w:val="center"/>
          </w:tcPr>
          <w:p>
            <w:pPr>
              <w:widowControl w:val="0"/>
              <w:jc w:val="center"/>
              <w:rPr>
                <w:rFonts w:hint="default"/>
                <w:color w:val="auto"/>
                <w:sz w:val="20"/>
                <w:lang w:val="en-US" w:eastAsia="zh-CN"/>
              </w:rPr>
            </w:pPr>
            <w:r>
              <w:rPr>
                <w:rFonts w:hint="eastAsia"/>
                <w:color w:val="auto"/>
                <w:sz w:val="20"/>
                <w:lang w:val="en-US" w:eastAsia="zh-CN"/>
              </w:rPr>
              <w:t>一般固废</w:t>
            </w:r>
          </w:p>
        </w:tc>
      </w:tr>
    </w:tbl>
    <w:p>
      <w:pPr>
        <w:pStyle w:val="9"/>
        <w:widowControl w:val="0"/>
        <w:spacing w:before="120" w:after="120" w:line="360" w:lineRule="auto"/>
        <w:rPr>
          <w:rFonts w:hint="eastAsia" w:eastAsia="黑体" w:cs="Times New Roman"/>
          <w:b w:val="0"/>
          <w:bCs/>
          <w:color w:val="auto"/>
          <w:sz w:val="24"/>
          <w:lang w:val="en-US" w:eastAsia="zh-CN"/>
        </w:rPr>
      </w:pPr>
      <w:r>
        <w:rPr>
          <w:rFonts w:hint="eastAsia" w:ascii="Times New Roman" w:hAnsi="Times New Roman" w:eastAsia="黑体" w:cs="Times New Roman"/>
          <w:b w:val="0"/>
          <w:bCs/>
          <w:color w:val="auto"/>
          <w:sz w:val="24"/>
        </w:rPr>
        <w:t>3.1.</w:t>
      </w:r>
      <w:r>
        <w:rPr>
          <w:rFonts w:hint="eastAsia" w:eastAsia="黑体" w:cs="Times New Roman"/>
          <w:b w:val="0"/>
          <w:bCs/>
          <w:color w:val="auto"/>
          <w:sz w:val="24"/>
          <w:lang w:val="en-US" w:eastAsia="zh-CN"/>
        </w:rPr>
        <w:t>2施工期污染源分析</w:t>
      </w:r>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3.1.2.1大气环境</w:t>
      </w:r>
    </w:p>
    <w:bookmarkEnd w:id="313"/>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根据现场勘查及建设单位提供资料，</w:t>
      </w:r>
      <w:r>
        <w:rPr>
          <w:rFonts w:hint="eastAsia" w:eastAsia="仿宋_GB2312"/>
          <w:color w:val="auto"/>
          <w:sz w:val="24"/>
          <w:szCs w:val="24"/>
          <w:lang w:val="en-US" w:eastAsia="zh-CN"/>
        </w:rPr>
        <w:t>码头相关</w:t>
      </w:r>
      <w:r>
        <w:rPr>
          <w:rFonts w:hint="eastAsia" w:eastAsia="仿宋_GB2312"/>
          <w:color w:val="auto"/>
          <w:sz w:val="24"/>
          <w:szCs w:val="24"/>
        </w:rPr>
        <w:t>设施均</w:t>
      </w:r>
      <w:r>
        <w:rPr>
          <w:rFonts w:hint="eastAsia" w:eastAsia="仿宋_GB2312"/>
          <w:color w:val="auto"/>
          <w:sz w:val="24"/>
          <w:szCs w:val="24"/>
          <w:lang w:val="en-US" w:eastAsia="zh-CN"/>
        </w:rPr>
        <w:t>进行拆除</w:t>
      </w:r>
      <w:r>
        <w:rPr>
          <w:rFonts w:hint="eastAsia" w:eastAsia="仿宋_GB2312"/>
          <w:color w:val="auto"/>
          <w:sz w:val="24"/>
          <w:szCs w:val="24"/>
          <w:lang w:eastAsia="zh-CN"/>
        </w:rPr>
        <w:t>。</w:t>
      </w:r>
      <w:r>
        <w:rPr>
          <w:rFonts w:hint="eastAsia" w:eastAsia="仿宋_GB2312"/>
          <w:color w:val="auto"/>
          <w:sz w:val="24"/>
          <w:szCs w:val="24"/>
        </w:rPr>
        <w:t>施工期主要建设内容为</w:t>
      </w:r>
      <w:r>
        <w:rPr>
          <w:rFonts w:hint="eastAsia" w:eastAsia="仿宋_GB2312"/>
          <w:color w:val="auto"/>
          <w:sz w:val="24"/>
          <w:szCs w:val="24"/>
          <w:lang w:val="en-US" w:eastAsia="zh-CN"/>
        </w:rPr>
        <w:t>现有设施的拆除，新的</w:t>
      </w:r>
      <w:r>
        <w:rPr>
          <w:rFonts w:hint="eastAsia" w:eastAsia="仿宋_GB2312"/>
          <w:color w:val="auto"/>
          <w:sz w:val="24"/>
          <w:szCs w:val="24"/>
        </w:rPr>
        <w:t>趸船</w:t>
      </w:r>
      <w:r>
        <w:rPr>
          <w:rFonts w:hint="eastAsia" w:eastAsia="仿宋_GB2312"/>
          <w:color w:val="auto"/>
          <w:sz w:val="24"/>
          <w:szCs w:val="24"/>
          <w:lang w:eastAsia="zh-CN"/>
        </w:rPr>
        <w:t>、</w:t>
      </w:r>
      <w:r>
        <w:rPr>
          <w:rFonts w:hint="eastAsia" w:eastAsia="仿宋_GB2312"/>
          <w:color w:val="auto"/>
          <w:sz w:val="24"/>
          <w:szCs w:val="24"/>
        </w:rPr>
        <w:t>钢引桥、墩台、皮带机</w:t>
      </w:r>
      <w:r>
        <w:rPr>
          <w:rFonts w:hint="eastAsia" w:eastAsia="仿宋_GB2312"/>
          <w:color w:val="auto"/>
          <w:sz w:val="24"/>
          <w:szCs w:val="24"/>
          <w:lang w:val="en-US" w:eastAsia="zh-CN"/>
        </w:rPr>
        <w:t>廊道</w:t>
      </w:r>
      <w:r>
        <w:rPr>
          <w:rFonts w:hint="eastAsia" w:eastAsia="仿宋_GB2312"/>
          <w:color w:val="auto"/>
          <w:sz w:val="24"/>
          <w:szCs w:val="24"/>
        </w:rPr>
        <w:t>及转运</w:t>
      </w:r>
      <w:r>
        <w:rPr>
          <w:rFonts w:hint="eastAsia" w:eastAsia="仿宋_GB2312"/>
          <w:color w:val="auto"/>
          <w:sz w:val="24"/>
          <w:szCs w:val="24"/>
          <w:lang w:val="en-US" w:eastAsia="zh-CN"/>
        </w:rPr>
        <w:t>楼</w:t>
      </w:r>
      <w:r>
        <w:rPr>
          <w:rFonts w:hint="eastAsia" w:eastAsia="仿宋_GB2312"/>
          <w:color w:val="auto"/>
          <w:sz w:val="24"/>
          <w:szCs w:val="24"/>
        </w:rPr>
        <w:t>配套设施的安装。施工期环境空气污染</w:t>
      </w:r>
      <w:r>
        <w:rPr>
          <w:rFonts w:hint="eastAsia" w:eastAsia="仿宋_GB2312"/>
          <w:color w:val="auto"/>
          <w:sz w:val="24"/>
          <w:szCs w:val="24"/>
          <w:lang w:val="en-US" w:eastAsia="zh-CN"/>
        </w:rPr>
        <w:t>影响</w:t>
      </w:r>
      <w:r>
        <w:rPr>
          <w:rFonts w:hint="eastAsia" w:eastAsia="仿宋_GB2312"/>
          <w:color w:val="auto"/>
          <w:sz w:val="24"/>
          <w:szCs w:val="24"/>
        </w:rPr>
        <w:t>主要包括</w:t>
      </w:r>
      <w:r>
        <w:rPr>
          <w:rFonts w:hint="eastAsia" w:eastAsia="仿宋_GB2312"/>
          <w:color w:val="auto"/>
          <w:sz w:val="24"/>
          <w:szCs w:val="24"/>
          <w:lang w:val="en-US" w:eastAsia="zh-CN"/>
        </w:rPr>
        <w:t>砂石料堆存</w:t>
      </w:r>
      <w:r>
        <w:rPr>
          <w:rFonts w:hint="eastAsia" w:eastAsia="仿宋_GB2312"/>
          <w:color w:val="auto"/>
          <w:sz w:val="24"/>
          <w:szCs w:val="24"/>
        </w:rPr>
        <w:t>风蚀起尘</w:t>
      </w:r>
      <w:r>
        <w:rPr>
          <w:rFonts w:hint="eastAsia" w:eastAsia="仿宋_GB2312"/>
          <w:color w:val="auto"/>
          <w:sz w:val="24"/>
          <w:szCs w:val="24"/>
          <w:lang w:val="en-US" w:eastAsia="zh-CN"/>
        </w:rPr>
        <w:t>、</w:t>
      </w:r>
      <w:r>
        <w:rPr>
          <w:rFonts w:hint="eastAsia" w:eastAsia="仿宋_GB2312"/>
          <w:color w:val="auto"/>
          <w:sz w:val="24"/>
          <w:szCs w:val="24"/>
        </w:rPr>
        <w:t>汽车运输产生的道路扬尘、</w:t>
      </w:r>
      <w:r>
        <w:rPr>
          <w:rFonts w:hint="eastAsia" w:eastAsia="仿宋_GB2312"/>
          <w:color w:val="auto"/>
          <w:sz w:val="24"/>
          <w:szCs w:val="24"/>
          <w:lang w:val="en-US" w:eastAsia="zh-CN"/>
        </w:rPr>
        <w:t>施工船舶</w:t>
      </w:r>
      <w:r>
        <w:rPr>
          <w:rFonts w:hint="eastAsia" w:eastAsia="仿宋_GB2312"/>
          <w:color w:val="auto"/>
          <w:sz w:val="24"/>
          <w:szCs w:val="24"/>
        </w:rPr>
        <w:t>机械</w:t>
      </w:r>
      <w:r>
        <w:rPr>
          <w:rFonts w:hint="eastAsia" w:eastAsia="仿宋_GB2312"/>
          <w:color w:val="auto"/>
          <w:sz w:val="24"/>
          <w:szCs w:val="24"/>
          <w:lang w:val="en-US" w:eastAsia="zh-CN"/>
        </w:rPr>
        <w:t>废气</w:t>
      </w:r>
      <w:r>
        <w:rPr>
          <w:rFonts w:hint="eastAsia" w:eastAsia="仿宋_GB2312"/>
          <w:color w:val="auto"/>
          <w:sz w:val="24"/>
          <w:szCs w:val="24"/>
        </w:rPr>
        <w:t>以及汽车行驶产生的燃油废气等，主要污染因子为TSP、SO</w:t>
      </w:r>
      <w:r>
        <w:rPr>
          <w:rFonts w:hint="eastAsia" w:eastAsia="仿宋_GB2312"/>
          <w:color w:val="auto"/>
          <w:sz w:val="24"/>
          <w:szCs w:val="24"/>
          <w:vertAlign w:val="subscript"/>
        </w:rPr>
        <w:t>2</w:t>
      </w:r>
      <w:r>
        <w:rPr>
          <w:rFonts w:hint="eastAsia" w:eastAsia="仿宋_GB2312"/>
          <w:color w:val="auto"/>
          <w:sz w:val="24"/>
          <w:szCs w:val="24"/>
        </w:rPr>
        <w:t>、NO</w:t>
      </w:r>
      <w:r>
        <w:rPr>
          <w:rFonts w:hint="eastAsia" w:eastAsia="仿宋_GB2312"/>
          <w:color w:val="auto"/>
          <w:sz w:val="24"/>
          <w:szCs w:val="24"/>
          <w:vertAlign w:val="subscript"/>
        </w:rPr>
        <w:t>X</w:t>
      </w:r>
      <w:r>
        <w:rPr>
          <w:rFonts w:hint="eastAsia" w:eastAsia="仿宋_GB2312"/>
          <w:color w:val="auto"/>
          <w:sz w:val="24"/>
          <w:szCs w:val="24"/>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1）施工起尘、施工期材料运输、装卸及堆存等各种施工活动将给施工现场造成TSP污染影响。根据国内港口工程施工现场监测资料，在正常风况下，采取洒水措施后，施工活动将使施工现场TSP近地面浓度达到1.5～30mg/m</w:t>
      </w:r>
      <w:r>
        <w:rPr>
          <w:rFonts w:hint="eastAsia" w:eastAsia="仿宋_GB2312"/>
          <w:color w:val="auto"/>
          <w:sz w:val="24"/>
          <w:szCs w:val="24"/>
          <w:vertAlign w:val="superscript"/>
          <w:lang w:val="en-US" w:eastAsia="zh-CN"/>
        </w:rPr>
        <w:t>3</w:t>
      </w:r>
      <w:r>
        <w:rPr>
          <w:rFonts w:hint="eastAsia" w:eastAsia="仿宋_GB2312"/>
          <w:color w:val="auto"/>
          <w:sz w:val="24"/>
          <w:szCs w:val="24"/>
          <w:lang w:val="en-US" w:eastAsia="zh-CN"/>
        </w:rPr>
        <w:t>，距施工现场约200m外的TSP浓度符合《环境空气质量标准》（GB3095—2012）中二级标准。</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w:t>
      </w:r>
      <w:r>
        <w:rPr>
          <w:rFonts w:hint="eastAsia" w:eastAsia="仿宋_GB2312"/>
          <w:color w:val="auto"/>
          <w:sz w:val="24"/>
          <w:szCs w:val="24"/>
          <w:lang w:val="en-US" w:eastAsia="zh-CN"/>
        </w:rPr>
        <w:t>2</w:t>
      </w:r>
      <w:r>
        <w:rPr>
          <w:rFonts w:hint="eastAsia" w:eastAsia="仿宋_GB2312"/>
          <w:color w:val="auto"/>
          <w:sz w:val="24"/>
          <w:szCs w:val="24"/>
        </w:rPr>
        <w:t>）道路扬尘：汽车运输产生的公路扬尘随路面硬化程度、路面干燥程度、汽车载重量和汽车行驶速度的变化而变化；路面硬化程度越高、汽车载重量越轻、路面湿度越大、行驶速度越低则产生的扬尘越少，反之产生的扬尘就越大。汽车运输产生的扬尘大都为泥尘，据资料显示，泥尘化学组分随地区的变化而稍有不同，当量直径大于60微米的泥尘占98%以上，沉降速度较快，沉降范围主要集中在行驶道路两侧100米以内。</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w:t>
      </w:r>
      <w:r>
        <w:rPr>
          <w:rFonts w:hint="eastAsia" w:eastAsia="仿宋_GB2312"/>
          <w:color w:val="auto"/>
          <w:sz w:val="24"/>
          <w:szCs w:val="24"/>
          <w:lang w:val="en-US" w:eastAsia="zh-CN"/>
        </w:rPr>
        <w:t>3</w:t>
      </w:r>
      <w:r>
        <w:rPr>
          <w:rFonts w:hint="eastAsia" w:eastAsia="仿宋_GB2312"/>
          <w:color w:val="auto"/>
          <w:sz w:val="24"/>
          <w:szCs w:val="24"/>
        </w:rPr>
        <w:t>）施工车辆废气：工程部分构件采用汽车运进，会带来汽车尾气污染。主要污染物为SO</w:t>
      </w:r>
      <w:r>
        <w:rPr>
          <w:rFonts w:hint="eastAsia" w:eastAsia="仿宋_GB2312"/>
          <w:color w:val="auto"/>
          <w:sz w:val="24"/>
          <w:szCs w:val="24"/>
          <w:vertAlign w:val="subscript"/>
        </w:rPr>
        <w:t>2</w:t>
      </w:r>
      <w:r>
        <w:rPr>
          <w:rFonts w:hint="eastAsia" w:eastAsia="仿宋_GB2312"/>
          <w:color w:val="auto"/>
          <w:sz w:val="24"/>
          <w:szCs w:val="24"/>
        </w:rPr>
        <w:t>、CO、NO</w:t>
      </w:r>
      <w:r>
        <w:rPr>
          <w:rFonts w:hint="eastAsia" w:eastAsia="仿宋_GB2312"/>
          <w:color w:val="auto"/>
          <w:sz w:val="24"/>
          <w:szCs w:val="24"/>
          <w:vertAlign w:val="subscript"/>
        </w:rPr>
        <w:t>X</w:t>
      </w:r>
      <w:r>
        <w:rPr>
          <w:rFonts w:hint="eastAsia" w:eastAsia="仿宋_GB2312"/>
          <w:color w:val="auto"/>
          <w:sz w:val="24"/>
          <w:szCs w:val="24"/>
        </w:rPr>
        <w:t>和NMHC。一般施工采用柴油汽车，按8t载重车型为例，其污染排放情况具体见表3.1-</w:t>
      </w:r>
      <w:r>
        <w:rPr>
          <w:rFonts w:hint="eastAsia" w:eastAsia="仿宋_GB2312"/>
          <w:color w:val="auto"/>
          <w:sz w:val="24"/>
          <w:szCs w:val="24"/>
          <w:lang w:val="en-US" w:eastAsia="zh-CN"/>
        </w:rPr>
        <w:t>2</w:t>
      </w:r>
      <w:r>
        <w:rPr>
          <w:rFonts w:hint="eastAsia" w:eastAsia="仿宋_GB2312"/>
          <w:color w:val="auto"/>
          <w:sz w:val="24"/>
          <w:szCs w:val="24"/>
        </w:rPr>
        <w:t>。</w:t>
      </w:r>
    </w:p>
    <w:p>
      <w:pPr>
        <w:widowControl w:val="0"/>
        <w:spacing w:line="360" w:lineRule="auto"/>
        <w:jc w:val="center"/>
        <w:rPr>
          <w:rFonts w:ascii="Times New Roman" w:hAnsi="Times New Roman" w:eastAsia="黑体" w:cs="Times New Roman"/>
          <w:b/>
          <w:color w:val="auto"/>
        </w:rPr>
      </w:pPr>
      <w:r>
        <w:rPr>
          <w:rFonts w:hint="eastAsia" w:ascii="Times New Roman" w:hAnsi="Times New Roman" w:eastAsia="黑体" w:cs="Times New Roman"/>
          <w:b/>
          <w:color w:val="auto"/>
        </w:rPr>
        <w:t>表3.1-</w:t>
      </w:r>
      <w:r>
        <w:rPr>
          <w:rFonts w:hint="eastAsia" w:eastAsia="黑体" w:cs="Times New Roman"/>
          <w:b/>
          <w:color w:val="auto"/>
          <w:lang w:val="en-US" w:eastAsia="zh-CN"/>
        </w:rPr>
        <w:t>2</w:t>
      </w:r>
      <w:r>
        <w:rPr>
          <w:rFonts w:hint="eastAsia" w:ascii="Times New Roman" w:hAnsi="Times New Roman" w:eastAsia="黑体" w:cs="Times New Roman"/>
          <w:b/>
          <w:color w:val="auto"/>
        </w:rPr>
        <w:t xml:space="preserve">  机动车辆污染物排放系数</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46"/>
        <w:gridCol w:w="2177"/>
        <w:gridCol w:w="2069"/>
        <w:gridCol w:w="32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14"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污染物</w:t>
            </w:r>
          </w:p>
        </w:tc>
        <w:tc>
          <w:tcPr>
            <w:tcW w:w="1278"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以汽油为燃料（</w:t>
            </w:r>
            <w:r>
              <w:rPr>
                <w:rFonts w:hint="eastAsia" w:eastAsia="宋体"/>
                <w:b w:val="0"/>
                <w:bCs/>
                <w:color w:val="auto"/>
                <w:sz w:val="20"/>
                <w:szCs w:val="20"/>
              </w:rPr>
              <w:t>g/L</w:t>
            </w:r>
            <w:r>
              <w:rPr>
                <w:rFonts w:eastAsia="宋体"/>
                <w:b w:val="0"/>
                <w:bCs/>
                <w:color w:val="auto"/>
                <w:sz w:val="20"/>
                <w:szCs w:val="20"/>
              </w:rPr>
              <w:t>）</w:t>
            </w:r>
          </w:p>
        </w:tc>
        <w:tc>
          <w:tcPr>
            <w:tcW w:w="1215"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以柴油为燃料（g/L）</w:t>
            </w:r>
          </w:p>
        </w:tc>
        <w:tc>
          <w:tcPr>
            <w:tcW w:w="1891"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8</w:t>
            </w:r>
            <w:r>
              <w:rPr>
                <w:rFonts w:hint="eastAsia" w:eastAsia="宋体"/>
                <w:b w:val="0"/>
                <w:bCs/>
                <w:color w:val="auto"/>
                <w:sz w:val="20"/>
                <w:szCs w:val="20"/>
                <w:lang w:val="en-US" w:eastAsia="zh-CN"/>
              </w:rPr>
              <w:t>t</w:t>
            </w:r>
            <w:r>
              <w:rPr>
                <w:rFonts w:hint="eastAsia" w:eastAsia="宋体"/>
                <w:b w:val="0"/>
                <w:bCs/>
                <w:color w:val="auto"/>
                <w:sz w:val="20"/>
                <w:szCs w:val="20"/>
              </w:rPr>
              <w:t>柴油载重车排放量（g/100km）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14"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SO</w:t>
            </w:r>
            <w:r>
              <w:rPr>
                <w:rFonts w:eastAsia="宋体"/>
                <w:b w:val="0"/>
                <w:bCs/>
                <w:color w:val="auto"/>
                <w:sz w:val="20"/>
                <w:szCs w:val="20"/>
                <w:vertAlign w:val="subscript"/>
              </w:rPr>
              <w:t>2</w:t>
            </w:r>
          </w:p>
        </w:tc>
        <w:tc>
          <w:tcPr>
            <w:tcW w:w="1278"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0.295</w:t>
            </w:r>
          </w:p>
        </w:tc>
        <w:tc>
          <w:tcPr>
            <w:tcW w:w="1215"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3.24</w:t>
            </w:r>
          </w:p>
        </w:tc>
        <w:tc>
          <w:tcPr>
            <w:tcW w:w="1891"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97.82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14"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NO</w:t>
            </w:r>
            <w:r>
              <w:rPr>
                <w:rFonts w:eastAsia="宋体"/>
                <w:b w:val="0"/>
                <w:bCs/>
                <w:color w:val="auto"/>
                <w:sz w:val="20"/>
                <w:szCs w:val="20"/>
                <w:vertAlign w:val="subscript"/>
              </w:rPr>
              <w:t>x</w:t>
            </w:r>
          </w:p>
        </w:tc>
        <w:tc>
          <w:tcPr>
            <w:tcW w:w="1278"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21.1</w:t>
            </w:r>
          </w:p>
        </w:tc>
        <w:tc>
          <w:tcPr>
            <w:tcW w:w="1215"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44.4</w:t>
            </w:r>
          </w:p>
        </w:tc>
        <w:tc>
          <w:tcPr>
            <w:tcW w:w="1891"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815.13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14"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CO</w:t>
            </w:r>
          </w:p>
        </w:tc>
        <w:tc>
          <w:tcPr>
            <w:tcW w:w="1278"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169.0</w:t>
            </w:r>
          </w:p>
        </w:tc>
        <w:tc>
          <w:tcPr>
            <w:tcW w:w="1215"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27.0</w:t>
            </w:r>
          </w:p>
        </w:tc>
        <w:tc>
          <w:tcPr>
            <w:tcW w:w="1891"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1340.44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14" w:type="pct"/>
            <w:vAlign w:val="center"/>
          </w:tcPr>
          <w:p>
            <w:pPr>
              <w:widowControl w:val="0"/>
              <w:spacing w:line="240" w:lineRule="auto"/>
              <w:jc w:val="center"/>
              <w:rPr>
                <w:rFonts w:eastAsia="宋体"/>
                <w:b w:val="0"/>
                <w:bCs/>
                <w:color w:val="auto"/>
                <w:sz w:val="20"/>
                <w:szCs w:val="20"/>
              </w:rPr>
            </w:pPr>
            <w:r>
              <w:rPr>
                <w:rFonts w:eastAsia="宋体"/>
                <w:b w:val="0"/>
                <w:bCs/>
                <w:color w:val="auto"/>
                <w:sz w:val="20"/>
                <w:szCs w:val="20"/>
              </w:rPr>
              <w:t>NMHC</w:t>
            </w:r>
          </w:p>
        </w:tc>
        <w:tc>
          <w:tcPr>
            <w:tcW w:w="1278"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33.3</w:t>
            </w:r>
          </w:p>
        </w:tc>
        <w:tc>
          <w:tcPr>
            <w:tcW w:w="1215"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4.44</w:t>
            </w:r>
          </w:p>
        </w:tc>
        <w:tc>
          <w:tcPr>
            <w:tcW w:w="1891" w:type="pct"/>
            <w:vAlign w:val="center"/>
          </w:tcPr>
          <w:p>
            <w:pPr>
              <w:widowControl w:val="0"/>
              <w:spacing w:line="240" w:lineRule="auto"/>
              <w:jc w:val="center"/>
              <w:rPr>
                <w:rFonts w:eastAsia="宋体"/>
                <w:b w:val="0"/>
                <w:bCs/>
                <w:color w:val="auto"/>
                <w:sz w:val="20"/>
                <w:szCs w:val="20"/>
              </w:rPr>
            </w:pPr>
            <w:r>
              <w:rPr>
                <w:rFonts w:hint="eastAsia" w:eastAsia="宋体"/>
                <w:b w:val="0"/>
                <w:bCs/>
                <w:color w:val="auto"/>
                <w:sz w:val="20"/>
                <w:szCs w:val="20"/>
              </w:rPr>
              <w:t>134.04</w:t>
            </w:r>
          </w:p>
        </w:tc>
      </w:tr>
    </w:tbl>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w:t>
      </w:r>
      <w:r>
        <w:rPr>
          <w:rFonts w:hint="eastAsia" w:eastAsia="仿宋_GB2312"/>
          <w:color w:val="auto"/>
          <w:sz w:val="24"/>
          <w:szCs w:val="24"/>
          <w:lang w:val="en-US" w:eastAsia="zh-CN"/>
        </w:rPr>
        <w:t>4</w:t>
      </w:r>
      <w:r>
        <w:rPr>
          <w:rFonts w:hint="eastAsia" w:eastAsia="仿宋_GB2312"/>
          <w:color w:val="auto"/>
          <w:sz w:val="24"/>
          <w:szCs w:val="24"/>
        </w:rPr>
        <w:t>）施工船舶废气：据调查，施工船舶的单船耗油量约300kg/h，柴油中污染物排放情况具体见表3.1-</w:t>
      </w:r>
      <w:r>
        <w:rPr>
          <w:rFonts w:hint="eastAsia" w:eastAsia="仿宋_GB2312"/>
          <w:color w:val="auto"/>
          <w:sz w:val="24"/>
          <w:szCs w:val="24"/>
          <w:lang w:val="en-US" w:eastAsia="zh-CN"/>
        </w:rPr>
        <w:t>3</w:t>
      </w:r>
      <w:r>
        <w:rPr>
          <w:rFonts w:hint="eastAsia" w:eastAsia="仿宋_GB2312"/>
          <w:color w:val="auto"/>
          <w:sz w:val="24"/>
          <w:szCs w:val="24"/>
          <w:lang w:eastAsia="zh-CN"/>
        </w:rPr>
        <w:t>。</w:t>
      </w:r>
    </w:p>
    <w:p>
      <w:pPr>
        <w:widowControl w:val="0"/>
        <w:spacing w:line="360" w:lineRule="auto"/>
        <w:jc w:val="center"/>
        <w:rPr>
          <w:rFonts w:hint="eastAsia" w:ascii="Times New Roman" w:hAnsi="Times New Roman" w:eastAsia="黑体" w:cs="Times New Roman"/>
          <w:b/>
          <w:color w:val="auto"/>
        </w:rPr>
      </w:pPr>
      <w:r>
        <w:rPr>
          <w:rFonts w:hint="eastAsia" w:ascii="Times New Roman" w:hAnsi="Times New Roman" w:eastAsia="黑体" w:cs="Times New Roman"/>
          <w:b/>
          <w:color w:val="auto"/>
        </w:rPr>
        <w:t>表3.1-</w:t>
      </w:r>
      <w:r>
        <w:rPr>
          <w:rFonts w:hint="eastAsia" w:eastAsia="黑体" w:cs="Times New Roman"/>
          <w:b/>
          <w:color w:val="auto"/>
          <w:lang w:val="en-US" w:eastAsia="zh-CN"/>
        </w:rPr>
        <w:t>3</w:t>
      </w:r>
      <w:r>
        <w:rPr>
          <w:rFonts w:hint="eastAsia" w:ascii="Times New Roman" w:hAnsi="Times New Roman" w:eastAsia="黑体" w:cs="Times New Roman"/>
          <w:b/>
          <w:color w:val="auto"/>
        </w:rPr>
        <w:t xml:space="preserve">  施工船舶废气排放情况</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7"/>
        <w:gridCol w:w="2127"/>
        <w:gridCol w:w="2129"/>
        <w:gridCol w:w="21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污染物</w:t>
            </w:r>
          </w:p>
        </w:tc>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SO</w:t>
            </w:r>
            <w:r>
              <w:rPr>
                <w:rFonts w:ascii="Times New Roman" w:hAnsi="Times New Roman" w:eastAsia="宋体" w:cs="Times New Roman"/>
                <w:b w:val="0"/>
                <w:bCs/>
                <w:color w:val="auto"/>
                <w:sz w:val="20"/>
                <w:szCs w:val="20"/>
                <w:vertAlign w:val="subscript"/>
              </w:rPr>
              <w:t>2</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NO</w:t>
            </w:r>
            <w:r>
              <w:rPr>
                <w:rFonts w:ascii="Times New Roman" w:hAnsi="Times New Roman" w:eastAsia="宋体" w:cs="Times New Roman"/>
                <w:b w:val="0"/>
                <w:bCs/>
                <w:color w:val="auto"/>
                <w:sz w:val="20"/>
                <w:szCs w:val="20"/>
                <w:vertAlign w:val="subscript"/>
              </w:rPr>
              <w:t>x</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NMHC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排放量（</w:t>
            </w:r>
            <w:r>
              <w:rPr>
                <w:rFonts w:hint="eastAsia" w:ascii="Times New Roman" w:hAnsi="Times New Roman" w:eastAsia="宋体" w:cs="Times New Roman"/>
                <w:b w:val="0"/>
                <w:bCs/>
                <w:color w:val="auto"/>
                <w:sz w:val="20"/>
                <w:szCs w:val="20"/>
              </w:rPr>
              <w:t>g/kg油</w:t>
            </w:r>
            <w:r>
              <w:rPr>
                <w:rFonts w:ascii="Times New Roman" w:hAnsi="Times New Roman" w:eastAsia="宋体" w:cs="Times New Roman"/>
                <w:b w:val="0"/>
                <w:bCs/>
                <w:color w:val="auto"/>
                <w:sz w:val="20"/>
                <w:szCs w:val="20"/>
              </w:rPr>
              <w:t>）</w:t>
            </w:r>
          </w:p>
        </w:tc>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7.5</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16.5</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ascii="Times New Roman" w:hAnsi="Times New Roman" w:eastAsia="宋体" w:cs="Times New Roman"/>
                <w:b w:val="0"/>
                <w:bCs/>
                <w:color w:val="auto"/>
                <w:sz w:val="20"/>
                <w:szCs w:val="20"/>
              </w:rPr>
              <w:t>排放源强（</w:t>
            </w:r>
            <w:r>
              <w:rPr>
                <w:rFonts w:hint="eastAsia" w:ascii="Times New Roman" w:hAnsi="Times New Roman" w:eastAsia="宋体" w:cs="Times New Roman"/>
                <w:b w:val="0"/>
                <w:bCs/>
                <w:color w:val="auto"/>
                <w:sz w:val="20"/>
                <w:szCs w:val="20"/>
              </w:rPr>
              <w:t>kg/h</w:t>
            </w:r>
            <w:r>
              <w:rPr>
                <w:rFonts w:ascii="Times New Roman" w:hAnsi="Times New Roman" w:eastAsia="宋体" w:cs="Times New Roman"/>
                <w:b w:val="0"/>
                <w:bCs/>
                <w:color w:val="auto"/>
                <w:sz w:val="20"/>
                <w:szCs w:val="20"/>
              </w:rPr>
              <w:t>）</w:t>
            </w:r>
          </w:p>
        </w:tc>
        <w:tc>
          <w:tcPr>
            <w:tcW w:w="124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2.25</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4.95</w:t>
            </w:r>
          </w:p>
        </w:tc>
        <w:tc>
          <w:tcPr>
            <w:tcW w:w="1250"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ascii="Times New Roman" w:hAnsi="Times New Roman" w:eastAsia="宋体" w:cs="Times New Roman"/>
                <w:b w:val="0"/>
                <w:bCs/>
                <w:color w:val="auto"/>
                <w:sz w:val="20"/>
                <w:szCs w:val="20"/>
              </w:rPr>
              <w:t>9.0</w:t>
            </w:r>
          </w:p>
        </w:tc>
      </w:tr>
    </w:tbl>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bookmarkStart w:id="314" w:name="_Toc3434"/>
      <w:r>
        <w:rPr>
          <w:rFonts w:hint="eastAsia" w:ascii="Times New Roman" w:hAnsi="Times New Roman" w:eastAsia="黑体" w:cs="Times New Roman"/>
          <w:color w:val="auto"/>
          <w:szCs w:val="24"/>
          <w:lang w:val="en-US" w:eastAsia="zh-CN"/>
        </w:rPr>
        <w:t>3.1.</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2水环境</w:t>
      </w:r>
      <w:bookmarkEnd w:id="314"/>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项目施工期现有码头拆除工程不产生废水；施工期废水主要包括</w:t>
      </w:r>
      <w:r>
        <w:rPr>
          <w:rFonts w:hint="eastAsia" w:eastAsia="仿宋_GB2312" w:cs="Times New Roman"/>
          <w:color w:val="auto"/>
          <w:sz w:val="24"/>
          <w:szCs w:val="24"/>
          <w:lang w:val="en-US" w:eastAsia="zh-CN"/>
        </w:rPr>
        <w:t>技改</w:t>
      </w:r>
      <w:r>
        <w:rPr>
          <w:rFonts w:hint="eastAsia" w:ascii="Times New Roman" w:hAnsi="Times New Roman" w:eastAsia="仿宋_GB2312" w:cs="Times New Roman"/>
          <w:color w:val="auto"/>
          <w:sz w:val="24"/>
          <w:szCs w:val="24"/>
        </w:rPr>
        <w:t>项目码头桩基施工、施工船舶、陆域施工</w:t>
      </w:r>
      <w:r>
        <w:rPr>
          <w:rFonts w:hint="eastAsia" w:eastAsia="仿宋_GB2312" w:cs="Times New Roman"/>
          <w:color w:val="auto"/>
          <w:sz w:val="24"/>
          <w:szCs w:val="24"/>
          <w:lang w:val="en-US" w:eastAsia="zh-CN"/>
        </w:rPr>
        <w:t>机械冲洗废水</w:t>
      </w:r>
      <w:r>
        <w:rPr>
          <w:rFonts w:hint="eastAsia" w:ascii="Times New Roman" w:hAnsi="Times New Roman" w:eastAsia="仿宋_GB2312" w:cs="Times New Roman"/>
          <w:color w:val="auto"/>
          <w:sz w:val="24"/>
          <w:szCs w:val="24"/>
        </w:rPr>
        <w:t>及施工人员生活产生的废水，主要污染因子：COD、氨氮和SS。</w:t>
      </w:r>
    </w:p>
    <w:p>
      <w:pPr>
        <w:widowControl w:val="0"/>
        <w:spacing w:line="360" w:lineRule="auto"/>
        <w:ind w:firstLine="480" w:firstLineChars="200"/>
        <w:jc w:val="both"/>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1</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码头桩基施工</w:t>
      </w:r>
      <w:r>
        <w:rPr>
          <w:rFonts w:hint="eastAsia" w:eastAsia="仿宋_GB2312" w:cs="Times New Roman"/>
          <w:color w:val="auto"/>
          <w:sz w:val="24"/>
          <w:szCs w:val="24"/>
          <w:lang w:val="en-US" w:eastAsia="zh-CN"/>
        </w:rPr>
        <w:t>产生的污染物</w:t>
      </w:r>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拟建项目码头转运站及引桥部分采用钻孔灌注桩结构。转运平台及引桥等的钻孔灌注桩桩基钻孔施工作业时，产生少量的泥浆，需要设置泥浆池，拟建项目拟在堤外设置钢板箱泥浆池、堤内设置开挖式泥浆池，从泥浆池中抽出泥浆水注入钻孔内，对钻孔壁进行保护，泥浆水通过泥浆泵的抽压在泥浆池和钻孔内循环回用。</w:t>
      </w:r>
    </w:p>
    <w:p>
      <w:pPr>
        <w:widowControl w:val="0"/>
        <w:spacing w:line="360" w:lineRule="auto"/>
        <w:ind w:firstLine="480" w:firstLineChars="200"/>
        <w:jc w:val="both"/>
        <w:rPr>
          <w:rFonts w:hint="eastAsia" w:ascii="Times New Roman" w:hAnsi="Times New Roman" w:eastAsia="仿宋_GB2312" w:cs="Times New Roman"/>
          <w:color w:val="auto"/>
          <w:sz w:val="24"/>
          <w:szCs w:val="24"/>
          <w:lang w:eastAsia="zh-CN"/>
        </w:rPr>
      </w:pPr>
      <w:r>
        <w:rPr>
          <w:rFonts w:hint="eastAsia" w:ascii="Times New Roman" w:hAnsi="Times New Roman" w:eastAsia="仿宋_GB2312" w:cs="Times New Roman"/>
          <w:color w:val="auto"/>
          <w:sz w:val="24"/>
          <w:szCs w:val="24"/>
        </w:rPr>
        <w:t>钻孔作业完成时，泥浆池内的泥浆经自然风干后就地回填至引桥四周，泥浆池回填，这也是目前国内采用的最普遍方式</w:t>
      </w:r>
      <w:r>
        <w:rPr>
          <w:rFonts w:hint="eastAsia" w:eastAsia="仿宋_GB2312" w:cs="Times New Roman"/>
          <w:color w:val="auto"/>
          <w:sz w:val="24"/>
          <w:szCs w:val="24"/>
          <w:lang w:eastAsia="zh-CN"/>
        </w:rPr>
        <w:t>。</w:t>
      </w:r>
    </w:p>
    <w:p>
      <w:pPr>
        <w:widowControl w:val="0"/>
        <w:spacing w:line="360" w:lineRule="auto"/>
        <w:ind w:firstLine="480" w:firstLineChars="200"/>
        <w:jc w:val="both"/>
        <w:rPr>
          <w:rFonts w:hint="default" w:ascii="Times New Roman" w:hAnsi="Times New Roman" w:eastAsia="仿宋_GB2312" w:cs="Times New Roman"/>
          <w:color w:val="auto"/>
          <w:sz w:val="24"/>
          <w:szCs w:val="24"/>
          <w:lang w:val="en-US" w:eastAsia="zh-CN"/>
        </w:rPr>
      </w:pPr>
      <w:r>
        <w:rPr>
          <w:rFonts w:hint="eastAsia" w:eastAsia="仿宋_GB2312" w:cs="Times New Roman"/>
          <w:color w:val="auto"/>
          <w:sz w:val="24"/>
          <w:szCs w:val="24"/>
          <w:lang w:eastAsia="zh-CN"/>
        </w:rPr>
        <w:t>（</w:t>
      </w:r>
      <w:r>
        <w:rPr>
          <w:rFonts w:hint="eastAsia" w:eastAsia="仿宋_GB2312" w:cs="Times New Roman"/>
          <w:color w:val="auto"/>
          <w:sz w:val="24"/>
          <w:szCs w:val="24"/>
          <w:lang w:val="en-US" w:eastAsia="zh-CN"/>
        </w:rPr>
        <w:t>2</w:t>
      </w:r>
      <w:r>
        <w:rPr>
          <w:rFonts w:hint="eastAsia" w:eastAsia="仿宋_GB2312" w:cs="Times New Roman"/>
          <w:color w:val="auto"/>
          <w:sz w:val="24"/>
          <w:szCs w:val="24"/>
          <w:lang w:eastAsia="zh-CN"/>
        </w:rPr>
        <w:t>）</w:t>
      </w:r>
      <w:r>
        <w:rPr>
          <w:rFonts w:hint="eastAsia" w:eastAsia="仿宋_GB2312" w:cs="Times New Roman"/>
          <w:color w:val="auto"/>
          <w:sz w:val="24"/>
          <w:szCs w:val="24"/>
          <w:lang w:val="en-US" w:eastAsia="zh-CN"/>
        </w:rPr>
        <w:t>施工船舶污水</w:t>
      </w:r>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施工船舶污水：施工船舶污水包括船舶舱底油污水和船舶生活污水。</w:t>
      </w:r>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船舶水上施工按</w:t>
      </w:r>
      <w:r>
        <w:rPr>
          <w:rFonts w:hint="eastAsia" w:eastAsia="仿宋_GB2312" w:cs="Times New Roman"/>
          <w:color w:val="auto"/>
          <w:sz w:val="24"/>
          <w:szCs w:val="24"/>
          <w:lang w:val="en-US" w:eastAsia="zh-CN"/>
        </w:rPr>
        <w:t>50</w:t>
      </w:r>
      <w:r>
        <w:rPr>
          <w:rFonts w:hint="eastAsia" w:ascii="Times New Roman" w:hAnsi="Times New Roman" w:eastAsia="仿宋_GB2312" w:cs="Times New Roman"/>
          <w:color w:val="auto"/>
          <w:sz w:val="24"/>
          <w:szCs w:val="24"/>
        </w:rPr>
        <w:t>天计，按2艘施工船舶同时工作估算，参照《水运工程环境保护设计规范》（JTS149-2018），1000~3000吨级船舶舱底油污水水量为0.27~0.81t/d·艘，施工船舶舱底油污水产生量平均按0.81t/艘·d，施工船舶舱底油污水产生量平均为1.62t/d，整个施工期共产生船舶舱底油污水</w:t>
      </w:r>
      <w:r>
        <w:rPr>
          <w:rFonts w:hint="eastAsia" w:eastAsia="仿宋_GB2312" w:cs="Times New Roman"/>
          <w:color w:val="auto"/>
          <w:sz w:val="24"/>
          <w:szCs w:val="24"/>
          <w:lang w:val="en-US" w:eastAsia="zh-CN"/>
        </w:rPr>
        <w:t>81</w:t>
      </w:r>
      <w:r>
        <w:rPr>
          <w:rFonts w:hint="eastAsia" w:ascii="Times New Roman" w:hAnsi="Times New Roman" w:eastAsia="仿宋_GB2312" w:cs="Times New Roman"/>
          <w:color w:val="auto"/>
          <w:sz w:val="24"/>
          <w:szCs w:val="24"/>
        </w:rPr>
        <w:t>t。</w:t>
      </w:r>
    </w:p>
    <w:p>
      <w:pPr>
        <w:widowControl w:val="0"/>
        <w:spacing w:line="360" w:lineRule="auto"/>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根据有关规定，船舶舱底油污水需经自带的油水分离器处理，石油类的浓度不大于15mg/L，则石油类排放量为0.0</w:t>
      </w:r>
      <w:r>
        <w:rPr>
          <w:rFonts w:hint="eastAsia" w:ascii="Times New Roman" w:hAnsi="Times New Roman" w:eastAsia="仿宋_GB2312" w:cs="Times New Roman"/>
          <w:color w:val="auto"/>
          <w:sz w:val="24"/>
          <w:szCs w:val="24"/>
          <w:lang w:val="en-US" w:eastAsia="zh-CN"/>
        </w:rPr>
        <w:t>24</w:t>
      </w:r>
      <w:r>
        <w:rPr>
          <w:rFonts w:hint="eastAsia" w:ascii="Times New Roman" w:hAnsi="Times New Roman" w:eastAsia="仿宋_GB2312" w:cs="Times New Roman"/>
          <w:color w:val="auto"/>
          <w:sz w:val="24"/>
          <w:szCs w:val="24"/>
        </w:rPr>
        <w:t>kg/d，整个施工期为</w:t>
      </w:r>
      <w:r>
        <w:rPr>
          <w:rFonts w:hint="eastAsia" w:eastAsia="仿宋_GB2312" w:cs="Times New Roman"/>
          <w:color w:val="auto"/>
          <w:sz w:val="24"/>
          <w:szCs w:val="24"/>
          <w:lang w:val="en-US" w:eastAsia="zh-CN"/>
        </w:rPr>
        <w:t>1.215</w:t>
      </w:r>
      <w:r>
        <w:rPr>
          <w:rFonts w:hint="eastAsia" w:ascii="Times New Roman" w:hAnsi="Times New Roman" w:eastAsia="仿宋_GB2312" w:cs="Times New Roman"/>
          <w:color w:val="auto"/>
          <w:sz w:val="24"/>
          <w:szCs w:val="24"/>
        </w:rPr>
        <w:t>kg。</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船舶生活污水发生量按1</w:t>
      </w:r>
      <w:r>
        <w:rPr>
          <w:rFonts w:hint="eastAsia" w:eastAsia="仿宋_GB2312"/>
          <w:color w:val="auto"/>
          <w:sz w:val="24"/>
          <w:szCs w:val="24"/>
          <w:lang w:val="en-US" w:eastAsia="zh-CN"/>
        </w:rPr>
        <w:t>2</w:t>
      </w:r>
      <w:r>
        <w:rPr>
          <w:rFonts w:hint="eastAsia" w:eastAsia="仿宋_GB2312"/>
          <w:color w:val="auto"/>
          <w:sz w:val="24"/>
          <w:szCs w:val="24"/>
        </w:rPr>
        <w:t>0L/d·人，施工船舶工作人员按1</w:t>
      </w:r>
      <w:r>
        <w:rPr>
          <w:rFonts w:hint="eastAsia" w:eastAsia="仿宋_GB2312"/>
          <w:color w:val="auto"/>
          <w:sz w:val="24"/>
          <w:szCs w:val="24"/>
          <w:lang w:val="en-US" w:eastAsia="zh-CN"/>
        </w:rPr>
        <w:t>0</w:t>
      </w:r>
      <w:r>
        <w:rPr>
          <w:rFonts w:hint="eastAsia" w:eastAsia="仿宋_GB2312"/>
          <w:color w:val="auto"/>
          <w:sz w:val="24"/>
          <w:szCs w:val="24"/>
        </w:rPr>
        <w:t>人计，则船舶生活污水产生量平均为</w:t>
      </w:r>
      <w:r>
        <w:rPr>
          <w:rFonts w:hint="eastAsia" w:eastAsia="仿宋_GB2312"/>
          <w:color w:val="auto"/>
          <w:sz w:val="24"/>
          <w:szCs w:val="24"/>
          <w:lang w:val="en-US" w:eastAsia="zh-CN"/>
        </w:rPr>
        <w:t>1.2</w:t>
      </w:r>
      <w:r>
        <w:rPr>
          <w:rFonts w:hint="eastAsia" w:eastAsia="仿宋_GB2312"/>
          <w:color w:val="auto"/>
          <w:sz w:val="24"/>
          <w:szCs w:val="24"/>
        </w:rPr>
        <w:t>t/d，施工期船舶工作人员生活污水量为</w:t>
      </w:r>
      <w:r>
        <w:rPr>
          <w:rFonts w:hint="eastAsia" w:eastAsia="仿宋_GB2312"/>
          <w:color w:val="auto"/>
          <w:sz w:val="24"/>
          <w:szCs w:val="24"/>
          <w:lang w:val="en-US" w:eastAsia="zh-CN"/>
        </w:rPr>
        <w:t>60</w:t>
      </w:r>
      <w:r>
        <w:rPr>
          <w:rFonts w:hint="eastAsia" w:eastAsia="仿宋_GB2312"/>
          <w:color w:val="auto"/>
          <w:sz w:val="24"/>
          <w:szCs w:val="24"/>
        </w:rPr>
        <w:t>t。生活污水中主要污染因子为COD、BOD</w:t>
      </w:r>
      <w:r>
        <w:rPr>
          <w:rFonts w:hint="eastAsia" w:eastAsia="仿宋_GB2312"/>
          <w:color w:val="auto"/>
          <w:sz w:val="24"/>
          <w:szCs w:val="24"/>
          <w:vertAlign w:val="subscript"/>
        </w:rPr>
        <w:t>5</w:t>
      </w:r>
      <w:r>
        <w:rPr>
          <w:rFonts w:hint="eastAsia" w:eastAsia="仿宋_GB2312"/>
          <w:color w:val="auto"/>
          <w:sz w:val="24"/>
          <w:szCs w:val="24"/>
        </w:rPr>
        <w:t>和NH</w:t>
      </w:r>
      <w:r>
        <w:rPr>
          <w:rFonts w:hint="eastAsia" w:eastAsia="仿宋_GB2312"/>
          <w:color w:val="auto"/>
          <w:sz w:val="24"/>
          <w:szCs w:val="24"/>
          <w:vertAlign w:val="subscript"/>
        </w:rPr>
        <w:t>3</w:t>
      </w:r>
      <w:r>
        <w:rPr>
          <w:rFonts w:hint="eastAsia" w:eastAsia="仿宋_GB2312"/>
          <w:color w:val="auto"/>
          <w:sz w:val="24"/>
          <w:szCs w:val="24"/>
        </w:rPr>
        <w:t>-N，根据同类项目有关资料类比分析，其浓度分别达到300mg/L、200mg/L和35mg/L，COD、BOD</w:t>
      </w:r>
      <w:r>
        <w:rPr>
          <w:rFonts w:hint="eastAsia" w:eastAsia="仿宋_GB2312"/>
          <w:color w:val="auto"/>
          <w:sz w:val="24"/>
          <w:szCs w:val="24"/>
          <w:vertAlign w:val="subscript"/>
        </w:rPr>
        <w:t>5</w:t>
      </w:r>
      <w:r>
        <w:rPr>
          <w:rFonts w:hint="eastAsia" w:eastAsia="仿宋_GB2312"/>
          <w:color w:val="auto"/>
          <w:sz w:val="24"/>
          <w:szCs w:val="24"/>
        </w:rPr>
        <w:t>和NH</w:t>
      </w:r>
      <w:r>
        <w:rPr>
          <w:rFonts w:hint="eastAsia" w:eastAsia="仿宋_GB2312"/>
          <w:color w:val="auto"/>
          <w:sz w:val="24"/>
          <w:szCs w:val="24"/>
          <w:vertAlign w:val="subscript"/>
        </w:rPr>
        <w:t>3</w:t>
      </w:r>
      <w:r>
        <w:rPr>
          <w:rFonts w:hint="eastAsia" w:eastAsia="仿宋_GB2312"/>
          <w:color w:val="auto"/>
          <w:sz w:val="24"/>
          <w:szCs w:val="24"/>
        </w:rPr>
        <w:t>-N发生量分别为</w:t>
      </w:r>
      <w:r>
        <w:rPr>
          <w:rFonts w:hint="eastAsia" w:eastAsia="仿宋_GB2312"/>
          <w:color w:val="auto"/>
          <w:sz w:val="24"/>
          <w:szCs w:val="24"/>
          <w:lang w:val="en-US" w:eastAsia="zh-CN"/>
        </w:rPr>
        <w:t>18</w:t>
      </w:r>
      <w:r>
        <w:rPr>
          <w:rFonts w:hint="eastAsia" w:eastAsia="仿宋_GB2312"/>
          <w:color w:val="auto"/>
          <w:sz w:val="24"/>
          <w:szCs w:val="24"/>
        </w:rPr>
        <w:t>kg、</w:t>
      </w:r>
      <w:r>
        <w:rPr>
          <w:rFonts w:hint="eastAsia" w:eastAsia="仿宋_GB2312"/>
          <w:color w:val="auto"/>
          <w:sz w:val="24"/>
          <w:szCs w:val="24"/>
          <w:lang w:val="en-US" w:eastAsia="zh-CN"/>
        </w:rPr>
        <w:t>12</w:t>
      </w:r>
      <w:r>
        <w:rPr>
          <w:rFonts w:hint="eastAsia" w:eastAsia="仿宋_GB2312"/>
          <w:color w:val="auto"/>
          <w:sz w:val="24"/>
          <w:szCs w:val="24"/>
        </w:rPr>
        <w:t>kg和</w:t>
      </w:r>
      <w:r>
        <w:rPr>
          <w:rFonts w:hint="eastAsia" w:eastAsia="仿宋_GB2312"/>
          <w:color w:val="auto"/>
          <w:sz w:val="24"/>
          <w:szCs w:val="24"/>
          <w:lang w:val="en-US" w:eastAsia="zh-CN"/>
        </w:rPr>
        <w:t>2.1</w:t>
      </w:r>
      <w:r>
        <w:rPr>
          <w:rFonts w:hint="eastAsia" w:eastAsia="仿宋_GB2312"/>
          <w:color w:val="auto"/>
          <w:sz w:val="24"/>
          <w:szCs w:val="24"/>
        </w:rPr>
        <w:t>kg。</w:t>
      </w:r>
    </w:p>
    <w:p>
      <w:pPr>
        <w:widowControl w:val="0"/>
        <w:spacing w:line="360" w:lineRule="auto"/>
        <w:ind w:firstLine="480" w:firstLineChars="200"/>
        <w:jc w:val="both"/>
        <w:rPr>
          <w:rFonts w:hint="default" w:ascii="Times New Roman" w:hAnsi="Times New Roman" w:eastAsia="仿宋_GB2312" w:cs="Times New Roman"/>
          <w:color w:val="auto"/>
          <w:sz w:val="24"/>
          <w:szCs w:val="24"/>
          <w:lang w:val="en-US" w:eastAsia="zh-CN"/>
        </w:rPr>
      </w:pPr>
      <w:r>
        <w:rPr>
          <w:rFonts w:hint="eastAsia" w:eastAsia="仿宋_GB2312" w:cs="Times New Roman"/>
          <w:color w:val="auto"/>
          <w:sz w:val="24"/>
          <w:szCs w:val="24"/>
          <w:lang w:eastAsia="zh-CN"/>
        </w:rPr>
        <w:t>（</w:t>
      </w:r>
      <w:r>
        <w:rPr>
          <w:rFonts w:hint="eastAsia" w:eastAsia="仿宋_GB2312" w:cs="Times New Roman"/>
          <w:color w:val="auto"/>
          <w:sz w:val="24"/>
          <w:szCs w:val="24"/>
          <w:lang w:val="en-US" w:eastAsia="zh-CN"/>
        </w:rPr>
        <w:t>3</w:t>
      </w:r>
      <w:r>
        <w:rPr>
          <w:rFonts w:hint="eastAsia" w:eastAsia="仿宋_GB2312" w:cs="Times New Roman"/>
          <w:color w:val="auto"/>
          <w:sz w:val="24"/>
          <w:szCs w:val="24"/>
          <w:lang w:eastAsia="zh-CN"/>
        </w:rPr>
        <w:t>）</w:t>
      </w:r>
      <w:r>
        <w:rPr>
          <w:rFonts w:hint="eastAsia" w:eastAsia="仿宋_GB2312" w:cs="Times New Roman"/>
          <w:color w:val="auto"/>
          <w:sz w:val="24"/>
          <w:szCs w:val="24"/>
          <w:lang w:val="en-US" w:eastAsia="zh-CN"/>
        </w:rPr>
        <w:t>港区陆域施工机械冲洗废水</w:t>
      </w:r>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rPr>
        <w:t>本项目</w:t>
      </w:r>
      <w:r>
        <w:rPr>
          <w:rFonts w:hint="eastAsia" w:eastAsia="仿宋_GB2312" w:cs="Times New Roman"/>
          <w:color w:val="auto"/>
          <w:sz w:val="24"/>
          <w:szCs w:val="24"/>
          <w:lang w:val="en-US" w:eastAsia="zh-CN"/>
        </w:rPr>
        <w:t>港区</w:t>
      </w:r>
      <w:r>
        <w:rPr>
          <w:rFonts w:hint="eastAsia" w:ascii="Times New Roman" w:hAnsi="Times New Roman" w:eastAsia="仿宋_GB2312" w:cs="Times New Roman"/>
          <w:color w:val="auto"/>
          <w:sz w:val="24"/>
          <w:szCs w:val="24"/>
        </w:rPr>
        <w:t>陆域施工主要是消防泵房、变电所、引桥施工、转运</w:t>
      </w:r>
      <w:r>
        <w:rPr>
          <w:rFonts w:hint="eastAsia" w:eastAsia="仿宋_GB2312" w:cs="Times New Roman"/>
          <w:color w:val="auto"/>
          <w:sz w:val="24"/>
          <w:szCs w:val="24"/>
          <w:lang w:val="en-US" w:eastAsia="zh-CN"/>
        </w:rPr>
        <w:t>楼</w:t>
      </w:r>
      <w:r>
        <w:rPr>
          <w:rFonts w:hint="eastAsia" w:ascii="Times New Roman" w:hAnsi="Times New Roman" w:eastAsia="仿宋_GB2312" w:cs="Times New Roman"/>
          <w:color w:val="auto"/>
          <w:sz w:val="24"/>
          <w:szCs w:val="24"/>
        </w:rPr>
        <w:t>及皮带架栈桥基础施工等等。施工所需混凝土全部商购，不设混凝土拌和站。预制件生产、混凝土构筑物浇筑和养护采用薄膜覆盖，无废水产生。</w:t>
      </w:r>
    </w:p>
    <w:p>
      <w:pPr>
        <w:widowControl w:val="0"/>
        <w:spacing w:line="360" w:lineRule="auto"/>
        <w:ind w:firstLine="480" w:firstLineChars="200"/>
        <w:jc w:val="both"/>
        <w:rPr>
          <w:rFonts w:hint="eastAsia" w:ascii="Times New Roman" w:hAnsi="Times New Roman" w:eastAsia="仿宋_GB2312" w:cs="Times New Roman"/>
          <w:color w:val="auto"/>
          <w:sz w:val="24"/>
          <w:szCs w:val="24"/>
          <w:lang w:eastAsia="zh-CN"/>
        </w:rPr>
      </w:pPr>
      <w:r>
        <w:rPr>
          <w:rFonts w:hint="eastAsia" w:ascii="Times New Roman" w:hAnsi="Times New Roman" w:eastAsia="仿宋_GB2312" w:cs="Times New Roman"/>
          <w:color w:val="auto"/>
          <w:sz w:val="24"/>
          <w:szCs w:val="24"/>
        </w:rPr>
        <w:t>施工废水主要为施工机械冲洗废水，施工机械冲洗废水中主要的污染因子为SS和石油类。根据实际调查和类比分析，冲洗废水排放量约为</w:t>
      </w:r>
      <w:r>
        <w:rPr>
          <w:rFonts w:hint="eastAsia" w:ascii="Times New Roman" w:hAns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rPr>
        <w:t>m</w:t>
      </w:r>
      <w:r>
        <w:rPr>
          <w:rFonts w:hint="eastAsia" w:ascii="Times New Roman" w:hAnsi="Times New Roman" w:eastAsia="仿宋_GB2312" w:cs="Times New Roman"/>
          <w:color w:val="auto"/>
          <w:sz w:val="24"/>
          <w:szCs w:val="24"/>
          <w:vertAlign w:val="superscript"/>
        </w:rPr>
        <w:t>3</w:t>
      </w:r>
      <w:r>
        <w:rPr>
          <w:rFonts w:hint="eastAsia" w:ascii="Times New Roman" w:hAnsi="Times New Roman" w:eastAsia="仿宋_GB2312" w:cs="Times New Roman"/>
          <w:color w:val="auto"/>
          <w:sz w:val="24"/>
          <w:szCs w:val="24"/>
        </w:rPr>
        <w:t>/d。此类废水中主要污染物为SS、石油类，处理前</w:t>
      </w:r>
      <w:r>
        <w:rPr>
          <w:rFonts w:hint="eastAsia" w:eastAsia="仿宋_GB2312" w:cs="Times New Roman"/>
          <w:color w:val="auto"/>
          <w:sz w:val="24"/>
          <w:szCs w:val="24"/>
          <w:lang w:val="en-US" w:eastAsia="zh-CN"/>
        </w:rPr>
        <w:t>后</w:t>
      </w:r>
      <w:r>
        <w:rPr>
          <w:rFonts w:hint="eastAsia" w:ascii="Times New Roman" w:hAnsi="Times New Roman" w:eastAsia="仿宋_GB2312" w:cs="Times New Roman"/>
          <w:color w:val="auto"/>
          <w:sz w:val="24"/>
          <w:szCs w:val="24"/>
        </w:rPr>
        <w:t>浓度一般分别为3000mg/L、25mg/L；经隔油池和沉淀池处理后全部回用于施工机械冲洗和施工现场洒水，不外排</w:t>
      </w:r>
      <w:r>
        <w:rPr>
          <w:rFonts w:hint="eastAsia" w:eastAsia="仿宋_GB2312" w:cs="Times New Roman"/>
          <w:color w:val="auto"/>
          <w:sz w:val="24"/>
          <w:szCs w:val="24"/>
          <w:lang w:eastAsia="zh-CN"/>
        </w:rPr>
        <w:t>。</w:t>
      </w:r>
    </w:p>
    <w:p>
      <w:pPr>
        <w:widowControl w:val="0"/>
        <w:spacing w:line="360" w:lineRule="auto"/>
        <w:ind w:firstLine="480" w:firstLineChars="200"/>
        <w:jc w:val="both"/>
        <w:rPr>
          <w:rFonts w:hint="eastAsia" w:ascii="Times New Roman" w:hAnsi="Times New Roman" w:eastAsia="仿宋_GB2312" w:cs="Times New Roman"/>
          <w:color w:val="auto"/>
          <w:sz w:val="24"/>
          <w:szCs w:val="24"/>
        </w:rPr>
      </w:pPr>
      <w:r>
        <w:rPr>
          <w:rFonts w:hint="eastAsia" w:eastAsia="仿宋_GB2312"/>
          <w:color w:val="auto"/>
          <w:sz w:val="24"/>
          <w:szCs w:val="24"/>
        </w:rPr>
        <w:t>（</w:t>
      </w:r>
      <w:r>
        <w:rPr>
          <w:rFonts w:hint="eastAsia" w:eastAsia="仿宋_GB2312"/>
          <w:color w:val="auto"/>
          <w:sz w:val="24"/>
          <w:szCs w:val="24"/>
          <w:lang w:val="en-US" w:eastAsia="zh-CN"/>
        </w:rPr>
        <w:t>4</w:t>
      </w:r>
      <w:r>
        <w:rPr>
          <w:rFonts w:hint="eastAsia" w:eastAsia="仿宋_GB2312"/>
          <w:color w:val="auto"/>
          <w:sz w:val="24"/>
          <w:szCs w:val="24"/>
        </w:rPr>
        <w:t>）施工人员生活污水</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施工高峰期施工人员将达到</w:t>
      </w:r>
      <w:r>
        <w:rPr>
          <w:rFonts w:hint="eastAsia" w:eastAsia="仿宋_GB2312"/>
          <w:color w:val="auto"/>
          <w:sz w:val="24"/>
          <w:szCs w:val="24"/>
          <w:lang w:val="en-US" w:eastAsia="zh-CN"/>
        </w:rPr>
        <w:t>30</w:t>
      </w:r>
      <w:r>
        <w:rPr>
          <w:rFonts w:hint="eastAsia" w:eastAsia="仿宋_GB2312"/>
          <w:color w:val="auto"/>
          <w:sz w:val="24"/>
          <w:szCs w:val="24"/>
        </w:rPr>
        <w:t>人，按每人每天平均用水量</w:t>
      </w:r>
      <w:r>
        <w:rPr>
          <w:rFonts w:hint="eastAsia" w:eastAsia="仿宋_GB2312"/>
          <w:color w:val="auto"/>
          <w:sz w:val="24"/>
          <w:szCs w:val="24"/>
          <w:lang w:val="en-US" w:eastAsia="zh-CN"/>
        </w:rPr>
        <w:t>1</w:t>
      </w:r>
      <w:r>
        <w:rPr>
          <w:rFonts w:hint="eastAsia" w:eastAsia="仿宋_GB2312"/>
          <w:color w:val="auto"/>
          <w:sz w:val="24"/>
          <w:szCs w:val="24"/>
        </w:rPr>
        <w:t>50L计，</w:t>
      </w:r>
      <w:r>
        <w:rPr>
          <w:rFonts w:hint="eastAsia" w:eastAsia="仿宋_GB2312"/>
          <w:color w:val="auto"/>
          <w:sz w:val="24"/>
          <w:szCs w:val="24"/>
          <w:lang w:val="en-US" w:eastAsia="zh-CN"/>
        </w:rPr>
        <w:t>施工时间为300天，废水产生量</w:t>
      </w:r>
      <w:r>
        <w:rPr>
          <w:rFonts w:hint="eastAsia" w:eastAsia="仿宋_GB2312"/>
          <w:color w:val="auto"/>
          <w:sz w:val="24"/>
          <w:szCs w:val="24"/>
        </w:rPr>
        <w:t>按用水量的80%计</w:t>
      </w:r>
      <w:r>
        <w:rPr>
          <w:rFonts w:hint="eastAsia" w:eastAsia="仿宋_GB2312"/>
          <w:color w:val="auto"/>
          <w:sz w:val="24"/>
          <w:szCs w:val="24"/>
          <w:lang w:val="en-US" w:eastAsia="zh-CN"/>
        </w:rPr>
        <w:t>，</w:t>
      </w:r>
      <w:r>
        <w:rPr>
          <w:rFonts w:hint="eastAsia" w:eastAsia="仿宋_GB2312"/>
          <w:color w:val="auto"/>
          <w:sz w:val="24"/>
          <w:szCs w:val="24"/>
        </w:rPr>
        <w:t>施工人员生活污水产生量约为</w:t>
      </w:r>
      <w:r>
        <w:rPr>
          <w:rFonts w:hint="eastAsia" w:eastAsia="仿宋_GB2312"/>
          <w:color w:val="auto"/>
          <w:sz w:val="24"/>
          <w:szCs w:val="24"/>
          <w:lang w:val="en-US" w:eastAsia="zh-CN"/>
        </w:rPr>
        <w:t>4.5</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/d</w:t>
      </w:r>
      <w:r>
        <w:rPr>
          <w:rFonts w:hint="eastAsia" w:eastAsia="仿宋_GB2312"/>
          <w:color w:val="auto"/>
          <w:sz w:val="24"/>
          <w:szCs w:val="24"/>
          <w:lang w:eastAsia="zh-CN"/>
        </w:rPr>
        <w:t>，</w:t>
      </w:r>
      <w:r>
        <w:rPr>
          <w:rFonts w:hint="eastAsia" w:eastAsia="仿宋_GB2312"/>
          <w:color w:val="auto"/>
          <w:sz w:val="24"/>
          <w:szCs w:val="24"/>
          <w:lang w:val="en-US" w:eastAsia="zh-CN"/>
        </w:rPr>
        <w:t>1080</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w:t>
      </w:r>
      <w:r>
        <w:rPr>
          <w:rFonts w:hint="eastAsia" w:eastAsia="仿宋_GB2312"/>
          <w:color w:val="auto"/>
          <w:sz w:val="24"/>
          <w:szCs w:val="24"/>
          <w:lang w:val="en-US" w:eastAsia="zh-CN"/>
        </w:rPr>
        <w:t>a</w:t>
      </w:r>
      <w:r>
        <w:rPr>
          <w:rFonts w:hint="eastAsia" w:eastAsia="仿宋_GB2312"/>
          <w:color w:val="auto"/>
          <w:sz w:val="24"/>
          <w:szCs w:val="24"/>
        </w:rPr>
        <w:t>。施工期</w:t>
      </w:r>
      <w:r>
        <w:rPr>
          <w:rFonts w:hint="eastAsia" w:eastAsia="仿宋_GB2312"/>
          <w:color w:val="auto"/>
          <w:sz w:val="24"/>
          <w:szCs w:val="24"/>
          <w:lang w:val="en-US" w:eastAsia="zh-CN"/>
        </w:rPr>
        <w:t>不</w:t>
      </w:r>
      <w:r>
        <w:rPr>
          <w:rFonts w:hint="eastAsia" w:eastAsia="仿宋_GB2312"/>
          <w:color w:val="auto"/>
          <w:sz w:val="24"/>
          <w:szCs w:val="24"/>
        </w:rPr>
        <w:t>设置施工营地，</w:t>
      </w:r>
      <w:r>
        <w:rPr>
          <w:rFonts w:hint="eastAsia" w:eastAsia="仿宋_GB2312"/>
          <w:color w:val="auto"/>
          <w:sz w:val="24"/>
          <w:szCs w:val="24"/>
          <w:lang w:val="en-US" w:eastAsia="zh-CN"/>
        </w:rPr>
        <w:t>租用当地居民房屋，</w:t>
      </w:r>
      <w:r>
        <w:rPr>
          <w:rFonts w:hint="eastAsia" w:eastAsia="仿宋_GB2312"/>
          <w:color w:val="auto"/>
          <w:sz w:val="24"/>
          <w:szCs w:val="24"/>
        </w:rPr>
        <w:t>施工人员生活污水</w:t>
      </w:r>
      <w:r>
        <w:rPr>
          <w:rFonts w:hint="eastAsia" w:eastAsia="仿宋_GB2312"/>
          <w:color w:val="auto"/>
          <w:sz w:val="24"/>
          <w:szCs w:val="24"/>
          <w:lang w:val="en-US" w:eastAsia="zh-CN"/>
        </w:rPr>
        <w:t>依托房屋现有化粪池处理后排入市政污水管网</w:t>
      </w:r>
      <w:r>
        <w:rPr>
          <w:rFonts w:hint="eastAsia" w:eastAsia="仿宋_GB2312"/>
          <w:color w:val="auto"/>
          <w:sz w:val="24"/>
          <w:szCs w:val="24"/>
        </w:rPr>
        <w:t>，禁止直排</w:t>
      </w:r>
      <w:r>
        <w:rPr>
          <w:rFonts w:hint="eastAsia" w:eastAsia="仿宋_GB2312"/>
          <w:color w:val="auto"/>
          <w:sz w:val="24"/>
          <w:szCs w:val="24"/>
          <w:lang w:val="en-US" w:eastAsia="zh-CN"/>
        </w:rPr>
        <w:t>长江</w:t>
      </w:r>
      <w:r>
        <w:rPr>
          <w:rFonts w:hint="eastAsia" w:eastAsia="仿宋_GB2312"/>
          <w:color w:val="auto"/>
          <w:sz w:val="24"/>
          <w:szCs w:val="24"/>
        </w:rPr>
        <w:t>。</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污水中主要污染因子为COD、BOD</w:t>
      </w:r>
      <w:r>
        <w:rPr>
          <w:rFonts w:hint="eastAsia" w:eastAsia="仿宋_GB2312"/>
          <w:color w:val="auto"/>
          <w:sz w:val="24"/>
          <w:szCs w:val="24"/>
          <w:vertAlign w:val="subscript"/>
        </w:rPr>
        <w:t>5</w:t>
      </w:r>
      <w:r>
        <w:rPr>
          <w:rFonts w:hint="eastAsia" w:eastAsia="仿宋_GB2312"/>
          <w:color w:val="auto"/>
          <w:sz w:val="24"/>
          <w:szCs w:val="24"/>
        </w:rPr>
        <w:t>和NH</w:t>
      </w:r>
      <w:r>
        <w:rPr>
          <w:rFonts w:hint="eastAsia" w:eastAsia="仿宋_GB2312"/>
          <w:color w:val="auto"/>
          <w:sz w:val="24"/>
          <w:szCs w:val="24"/>
          <w:vertAlign w:val="subscript"/>
        </w:rPr>
        <w:t>3</w:t>
      </w:r>
      <w:r>
        <w:rPr>
          <w:rFonts w:hint="eastAsia" w:eastAsia="仿宋_GB2312"/>
          <w:color w:val="auto"/>
          <w:sz w:val="24"/>
          <w:szCs w:val="24"/>
        </w:rPr>
        <w:t>-N，根据同类项目有关资料类比分析，其浓度分别达到300mg/L、200mg/L和35mg/L，COD、BOD</w:t>
      </w:r>
      <w:r>
        <w:rPr>
          <w:rFonts w:hint="eastAsia" w:eastAsia="仿宋_GB2312"/>
          <w:color w:val="auto"/>
          <w:sz w:val="24"/>
          <w:szCs w:val="24"/>
          <w:vertAlign w:val="subscript"/>
        </w:rPr>
        <w:t>5</w:t>
      </w:r>
      <w:r>
        <w:rPr>
          <w:rFonts w:hint="eastAsia" w:eastAsia="仿宋_GB2312"/>
          <w:color w:val="auto"/>
          <w:sz w:val="24"/>
          <w:szCs w:val="24"/>
        </w:rPr>
        <w:t>和NH</w:t>
      </w:r>
      <w:r>
        <w:rPr>
          <w:rFonts w:hint="eastAsia" w:eastAsia="仿宋_GB2312"/>
          <w:color w:val="auto"/>
          <w:sz w:val="24"/>
          <w:szCs w:val="24"/>
          <w:vertAlign w:val="subscript"/>
        </w:rPr>
        <w:t>3</w:t>
      </w:r>
      <w:r>
        <w:rPr>
          <w:rFonts w:hint="eastAsia" w:eastAsia="仿宋_GB2312"/>
          <w:color w:val="auto"/>
          <w:sz w:val="24"/>
          <w:szCs w:val="24"/>
        </w:rPr>
        <w:t>-N的日发生量分别为</w:t>
      </w:r>
      <w:r>
        <w:rPr>
          <w:rFonts w:hint="eastAsia" w:eastAsia="仿宋_GB2312"/>
          <w:color w:val="auto"/>
          <w:sz w:val="24"/>
          <w:szCs w:val="24"/>
          <w:lang w:val="en-US" w:eastAsia="zh-CN"/>
        </w:rPr>
        <w:t>1.35</w:t>
      </w:r>
      <w:r>
        <w:rPr>
          <w:rFonts w:hint="eastAsia" w:eastAsia="仿宋_GB2312"/>
          <w:color w:val="auto"/>
          <w:sz w:val="24"/>
          <w:szCs w:val="24"/>
        </w:rPr>
        <w:t>kg/d、</w:t>
      </w:r>
      <w:r>
        <w:rPr>
          <w:rFonts w:hint="eastAsia" w:eastAsia="仿宋_GB2312"/>
          <w:color w:val="auto"/>
          <w:sz w:val="24"/>
          <w:szCs w:val="24"/>
          <w:lang w:val="en-US" w:eastAsia="zh-CN"/>
        </w:rPr>
        <w:t>0.9</w:t>
      </w:r>
      <w:r>
        <w:rPr>
          <w:rFonts w:hint="eastAsia" w:eastAsia="仿宋_GB2312"/>
          <w:color w:val="auto"/>
          <w:sz w:val="24"/>
          <w:szCs w:val="24"/>
        </w:rPr>
        <w:t>kg/d和</w:t>
      </w:r>
      <w:r>
        <w:rPr>
          <w:rFonts w:hint="eastAsia" w:eastAsia="仿宋_GB2312"/>
          <w:color w:val="auto"/>
          <w:sz w:val="24"/>
          <w:szCs w:val="24"/>
          <w:lang w:val="en-US" w:eastAsia="zh-CN"/>
        </w:rPr>
        <w:t>0.158</w:t>
      </w:r>
      <w:r>
        <w:rPr>
          <w:rFonts w:hint="eastAsia" w:eastAsia="仿宋_GB2312"/>
          <w:color w:val="auto"/>
          <w:sz w:val="24"/>
          <w:szCs w:val="24"/>
        </w:rPr>
        <w:t>kg/d，整个施工期发生总量分别为</w:t>
      </w:r>
      <w:r>
        <w:rPr>
          <w:rFonts w:hint="eastAsia" w:eastAsia="仿宋_GB2312"/>
          <w:color w:val="auto"/>
          <w:sz w:val="24"/>
          <w:szCs w:val="24"/>
          <w:lang w:val="en-US" w:eastAsia="zh-CN"/>
        </w:rPr>
        <w:t>0.324t</w:t>
      </w:r>
      <w:r>
        <w:rPr>
          <w:rFonts w:hint="eastAsia" w:eastAsia="仿宋_GB2312"/>
          <w:color w:val="auto"/>
          <w:sz w:val="24"/>
          <w:szCs w:val="24"/>
        </w:rPr>
        <w:t>/a、</w:t>
      </w:r>
      <w:r>
        <w:rPr>
          <w:rFonts w:hint="eastAsia" w:eastAsia="仿宋_GB2312"/>
          <w:color w:val="auto"/>
          <w:sz w:val="24"/>
          <w:szCs w:val="24"/>
          <w:lang w:val="en-US" w:eastAsia="zh-CN"/>
        </w:rPr>
        <w:t>0.216t</w:t>
      </w:r>
      <w:r>
        <w:rPr>
          <w:rFonts w:hint="eastAsia" w:eastAsia="仿宋_GB2312"/>
          <w:color w:val="auto"/>
          <w:sz w:val="24"/>
          <w:szCs w:val="24"/>
        </w:rPr>
        <w:t>/a和</w:t>
      </w:r>
      <w:r>
        <w:rPr>
          <w:rFonts w:hint="eastAsia" w:eastAsia="仿宋_GB2312"/>
          <w:color w:val="auto"/>
          <w:sz w:val="24"/>
          <w:szCs w:val="24"/>
          <w:lang w:val="en-US" w:eastAsia="zh-CN"/>
        </w:rPr>
        <w:t>0.038t</w:t>
      </w:r>
      <w:r>
        <w:rPr>
          <w:rFonts w:hint="eastAsia" w:eastAsia="仿宋_GB2312"/>
          <w:color w:val="auto"/>
          <w:sz w:val="24"/>
          <w:szCs w:val="24"/>
        </w:rPr>
        <w:t>/a</w:t>
      </w:r>
      <w:r>
        <w:rPr>
          <w:rFonts w:hint="eastAsia" w:eastAsia="仿宋_GB2312"/>
          <w:color w:val="auto"/>
          <w:sz w:val="24"/>
          <w:szCs w:val="24"/>
          <w:lang w:eastAsia="zh-CN"/>
        </w:rPr>
        <w:t>。</w:t>
      </w:r>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bookmarkStart w:id="315" w:name="_Toc26056"/>
      <w:r>
        <w:rPr>
          <w:rFonts w:hint="eastAsia" w:ascii="Times New Roman" w:hAnsi="Times New Roman" w:eastAsia="黑体" w:cs="Times New Roman"/>
          <w:color w:val="auto"/>
          <w:szCs w:val="24"/>
          <w:lang w:val="en-US" w:eastAsia="zh-CN"/>
        </w:rPr>
        <w:t>3.1.2.3声环境</w:t>
      </w:r>
      <w:bookmarkEnd w:id="315"/>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项目施工区涉及码头前沿水域施工和</w:t>
      </w:r>
      <w:r>
        <w:rPr>
          <w:rFonts w:hint="eastAsia" w:eastAsia="仿宋_GB2312"/>
          <w:color w:val="auto"/>
          <w:sz w:val="24"/>
          <w:szCs w:val="24"/>
          <w:lang w:val="en-US" w:eastAsia="zh-CN"/>
        </w:rPr>
        <w:t>转运楼、变电所平台施工</w:t>
      </w:r>
      <w:r>
        <w:rPr>
          <w:rFonts w:hint="eastAsia" w:eastAsia="仿宋_GB2312"/>
          <w:color w:val="auto"/>
          <w:sz w:val="24"/>
          <w:szCs w:val="24"/>
        </w:rPr>
        <w:t>两部分。水域施工包括设备安装调试等；</w:t>
      </w:r>
      <w:r>
        <w:rPr>
          <w:rFonts w:hint="eastAsia" w:eastAsia="仿宋_GB2312"/>
          <w:color w:val="auto"/>
          <w:sz w:val="24"/>
          <w:szCs w:val="24"/>
          <w:lang w:val="en-US" w:eastAsia="zh-CN"/>
        </w:rPr>
        <w:t>转运楼、变电所平台施工</w:t>
      </w:r>
      <w:r>
        <w:rPr>
          <w:rFonts w:hint="eastAsia" w:eastAsia="仿宋_GB2312"/>
          <w:color w:val="auto"/>
          <w:sz w:val="24"/>
          <w:szCs w:val="24"/>
        </w:rPr>
        <w:t>包括土方工程阶段、结构施工阶段等。码头施工过程作业机械种类较多，如土方工程场地整平时有挖掘机、推土机、装载机、压路机等，结构施工阶段包括汽吊、切割机、焊接设备等，设备安装阶段则包括空压机、电钻及焊接设备等，此外还包括贯穿整个施工周期的运输车辆，上述施工机械和车辆均会产生一定的噪声。施工期使用的主要施工、运输设备产生的噪声源强见下表</w:t>
      </w:r>
      <w:r>
        <w:rPr>
          <w:rFonts w:hint="eastAsia" w:eastAsia="仿宋_GB2312"/>
          <w:color w:val="auto"/>
          <w:sz w:val="24"/>
          <w:szCs w:val="24"/>
          <w:lang w:eastAsia="zh-CN"/>
        </w:rPr>
        <w:t>。</w:t>
      </w:r>
    </w:p>
    <w:p>
      <w:pPr>
        <w:widowControl w:val="0"/>
        <w:spacing w:line="360" w:lineRule="auto"/>
        <w:jc w:val="center"/>
        <w:rPr>
          <w:rFonts w:hint="eastAsia" w:eastAsia="黑体"/>
          <w:b/>
          <w:color w:val="auto"/>
          <w:szCs w:val="21"/>
          <w:lang w:val="en-US" w:eastAsia="zh-CN"/>
        </w:rPr>
      </w:pPr>
      <w:r>
        <w:rPr>
          <w:rFonts w:eastAsia="黑体"/>
          <w:b/>
          <w:color w:val="auto"/>
          <w:szCs w:val="21"/>
        </w:rPr>
        <w:t>表3.</w:t>
      </w:r>
      <w:r>
        <w:rPr>
          <w:rFonts w:hint="eastAsia" w:eastAsia="黑体"/>
          <w:b/>
          <w:color w:val="auto"/>
          <w:szCs w:val="21"/>
          <w:lang w:val="en-US" w:eastAsia="zh-CN"/>
        </w:rPr>
        <w:t>1-4</w:t>
      </w:r>
      <w:r>
        <w:rPr>
          <w:rFonts w:eastAsia="黑体"/>
          <w:b/>
          <w:color w:val="auto"/>
          <w:szCs w:val="21"/>
        </w:rPr>
        <w:t xml:space="preserve">  </w:t>
      </w:r>
      <w:r>
        <w:rPr>
          <w:rFonts w:hint="eastAsia" w:eastAsia="黑体"/>
          <w:b/>
          <w:color w:val="auto"/>
          <w:szCs w:val="21"/>
          <w:lang w:val="en-US" w:eastAsia="zh-CN"/>
        </w:rPr>
        <w:t>主要施工机械噪声值    单位：dB（A）</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23"/>
        <w:gridCol w:w="1115"/>
        <w:gridCol w:w="787"/>
        <w:gridCol w:w="789"/>
        <w:gridCol w:w="789"/>
        <w:gridCol w:w="1932"/>
        <w:gridCol w:w="1521"/>
        <w:gridCol w:w="8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vMerge w:val="restart"/>
            <w:noWrap w:val="0"/>
            <w:vAlign w:val="center"/>
          </w:tcPr>
          <w:p>
            <w:pPr>
              <w:widowControl w:val="0"/>
              <w:adjustRightInd w:val="0"/>
              <w:jc w:val="center"/>
              <w:rPr>
                <w:rFonts w:hint="eastAsia"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序号</w:t>
            </w:r>
          </w:p>
        </w:tc>
        <w:tc>
          <w:tcPr>
            <w:tcW w:w="667" w:type="pct"/>
            <w:vMerge w:val="restart"/>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default" w:ascii="Times New Roman" w:hAnsi="Times New Roman" w:cs="Times New Roman"/>
                <w:color w:val="auto"/>
                <w:sz w:val="20"/>
                <w:szCs w:val="21"/>
                <w:lang w:val="en-US" w:eastAsia="zh-CN"/>
              </w:rPr>
              <w:t>声  源</w:t>
            </w:r>
          </w:p>
        </w:tc>
        <w:tc>
          <w:tcPr>
            <w:tcW w:w="1415" w:type="pct"/>
            <w:gridSpan w:val="3"/>
            <w:tcBorders>
              <w:bottom w:val="single" w:color="auto" w:sz="4"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空间位置m</w:t>
            </w:r>
          </w:p>
        </w:tc>
        <w:tc>
          <w:tcPr>
            <w:tcW w:w="1156" w:type="pct"/>
            <w:vMerge w:val="restart"/>
            <w:tcBorders>
              <w:bottom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default" w:ascii="Times New Roman" w:hAnsi="Times New Roman" w:cs="Times New Roman"/>
                <w:color w:val="auto"/>
                <w:sz w:val="20"/>
                <w:szCs w:val="21"/>
                <w:lang w:val="en-US" w:eastAsia="zh-CN"/>
              </w:rPr>
              <w:t>距声源距离(1</w:t>
            </w:r>
            <w:r>
              <w:rPr>
                <w:rFonts w:hint="eastAsia" w:cs="Times New Roman"/>
                <w:color w:val="auto"/>
                <w:sz w:val="20"/>
                <w:szCs w:val="21"/>
                <w:lang w:val="en-US" w:eastAsia="zh-CN"/>
              </w:rPr>
              <w:t>0</w:t>
            </w:r>
            <w:r>
              <w:rPr>
                <w:rFonts w:hint="default" w:ascii="Times New Roman" w:hAnsi="Times New Roman" w:cs="Times New Roman"/>
                <w:color w:val="auto"/>
                <w:sz w:val="20"/>
                <w:szCs w:val="21"/>
                <w:lang w:val="en-US" w:eastAsia="zh-CN"/>
              </w:rPr>
              <w:t>m)</w:t>
            </w:r>
          </w:p>
        </w:tc>
        <w:tc>
          <w:tcPr>
            <w:tcW w:w="910" w:type="pct"/>
            <w:vMerge w:val="restart"/>
            <w:tcBorders>
              <w:bottom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声源控制措施</w:t>
            </w:r>
          </w:p>
        </w:tc>
        <w:tc>
          <w:tcPr>
            <w:tcW w:w="535" w:type="pct"/>
            <w:vMerge w:val="restart"/>
            <w:tcBorders>
              <w:bottom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vMerge w:val="continue"/>
            <w:tcBorders>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667" w:type="pct"/>
            <w:vMerge w:val="continue"/>
            <w:tcBorders>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471" w:type="pct"/>
            <w:tcBorders>
              <w:top w:val="single" w:color="auto" w:sz="4" w:space="0"/>
              <w:bottom w:val="single" w:color="auto" w:sz="12" w:space="0"/>
            </w:tcBorders>
            <w:noWrap w:val="0"/>
            <w:vAlign w:val="center"/>
          </w:tcPr>
          <w:p>
            <w:pPr>
              <w:widowControl w:val="0"/>
              <w:adjustRightInd w:val="0"/>
              <w:jc w:val="center"/>
              <w:rPr>
                <w:rFonts w:hint="eastAsia"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X</w:t>
            </w:r>
          </w:p>
        </w:tc>
        <w:tc>
          <w:tcPr>
            <w:tcW w:w="472" w:type="pct"/>
            <w:tcBorders>
              <w:top w:val="single" w:color="auto" w:sz="4" w:space="0"/>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Y</w:t>
            </w:r>
          </w:p>
        </w:tc>
        <w:tc>
          <w:tcPr>
            <w:tcW w:w="472" w:type="pct"/>
            <w:tcBorders>
              <w:top w:val="single" w:color="auto" w:sz="4" w:space="0"/>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Z</w:t>
            </w:r>
          </w:p>
        </w:tc>
        <w:tc>
          <w:tcPr>
            <w:tcW w:w="1156" w:type="pct"/>
            <w:vMerge w:val="continue"/>
            <w:tcBorders>
              <w:top w:val="nil"/>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910" w:type="pct"/>
            <w:vMerge w:val="continue"/>
            <w:tcBorders>
              <w:top w:val="nil"/>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535" w:type="pct"/>
            <w:vMerge w:val="continue"/>
            <w:tcBorders>
              <w:top w:val="nil"/>
              <w:bottom w:val="single" w:color="auto" w:sz="12" w:space="0"/>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tcBorders>
              <w:top w:val="single" w:color="auto" w:sz="12" w:space="0"/>
              <w:tl2br w:val="nil"/>
              <w:tr2bl w:val="nil"/>
            </w:tcBorders>
            <w:noWrap w:val="0"/>
            <w:vAlign w:val="center"/>
          </w:tcPr>
          <w:p>
            <w:pPr>
              <w:widowControl w:val="0"/>
              <w:adjustRightInd w:val="0"/>
              <w:jc w:val="center"/>
              <w:rPr>
                <w:rFonts w:hint="default" w:ascii="Times New Roman" w:hAnsi="Times New Roman" w:eastAsia="宋体" w:cs="Times New Roman"/>
                <w:color w:val="auto"/>
                <w:kern w:val="2"/>
                <w:sz w:val="20"/>
                <w:szCs w:val="21"/>
                <w:lang w:val="en-US" w:eastAsia="zh-CN" w:bidi="ar-SA"/>
              </w:rPr>
            </w:pPr>
            <w:r>
              <w:rPr>
                <w:rFonts w:hint="eastAsia" w:cs="Times New Roman"/>
                <w:color w:val="auto"/>
                <w:kern w:val="2"/>
                <w:sz w:val="20"/>
                <w:szCs w:val="21"/>
                <w:lang w:val="en-US" w:eastAsia="zh-CN" w:bidi="ar-SA"/>
              </w:rPr>
              <w:t>1</w:t>
            </w:r>
          </w:p>
        </w:tc>
        <w:tc>
          <w:tcPr>
            <w:tcW w:w="667" w:type="pct"/>
            <w:tcBorders>
              <w:top w:val="single" w:color="auto" w:sz="12" w:space="0"/>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打桩机</w:t>
            </w:r>
          </w:p>
        </w:tc>
        <w:tc>
          <w:tcPr>
            <w:tcW w:w="943" w:type="pct"/>
            <w:gridSpan w:val="2"/>
            <w:vMerge w:val="restart"/>
            <w:tcBorders>
              <w:top w:val="single" w:color="auto" w:sz="12" w:space="0"/>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移动源，试施工阶段场地布置。</w:t>
            </w:r>
          </w:p>
        </w:tc>
        <w:tc>
          <w:tcPr>
            <w:tcW w:w="472" w:type="pct"/>
            <w:tcBorders>
              <w:top w:val="single" w:color="auto" w:sz="12" w:space="0"/>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cs="Times New Roman"/>
                <w:color w:val="auto"/>
                <w:sz w:val="20"/>
                <w:szCs w:val="21"/>
                <w:lang w:val="en-US" w:eastAsia="zh-CN"/>
              </w:rPr>
              <w:t>5</w:t>
            </w:r>
          </w:p>
        </w:tc>
        <w:tc>
          <w:tcPr>
            <w:tcW w:w="1156"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90</w:t>
            </w:r>
          </w:p>
        </w:tc>
        <w:tc>
          <w:tcPr>
            <w:tcW w:w="910" w:type="pct"/>
            <w:vMerge w:val="restart"/>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夜间禁止施工</w:t>
            </w:r>
            <w:r>
              <w:rPr>
                <w:rFonts w:hint="eastAsia" w:cs="Times New Roman"/>
                <w:color w:val="auto"/>
                <w:sz w:val="20"/>
                <w:szCs w:val="21"/>
                <w:lang w:val="en-US" w:eastAsia="zh-CN"/>
              </w:rPr>
              <w:t>，</w:t>
            </w:r>
            <w:r>
              <w:rPr>
                <w:rFonts w:hint="eastAsia" w:ascii="Times New Roman" w:hAnsi="Times New Roman" w:cs="Times New Roman"/>
                <w:color w:val="auto"/>
                <w:sz w:val="20"/>
                <w:szCs w:val="21"/>
                <w:lang w:val="en-US" w:eastAsia="zh-CN"/>
              </w:rPr>
              <w:t>四周建设围墙，加强设备的维修保养等</w:t>
            </w:r>
          </w:p>
        </w:tc>
        <w:tc>
          <w:tcPr>
            <w:tcW w:w="535" w:type="pct"/>
            <w:vMerge w:val="restart"/>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ascii="Times New Roman" w:hAnsi="Times New Roman" w:cs="Times New Roman"/>
                <w:color w:val="auto"/>
                <w:sz w:val="20"/>
                <w:szCs w:val="21"/>
                <w:lang w:val="en-US" w:eastAsia="zh-CN"/>
              </w:rPr>
              <w:t>施工期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tcBorders>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s="Times New Roman"/>
                <w:color w:val="auto"/>
                <w:sz w:val="20"/>
                <w:szCs w:val="21"/>
                <w:lang w:val="en-US" w:eastAsia="zh-CN"/>
              </w:rPr>
              <w:t>2</w:t>
            </w:r>
          </w:p>
        </w:tc>
        <w:tc>
          <w:tcPr>
            <w:tcW w:w="667"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载重机</w:t>
            </w:r>
          </w:p>
        </w:tc>
        <w:tc>
          <w:tcPr>
            <w:tcW w:w="943" w:type="pct"/>
            <w:gridSpan w:val="2"/>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472" w:type="pct"/>
            <w:tcBorders>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s="Times New Roman"/>
                <w:color w:val="auto"/>
                <w:sz w:val="20"/>
                <w:szCs w:val="21"/>
                <w:lang w:val="en-US" w:eastAsia="zh-CN"/>
              </w:rPr>
              <w:t>2</w:t>
            </w:r>
          </w:p>
        </w:tc>
        <w:tc>
          <w:tcPr>
            <w:tcW w:w="1156"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90</w:t>
            </w:r>
          </w:p>
        </w:tc>
        <w:tc>
          <w:tcPr>
            <w:tcW w:w="910" w:type="pct"/>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535" w:type="pct"/>
            <w:vMerge w:val="continue"/>
            <w:tcBorders>
              <w:tl2br w:val="nil"/>
              <w:tr2bl w:val="nil"/>
            </w:tcBorders>
            <w:noWrap w:val="0"/>
            <w:vAlign w:val="center"/>
          </w:tcPr>
          <w:p>
            <w:pPr>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tcBorders>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s="Times New Roman"/>
                <w:color w:val="auto"/>
                <w:sz w:val="20"/>
                <w:szCs w:val="21"/>
                <w:lang w:val="en-US" w:eastAsia="zh-CN"/>
              </w:rPr>
              <w:t>3</w:t>
            </w:r>
          </w:p>
        </w:tc>
        <w:tc>
          <w:tcPr>
            <w:tcW w:w="667"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挖掘机</w:t>
            </w:r>
          </w:p>
        </w:tc>
        <w:tc>
          <w:tcPr>
            <w:tcW w:w="943" w:type="pct"/>
            <w:gridSpan w:val="2"/>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472" w:type="pct"/>
            <w:tcBorders>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cs="Times New Roman"/>
                <w:color w:val="auto"/>
                <w:sz w:val="20"/>
                <w:szCs w:val="21"/>
                <w:lang w:val="en-US" w:eastAsia="zh-CN"/>
              </w:rPr>
              <w:t>6</w:t>
            </w:r>
          </w:p>
        </w:tc>
        <w:tc>
          <w:tcPr>
            <w:tcW w:w="1156"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80</w:t>
            </w:r>
          </w:p>
        </w:tc>
        <w:tc>
          <w:tcPr>
            <w:tcW w:w="910" w:type="pct"/>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535" w:type="pct"/>
            <w:vMerge w:val="continue"/>
            <w:tcBorders>
              <w:tl2br w:val="nil"/>
              <w:tr2bl w:val="nil"/>
            </w:tcBorders>
            <w:noWrap w:val="0"/>
            <w:vAlign w:val="center"/>
          </w:tcPr>
          <w:p>
            <w:pPr>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tcBorders>
              <w:tl2br w:val="nil"/>
              <w:tr2bl w:val="nil"/>
            </w:tcBorders>
            <w:noWrap w:val="0"/>
            <w:vAlign w:val="center"/>
          </w:tcPr>
          <w:p>
            <w:pPr>
              <w:widowControl w:val="0"/>
              <w:adjustRightInd w:val="0"/>
              <w:jc w:val="center"/>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s="Times New Roman"/>
                <w:color w:val="auto"/>
                <w:sz w:val="20"/>
                <w:szCs w:val="21"/>
                <w:lang w:val="en-US" w:eastAsia="zh-CN"/>
              </w:rPr>
              <w:t>4</w:t>
            </w:r>
          </w:p>
        </w:tc>
        <w:tc>
          <w:tcPr>
            <w:tcW w:w="667"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装载机</w:t>
            </w:r>
          </w:p>
        </w:tc>
        <w:tc>
          <w:tcPr>
            <w:tcW w:w="943" w:type="pct"/>
            <w:gridSpan w:val="2"/>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472" w:type="pct"/>
            <w:tcBorders>
              <w:tl2br w:val="nil"/>
              <w:tr2bl w:val="nil"/>
            </w:tcBorders>
            <w:noWrap w:val="0"/>
            <w:vAlign w:val="center"/>
          </w:tcPr>
          <w:p>
            <w:pPr>
              <w:widowControl w:val="0"/>
              <w:adjustRightInd w:val="0"/>
              <w:jc w:val="center"/>
              <w:rPr>
                <w:rFonts w:hint="default" w:ascii="Times New Roman" w:hAnsi="Times New Roman" w:eastAsia="宋体" w:cs="Times New Roman"/>
                <w:color w:val="auto"/>
                <w:kern w:val="2"/>
                <w:sz w:val="20"/>
                <w:szCs w:val="21"/>
                <w:lang w:val="en-US" w:eastAsia="zh-CN" w:bidi="ar-SA"/>
              </w:rPr>
            </w:pPr>
            <w:r>
              <w:rPr>
                <w:rFonts w:hint="eastAsia" w:ascii="Times New Roman" w:hAnsi="Times New Roman" w:cs="Times New Roman"/>
                <w:color w:val="auto"/>
                <w:sz w:val="20"/>
                <w:szCs w:val="21"/>
                <w:lang w:val="en-US" w:eastAsia="zh-CN"/>
              </w:rPr>
              <w:t>3</w:t>
            </w:r>
          </w:p>
        </w:tc>
        <w:tc>
          <w:tcPr>
            <w:tcW w:w="1156"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85</w:t>
            </w:r>
          </w:p>
        </w:tc>
        <w:tc>
          <w:tcPr>
            <w:tcW w:w="910" w:type="pct"/>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535" w:type="pct"/>
            <w:vMerge w:val="continue"/>
            <w:tcBorders>
              <w:tl2br w:val="nil"/>
              <w:tr2bl w:val="nil"/>
            </w:tcBorders>
            <w:noWrap w:val="0"/>
            <w:vAlign w:val="center"/>
          </w:tcPr>
          <w:p>
            <w:pPr>
              <w:jc w:val="center"/>
              <w:rPr>
                <w:rFonts w:hint="default" w:ascii="Times New Roman" w:hAnsi="Times New Roman"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13" w:type="pct"/>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cs="Times New Roman"/>
                <w:color w:val="auto"/>
                <w:sz w:val="20"/>
                <w:szCs w:val="21"/>
                <w:lang w:val="en-US" w:eastAsia="zh-CN"/>
              </w:rPr>
              <w:t>5</w:t>
            </w:r>
          </w:p>
        </w:tc>
        <w:tc>
          <w:tcPr>
            <w:tcW w:w="667" w:type="pct"/>
            <w:tcBorders>
              <w:tl2br w:val="nil"/>
              <w:tr2bl w:val="nil"/>
            </w:tcBorders>
            <w:noWrap w:val="0"/>
            <w:vAlign w:val="center"/>
          </w:tcPr>
          <w:p>
            <w:pPr>
              <w:widowControl w:val="0"/>
              <w:jc w:val="center"/>
              <w:rPr>
                <w:rFonts w:hint="default" w:ascii="Times New Roman" w:hAnsi="Times New Roman" w:cs="Times New Roman"/>
                <w:color w:val="auto"/>
                <w:sz w:val="20"/>
                <w:szCs w:val="21"/>
                <w:lang w:val="en-US" w:eastAsia="zh-CN"/>
              </w:rPr>
            </w:pPr>
            <w:r>
              <w:rPr>
                <w:rFonts w:hint="eastAsia"/>
                <w:color w:val="auto"/>
                <w:sz w:val="20"/>
                <w:szCs w:val="21"/>
                <w:lang w:val="en-US" w:eastAsia="zh-CN"/>
              </w:rPr>
              <w:t>推土机</w:t>
            </w:r>
          </w:p>
        </w:tc>
        <w:tc>
          <w:tcPr>
            <w:tcW w:w="943" w:type="pct"/>
            <w:gridSpan w:val="2"/>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472" w:type="pct"/>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r>
              <w:rPr>
                <w:rFonts w:hint="eastAsia" w:cs="Times New Roman"/>
                <w:color w:val="auto"/>
                <w:sz w:val="20"/>
                <w:szCs w:val="21"/>
                <w:lang w:val="en-US" w:eastAsia="zh-CN"/>
              </w:rPr>
              <w:t>2</w:t>
            </w:r>
          </w:p>
        </w:tc>
        <w:tc>
          <w:tcPr>
            <w:tcW w:w="1156" w:type="pct"/>
            <w:tcBorders>
              <w:tl2br w:val="nil"/>
              <w:tr2bl w:val="nil"/>
            </w:tcBorders>
            <w:noWrap w:val="0"/>
            <w:vAlign w:val="center"/>
          </w:tcPr>
          <w:p>
            <w:pPr>
              <w:widowControl w:val="0"/>
              <w:jc w:val="center"/>
              <w:rPr>
                <w:rFonts w:hint="default" w:ascii="Times New Roman" w:hAnsi="Times New Roman" w:cs="Times New Roman"/>
                <w:color w:val="auto"/>
                <w:sz w:val="20"/>
                <w:szCs w:val="21"/>
                <w:lang w:val="en-US" w:eastAsia="zh-CN"/>
              </w:rPr>
            </w:pPr>
            <w:r>
              <w:rPr>
                <w:rFonts w:hint="eastAsia"/>
                <w:color w:val="auto"/>
                <w:sz w:val="20"/>
                <w:szCs w:val="21"/>
                <w:lang w:val="en-US" w:eastAsia="zh-CN"/>
              </w:rPr>
              <w:t>90</w:t>
            </w:r>
          </w:p>
        </w:tc>
        <w:tc>
          <w:tcPr>
            <w:tcW w:w="910" w:type="pct"/>
            <w:vMerge w:val="continue"/>
            <w:tcBorders>
              <w:tl2br w:val="nil"/>
              <w:tr2bl w:val="nil"/>
            </w:tcBorders>
            <w:noWrap w:val="0"/>
            <w:vAlign w:val="center"/>
          </w:tcPr>
          <w:p>
            <w:pPr>
              <w:widowControl w:val="0"/>
              <w:adjustRightInd w:val="0"/>
              <w:jc w:val="center"/>
              <w:rPr>
                <w:rFonts w:hint="default" w:ascii="Times New Roman" w:hAnsi="Times New Roman" w:cs="Times New Roman"/>
                <w:color w:val="auto"/>
                <w:sz w:val="20"/>
                <w:szCs w:val="21"/>
                <w:lang w:val="en-US" w:eastAsia="zh-CN"/>
              </w:rPr>
            </w:pPr>
          </w:p>
        </w:tc>
        <w:tc>
          <w:tcPr>
            <w:tcW w:w="535" w:type="pct"/>
            <w:vMerge w:val="continue"/>
            <w:tcBorders>
              <w:tl2br w:val="nil"/>
              <w:tr2bl w:val="nil"/>
            </w:tcBorders>
            <w:noWrap w:val="0"/>
            <w:vAlign w:val="center"/>
          </w:tcPr>
          <w:p>
            <w:pPr>
              <w:jc w:val="center"/>
              <w:rPr>
                <w:rFonts w:hint="default" w:ascii="Times New Roman" w:hAnsi="Times New Roman" w:cs="Times New Roman"/>
                <w:color w:val="auto"/>
                <w:lang w:val="en-US" w:eastAsia="zh-CN"/>
              </w:rPr>
            </w:pPr>
          </w:p>
        </w:tc>
      </w:tr>
    </w:tbl>
    <w:p>
      <w:pPr>
        <w:widowControl w:val="0"/>
        <w:spacing w:line="360" w:lineRule="auto"/>
        <w:rPr>
          <w:color w:val="auto"/>
          <w:sz w:val="20"/>
          <w:szCs w:val="18"/>
        </w:rPr>
      </w:pPr>
      <w:r>
        <w:rPr>
          <w:color w:val="auto"/>
          <w:sz w:val="20"/>
          <w:szCs w:val="20"/>
        </w:rPr>
        <w:t>注：</w:t>
      </w:r>
      <w:r>
        <w:rPr>
          <w:rFonts w:hint="eastAsia"/>
          <w:color w:val="auto"/>
          <w:sz w:val="20"/>
          <w:szCs w:val="20"/>
          <w:lang w:val="en-US" w:eastAsia="zh-CN"/>
        </w:rPr>
        <w:t>引自《港口工程环境保护设计规范》实测资料</w:t>
      </w:r>
      <w:r>
        <w:rPr>
          <w:color w:val="auto"/>
          <w:sz w:val="20"/>
          <w:szCs w:val="20"/>
        </w:rPr>
        <w:t>。</w:t>
      </w:r>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bookmarkStart w:id="316" w:name="_Toc636"/>
      <w:r>
        <w:rPr>
          <w:rFonts w:hint="eastAsia" w:ascii="Times New Roman" w:hAnsi="Times New Roman" w:eastAsia="黑体" w:cs="Times New Roman"/>
          <w:color w:val="auto"/>
          <w:szCs w:val="24"/>
          <w:lang w:val="en-US" w:eastAsia="zh-CN"/>
        </w:rPr>
        <w:t>3.1.</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4固体废物</w:t>
      </w:r>
      <w:bookmarkEnd w:id="316"/>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施工期固体废物包括施工人员生活垃圾</w:t>
      </w:r>
      <w:r>
        <w:rPr>
          <w:rFonts w:hint="eastAsia" w:eastAsia="仿宋_GB2312"/>
          <w:color w:val="auto"/>
          <w:sz w:val="24"/>
          <w:szCs w:val="24"/>
          <w:lang w:eastAsia="zh-CN"/>
        </w:rPr>
        <w:t>、</w:t>
      </w:r>
      <w:r>
        <w:rPr>
          <w:rFonts w:hint="eastAsia" w:eastAsia="仿宋_GB2312"/>
          <w:color w:val="auto"/>
          <w:sz w:val="24"/>
          <w:szCs w:val="24"/>
        </w:rPr>
        <w:t>施工建筑垃圾</w:t>
      </w:r>
      <w:r>
        <w:rPr>
          <w:rFonts w:hint="eastAsia" w:eastAsia="仿宋_GB2312"/>
          <w:color w:val="auto"/>
          <w:sz w:val="24"/>
          <w:szCs w:val="24"/>
          <w:lang w:eastAsia="zh-CN"/>
        </w:rPr>
        <w:t>、</w:t>
      </w:r>
      <w:r>
        <w:rPr>
          <w:rFonts w:hint="eastAsia" w:eastAsia="仿宋_GB2312"/>
          <w:color w:val="auto"/>
          <w:sz w:val="24"/>
          <w:szCs w:val="24"/>
          <w:lang w:val="en-US" w:eastAsia="zh-CN"/>
        </w:rPr>
        <w:t>船舶生活垃圾、</w:t>
      </w:r>
      <w:r>
        <w:rPr>
          <w:rFonts w:hint="eastAsia" w:eastAsia="仿宋_GB2312"/>
          <w:color w:val="auto"/>
          <w:sz w:val="24"/>
          <w:szCs w:val="24"/>
        </w:rPr>
        <w:t>拆除现有码头产生的废旧设备等。</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施工期施工人员按</w:t>
      </w:r>
      <w:r>
        <w:rPr>
          <w:rFonts w:hint="eastAsia" w:eastAsia="仿宋_GB2312"/>
          <w:color w:val="auto"/>
          <w:sz w:val="24"/>
          <w:szCs w:val="24"/>
          <w:lang w:val="en-US" w:eastAsia="zh-CN"/>
        </w:rPr>
        <w:t>8</w:t>
      </w:r>
      <w:r>
        <w:rPr>
          <w:rFonts w:hint="eastAsia" w:eastAsia="仿宋_GB2312"/>
          <w:color w:val="auto"/>
          <w:sz w:val="24"/>
          <w:szCs w:val="24"/>
        </w:rPr>
        <w:t>0人计算，人均生活垃圾发生量按1.0kg/天估算，施工期生活垃圾发生量为</w:t>
      </w:r>
      <w:r>
        <w:rPr>
          <w:rFonts w:hint="eastAsia" w:eastAsia="仿宋_GB2312"/>
          <w:color w:val="auto"/>
          <w:sz w:val="24"/>
          <w:szCs w:val="24"/>
          <w:lang w:val="en-US" w:eastAsia="zh-CN"/>
        </w:rPr>
        <w:t>0.08</w:t>
      </w:r>
      <w:r>
        <w:rPr>
          <w:rFonts w:hint="eastAsia" w:eastAsia="仿宋_GB2312"/>
          <w:color w:val="auto"/>
          <w:sz w:val="24"/>
          <w:szCs w:val="24"/>
        </w:rPr>
        <w:t>t/d。本工程总工期1年，按300天计，施工期生活垃圾产生量为</w:t>
      </w:r>
      <w:r>
        <w:rPr>
          <w:rFonts w:hint="eastAsia" w:eastAsia="仿宋_GB2312"/>
          <w:color w:val="auto"/>
          <w:sz w:val="24"/>
          <w:szCs w:val="24"/>
          <w:lang w:val="en-US" w:eastAsia="zh-CN"/>
        </w:rPr>
        <w:t>24</w:t>
      </w:r>
      <w:r>
        <w:rPr>
          <w:rFonts w:hint="eastAsia" w:eastAsia="仿宋_GB2312"/>
          <w:color w:val="auto"/>
          <w:sz w:val="24"/>
          <w:szCs w:val="24"/>
        </w:rPr>
        <w:t>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val="en-US" w:eastAsia="zh-CN"/>
        </w:rPr>
        <w:t>施工</w:t>
      </w:r>
      <w:r>
        <w:rPr>
          <w:rFonts w:hint="eastAsia" w:eastAsia="仿宋_GB2312"/>
          <w:color w:val="auto"/>
          <w:sz w:val="24"/>
          <w:szCs w:val="24"/>
        </w:rPr>
        <w:t>建筑垃圾主要包括施工产生的钻孔废渣以及少量的废弃建材、包装材料等</w:t>
      </w:r>
      <w:r>
        <w:rPr>
          <w:rFonts w:hint="eastAsia" w:eastAsia="仿宋_GB2312"/>
          <w:color w:val="auto"/>
          <w:sz w:val="24"/>
          <w:szCs w:val="24"/>
          <w:lang w:eastAsia="zh-CN"/>
        </w:rPr>
        <w:t>，</w:t>
      </w:r>
      <w:r>
        <w:rPr>
          <w:rFonts w:hint="eastAsia" w:eastAsia="仿宋_GB2312"/>
          <w:color w:val="auto"/>
          <w:sz w:val="24"/>
          <w:szCs w:val="24"/>
        </w:rPr>
        <w:t>产生量约为100t。</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到港船舶的船员以</w:t>
      </w:r>
      <w:r>
        <w:rPr>
          <w:rFonts w:hint="eastAsia" w:eastAsia="仿宋_GB2312"/>
          <w:color w:val="auto"/>
          <w:sz w:val="24"/>
          <w:szCs w:val="24"/>
          <w:lang w:val="en-US" w:eastAsia="zh-CN"/>
        </w:rPr>
        <w:t>10</w:t>
      </w:r>
      <w:r>
        <w:rPr>
          <w:rFonts w:hint="eastAsia" w:eastAsia="仿宋_GB2312"/>
          <w:color w:val="auto"/>
          <w:sz w:val="24"/>
          <w:szCs w:val="24"/>
        </w:rPr>
        <w:t>人/艘估算，船员生活垃圾产生量按1.0kg/天·人计算，</w:t>
      </w:r>
      <w:r>
        <w:rPr>
          <w:rFonts w:hint="eastAsia" w:eastAsia="仿宋_GB2312"/>
          <w:color w:val="auto"/>
          <w:sz w:val="24"/>
          <w:szCs w:val="24"/>
          <w:lang w:val="en-US" w:eastAsia="zh-CN"/>
        </w:rPr>
        <w:t>船舶施工</w:t>
      </w:r>
      <w:r>
        <w:rPr>
          <w:rFonts w:hint="eastAsia" w:eastAsia="仿宋_GB2312"/>
          <w:color w:val="auto"/>
          <w:sz w:val="24"/>
          <w:szCs w:val="24"/>
        </w:rPr>
        <w:t>按</w:t>
      </w:r>
      <w:r>
        <w:rPr>
          <w:rFonts w:hint="eastAsia" w:eastAsia="仿宋_GB2312"/>
          <w:color w:val="auto"/>
          <w:sz w:val="24"/>
          <w:szCs w:val="24"/>
          <w:lang w:val="en-US" w:eastAsia="zh-CN"/>
        </w:rPr>
        <w:t>5</w:t>
      </w:r>
      <w:r>
        <w:rPr>
          <w:rFonts w:hint="eastAsia" w:eastAsia="仿宋_GB2312"/>
          <w:color w:val="auto"/>
          <w:sz w:val="24"/>
          <w:szCs w:val="24"/>
        </w:rPr>
        <w:t>0天计，施工期到港船舶生活垃圾产生量约为</w:t>
      </w:r>
      <w:r>
        <w:rPr>
          <w:rFonts w:hint="eastAsia" w:eastAsia="仿宋_GB2312"/>
          <w:color w:val="auto"/>
          <w:sz w:val="24"/>
          <w:szCs w:val="24"/>
          <w:lang w:val="en-US" w:eastAsia="zh-CN"/>
        </w:rPr>
        <w:t>0.5</w:t>
      </w:r>
      <w:r>
        <w:rPr>
          <w:rFonts w:hint="eastAsia" w:eastAsia="仿宋_GB2312"/>
          <w:color w:val="auto"/>
          <w:sz w:val="24"/>
          <w:szCs w:val="24"/>
        </w:rPr>
        <w:t>t/艘，由海事部门认可的单位接收处理</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本次项目施工期间拟拆除</w:t>
      </w:r>
      <w:r>
        <w:rPr>
          <w:rFonts w:hint="eastAsia" w:eastAsia="仿宋_GB2312"/>
          <w:color w:val="auto"/>
          <w:sz w:val="24"/>
          <w:szCs w:val="24"/>
          <w:lang w:eastAsia="zh-CN"/>
        </w:rPr>
        <w:t>的</w:t>
      </w:r>
      <w:r>
        <w:rPr>
          <w:rFonts w:hint="eastAsia" w:eastAsia="仿宋_GB2312"/>
          <w:color w:val="auto"/>
          <w:sz w:val="24"/>
          <w:szCs w:val="24"/>
        </w:rPr>
        <w:t>现有码头，趸船</w:t>
      </w:r>
      <w:r>
        <w:rPr>
          <w:rFonts w:hint="eastAsia" w:eastAsia="仿宋_GB2312"/>
          <w:color w:val="auto"/>
          <w:sz w:val="24"/>
          <w:szCs w:val="24"/>
          <w:lang w:eastAsia="zh-CN"/>
        </w:rPr>
        <w:t>、</w:t>
      </w:r>
      <w:r>
        <w:rPr>
          <w:rFonts w:hint="eastAsia" w:eastAsia="仿宋_GB2312"/>
          <w:color w:val="auto"/>
          <w:sz w:val="24"/>
          <w:szCs w:val="24"/>
        </w:rPr>
        <w:t>皮带机及其配套的接料漏斗外售给物资回收单位回收处置。</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bookmarkStart w:id="317" w:name="_Toc10668"/>
      <w:r>
        <w:rPr>
          <w:rFonts w:hint="eastAsia" w:ascii="Times New Roman" w:hAnsi="Times New Roman" w:eastAsia="黑体" w:cs="Times New Roman"/>
          <w:color w:val="auto"/>
          <w:szCs w:val="24"/>
          <w:lang w:val="en-US" w:eastAsia="zh-CN"/>
        </w:rPr>
        <w:t>3.1.</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5生态环境</w:t>
      </w:r>
      <w:bookmarkEnd w:id="317"/>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（1）陆域生态环境</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val="en-US" w:eastAsia="zh-CN"/>
        </w:rPr>
        <w:t>技改项目转运楼及墩台施工</w:t>
      </w:r>
      <w:r>
        <w:rPr>
          <w:rFonts w:hint="eastAsia" w:eastAsia="仿宋_GB2312"/>
          <w:color w:val="auto"/>
          <w:sz w:val="24"/>
          <w:szCs w:val="24"/>
        </w:rPr>
        <w:t>范围内仅有少量人工绿化植物，评价区域内没有珍稀和需要保护的植物</w:t>
      </w:r>
      <w:r>
        <w:rPr>
          <w:rFonts w:hint="eastAsia" w:eastAsia="仿宋_GB2312"/>
          <w:color w:val="auto"/>
          <w:sz w:val="24"/>
          <w:szCs w:val="24"/>
          <w:lang w:eastAsia="zh-CN"/>
        </w:rPr>
        <w:t>，无临时新增用地</w:t>
      </w:r>
      <w:r>
        <w:rPr>
          <w:rFonts w:hint="eastAsia" w:eastAsia="仿宋_GB2312"/>
          <w:color w:val="auto"/>
          <w:sz w:val="24"/>
          <w:szCs w:val="24"/>
        </w:rPr>
        <w:t>。</w:t>
      </w:r>
    </w:p>
    <w:p>
      <w:pPr>
        <w:widowControl w:val="0"/>
        <w:spacing w:line="360" w:lineRule="auto"/>
        <w:ind w:firstLine="480" w:firstLineChars="200"/>
        <w:rPr>
          <w:rFonts w:hint="eastAsia" w:eastAsia="仿宋_GB2312"/>
          <w:color w:val="auto"/>
          <w:sz w:val="24"/>
          <w:szCs w:val="24"/>
          <w:highlight w:val="none"/>
        </w:rPr>
      </w:pPr>
      <w:r>
        <w:rPr>
          <w:rFonts w:hint="eastAsia" w:eastAsia="仿宋_GB2312"/>
          <w:color w:val="auto"/>
          <w:sz w:val="24"/>
          <w:szCs w:val="24"/>
          <w:lang w:val="en-US" w:eastAsia="zh-CN"/>
        </w:rPr>
        <w:t>技改项目转运楼及墩台施工进行</w:t>
      </w:r>
      <w:r>
        <w:rPr>
          <w:rFonts w:hint="eastAsia" w:eastAsia="仿宋_GB2312"/>
          <w:color w:val="auto"/>
          <w:sz w:val="24"/>
          <w:szCs w:val="24"/>
          <w:highlight w:val="none"/>
        </w:rPr>
        <w:t>地表清理、土方开挖、路面平整、碾压等</w:t>
      </w:r>
      <w:r>
        <w:rPr>
          <w:rFonts w:hint="eastAsia" w:eastAsia="仿宋_GB2312"/>
          <w:color w:val="auto"/>
          <w:sz w:val="24"/>
          <w:szCs w:val="24"/>
          <w:highlight w:val="none"/>
          <w:lang w:val="en-US" w:eastAsia="zh-CN"/>
        </w:rPr>
        <w:t>过程会</w:t>
      </w:r>
      <w:r>
        <w:rPr>
          <w:rFonts w:hint="eastAsia" w:eastAsia="仿宋_GB2312"/>
          <w:color w:val="auto"/>
          <w:sz w:val="24"/>
          <w:szCs w:val="24"/>
          <w:highlight w:val="none"/>
        </w:rPr>
        <w:t>对地表植被、土壤结构产生直接影响，地表植被、土壤结构受到一定程度的破坏，如遇下雨天气会造成水土流失。</w:t>
      </w:r>
    </w:p>
    <w:p>
      <w:pPr>
        <w:widowControl w:val="0"/>
        <w:spacing w:line="360" w:lineRule="auto"/>
        <w:ind w:firstLine="480" w:firstLineChars="200"/>
        <w:rPr>
          <w:rFonts w:hint="eastAsia" w:eastAsia="仿宋_GB2312"/>
          <w:color w:val="auto"/>
          <w:sz w:val="24"/>
          <w:szCs w:val="24"/>
          <w:highlight w:val="none"/>
        </w:rPr>
      </w:pPr>
      <w:r>
        <w:rPr>
          <w:rFonts w:hint="eastAsia" w:eastAsia="仿宋_GB2312"/>
          <w:color w:val="auto"/>
          <w:sz w:val="24"/>
          <w:szCs w:val="24"/>
          <w:highlight w:val="none"/>
        </w:rPr>
        <w:t>因施工用地内植被受到破坏，陆生动物生境受到影响，从而对陆生动物产生间接影响，使得该用地内的陆生动物逃向别处；同时，施工期噪声会对陆生动物产生干扰，从而影响了陆生动物的分布及行为。</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highlight w:val="none"/>
        </w:rPr>
        <w:t>随着工</w:t>
      </w:r>
      <w:r>
        <w:rPr>
          <w:rFonts w:hint="eastAsia" w:eastAsia="仿宋_GB2312"/>
          <w:color w:val="auto"/>
          <w:sz w:val="24"/>
          <w:szCs w:val="24"/>
        </w:rPr>
        <w:t>程建设的完工，港区绿化工程的实施，以及土地硬化，港区陆域生态环境的破坏将逐步恢复。</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（2）水生生态环境</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val="en-US" w:eastAsia="zh-CN"/>
        </w:rPr>
        <w:t>技改项目</w:t>
      </w:r>
      <w:r>
        <w:rPr>
          <w:rFonts w:hint="eastAsia" w:eastAsia="仿宋_GB2312"/>
          <w:color w:val="auto"/>
          <w:sz w:val="24"/>
          <w:szCs w:val="24"/>
        </w:rPr>
        <w:t>利用已有航道水域、已有停泊区。前沿紧邻长江主航道，船舶可直接利用长江主航道往下游安全出运，出运航道无需水下疏浚。</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码头施工期对水生生态的影响主要为施工期码头拆除过程</w:t>
      </w:r>
      <w:r>
        <w:rPr>
          <w:rFonts w:hint="eastAsia" w:eastAsia="仿宋_GB2312"/>
          <w:color w:val="auto"/>
          <w:sz w:val="24"/>
          <w:szCs w:val="24"/>
          <w:lang w:eastAsia="zh-CN"/>
        </w:rPr>
        <w:t>、施工船舶螺旋桨误伤鱼类</w:t>
      </w:r>
      <w:r>
        <w:rPr>
          <w:rFonts w:hint="eastAsia" w:eastAsia="仿宋_GB2312"/>
          <w:color w:val="auto"/>
          <w:sz w:val="24"/>
          <w:szCs w:val="24"/>
          <w:lang w:val="en-US" w:eastAsia="zh-CN"/>
        </w:rPr>
        <w:t>及</w:t>
      </w:r>
      <w:r>
        <w:rPr>
          <w:rFonts w:hint="eastAsia" w:eastAsia="仿宋_GB2312"/>
          <w:color w:val="auto"/>
          <w:sz w:val="24"/>
          <w:szCs w:val="24"/>
        </w:rPr>
        <w:t>趸船安装过程对</w:t>
      </w:r>
      <w:r>
        <w:rPr>
          <w:rFonts w:hint="eastAsia" w:eastAsia="仿宋_GB2312"/>
          <w:color w:val="auto"/>
          <w:sz w:val="24"/>
          <w:szCs w:val="24"/>
          <w:lang w:val="en-US" w:eastAsia="zh-CN"/>
        </w:rPr>
        <w:t>水环境及</w:t>
      </w:r>
      <w:r>
        <w:rPr>
          <w:rFonts w:hint="eastAsia" w:eastAsia="仿宋_GB2312"/>
          <w:color w:val="auto"/>
          <w:sz w:val="24"/>
          <w:szCs w:val="24"/>
        </w:rPr>
        <w:t>水生生物的影响。</w:t>
      </w:r>
    </w:p>
    <w:p>
      <w:pPr>
        <w:widowControl w:val="0"/>
        <w:spacing w:line="360" w:lineRule="auto"/>
        <w:ind w:firstLine="480" w:firstLineChars="200"/>
        <w:rPr>
          <w:rFonts w:hint="default" w:eastAsia="宋体"/>
          <w:color w:val="auto"/>
          <w:sz w:val="24"/>
          <w:szCs w:val="24"/>
          <w:lang w:val="en-US" w:eastAsia="zh-CN"/>
        </w:rPr>
      </w:pPr>
      <w:r>
        <w:rPr>
          <w:rFonts w:hint="eastAsia" w:eastAsia="仿宋_GB2312"/>
          <w:color w:val="auto"/>
          <w:sz w:val="24"/>
          <w:szCs w:val="24"/>
        </w:rPr>
        <w:t>趸船直接占用的河床面积为</w:t>
      </w:r>
      <w:r>
        <w:rPr>
          <w:rFonts w:hint="eastAsia" w:eastAsia="仿宋_GB2312"/>
          <w:color w:val="auto"/>
          <w:sz w:val="24"/>
          <w:szCs w:val="24"/>
          <w:lang w:val="en-US" w:eastAsia="zh-CN"/>
        </w:rPr>
        <w:t>1532</w:t>
      </w:r>
      <w:r>
        <w:rPr>
          <w:rFonts w:hint="eastAsia" w:eastAsia="仿宋_GB2312"/>
          <w:color w:val="auto"/>
          <w:sz w:val="24"/>
          <w:szCs w:val="24"/>
        </w:rPr>
        <w:t>m</w:t>
      </w:r>
      <w:r>
        <w:rPr>
          <w:rFonts w:hint="eastAsia" w:eastAsia="仿宋_GB2312"/>
          <w:color w:val="auto"/>
          <w:sz w:val="24"/>
          <w:szCs w:val="24"/>
          <w:vertAlign w:val="superscript"/>
        </w:rPr>
        <w:t>2</w:t>
      </w:r>
      <w:r>
        <w:rPr>
          <w:rFonts w:hint="eastAsia" w:eastAsia="仿宋_GB2312"/>
          <w:color w:val="auto"/>
          <w:sz w:val="24"/>
          <w:szCs w:val="24"/>
        </w:rPr>
        <w:t>，桩基实际施工面积会大于计算面积，施工噪声和振动等对</w:t>
      </w:r>
      <w:r>
        <w:rPr>
          <w:rFonts w:hint="eastAsia" w:eastAsia="仿宋_GB2312"/>
          <w:color w:val="auto"/>
          <w:sz w:val="24"/>
          <w:szCs w:val="24"/>
          <w:lang w:val="en-US" w:eastAsia="zh-CN"/>
        </w:rPr>
        <w:t>水</w:t>
      </w:r>
      <w:r>
        <w:rPr>
          <w:rFonts w:hint="eastAsia" w:eastAsia="仿宋_GB2312"/>
          <w:color w:val="auto"/>
          <w:sz w:val="24"/>
          <w:szCs w:val="24"/>
        </w:rPr>
        <w:t>生生物、鱼类造成影响。</w:t>
      </w:r>
      <w:r>
        <w:rPr>
          <w:rFonts w:hint="eastAsia" w:eastAsia="仿宋_GB2312"/>
          <w:color w:val="auto"/>
          <w:sz w:val="24"/>
          <w:szCs w:val="24"/>
          <w:lang w:val="en-US" w:eastAsia="zh-CN"/>
        </w:rPr>
        <w:t>施工过程对浮游植物、浮游动物、底栖生物、水生维管束植物产生影响较小，待施工结束后，工程以外区域，只要条件合适，水生植物能迅速在这些区域重新分布。施工期废水不排放至长江，但若施工废水处理不当进入水体会给水生生态造成不利影响。</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318" w:name="_Toc12327"/>
      <w:bookmarkStart w:id="319" w:name="_Toc305859467"/>
      <w:r>
        <w:rPr>
          <w:rFonts w:ascii="Times New Roman" w:hAnsi="Times New Roman"/>
          <w:b w:val="0"/>
          <w:color w:val="auto"/>
          <w:szCs w:val="32"/>
        </w:rPr>
        <w:t>3.</w:t>
      </w:r>
      <w:r>
        <w:rPr>
          <w:rFonts w:hint="eastAsia" w:ascii="Times New Roman" w:hAnsi="Times New Roman"/>
          <w:b w:val="0"/>
          <w:color w:val="auto"/>
          <w:szCs w:val="32"/>
          <w:lang w:val="en-US" w:eastAsia="zh-CN"/>
        </w:rPr>
        <w:t>2运营期污染源分析</w:t>
      </w:r>
      <w:bookmarkEnd w:id="318"/>
    </w:p>
    <w:p>
      <w:pPr>
        <w:pStyle w:val="9"/>
        <w:widowControl w:val="0"/>
        <w:spacing w:before="120" w:after="120" w:line="360" w:lineRule="auto"/>
        <w:rPr>
          <w:rFonts w:hint="default" w:ascii="Times New Roman" w:hAnsi="Times New Roman" w:eastAsia="黑体" w:cs="Times New Roman"/>
          <w:b w:val="0"/>
          <w:bCs/>
          <w:color w:val="auto"/>
          <w:sz w:val="24"/>
          <w:lang w:val="en-US" w:eastAsia="zh-CN"/>
        </w:rPr>
      </w:pPr>
      <w:r>
        <w:rPr>
          <w:rFonts w:hint="eastAsia" w:ascii="Times New Roman" w:hAnsi="Times New Roman" w:eastAsia="黑体" w:cs="Times New Roman"/>
          <w:b w:val="0"/>
          <w:bCs/>
          <w:color w:val="auto"/>
          <w:sz w:val="24"/>
          <w:lang w:val="en-US" w:eastAsia="zh-CN"/>
        </w:rPr>
        <w:t>3.2.</w:t>
      </w:r>
      <w:r>
        <w:rPr>
          <w:rFonts w:hint="eastAsia" w:eastAsia="黑体" w:cs="Times New Roman"/>
          <w:b w:val="0"/>
          <w:bCs/>
          <w:color w:val="auto"/>
          <w:sz w:val="24"/>
          <w:lang w:val="en-US" w:eastAsia="zh-CN"/>
        </w:rPr>
        <w:t>1</w:t>
      </w:r>
      <w:r>
        <w:rPr>
          <w:rFonts w:hint="eastAsia" w:ascii="Times New Roman" w:hAnsi="Times New Roman" w:eastAsia="黑体" w:cs="Times New Roman"/>
          <w:b w:val="0"/>
          <w:bCs/>
          <w:color w:val="auto"/>
          <w:sz w:val="24"/>
          <w:lang w:val="en-US" w:eastAsia="zh-CN"/>
        </w:rPr>
        <w:t>运营期</w:t>
      </w:r>
      <w:r>
        <w:rPr>
          <w:rFonts w:hint="eastAsia" w:eastAsia="黑体" w:cs="Times New Roman"/>
          <w:b w:val="0"/>
          <w:bCs/>
          <w:color w:val="auto"/>
          <w:sz w:val="24"/>
          <w:lang w:val="en-US" w:eastAsia="zh-CN"/>
        </w:rPr>
        <w:t>工艺流程及产排污节点</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.1.1施工期工艺流程及</w:t>
      </w:r>
      <w:r>
        <w:rPr>
          <w:rFonts w:hint="eastAsia" w:ascii="Times New Roman" w:hAnsi="Times New Roman" w:eastAsia="黑体" w:cs="Times New Roman"/>
          <w:color w:val="auto"/>
          <w:szCs w:val="24"/>
          <w:lang w:val="en-US" w:eastAsia="zh-CN"/>
        </w:rPr>
        <w:t>产污环节</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本工程建设内容主要包括趸船、码头</w:t>
      </w:r>
      <w:r>
        <w:rPr>
          <w:rFonts w:hint="eastAsia" w:eastAsia="仿宋_GB2312"/>
          <w:color w:val="auto"/>
          <w:sz w:val="24"/>
          <w:szCs w:val="24"/>
          <w:lang w:val="en-US" w:eastAsia="zh-CN"/>
        </w:rPr>
        <w:t>钢</w:t>
      </w:r>
      <w:r>
        <w:rPr>
          <w:rFonts w:hint="eastAsia" w:eastAsia="仿宋_GB2312"/>
          <w:color w:val="auto"/>
          <w:sz w:val="24"/>
          <w:szCs w:val="24"/>
        </w:rPr>
        <w:t>引桥、</w:t>
      </w:r>
      <w:r>
        <w:rPr>
          <w:rFonts w:hint="eastAsia" w:eastAsia="仿宋_GB2312"/>
          <w:color w:val="auto"/>
          <w:sz w:val="24"/>
          <w:szCs w:val="24"/>
          <w:lang w:val="en-US" w:eastAsia="zh-CN"/>
        </w:rPr>
        <w:t>转运楼、趸船转运平台</w:t>
      </w:r>
      <w:r>
        <w:rPr>
          <w:rFonts w:hint="eastAsia" w:eastAsia="仿宋_GB2312"/>
          <w:color w:val="auto"/>
          <w:sz w:val="24"/>
          <w:szCs w:val="24"/>
        </w:rPr>
        <w:t>及</w:t>
      </w:r>
      <w:r>
        <w:rPr>
          <w:rFonts w:hint="eastAsia" w:eastAsia="仿宋_GB2312"/>
          <w:color w:val="auto"/>
          <w:sz w:val="24"/>
          <w:szCs w:val="24"/>
          <w:lang w:val="en-US" w:eastAsia="zh-CN"/>
        </w:rPr>
        <w:t>皮带机廊道</w:t>
      </w:r>
      <w:r>
        <w:rPr>
          <w:rFonts w:hint="eastAsia" w:eastAsia="仿宋_GB2312"/>
          <w:color w:val="auto"/>
          <w:sz w:val="24"/>
          <w:szCs w:val="24"/>
        </w:rPr>
        <w:t>等，码头建成后主要运输对象为砂石料散货</w:t>
      </w:r>
      <w:r>
        <w:rPr>
          <w:rFonts w:hint="eastAsia" w:eastAsia="仿宋_GB2312"/>
          <w:color w:val="auto"/>
          <w:sz w:val="24"/>
          <w:szCs w:val="24"/>
          <w:lang w:val="en-US" w:eastAsia="zh-CN"/>
        </w:rPr>
        <w:t>出口</w:t>
      </w:r>
      <w:r>
        <w:rPr>
          <w:rFonts w:hint="eastAsia" w:eastAsia="仿宋_GB2312"/>
          <w:color w:val="auto"/>
          <w:sz w:val="24"/>
          <w:szCs w:val="24"/>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码头设备保养会产生少量的废</w:t>
      </w:r>
      <w:r>
        <w:rPr>
          <w:rFonts w:hint="eastAsia" w:eastAsia="仿宋_GB2312"/>
          <w:color w:val="auto"/>
          <w:sz w:val="24"/>
          <w:szCs w:val="24"/>
          <w:lang w:val="en-US" w:eastAsia="zh-CN"/>
        </w:rPr>
        <w:t>润滑油</w:t>
      </w:r>
      <w:r>
        <w:rPr>
          <w:rFonts w:hint="eastAsia" w:eastAsia="仿宋_GB2312"/>
          <w:color w:val="auto"/>
          <w:sz w:val="24"/>
          <w:szCs w:val="24"/>
        </w:rPr>
        <w:t>等。</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本工程</w:t>
      </w:r>
      <w:r>
        <w:rPr>
          <w:rFonts w:hint="eastAsia" w:eastAsia="仿宋_GB2312"/>
          <w:color w:val="auto"/>
          <w:sz w:val="24"/>
          <w:szCs w:val="24"/>
          <w:lang w:eastAsia="zh-CN"/>
        </w:rPr>
        <w:t>运营期</w:t>
      </w:r>
      <w:r>
        <w:rPr>
          <w:rFonts w:hint="eastAsia" w:eastAsia="仿宋_GB2312"/>
          <w:color w:val="auto"/>
          <w:sz w:val="24"/>
          <w:szCs w:val="24"/>
        </w:rPr>
        <w:t>工艺流程及产环节见</w:t>
      </w:r>
      <w:r>
        <w:rPr>
          <w:rFonts w:hint="eastAsia" w:eastAsia="仿宋_GB2312"/>
          <w:color w:val="auto"/>
          <w:sz w:val="24"/>
          <w:szCs w:val="24"/>
          <w:lang w:val="en-US" w:eastAsia="zh-CN"/>
        </w:rPr>
        <w:t>下</w:t>
      </w:r>
      <w:r>
        <w:rPr>
          <w:rFonts w:hint="eastAsia" w:eastAsia="仿宋_GB2312"/>
          <w:color w:val="auto"/>
          <w:sz w:val="24"/>
          <w:szCs w:val="24"/>
        </w:rPr>
        <w:t>图</w:t>
      </w:r>
      <w:r>
        <w:rPr>
          <w:rFonts w:hint="eastAsia" w:eastAsia="仿宋_GB2312"/>
          <w:color w:val="auto"/>
          <w:sz w:val="24"/>
          <w:szCs w:val="24"/>
          <w:lang w:val="en-US" w:eastAsia="zh-CN"/>
        </w:rPr>
        <w:t>3.2-1，图3.2-2，图3.2-3</w:t>
      </w:r>
      <w:r>
        <w:rPr>
          <w:rFonts w:hint="eastAsia" w:eastAsia="仿宋_GB2312"/>
          <w:color w:val="auto"/>
          <w:sz w:val="24"/>
          <w:szCs w:val="24"/>
          <w:lang w:eastAsia="zh-CN"/>
        </w:rPr>
        <w:t>。</w:t>
      </w:r>
    </w:p>
    <w:p>
      <w:pPr>
        <w:widowControl w:val="0"/>
        <w:spacing w:line="360" w:lineRule="auto"/>
        <w:jc w:val="center"/>
        <w:rPr>
          <w:rFonts w:hint="default" w:eastAsia="黑体"/>
          <w:b/>
          <w:color w:val="auto"/>
          <w:szCs w:val="21"/>
          <w:lang w:val="en-US" w:eastAsia="zh-CN"/>
        </w:rPr>
      </w:pPr>
      <w:r>
        <w:rPr>
          <w:rFonts w:hint="eastAsia" w:eastAsia="仿宋_GB2312"/>
          <w:color w:val="auto"/>
          <w:sz w:val="24"/>
          <w:szCs w:val="24"/>
        </w:rPr>
        <w:object>
          <v:shape id="_x0000_i1028" o:spt="75" type="#_x0000_t75" style="height:163.4pt;width:412.55pt;" o:ole="t" filled="f" o:preferrelative="t" stroked="f" coordsize="21600,21600">
            <v:path/>
            <v:fill on="f" focussize="0,0"/>
            <v:stroke on="f"/>
            <v:imagedata r:id="rId39" o:title=""/>
            <o:lock v:ext="edit" aspectratio="f"/>
            <w10:wrap type="none"/>
            <w10:anchorlock/>
          </v:shape>
          <o:OLEObject Type="Embed" ProgID="Visio.Drawing.15" ShapeID="_x0000_i1028" DrawAspect="Content" ObjectID="_1468075728" r:id="rId38">
            <o:LockedField>false</o:LockedField>
          </o:OLEObject>
        </w:object>
      </w:r>
      <w:r>
        <w:rPr>
          <w:rFonts w:eastAsia="黑体"/>
          <w:b/>
          <w:color w:val="auto"/>
          <w:szCs w:val="21"/>
          <w:lang w:val="zh-CN"/>
        </w:rPr>
        <w:t>图3.</w:t>
      </w:r>
      <w:r>
        <w:rPr>
          <w:rFonts w:hint="eastAsia" w:eastAsia="黑体"/>
          <w:b/>
          <w:color w:val="auto"/>
          <w:szCs w:val="21"/>
          <w:lang w:val="en-US" w:eastAsia="zh-CN"/>
        </w:rPr>
        <w:t>2</w:t>
      </w:r>
      <w:r>
        <w:rPr>
          <w:rFonts w:eastAsia="黑体"/>
          <w:b/>
          <w:color w:val="auto"/>
          <w:szCs w:val="21"/>
          <w:lang w:val="zh-CN"/>
        </w:rPr>
        <w:t xml:space="preserve">-1  </w:t>
      </w:r>
      <w:r>
        <w:rPr>
          <w:rFonts w:hint="eastAsia" w:eastAsia="黑体"/>
          <w:b/>
          <w:color w:val="auto"/>
          <w:szCs w:val="21"/>
          <w:lang w:val="en-US" w:eastAsia="zh-CN"/>
        </w:rPr>
        <w:t>1#码头运营期工艺流程及产污节点图（1）</w:t>
      </w:r>
    </w:p>
    <w:p>
      <w:pPr>
        <w:widowControl w:val="0"/>
        <w:spacing w:line="360" w:lineRule="auto"/>
        <w:jc w:val="center"/>
        <w:rPr>
          <w:rFonts w:hint="eastAsia" w:eastAsia="仿宋_GB2312"/>
          <w:color w:val="auto"/>
          <w:sz w:val="24"/>
          <w:szCs w:val="24"/>
        </w:rPr>
      </w:pPr>
      <w:r>
        <w:rPr>
          <w:rFonts w:hint="eastAsia" w:eastAsia="仿宋_GB2312"/>
          <w:color w:val="auto"/>
          <w:sz w:val="24"/>
          <w:szCs w:val="24"/>
        </w:rPr>
        <w:object>
          <v:shape id="_x0000_i1029" o:spt="75" type="#_x0000_t75" style="height:155.9pt;width:360pt;" o:ole="t" filled="f" o:preferrelative="t" stroked="f" coordsize="21600,21600">
            <v:path/>
            <v:fill on="f" focussize="0,0"/>
            <v:stroke on="f"/>
            <v:imagedata r:id="rId41" o:title=""/>
            <o:lock v:ext="edit" aspectratio="f"/>
            <w10:wrap type="none"/>
            <w10:anchorlock/>
          </v:shape>
          <o:OLEObject Type="Embed" ProgID="Visio.Drawing.15" ShapeID="_x0000_i1029" DrawAspect="Content" ObjectID="_1468075729" r:id="rId40">
            <o:LockedField>false</o:LockedField>
          </o:OLEObject>
        </w:object>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图3.</w:t>
      </w:r>
      <w:r>
        <w:rPr>
          <w:rFonts w:hint="eastAsia" w:eastAsia="黑体"/>
          <w:b/>
          <w:color w:val="auto"/>
          <w:szCs w:val="21"/>
          <w:lang w:val="en-US" w:eastAsia="zh-CN"/>
        </w:rPr>
        <w:t>2</w:t>
      </w:r>
      <w:r>
        <w:rPr>
          <w:rFonts w:eastAsia="黑体"/>
          <w:b/>
          <w:color w:val="auto"/>
          <w:szCs w:val="21"/>
          <w:lang w:val="zh-CN"/>
        </w:rPr>
        <w:t>-</w:t>
      </w:r>
      <w:r>
        <w:rPr>
          <w:rFonts w:hint="eastAsia" w:eastAsia="黑体"/>
          <w:b/>
          <w:color w:val="auto"/>
          <w:szCs w:val="21"/>
          <w:lang w:val="en-US" w:eastAsia="zh-CN"/>
        </w:rPr>
        <w:t>2</w:t>
      </w:r>
      <w:r>
        <w:rPr>
          <w:rFonts w:eastAsia="黑体"/>
          <w:b/>
          <w:color w:val="auto"/>
          <w:szCs w:val="21"/>
          <w:lang w:val="zh-CN"/>
        </w:rPr>
        <w:t xml:space="preserve">  </w:t>
      </w:r>
      <w:r>
        <w:rPr>
          <w:rFonts w:hint="eastAsia" w:eastAsia="黑体"/>
          <w:b/>
          <w:color w:val="auto"/>
          <w:szCs w:val="21"/>
          <w:lang w:val="en-US" w:eastAsia="zh-CN"/>
        </w:rPr>
        <w:t>2#码头运营期工艺流程及产污节点图（2）</w:t>
      </w:r>
    </w:p>
    <w:p>
      <w:pPr>
        <w:widowControl w:val="0"/>
        <w:spacing w:line="360" w:lineRule="auto"/>
        <w:ind w:firstLine="482" w:firstLineChars="200"/>
        <w:rPr>
          <w:rFonts w:hint="default" w:eastAsia="仿宋_GB2312"/>
          <w:b/>
          <w:bCs/>
          <w:color w:val="auto"/>
          <w:sz w:val="24"/>
          <w:szCs w:val="24"/>
          <w:lang w:val="en-US" w:eastAsia="zh-CN"/>
        </w:rPr>
      </w:pPr>
      <w:r>
        <w:rPr>
          <w:rFonts w:hint="eastAsia" w:eastAsia="仿宋_GB2312"/>
          <w:b/>
          <w:bCs/>
          <w:color w:val="auto"/>
          <w:sz w:val="24"/>
          <w:szCs w:val="24"/>
          <w:lang w:val="en-US" w:eastAsia="zh-CN"/>
        </w:rPr>
        <w:t>工艺流程简述：</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1#码头：项目出口机制砂通过封闭皮带机廊道由后方堆场输送至2#转运楼，2#转运楼经皮带机廊道输送至1#转运楼，后经输送皮带机廊道输送至1#趸船转运平台至装船机装船。装船过程会产生粉尘及噪声。</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2#码头：项目出口机制砂通过封闭皮带机廊道由后方堆场输送至2#转运楼，2#转运楼经皮带机廊道输送至2#趸船转运平台至装船机装船。装船过程会产生粉尘及噪声。</w:t>
      </w:r>
    </w:p>
    <w:p>
      <w:pPr>
        <w:widowControl w:val="0"/>
        <w:spacing w:line="360" w:lineRule="auto"/>
        <w:jc w:val="center"/>
        <w:rPr>
          <w:rFonts w:hint="eastAsia" w:eastAsia="仿宋_GB2312"/>
          <w:color w:val="auto"/>
          <w:sz w:val="24"/>
          <w:szCs w:val="24"/>
        </w:rPr>
      </w:pPr>
      <w:r>
        <w:rPr>
          <w:rFonts w:hint="eastAsia" w:eastAsia="仿宋_GB2312"/>
          <w:color w:val="auto"/>
          <w:sz w:val="24"/>
          <w:szCs w:val="24"/>
        </w:rPr>
        <w:object>
          <v:shape id="_x0000_i1030" o:spt="75" type="#_x0000_t75" style="height:247.55pt;width:249.05pt;" o:ole="t" filled="f" o:preferrelative="t" stroked="f" coordsize="21600,21600">
            <v:path/>
            <v:fill on="f" focussize="0,0"/>
            <v:stroke on="f"/>
            <v:imagedata r:id="rId43" croptop="-4003f" o:title=""/>
            <o:lock v:ext="edit" aspectratio="f"/>
            <w10:wrap type="none"/>
            <w10:anchorlock/>
          </v:shape>
          <o:OLEObject Type="Embed" ProgID="Visio.Drawing.15" ShapeID="_x0000_i1030" DrawAspect="Content" ObjectID="_1468075730" r:id="rId42">
            <o:LockedField>false</o:LockedField>
          </o:OLEObject>
        </w:object>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图3.</w:t>
      </w:r>
      <w:r>
        <w:rPr>
          <w:rFonts w:hint="eastAsia" w:eastAsia="黑体"/>
          <w:b/>
          <w:color w:val="auto"/>
          <w:szCs w:val="21"/>
          <w:lang w:val="en-US" w:eastAsia="zh-CN"/>
        </w:rPr>
        <w:t>2</w:t>
      </w:r>
      <w:r>
        <w:rPr>
          <w:rFonts w:eastAsia="黑体"/>
          <w:b/>
          <w:color w:val="auto"/>
          <w:szCs w:val="21"/>
          <w:lang w:val="zh-CN"/>
        </w:rPr>
        <w:t>-</w:t>
      </w:r>
      <w:r>
        <w:rPr>
          <w:rFonts w:hint="eastAsia" w:eastAsia="黑体"/>
          <w:b/>
          <w:color w:val="auto"/>
          <w:szCs w:val="21"/>
          <w:lang w:val="en-US" w:eastAsia="zh-CN"/>
        </w:rPr>
        <w:t>3</w:t>
      </w:r>
      <w:r>
        <w:rPr>
          <w:rFonts w:eastAsia="黑体"/>
          <w:b/>
          <w:color w:val="auto"/>
          <w:szCs w:val="21"/>
          <w:lang w:val="zh-CN"/>
        </w:rPr>
        <w:t xml:space="preserve">  </w:t>
      </w:r>
      <w:r>
        <w:rPr>
          <w:rFonts w:hint="eastAsia" w:eastAsia="黑体"/>
          <w:b/>
          <w:color w:val="auto"/>
          <w:szCs w:val="21"/>
          <w:lang w:val="en-US" w:eastAsia="zh-CN"/>
        </w:rPr>
        <w:t>码头运营期产污节点图（3）</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.1.2</w:t>
      </w:r>
      <w:r>
        <w:rPr>
          <w:rFonts w:hint="eastAsia" w:ascii="Times New Roman" w:hAnsi="Times New Roman" w:eastAsia="黑体" w:cs="Times New Roman"/>
          <w:color w:val="auto"/>
          <w:szCs w:val="24"/>
          <w:lang w:val="en-US" w:eastAsia="zh-CN"/>
        </w:rPr>
        <w:t>运营期产污环节</w:t>
      </w:r>
    </w:p>
    <w:p>
      <w:pPr>
        <w:widowControl w:val="0"/>
        <w:spacing w:line="360" w:lineRule="auto"/>
        <w:ind w:firstLine="480" w:firstLineChars="200"/>
        <w:rPr>
          <w:rFonts w:hint="eastAsia" w:eastAsia="仿宋_GB2312"/>
          <w:color w:val="auto"/>
          <w:sz w:val="24"/>
          <w:szCs w:val="24"/>
          <w:lang w:val="en-US" w:eastAsia="zh-CN"/>
        </w:rPr>
      </w:pPr>
      <w:r>
        <w:rPr>
          <w:rFonts w:hint="eastAsia" w:eastAsia="仿宋_GB2312"/>
          <w:color w:val="auto"/>
          <w:sz w:val="24"/>
          <w:szCs w:val="24"/>
          <w:lang w:val="en-US" w:eastAsia="zh-CN"/>
        </w:rPr>
        <w:t>项目运营期污染物产生环节分析结果见下表。</w:t>
      </w:r>
    </w:p>
    <w:p>
      <w:pPr>
        <w:widowControl w:val="0"/>
        <w:spacing w:line="360" w:lineRule="auto"/>
        <w:jc w:val="center"/>
        <w:rPr>
          <w:rFonts w:eastAsia="黑体"/>
          <w:b/>
          <w:bCs/>
          <w:color w:val="auto"/>
          <w:szCs w:val="21"/>
        </w:rPr>
      </w:pPr>
      <w:r>
        <w:rPr>
          <w:rFonts w:eastAsia="黑体"/>
          <w:b/>
          <w:bCs/>
          <w:color w:val="auto"/>
          <w:szCs w:val="21"/>
        </w:rPr>
        <w:t>表3.</w:t>
      </w:r>
      <w:r>
        <w:rPr>
          <w:rFonts w:hint="eastAsia" w:eastAsia="黑体"/>
          <w:b/>
          <w:bCs/>
          <w:color w:val="auto"/>
          <w:szCs w:val="21"/>
          <w:lang w:val="en-US" w:eastAsia="zh-CN"/>
        </w:rPr>
        <w:t>2-</w:t>
      </w:r>
      <w:r>
        <w:rPr>
          <w:rFonts w:eastAsia="黑体"/>
          <w:b/>
          <w:bCs/>
          <w:color w:val="auto"/>
          <w:szCs w:val="21"/>
        </w:rPr>
        <w:t xml:space="preserve">1  </w:t>
      </w:r>
      <w:r>
        <w:rPr>
          <w:rFonts w:hint="eastAsia" w:eastAsia="黑体"/>
          <w:b/>
          <w:bCs/>
          <w:color w:val="auto"/>
          <w:szCs w:val="21"/>
          <w:lang w:val="en-US" w:eastAsia="zh-CN"/>
        </w:rPr>
        <w:t>技改项目运营期污染因子汇总</w:t>
      </w:r>
      <w:r>
        <w:rPr>
          <w:rFonts w:eastAsia="黑体"/>
          <w:b/>
          <w:bCs/>
          <w:color w:val="auto"/>
          <w:szCs w:val="21"/>
        </w:rPr>
        <w:t>一览表</w:t>
      </w:r>
    </w:p>
    <w:tbl>
      <w:tblPr>
        <w:tblStyle w:val="92"/>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2788"/>
        <w:gridCol w:w="2824"/>
        <w:gridCol w:w="2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noWrap w:val="0"/>
            <w:vAlign w:val="center"/>
          </w:tcPr>
          <w:p>
            <w:pPr>
              <w:widowControl w:val="0"/>
              <w:jc w:val="center"/>
              <w:rPr>
                <w:color w:val="auto"/>
                <w:sz w:val="20"/>
              </w:rPr>
            </w:pPr>
            <w:r>
              <w:rPr>
                <w:color w:val="auto"/>
                <w:sz w:val="20"/>
              </w:rPr>
              <w:t>类别</w:t>
            </w:r>
          </w:p>
        </w:tc>
        <w:tc>
          <w:tcPr>
            <w:tcW w:w="2788" w:type="dxa"/>
            <w:noWrap w:val="0"/>
            <w:vAlign w:val="center"/>
          </w:tcPr>
          <w:p>
            <w:pPr>
              <w:widowControl w:val="0"/>
              <w:jc w:val="center"/>
              <w:rPr>
                <w:color w:val="auto"/>
                <w:sz w:val="20"/>
              </w:rPr>
            </w:pPr>
            <w:r>
              <w:rPr>
                <w:color w:val="auto"/>
                <w:sz w:val="20"/>
              </w:rPr>
              <w:t>污染物</w:t>
            </w:r>
          </w:p>
        </w:tc>
        <w:tc>
          <w:tcPr>
            <w:tcW w:w="2824" w:type="dxa"/>
            <w:noWrap w:val="0"/>
            <w:vAlign w:val="center"/>
          </w:tcPr>
          <w:p>
            <w:pPr>
              <w:widowControl w:val="0"/>
              <w:jc w:val="center"/>
              <w:rPr>
                <w:color w:val="auto"/>
                <w:sz w:val="20"/>
              </w:rPr>
            </w:pPr>
            <w:r>
              <w:rPr>
                <w:color w:val="auto"/>
                <w:sz w:val="20"/>
              </w:rPr>
              <w:t>产物环节说明</w:t>
            </w:r>
          </w:p>
        </w:tc>
        <w:tc>
          <w:tcPr>
            <w:tcW w:w="2216"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废气</w:t>
            </w:r>
          </w:p>
        </w:tc>
        <w:tc>
          <w:tcPr>
            <w:tcW w:w="2788" w:type="dxa"/>
            <w:noWrap w:val="0"/>
            <w:vAlign w:val="center"/>
          </w:tcPr>
          <w:p>
            <w:pPr>
              <w:widowControl w:val="0"/>
              <w:jc w:val="center"/>
              <w:rPr>
                <w:color w:val="auto"/>
                <w:sz w:val="20"/>
              </w:rPr>
            </w:pPr>
            <w:r>
              <w:rPr>
                <w:rFonts w:hint="eastAsia"/>
                <w:color w:val="auto"/>
                <w:sz w:val="20"/>
                <w:lang w:val="en-US" w:eastAsia="zh-CN"/>
              </w:rPr>
              <w:t>装卸</w:t>
            </w:r>
            <w:r>
              <w:rPr>
                <w:color w:val="auto"/>
                <w:sz w:val="20"/>
              </w:rPr>
              <w:t>废气</w:t>
            </w:r>
          </w:p>
        </w:tc>
        <w:tc>
          <w:tcPr>
            <w:tcW w:w="2824"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装船过程</w:t>
            </w:r>
          </w:p>
        </w:tc>
        <w:tc>
          <w:tcPr>
            <w:tcW w:w="2216" w:type="dxa"/>
            <w:noWrap w:val="0"/>
            <w:vAlign w:val="center"/>
          </w:tcPr>
          <w:p>
            <w:pPr>
              <w:widowControl w:val="0"/>
              <w:jc w:val="center"/>
              <w:rPr>
                <w:rFonts w:hint="eastAsia" w:eastAsia="宋体"/>
                <w:color w:val="auto"/>
                <w:sz w:val="20"/>
                <w:lang w:eastAsia="zh-CN"/>
              </w:rPr>
            </w:pPr>
            <w:r>
              <w:rPr>
                <w:rFonts w:hint="eastAsia"/>
                <w:color w:val="auto"/>
                <w:sz w:val="20"/>
                <w:lang w:val="en-US" w:eastAsia="zh-CN"/>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color w:val="auto"/>
                <w:sz w:val="20"/>
              </w:rPr>
            </w:pPr>
            <w:r>
              <w:rPr>
                <w:rFonts w:hint="eastAsia"/>
                <w:color w:val="auto"/>
                <w:sz w:val="20"/>
                <w:lang w:val="en-US" w:eastAsia="zh-CN"/>
              </w:rPr>
              <w:t>转运</w:t>
            </w:r>
            <w:r>
              <w:rPr>
                <w:color w:val="auto"/>
                <w:sz w:val="20"/>
              </w:rPr>
              <w:t>废气</w:t>
            </w:r>
          </w:p>
        </w:tc>
        <w:tc>
          <w:tcPr>
            <w:tcW w:w="2824" w:type="dxa"/>
            <w:noWrap w:val="0"/>
            <w:vAlign w:val="center"/>
          </w:tcPr>
          <w:p>
            <w:pPr>
              <w:widowControl w:val="0"/>
              <w:jc w:val="center"/>
              <w:rPr>
                <w:color w:val="auto"/>
                <w:sz w:val="20"/>
              </w:rPr>
            </w:pPr>
            <w:r>
              <w:rPr>
                <w:rFonts w:hint="eastAsia"/>
                <w:color w:val="auto"/>
                <w:sz w:val="20"/>
                <w:lang w:val="en-US" w:eastAsia="zh-CN"/>
              </w:rPr>
              <w:t>转运楼</w:t>
            </w:r>
          </w:p>
        </w:tc>
        <w:tc>
          <w:tcPr>
            <w:tcW w:w="2216" w:type="dxa"/>
            <w:noWrap w:val="0"/>
            <w:vAlign w:val="center"/>
          </w:tcPr>
          <w:p>
            <w:pPr>
              <w:widowControl w:val="0"/>
              <w:jc w:val="center"/>
              <w:rPr>
                <w:rFonts w:hint="eastAsia"/>
                <w:color w:val="auto"/>
                <w:sz w:val="20"/>
                <w:lang w:val="en-US" w:eastAsia="zh-CN"/>
              </w:rPr>
            </w:pPr>
            <w:r>
              <w:rPr>
                <w:rFonts w:hint="eastAsia"/>
                <w:color w:val="auto"/>
                <w:sz w:val="20"/>
                <w:lang w:val="en-US" w:eastAsia="zh-CN"/>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default"/>
                <w:color w:val="auto"/>
                <w:sz w:val="20"/>
                <w:lang w:val="en-US"/>
              </w:rPr>
            </w:pPr>
            <w:r>
              <w:rPr>
                <w:rFonts w:hint="eastAsia"/>
                <w:color w:val="auto"/>
                <w:sz w:val="20"/>
                <w:lang w:val="en-US" w:eastAsia="zh-CN"/>
              </w:rPr>
              <w:t>到港船舶废气</w:t>
            </w:r>
          </w:p>
        </w:tc>
        <w:tc>
          <w:tcPr>
            <w:tcW w:w="2824" w:type="dxa"/>
            <w:noWrap w:val="0"/>
            <w:vAlign w:val="center"/>
          </w:tcPr>
          <w:p>
            <w:pPr>
              <w:widowControl w:val="0"/>
              <w:jc w:val="center"/>
              <w:rPr>
                <w:color w:val="auto"/>
                <w:sz w:val="20"/>
              </w:rPr>
            </w:pPr>
            <w:r>
              <w:rPr>
                <w:rFonts w:hint="eastAsia"/>
                <w:color w:val="auto"/>
                <w:sz w:val="20"/>
                <w:lang w:val="en-US" w:eastAsia="zh-CN"/>
              </w:rPr>
              <w:t>到港船舶</w:t>
            </w:r>
          </w:p>
        </w:tc>
        <w:tc>
          <w:tcPr>
            <w:tcW w:w="2216" w:type="dxa"/>
            <w:noWrap w:val="0"/>
            <w:vAlign w:val="center"/>
          </w:tcPr>
          <w:p>
            <w:pPr>
              <w:widowControl w:val="0"/>
              <w:jc w:val="center"/>
              <w:rPr>
                <w:rFonts w:hint="default"/>
                <w:color w:val="auto"/>
                <w:sz w:val="20"/>
                <w:lang w:val="en-US" w:eastAsia="zh-CN"/>
              </w:rPr>
            </w:pPr>
            <w:r>
              <w:rPr>
                <w:rFonts w:hint="default"/>
                <w:color w:val="auto"/>
                <w:sz w:val="20"/>
                <w:lang w:val="en-US" w:eastAsia="zh-CN"/>
              </w:rPr>
              <w:t>SO</w:t>
            </w:r>
            <w:r>
              <w:rPr>
                <w:rFonts w:hint="default"/>
                <w:color w:val="auto"/>
                <w:sz w:val="20"/>
                <w:vertAlign w:val="subscript"/>
                <w:lang w:val="en-US" w:eastAsia="zh-CN"/>
              </w:rPr>
              <w:t>2</w:t>
            </w:r>
            <w:r>
              <w:rPr>
                <w:rFonts w:hint="default"/>
                <w:color w:val="auto"/>
                <w:sz w:val="20"/>
                <w:lang w:val="en-US" w:eastAsia="zh-CN"/>
              </w:rPr>
              <w:t>、NO</w:t>
            </w:r>
            <w:r>
              <w:rPr>
                <w:rFonts w:hint="default"/>
                <w:color w:val="auto"/>
                <w:sz w:val="20"/>
                <w:vertAlign w:val="subscript"/>
                <w:lang w:val="en-US" w:eastAsia="zh-CN"/>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废水</w:t>
            </w:r>
          </w:p>
        </w:tc>
        <w:tc>
          <w:tcPr>
            <w:tcW w:w="2788"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码头面生活污水</w:t>
            </w:r>
          </w:p>
        </w:tc>
        <w:tc>
          <w:tcPr>
            <w:tcW w:w="2824"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本项目趸船</w:t>
            </w:r>
          </w:p>
        </w:tc>
        <w:tc>
          <w:tcPr>
            <w:tcW w:w="2216" w:type="dxa"/>
            <w:noWrap w:val="0"/>
            <w:vAlign w:val="center"/>
          </w:tcPr>
          <w:p>
            <w:pPr>
              <w:widowControl w:val="0"/>
              <w:jc w:val="center"/>
              <w:rPr>
                <w:rFonts w:hint="eastAsia"/>
                <w:color w:val="auto"/>
                <w:sz w:val="20"/>
                <w:lang w:val="en-US" w:eastAsia="zh-CN"/>
              </w:rPr>
            </w:pPr>
            <w:r>
              <w:rPr>
                <w:rFonts w:hint="default"/>
                <w:color w:val="auto"/>
                <w:sz w:val="20"/>
                <w:lang w:val="en-US" w:eastAsia="zh-CN"/>
              </w:rPr>
              <w:t>COD、BOD</w:t>
            </w:r>
            <w:r>
              <w:rPr>
                <w:rFonts w:hint="default"/>
                <w:color w:val="auto"/>
                <w:sz w:val="20"/>
                <w:vertAlign w:val="subscript"/>
                <w:lang w:val="en-US" w:eastAsia="zh-CN"/>
              </w:rPr>
              <w:t>5</w:t>
            </w:r>
            <w:r>
              <w:rPr>
                <w:rFonts w:hint="default"/>
                <w:color w:val="auto"/>
                <w:sz w:val="20"/>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码头面冲洗废气及初期雨水</w:t>
            </w:r>
          </w:p>
        </w:tc>
        <w:tc>
          <w:tcPr>
            <w:tcW w:w="2824" w:type="dxa"/>
            <w:noWrap w:val="0"/>
            <w:vAlign w:val="center"/>
          </w:tcPr>
          <w:p>
            <w:pPr>
              <w:widowControl w:val="0"/>
              <w:jc w:val="center"/>
              <w:rPr>
                <w:color w:val="auto"/>
                <w:sz w:val="20"/>
              </w:rPr>
            </w:pPr>
            <w:r>
              <w:rPr>
                <w:rFonts w:hint="eastAsia"/>
                <w:color w:val="auto"/>
                <w:sz w:val="20"/>
                <w:lang w:val="en-US" w:eastAsia="zh-CN"/>
              </w:rPr>
              <w:t>本项目趸船</w:t>
            </w:r>
          </w:p>
        </w:tc>
        <w:tc>
          <w:tcPr>
            <w:tcW w:w="2216" w:type="dxa"/>
            <w:noWrap w:val="0"/>
            <w:vAlign w:val="center"/>
          </w:tcPr>
          <w:p>
            <w:pPr>
              <w:widowControl w:val="0"/>
              <w:jc w:val="center"/>
              <w:rPr>
                <w:rFonts w:hint="eastAsia"/>
                <w:color w:val="auto"/>
                <w:sz w:val="20"/>
                <w:lang w:val="en-US" w:eastAsia="zh-CN"/>
              </w:rPr>
            </w:pPr>
            <w:r>
              <w:rPr>
                <w:rFonts w:hint="default"/>
                <w:color w:val="auto"/>
                <w:sz w:val="20"/>
                <w:lang w:val="en-US" w:eastAsia="zh-CN"/>
              </w:rPr>
              <w:t>COD、SS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eastAsia"/>
                <w:color w:val="auto"/>
                <w:sz w:val="20"/>
                <w:lang w:val="en-US" w:eastAsia="zh-CN"/>
              </w:rPr>
            </w:pPr>
            <w:r>
              <w:rPr>
                <w:rFonts w:hint="default"/>
                <w:color w:val="auto"/>
                <w:sz w:val="20"/>
                <w:lang w:val="en-US" w:eastAsia="zh-CN"/>
              </w:rPr>
              <w:t>到港船舶生活污水</w:t>
            </w:r>
          </w:p>
        </w:tc>
        <w:tc>
          <w:tcPr>
            <w:tcW w:w="2824" w:type="dxa"/>
            <w:noWrap w:val="0"/>
            <w:vAlign w:val="center"/>
          </w:tcPr>
          <w:p>
            <w:pPr>
              <w:widowControl w:val="0"/>
              <w:jc w:val="center"/>
              <w:rPr>
                <w:color w:val="auto"/>
                <w:sz w:val="20"/>
              </w:rPr>
            </w:pPr>
            <w:r>
              <w:rPr>
                <w:rFonts w:hint="eastAsia"/>
                <w:color w:val="auto"/>
                <w:sz w:val="20"/>
                <w:lang w:val="en-US" w:eastAsia="zh-CN"/>
              </w:rPr>
              <w:t>到港船舶</w:t>
            </w:r>
          </w:p>
        </w:tc>
        <w:tc>
          <w:tcPr>
            <w:tcW w:w="2216" w:type="dxa"/>
            <w:noWrap w:val="0"/>
            <w:vAlign w:val="center"/>
          </w:tcPr>
          <w:p>
            <w:pPr>
              <w:widowControl w:val="0"/>
              <w:jc w:val="center"/>
              <w:rPr>
                <w:rFonts w:hint="eastAsia"/>
                <w:color w:val="auto"/>
                <w:sz w:val="20"/>
                <w:lang w:val="en-US" w:eastAsia="zh-CN"/>
              </w:rPr>
            </w:pPr>
            <w:r>
              <w:rPr>
                <w:rFonts w:hint="default"/>
                <w:color w:val="auto"/>
                <w:sz w:val="20"/>
                <w:lang w:val="en-US" w:eastAsia="zh-CN"/>
              </w:rPr>
              <w:t>COD、BOD</w:t>
            </w:r>
            <w:r>
              <w:rPr>
                <w:rFonts w:hint="default"/>
                <w:color w:val="auto"/>
                <w:sz w:val="20"/>
                <w:vertAlign w:val="subscript"/>
                <w:lang w:val="en-US" w:eastAsia="zh-CN"/>
              </w:rPr>
              <w:t>5</w:t>
            </w:r>
            <w:r>
              <w:rPr>
                <w:rFonts w:hint="default"/>
                <w:color w:val="auto"/>
                <w:sz w:val="20"/>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eastAsia"/>
                <w:color w:val="auto"/>
                <w:sz w:val="20"/>
                <w:lang w:val="en-US" w:eastAsia="zh-CN"/>
              </w:rPr>
            </w:pPr>
            <w:r>
              <w:rPr>
                <w:rFonts w:hint="default"/>
                <w:color w:val="auto"/>
                <w:sz w:val="20"/>
                <w:lang w:val="en-US" w:eastAsia="zh-CN"/>
              </w:rPr>
              <w:t>到港船舶舱底油污水</w:t>
            </w:r>
          </w:p>
        </w:tc>
        <w:tc>
          <w:tcPr>
            <w:tcW w:w="2824" w:type="dxa"/>
            <w:noWrap w:val="0"/>
            <w:vAlign w:val="center"/>
          </w:tcPr>
          <w:p>
            <w:pPr>
              <w:widowControl w:val="0"/>
              <w:jc w:val="center"/>
              <w:rPr>
                <w:color w:val="auto"/>
                <w:sz w:val="20"/>
              </w:rPr>
            </w:pPr>
            <w:r>
              <w:rPr>
                <w:rFonts w:hint="eastAsia"/>
                <w:color w:val="auto"/>
                <w:sz w:val="20"/>
                <w:lang w:val="en-US" w:eastAsia="zh-CN"/>
              </w:rPr>
              <w:t>到港船舶</w:t>
            </w:r>
          </w:p>
        </w:tc>
        <w:tc>
          <w:tcPr>
            <w:tcW w:w="2216" w:type="dxa"/>
            <w:noWrap w:val="0"/>
            <w:vAlign w:val="center"/>
          </w:tcPr>
          <w:p>
            <w:pPr>
              <w:widowControl w:val="0"/>
              <w:jc w:val="center"/>
              <w:rPr>
                <w:rFonts w:hint="eastAsia"/>
                <w:color w:val="auto"/>
                <w:sz w:val="20"/>
                <w:lang w:val="en-US" w:eastAsia="zh-CN"/>
              </w:rPr>
            </w:pPr>
            <w:r>
              <w:rPr>
                <w:rFonts w:hint="default"/>
                <w:color w:val="auto"/>
                <w:sz w:val="20"/>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噪音</w:t>
            </w:r>
          </w:p>
        </w:tc>
        <w:tc>
          <w:tcPr>
            <w:tcW w:w="2788" w:type="dxa"/>
            <w:noWrap w:val="0"/>
            <w:vAlign w:val="center"/>
          </w:tcPr>
          <w:p>
            <w:pPr>
              <w:widowControl w:val="0"/>
              <w:jc w:val="center"/>
              <w:rPr>
                <w:rFonts w:hint="default"/>
                <w:color w:val="auto"/>
                <w:sz w:val="20"/>
                <w:lang w:val="en-US" w:eastAsia="zh-CN"/>
              </w:rPr>
            </w:pPr>
            <w:r>
              <w:rPr>
                <w:rFonts w:hint="default"/>
                <w:color w:val="auto"/>
                <w:sz w:val="20"/>
                <w:lang w:val="en-US" w:eastAsia="zh-CN"/>
              </w:rPr>
              <w:t>船舶噪声</w:t>
            </w:r>
          </w:p>
        </w:tc>
        <w:tc>
          <w:tcPr>
            <w:tcW w:w="2824" w:type="dxa"/>
            <w:noWrap w:val="0"/>
            <w:vAlign w:val="center"/>
          </w:tcPr>
          <w:p>
            <w:pPr>
              <w:widowControl w:val="0"/>
              <w:jc w:val="center"/>
              <w:rPr>
                <w:rFonts w:hint="default"/>
                <w:color w:val="auto"/>
                <w:sz w:val="20"/>
                <w:lang w:val="en-US" w:eastAsia="zh-CN"/>
              </w:rPr>
            </w:pPr>
            <w:r>
              <w:rPr>
                <w:rFonts w:hint="default"/>
                <w:color w:val="auto"/>
                <w:sz w:val="20"/>
                <w:lang w:val="en-US" w:eastAsia="zh-CN"/>
              </w:rPr>
              <w:t>到港船舶</w:t>
            </w:r>
          </w:p>
        </w:tc>
        <w:tc>
          <w:tcPr>
            <w:tcW w:w="2216" w:type="dxa"/>
            <w:noWrap w:val="0"/>
            <w:vAlign w:val="center"/>
          </w:tcPr>
          <w:p>
            <w:pPr>
              <w:widowControl w:val="0"/>
              <w:jc w:val="center"/>
              <w:rPr>
                <w:rFonts w:hint="default"/>
                <w:color w:val="auto"/>
                <w:sz w:val="20"/>
                <w:lang w:val="en-US" w:eastAsia="zh-CN"/>
              </w:rPr>
            </w:pPr>
            <w:r>
              <w:rPr>
                <w:rFonts w:hint="default"/>
                <w:color w:val="auto"/>
                <w:sz w:val="20"/>
                <w:lang w:val="en-US" w:eastAsia="zh-CN"/>
              </w:rPr>
              <w:t>连续等效A声级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default"/>
                <w:color w:val="auto"/>
                <w:sz w:val="20"/>
                <w:lang w:val="en-US" w:eastAsia="zh-CN"/>
              </w:rPr>
            </w:pPr>
            <w:r>
              <w:rPr>
                <w:rFonts w:hint="default"/>
                <w:color w:val="auto"/>
                <w:sz w:val="20"/>
                <w:lang w:val="en-US" w:eastAsia="zh-CN"/>
              </w:rPr>
              <w:t>机械设备噪声</w:t>
            </w:r>
          </w:p>
        </w:tc>
        <w:tc>
          <w:tcPr>
            <w:tcW w:w="2824" w:type="dxa"/>
            <w:noWrap w:val="0"/>
            <w:vAlign w:val="center"/>
          </w:tcPr>
          <w:p>
            <w:pPr>
              <w:widowControl w:val="0"/>
              <w:jc w:val="center"/>
              <w:rPr>
                <w:rFonts w:hint="default"/>
                <w:color w:val="auto"/>
                <w:sz w:val="20"/>
                <w:lang w:val="en-US" w:eastAsia="zh-CN"/>
              </w:rPr>
            </w:pPr>
            <w:r>
              <w:rPr>
                <w:rFonts w:hint="default"/>
                <w:color w:val="auto"/>
                <w:sz w:val="20"/>
                <w:lang w:val="en-US" w:eastAsia="zh-CN"/>
              </w:rPr>
              <w:t>各类</w:t>
            </w:r>
            <w:r>
              <w:rPr>
                <w:rFonts w:hint="eastAsia"/>
                <w:color w:val="auto"/>
                <w:sz w:val="20"/>
                <w:lang w:val="en-US" w:eastAsia="zh-CN"/>
              </w:rPr>
              <w:t>机械</w:t>
            </w:r>
            <w:r>
              <w:rPr>
                <w:rFonts w:hint="default"/>
                <w:color w:val="auto"/>
                <w:sz w:val="20"/>
                <w:lang w:val="en-US" w:eastAsia="zh-CN"/>
              </w:rPr>
              <w:t>等设备</w:t>
            </w:r>
          </w:p>
        </w:tc>
        <w:tc>
          <w:tcPr>
            <w:tcW w:w="2216" w:type="dxa"/>
            <w:noWrap w:val="0"/>
            <w:vAlign w:val="center"/>
          </w:tcPr>
          <w:p>
            <w:pPr>
              <w:widowControl w:val="0"/>
              <w:jc w:val="center"/>
              <w:rPr>
                <w:rFonts w:hint="default"/>
                <w:color w:val="auto"/>
                <w:sz w:val="20"/>
                <w:lang w:val="en-US" w:eastAsia="zh-CN"/>
              </w:rPr>
            </w:pPr>
            <w:r>
              <w:rPr>
                <w:rFonts w:hint="default"/>
                <w:color w:val="auto"/>
                <w:sz w:val="20"/>
                <w:lang w:val="en-US" w:eastAsia="zh-CN"/>
              </w:rPr>
              <w:t>连续等效A声级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restart"/>
            <w:noWrap w:val="0"/>
            <w:vAlign w:val="center"/>
          </w:tcPr>
          <w:p>
            <w:pPr>
              <w:widowControl w:val="0"/>
              <w:jc w:val="center"/>
              <w:rPr>
                <w:color w:val="auto"/>
                <w:sz w:val="20"/>
              </w:rPr>
            </w:pPr>
            <w:r>
              <w:rPr>
                <w:color w:val="auto"/>
                <w:sz w:val="20"/>
              </w:rPr>
              <w:t>固废</w:t>
            </w:r>
          </w:p>
        </w:tc>
        <w:tc>
          <w:tcPr>
            <w:tcW w:w="2788" w:type="dxa"/>
            <w:noWrap w:val="0"/>
            <w:vAlign w:val="center"/>
          </w:tcPr>
          <w:p>
            <w:pPr>
              <w:widowControl w:val="0"/>
              <w:jc w:val="center"/>
              <w:rPr>
                <w:rFonts w:hint="default"/>
                <w:color w:val="auto"/>
                <w:sz w:val="20"/>
                <w:lang w:val="en-US" w:eastAsia="zh-CN"/>
              </w:rPr>
            </w:pPr>
            <w:r>
              <w:rPr>
                <w:rFonts w:hint="default"/>
                <w:color w:val="auto"/>
                <w:sz w:val="20"/>
                <w:lang w:val="en-US" w:eastAsia="zh-CN"/>
              </w:rPr>
              <w:t>船舶生活垃圾</w:t>
            </w:r>
          </w:p>
        </w:tc>
        <w:tc>
          <w:tcPr>
            <w:tcW w:w="2824" w:type="dxa"/>
            <w:noWrap w:val="0"/>
            <w:vAlign w:val="center"/>
          </w:tcPr>
          <w:p>
            <w:pPr>
              <w:widowControl w:val="0"/>
              <w:jc w:val="center"/>
              <w:rPr>
                <w:rFonts w:hint="default"/>
                <w:color w:val="auto"/>
                <w:sz w:val="20"/>
                <w:lang w:val="en-US" w:eastAsia="zh-CN"/>
              </w:rPr>
            </w:pPr>
            <w:r>
              <w:rPr>
                <w:rFonts w:hint="default"/>
                <w:color w:val="auto"/>
                <w:sz w:val="20"/>
                <w:lang w:val="en-US" w:eastAsia="zh-CN"/>
              </w:rPr>
              <w:t>到港船舶</w:t>
            </w:r>
            <w:r>
              <w:rPr>
                <w:rFonts w:hint="eastAsia"/>
                <w:color w:val="auto"/>
                <w:sz w:val="20"/>
                <w:lang w:val="en-US" w:eastAsia="zh-CN"/>
              </w:rPr>
              <w:t>、本项目趸船</w:t>
            </w:r>
          </w:p>
        </w:tc>
        <w:tc>
          <w:tcPr>
            <w:tcW w:w="2216" w:type="dxa"/>
            <w:noWrap w:val="0"/>
            <w:vAlign w:val="center"/>
          </w:tcPr>
          <w:p>
            <w:pPr>
              <w:widowControl w:val="0"/>
              <w:jc w:val="center"/>
              <w:rPr>
                <w:rFonts w:hint="default"/>
                <w:color w:val="auto"/>
                <w:sz w:val="20"/>
                <w:lang w:val="en-US" w:eastAsia="zh-CN"/>
              </w:rPr>
            </w:pPr>
            <w:r>
              <w:rPr>
                <w:rFonts w:hint="default"/>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dxa"/>
            <w:vMerge w:val="continue"/>
            <w:noWrap w:val="0"/>
            <w:vAlign w:val="center"/>
          </w:tcPr>
          <w:p>
            <w:pPr>
              <w:widowControl w:val="0"/>
              <w:jc w:val="center"/>
              <w:rPr>
                <w:color w:val="auto"/>
                <w:sz w:val="20"/>
              </w:rPr>
            </w:pPr>
          </w:p>
        </w:tc>
        <w:tc>
          <w:tcPr>
            <w:tcW w:w="2788" w:type="dxa"/>
            <w:noWrap w:val="0"/>
            <w:vAlign w:val="center"/>
          </w:tcPr>
          <w:p>
            <w:pPr>
              <w:widowControl w:val="0"/>
              <w:jc w:val="center"/>
              <w:rPr>
                <w:rFonts w:hint="default"/>
                <w:color w:val="auto"/>
                <w:sz w:val="20"/>
                <w:lang w:val="en-US" w:eastAsia="zh-CN"/>
              </w:rPr>
            </w:pPr>
            <w:r>
              <w:rPr>
                <w:rFonts w:hint="default"/>
                <w:color w:val="auto"/>
                <w:sz w:val="20"/>
                <w:lang w:val="en-US" w:eastAsia="zh-CN"/>
              </w:rPr>
              <w:t>设备维修废油</w:t>
            </w:r>
          </w:p>
        </w:tc>
        <w:tc>
          <w:tcPr>
            <w:tcW w:w="2824" w:type="dxa"/>
            <w:noWrap w:val="0"/>
            <w:vAlign w:val="center"/>
          </w:tcPr>
          <w:p>
            <w:pPr>
              <w:widowControl w:val="0"/>
              <w:jc w:val="center"/>
              <w:rPr>
                <w:rFonts w:hint="default"/>
                <w:color w:val="auto"/>
                <w:sz w:val="20"/>
                <w:lang w:val="en-US" w:eastAsia="zh-CN"/>
              </w:rPr>
            </w:pPr>
            <w:r>
              <w:rPr>
                <w:rFonts w:hint="default"/>
                <w:color w:val="auto"/>
                <w:sz w:val="20"/>
                <w:lang w:val="en-US" w:eastAsia="zh-CN"/>
              </w:rPr>
              <w:t>趸船及其他设备维修</w:t>
            </w:r>
          </w:p>
        </w:tc>
        <w:tc>
          <w:tcPr>
            <w:tcW w:w="2216" w:type="dxa"/>
            <w:noWrap w:val="0"/>
            <w:vAlign w:val="center"/>
          </w:tcPr>
          <w:p>
            <w:pPr>
              <w:widowControl w:val="0"/>
              <w:jc w:val="center"/>
              <w:rPr>
                <w:rFonts w:hint="default"/>
                <w:color w:val="auto"/>
                <w:sz w:val="20"/>
                <w:lang w:val="en-US" w:eastAsia="zh-CN"/>
              </w:rPr>
            </w:pPr>
            <w:r>
              <w:rPr>
                <w:rFonts w:hint="default"/>
                <w:color w:val="auto"/>
                <w:sz w:val="20"/>
                <w:lang w:val="en-US" w:eastAsia="zh-CN"/>
              </w:rPr>
              <w:t>危险废物</w:t>
            </w:r>
          </w:p>
        </w:tc>
      </w:tr>
    </w:tbl>
    <w:p>
      <w:pPr>
        <w:pStyle w:val="9"/>
        <w:widowControl w:val="0"/>
        <w:spacing w:before="120" w:after="120" w:line="360" w:lineRule="auto"/>
        <w:rPr>
          <w:rFonts w:hint="default" w:ascii="Times New Roman" w:hAnsi="Times New Roman" w:eastAsia="黑体" w:cs="Times New Roman"/>
          <w:b w:val="0"/>
          <w:bCs/>
          <w:color w:val="auto"/>
          <w:sz w:val="24"/>
          <w:lang w:val="en-US" w:eastAsia="zh-CN"/>
        </w:rPr>
      </w:pPr>
      <w:bookmarkStart w:id="320" w:name="_Toc3268"/>
      <w:r>
        <w:rPr>
          <w:rFonts w:hint="eastAsia" w:ascii="Times New Roman" w:hAnsi="Times New Roman" w:eastAsia="黑体" w:cs="Times New Roman"/>
          <w:b w:val="0"/>
          <w:bCs/>
          <w:color w:val="auto"/>
          <w:sz w:val="24"/>
          <w:lang w:val="en-US" w:eastAsia="zh-CN"/>
        </w:rPr>
        <w:t>3.2.</w:t>
      </w:r>
      <w:r>
        <w:rPr>
          <w:rFonts w:hint="eastAsia" w:eastAsia="黑体" w:cs="Times New Roman"/>
          <w:b w:val="0"/>
          <w:bCs/>
          <w:color w:val="auto"/>
          <w:sz w:val="24"/>
          <w:lang w:val="en-US" w:eastAsia="zh-CN"/>
        </w:rPr>
        <w:t>2</w:t>
      </w:r>
      <w:r>
        <w:rPr>
          <w:rFonts w:hint="eastAsia" w:ascii="Times New Roman" w:hAnsi="Times New Roman" w:eastAsia="黑体" w:cs="Times New Roman"/>
          <w:b w:val="0"/>
          <w:bCs/>
          <w:color w:val="auto"/>
          <w:sz w:val="24"/>
          <w:lang w:val="en-US" w:eastAsia="zh-CN"/>
        </w:rPr>
        <w:t>运营期污染源分析</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2.1</w:t>
      </w:r>
      <w:r>
        <w:rPr>
          <w:rFonts w:hint="eastAsia" w:ascii="Times New Roman" w:hAnsi="Times New Roman" w:eastAsia="黑体" w:cs="Times New Roman"/>
          <w:color w:val="auto"/>
          <w:szCs w:val="24"/>
          <w:lang w:val="en-US" w:eastAsia="zh-CN"/>
        </w:rPr>
        <w:t>废气</w:t>
      </w:r>
      <w:bookmarkEnd w:id="320"/>
    </w:p>
    <w:p>
      <w:pPr>
        <w:widowControl w:val="0"/>
        <w:spacing w:line="360" w:lineRule="auto"/>
        <w:ind w:firstLine="480" w:firstLineChars="200"/>
        <w:rPr>
          <w:rFonts w:hint="eastAsia" w:eastAsia="仿宋_GB2312"/>
          <w:color w:val="auto"/>
          <w:sz w:val="24"/>
          <w:szCs w:val="24"/>
          <w:lang w:val="en-US" w:eastAsia="zh-CN"/>
        </w:rPr>
      </w:pPr>
      <w:r>
        <w:rPr>
          <w:rFonts w:hint="eastAsia" w:eastAsia="仿宋_GB2312"/>
          <w:color w:val="auto"/>
          <w:sz w:val="24"/>
          <w:szCs w:val="24"/>
          <w:lang w:val="en-US" w:eastAsia="zh-CN"/>
        </w:rPr>
        <w:t>本工程不设置陆域堆场，故无堆场扬尘产生。运营期</w:t>
      </w:r>
      <w:r>
        <w:rPr>
          <w:rFonts w:hint="eastAsia" w:eastAsia="仿宋_GB2312"/>
          <w:color w:val="auto"/>
          <w:sz w:val="24"/>
          <w:szCs w:val="24"/>
        </w:rPr>
        <w:t>废气主要</w:t>
      </w:r>
      <w:r>
        <w:rPr>
          <w:rFonts w:hint="eastAsia" w:eastAsia="仿宋_GB2312"/>
          <w:color w:val="auto"/>
          <w:sz w:val="24"/>
          <w:szCs w:val="24"/>
          <w:lang w:val="en-US" w:eastAsia="zh-CN"/>
        </w:rPr>
        <w:t>为</w:t>
      </w:r>
      <w:r>
        <w:rPr>
          <w:rFonts w:hint="eastAsia" w:eastAsia="仿宋_GB2312"/>
          <w:color w:val="auto"/>
          <w:sz w:val="24"/>
          <w:szCs w:val="24"/>
        </w:rPr>
        <w:t>码头</w:t>
      </w:r>
      <w:r>
        <w:rPr>
          <w:rFonts w:hint="eastAsia" w:eastAsia="仿宋_GB2312"/>
          <w:color w:val="auto"/>
          <w:sz w:val="24"/>
          <w:szCs w:val="24"/>
          <w:lang w:val="en-US" w:eastAsia="zh-CN"/>
        </w:rPr>
        <w:t>作业装船扬尘</w:t>
      </w:r>
      <w:r>
        <w:rPr>
          <w:rFonts w:hint="eastAsia" w:eastAsia="仿宋_GB2312"/>
          <w:color w:val="auto"/>
          <w:sz w:val="24"/>
          <w:szCs w:val="24"/>
        </w:rPr>
        <w:t>、转运站</w:t>
      </w:r>
      <w:r>
        <w:rPr>
          <w:rFonts w:hint="eastAsia" w:eastAsia="仿宋_GB2312"/>
          <w:color w:val="auto"/>
          <w:sz w:val="24"/>
          <w:szCs w:val="24"/>
          <w:lang w:val="en-US" w:eastAsia="zh-CN"/>
        </w:rPr>
        <w:t>粉尘及到港船舶燃油废气。</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本工程</w:t>
      </w:r>
      <w:r>
        <w:rPr>
          <w:rFonts w:hint="eastAsia" w:eastAsia="仿宋_GB2312"/>
          <w:color w:val="auto"/>
          <w:sz w:val="24"/>
          <w:szCs w:val="24"/>
          <w:lang w:val="en-US" w:eastAsia="zh-CN"/>
        </w:rPr>
        <w:t>出口</w:t>
      </w:r>
      <w:r>
        <w:rPr>
          <w:rFonts w:hint="eastAsia" w:eastAsia="仿宋_GB2312"/>
          <w:color w:val="auto"/>
          <w:sz w:val="24"/>
          <w:szCs w:val="24"/>
          <w:lang w:eastAsia="zh-CN"/>
        </w:rPr>
        <w:t>的砂石料4</w:t>
      </w:r>
      <w:r>
        <w:rPr>
          <w:rFonts w:hint="eastAsia" w:eastAsia="仿宋_GB2312"/>
          <w:color w:val="auto"/>
          <w:sz w:val="24"/>
          <w:szCs w:val="24"/>
          <w:lang w:val="en-US" w:eastAsia="zh-CN"/>
        </w:rPr>
        <w:t>0</w:t>
      </w:r>
      <w:r>
        <w:rPr>
          <w:rFonts w:hint="eastAsia" w:eastAsia="仿宋_GB2312"/>
          <w:color w:val="auto"/>
          <w:sz w:val="24"/>
          <w:szCs w:val="24"/>
          <w:lang w:eastAsia="zh-CN"/>
        </w:rPr>
        <w:t>0万吨/年，含水率较高，含尘量较低。砂石料粉尘按其粒径可分为细粉尘（小于100μ，即总悬浮物微粒TSP）和粗粉尘（大于100μ），长江中游黄砂粒径小，一般为0.2~0.99，其中粒径小于100μ的占5%，粒径在100~500μ之间占75%，粒径在500~990μ之间占20%，因此TSP占总起尘量的5%左右。其中粗粉尘由于重力作用，很快落地，而细粉尘可随气流输送、扩散，影响范围相对较大。因此，本评价主要考虑细粉尘约占总粉尘量的5%。</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1</w:t>
      </w:r>
      <w:r>
        <w:rPr>
          <w:rFonts w:hint="eastAsia" w:eastAsia="仿宋_GB2312"/>
          <w:color w:val="auto"/>
          <w:sz w:val="24"/>
          <w:szCs w:val="24"/>
          <w:lang w:eastAsia="zh-CN"/>
        </w:rPr>
        <w:t>）</w:t>
      </w:r>
      <w:r>
        <w:rPr>
          <w:rFonts w:hint="eastAsia" w:eastAsia="仿宋_GB2312"/>
          <w:color w:val="auto"/>
          <w:sz w:val="24"/>
          <w:szCs w:val="24"/>
          <w:lang w:val="en-US" w:eastAsia="zh-CN"/>
        </w:rPr>
        <w:t>装卸扬尘</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rPr>
        <w:t>装卸作业粉尘参照采用</w:t>
      </w:r>
      <w:r>
        <w:rPr>
          <w:rFonts w:hint="eastAsia" w:ascii="Times New Roman" w:hAnsi="Times New Roman" w:eastAsia="仿宋_GB2312" w:cs="Times New Roman"/>
          <w:color w:val="auto"/>
          <w:sz w:val="24"/>
        </w:rPr>
        <w:t>《水运工程建设项目环境影响评价指南》（JTS-T105-2021）</w:t>
      </w:r>
      <w:r>
        <w:rPr>
          <w:rFonts w:hint="eastAsia" w:eastAsia="仿宋_GB2312"/>
          <w:color w:val="auto"/>
          <w:sz w:val="24"/>
          <w:szCs w:val="24"/>
        </w:rPr>
        <w:t>推荐的公式计算</w:t>
      </w:r>
      <w:r>
        <w:rPr>
          <w:rFonts w:hint="eastAsia" w:eastAsia="仿宋_GB2312"/>
          <w:color w:val="auto"/>
          <w:sz w:val="24"/>
          <w:szCs w:val="24"/>
          <w:lang w:eastAsia="zh-CN"/>
        </w:rPr>
        <w:t>。</w:t>
      </w:r>
    </w:p>
    <w:p>
      <w:pPr>
        <w:widowControl w:val="0"/>
        <w:spacing w:line="360" w:lineRule="auto"/>
        <w:jc w:val="center"/>
        <w:rPr>
          <w:rFonts w:hint="eastAsia" w:eastAsia="仿宋_GB2312"/>
          <w:color w:val="auto"/>
          <w:sz w:val="24"/>
          <w:szCs w:val="24"/>
          <w:lang w:eastAsia="zh-CN"/>
        </w:rPr>
      </w:pPr>
      <w:r>
        <w:rPr>
          <w:rFonts w:hint="eastAsia" w:eastAsia="仿宋_GB2312"/>
          <w:color w:val="auto"/>
          <w:position w:val="-10"/>
          <w:sz w:val="24"/>
          <w:szCs w:val="24"/>
          <w:lang w:eastAsia="zh-CN"/>
        </w:rPr>
        <w:object>
          <v:shape id="_x0000_i1031" o:spt="75" type="#_x0000_t75" style="height:20pt;width:159pt;" o:ole="t" filled="f" o:preferrelative="t" stroked="f" coordsize="21600,21600">
            <v:path/>
            <v:fill on="f" focussize="0,0"/>
            <v:stroke on="f"/>
            <v:imagedata r:id="rId45" o:title=""/>
            <o:lock v:ext="edit" aspectratio="t"/>
            <w10:wrap type="none"/>
            <w10:anchorlock/>
          </v:shape>
          <o:OLEObject Type="Embed" ProgID="Equation.KSEE3" ShapeID="_x0000_i1031" DrawAspect="Content" ObjectID="_1468075731" r:id="rId44">
            <o:LockedField>false</o:LockedField>
          </o:OLEObject>
        </w:objec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式中：Q</w:t>
      </w:r>
      <w:r>
        <w:rPr>
          <w:rFonts w:hint="eastAsia" w:eastAsia="仿宋_GB2312"/>
          <w:color w:val="auto"/>
          <w:sz w:val="24"/>
          <w:szCs w:val="24"/>
          <w:vertAlign w:val="subscript"/>
          <w:lang w:val="en-US" w:eastAsia="zh-CN"/>
        </w:rPr>
        <w:t>2</w:t>
      </w:r>
      <w:r>
        <w:rPr>
          <w:rFonts w:hint="eastAsia" w:eastAsia="仿宋_GB2312"/>
          <w:color w:val="auto"/>
          <w:sz w:val="24"/>
          <w:szCs w:val="24"/>
        </w:rPr>
        <w:t>——</w:t>
      </w:r>
      <w:r>
        <w:rPr>
          <w:rFonts w:hint="eastAsia" w:eastAsia="仿宋_GB2312"/>
          <w:color w:val="auto"/>
          <w:sz w:val="24"/>
          <w:szCs w:val="24"/>
          <w:lang w:val="en-US" w:eastAsia="zh-CN"/>
        </w:rPr>
        <w:t>装卸作业起尘量</w:t>
      </w:r>
      <w:r>
        <w:rPr>
          <w:rFonts w:hint="eastAsia" w:eastAsia="仿宋_GB2312"/>
          <w:color w:val="auto"/>
          <w:sz w:val="24"/>
          <w:szCs w:val="24"/>
          <w:lang w:eastAsia="zh-CN"/>
        </w:rPr>
        <w:t>（</w:t>
      </w:r>
      <w:r>
        <w:rPr>
          <w:rFonts w:hint="eastAsia" w:eastAsia="仿宋_GB2312"/>
          <w:color w:val="auto"/>
          <w:sz w:val="24"/>
          <w:szCs w:val="24"/>
        </w:rPr>
        <w:t>kg</w:t>
      </w:r>
      <w:r>
        <w:rPr>
          <w:rFonts w:hint="eastAsia" w:eastAsia="仿宋_GB2312"/>
          <w:color w:val="auto"/>
          <w:sz w:val="24"/>
          <w:szCs w:val="24"/>
          <w:lang w:val="en-US" w:eastAsia="zh-CN"/>
        </w:rPr>
        <w:t>/h</w:t>
      </w:r>
      <w:r>
        <w:rPr>
          <w:rFonts w:hint="eastAsia" w:eastAsia="仿宋_GB2312"/>
          <w:color w:val="auto"/>
          <w:sz w:val="24"/>
          <w:szCs w:val="24"/>
          <w:lang w:eastAsia="zh-CN"/>
        </w:rPr>
        <w:t>）</w:t>
      </w:r>
      <w:r>
        <w:rPr>
          <w:rFonts w:hint="eastAsia" w:eastAsia="仿宋_GB2312"/>
          <w:color w:val="auto"/>
          <w:sz w:val="24"/>
          <w:szCs w:val="24"/>
        </w:rPr>
        <w:t>；</w:t>
      </w:r>
    </w:p>
    <w:p>
      <w:pPr>
        <w:widowControl w:val="0"/>
        <w:spacing w:line="360" w:lineRule="auto"/>
        <w:ind w:firstLine="1200" w:firstLineChars="500"/>
        <w:rPr>
          <w:rFonts w:hint="eastAsia" w:eastAsia="仿宋_GB2312"/>
          <w:color w:val="auto"/>
          <w:sz w:val="24"/>
          <w:szCs w:val="24"/>
        </w:rPr>
      </w:pPr>
      <w:r>
        <w:rPr>
          <w:rFonts w:hint="default" w:ascii="Arial" w:hAnsi="Arial" w:eastAsia="仿宋_GB2312" w:cs="Arial"/>
          <w:color w:val="auto"/>
          <w:sz w:val="24"/>
          <w:szCs w:val="24"/>
        </w:rPr>
        <w:t>α</w:t>
      </w:r>
      <w:r>
        <w:rPr>
          <w:rFonts w:hint="eastAsia" w:eastAsia="仿宋_GB2312"/>
          <w:color w:val="auto"/>
          <w:sz w:val="24"/>
          <w:szCs w:val="24"/>
        </w:rPr>
        <w:t>——货物类型调节系数，见表4.2-1，本项目货物</w:t>
      </w:r>
      <w:r>
        <w:rPr>
          <w:rFonts w:hint="eastAsia" w:eastAsia="仿宋_GB2312"/>
          <w:color w:val="auto"/>
          <w:sz w:val="24"/>
          <w:szCs w:val="24"/>
          <w:lang w:val="en-US" w:eastAsia="zh-CN"/>
        </w:rPr>
        <w:t>为</w:t>
      </w:r>
      <w:r>
        <w:rPr>
          <w:rFonts w:hint="eastAsia" w:eastAsia="仿宋_GB2312"/>
          <w:color w:val="auto"/>
          <w:sz w:val="24"/>
          <w:szCs w:val="24"/>
        </w:rPr>
        <w:t>水洗</w:t>
      </w:r>
      <w:r>
        <w:rPr>
          <w:rFonts w:hint="eastAsia" w:eastAsia="仿宋_GB2312"/>
          <w:color w:val="auto"/>
          <w:sz w:val="24"/>
          <w:szCs w:val="24"/>
          <w:lang w:val="en-US" w:eastAsia="zh-CN"/>
        </w:rPr>
        <w:t>砂</w:t>
      </w:r>
      <w:r>
        <w:rPr>
          <w:rFonts w:hint="eastAsia" w:eastAsia="仿宋_GB2312"/>
          <w:color w:val="auto"/>
          <w:sz w:val="24"/>
          <w:szCs w:val="24"/>
        </w:rPr>
        <w:t>，本项目取</w:t>
      </w:r>
      <w:r>
        <w:rPr>
          <w:rFonts w:hint="eastAsia" w:eastAsia="仿宋_GB2312"/>
          <w:color w:val="auto"/>
          <w:sz w:val="24"/>
          <w:szCs w:val="24"/>
          <w:lang w:val="en-US" w:eastAsia="zh-CN"/>
        </w:rPr>
        <w:t>0.6</w:t>
      </w:r>
      <w:r>
        <w:rPr>
          <w:rFonts w:hint="eastAsia" w:eastAsia="仿宋_GB2312"/>
          <w:color w:val="auto"/>
          <w:sz w:val="24"/>
          <w:szCs w:val="24"/>
        </w:rPr>
        <w:t>；</w:t>
      </w:r>
    </w:p>
    <w:p>
      <w:pPr>
        <w:widowControl w:val="0"/>
        <w:spacing w:line="360" w:lineRule="auto"/>
        <w:ind w:firstLine="1200" w:firstLineChars="500"/>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β——作业方式系数，</w:t>
      </w:r>
      <w:r>
        <w:rPr>
          <w:rFonts w:hint="eastAsia" w:eastAsia="仿宋_GB2312" w:cs="Times New Roman"/>
          <w:color w:val="auto"/>
          <w:sz w:val="24"/>
          <w:szCs w:val="24"/>
          <w:lang w:val="en-US" w:eastAsia="zh-CN"/>
        </w:rPr>
        <w:t>装堆（船）</w:t>
      </w:r>
      <w:r>
        <w:rPr>
          <w:rFonts w:hint="default" w:ascii="Times New Roman" w:hAnsi="Times New Roman" w:eastAsia="仿宋_GB2312" w:cs="Times New Roman"/>
          <w:color w:val="auto"/>
          <w:sz w:val="24"/>
          <w:szCs w:val="24"/>
          <w:lang w:val="en-US" w:eastAsia="zh-CN"/>
        </w:rPr>
        <w:t>时，β=1，取料时，β=2，本工程取</w:t>
      </w:r>
      <w:r>
        <w:rPr>
          <w:rFonts w:hint="eastAsia" w:eastAsia="仿宋_GB2312" w:cs="Times New Roman"/>
          <w:color w:val="auto"/>
          <w:sz w:val="24"/>
          <w:szCs w:val="24"/>
          <w:lang w:val="en-US" w:eastAsia="zh-CN"/>
        </w:rPr>
        <w:t>1</w:t>
      </w:r>
      <w:r>
        <w:rPr>
          <w:rFonts w:hint="default" w:ascii="Times New Roman" w:hAnsi="Times New Roman" w:eastAsia="仿宋_GB2312" w:cs="Times New Roman"/>
          <w:color w:val="auto"/>
          <w:sz w:val="24"/>
          <w:szCs w:val="24"/>
        </w:rPr>
        <w:t>；</w:t>
      </w:r>
    </w:p>
    <w:p>
      <w:pPr>
        <w:widowControl w:val="0"/>
        <w:spacing w:line="360" w:lineRule="auto"/>
        <w:ind w:firstLine="1200" w:firstLineChars="500"/>
        <w:rPr>
          <w:rFonts w:hint="eastAsia" w:eastAsia="仿宋_GB2312"/>
          <w:color w:val="auto"/>
          <w:sz w:val="24"/>
          <w:szCs w:val="24"/>
        </w:rPr>
      </w:pPr>
      <w:r>
        <w:rPr>
          <w:rFonts w:hint="eastAsia" w:eastAsia="仿宋_GB2312"/>
          <w:color w:val="auto"/>
          <w:sz w:val="24"/>
          <w:szCs w:val="24"/>
        </w:rPr>
        <w:t>H——作业落差</w:t>
      </w:r>
      <w:r>
        <w:rPr>
          <w:rFonts w:hint="eastAsia" w:eastAsia="仿宋_GB2312"/>
          <w:color w:val="auto"/>
          <w:sz w:val="24"/>
          <w:szCs w:val="24"/>
          <w:lang w:eastAsia="zh-CN"/>
        </w:rPr>
        <w:t>（</w:t>
      </w:r>
      <w:r>
        <w:rPr>
          <w:rFonts w:hint="eastAsia" w:eastAsia="仿宋_GB2312"/>
          <w:color w:val="auto"/>
          <w:sz w:val="24"/>
          <w:szCs w:val="24"/>
        </w:rPr>
        <w:t>m</w:t>
      </w:r>
      <w:r>
        <w:rPr>
          <w:rFonts w:hint="eastAsia" w:eastAsia="仿宋_GB2312"/>
          <w:color w:val="auto"/>
          <w:sz w:val="24"/>
          <w:szCs w:val="24"/>
          <w:lang w:eastAsia="zh-CN"/>
        </w:rPr>
        <w:t>）</w:t>
      </w:r>
      <w:r>
        <w:rPr>
          <w:rFonts w:hint="eastAsia" w:eastAsia="仿宋_GB2312"/>
          <w:color w:val="auto"/>
          <w:sz w:val="24"/>
          <w:szCs w:val="24"/>
        </w:rPr>
        <w:t>，码头装卸取0.</w:t>
      </w:r>
      <w:r>
        <w:rPr>
          <w:rFonts w:hint="eastAsia" w:eastAsia="仿宋_GB2312"/>
          <w:color w:val="auto"/>
          <w:sz w:val="24"/>
          <w:szCs w:val="24"/>
          <w:lang w:val="en-US" w:eastAsia="zh-CN"/>
        </w:rPr>
        <w:t>3</w:t>
      </w:r>
      <w:r>
        <w:rPr>
          <w:rFonts w:hint="eastAsia" w:eastAsia="仿宋_GB2312"/>
          <w:color w:val="auto"/>
          <w:sz w:val="24"/>
          <w:szCs w:val="24"/>
        </w:rPr>
        <w:t>m；</w:t>
      </w:r>
    </w:p>
    <w:p>
      <w:pPr>
        <w:widowControl w:val="0"/>
        <w:spacing w:line="360" w:lineRule="auto"/>
        <w:ind w:firstLine="1200" w:firstLineChars="500"/>
        <w:rPr>
          <w:rFonts w:hint="eastAsia" w:eastAsia="仿宋_GB2312"/>
          <w:color w:val="auto"/>
          <w:sz w:val="24"/>
          <w:szCs w:val="24"/>
        </w:rPr>
      </w:pPr>
      <w:r>
        <w:rPr>
          <w:rFonts w:hint="default" w:ascii="Arial" w:hAnsi="Arial" w:eastAsia="仿宋_GB2312" w:cs="Arial"/>
          <w:color w:val="auto"/>
          <w:sz w:val="24"/>
          <w:szCs w:val="24"/>
        </w:rPr>
        <w:t>ω</w:t>
      </w:r>
      <w:r>
        <w:rPr>
          <w:rFonts w:hint="eastAsia" w:eastAsia="仿宋_GB2312"/>
          <w:color w:val="auto"/>
          <w:sz w:val="24"/>
          <w:szCs w:val="24"/>
          <w:vertAlign w:val="subscript"/>
        </w:rPr>
        <w:t>2</w:t>
      </w:r>
      <w:r>
        <w:rPr>
          <w:rFonts w:hint="eastAsia" w:eastAsia="仿宋_GB2312"/>
          <w:color w:val="auto"/>
          <w:sz w:val="24"/>
          <w:szCs w:val="24"/>
        </w:rPr>
        <w:t>——水分作用系数，与散货性质有关，取0.40～0.45；本评价取</w:t>
      </w:r>
      <w:r>
        <w:rPr>
          <w:rFonts w:hint="eastAsia" w:eastAsia="仿宋_GB2312"/>
          <w:color w:val="auto"/>
          <w:sz w:val="24"/>
          <w:szCs w:val="24"/>
          <w:lang w:val="en-US" w:eastAsia="zh-CN"/>
        </w:rPr>
        <w:t>0.40</w:t>
      </w:r>
      <w:r>
        <w:rPr>
          <w:rFonts w:hint="eastAsia" w:eastAsia="仿宋_GB2312"/>
          <w:color w:val="auto"/>
          <w:sz w:val="24"/>
          <w:szCs w:val="24"/>
        </w:rPr>
        <w:t>；</w:t>
      </w:r>
    </w:p>
    <w:p>
      <w:pPr>
        <w:widowControl w:val="0"/>
        <w:spacing w:line="360" w:lineRule="auto"/>
        <w:ind w:firstLine="1200" w:firstLineChars="500"/>
        <w:rPr>
          <w:rFonts w:hint="eastAsia" w:eastAsia="仿宋_GB2312"/>
          <w:color w:val="auto"/>
          <w:sz w:val="24"/>
          <w:szCs w:val="24"/>
        </w:rPr>
      </w:pPr>
      <w:r>
        <w:rPr>
          <w:rFonts w:hint="default" w:ascii="Arial" w:hAnsi="Arial" w:eastAsia="仿宋_GB2312" w:cs="Arial"/>
          <w:color w:val="auto"/>
          <w:sz w:val="24"/>
          <w:szCs w:val="24"/>
        </w:rPr>
        <w:t>ω</w:t>
      </w:r>
      <w:r>
        <w:rPr>
          <w:rFonts w:hint="eastAsia" w:eastAsia="仿宋_GB2312"/>
          <w:color w:val="auto"/>
          <w:sz w:val="24"/>
          <w:szCs w:val="24"/>
          <w:vertAlign w:val="subscript"/>
        </w:rPr>
        <w:t>0</w:t>
      </w:r>
      <w:r>
        <w:rPr>
          <w:rFonts w:hint="eastAsia" w:eastAsia="仿宋_GB2312"/>
          <w:color w:val="auto"/>
          <w:sz w:val="24"/>
          <w:szCs w:val="24"/>
        </w:rPr>
        <w:t>——水分作用效果的临界值，即含水率高于此值时水分作用效果增加不明显，与散货性质有关；本评价取5%；</w:t>
      </w:r>
    </w:p>
    <w:p>
      <w:pPr>
        <w:widowControl w:val="0"/>
        <w:spacing w:line="360" w:lineRule="auto"/>
        <w:ind w:firstLine="1200" w:firstLineChars="500"/>
        <w:rPr>
          <w:rFonts w:hint="eastAsia" w:eastAsia="仿宋_GB2312"/>
          <w:color w:val="auto"/>
          <w:sz w:val="24"/>
          <w:szCs w:val="24"/>
        </w:rPr>
      </w:pPr>
      <w:r>
        <w:rPr>
          <w:rFonts w:hint="eastAsia" w:eastAsia="仿宋_GB2312"/>
          <w:color w:val="auto"/>
          <w:sz w:val="24"/>
          <w:szCs w:val="24"/>
        </w:rPr>
        <w:t>w——含水率(%)，本评价取</w:t>
      </w:r>
      <w:r>
        <w:rPr>
          <w:rFonts w:hint="eastAsia" w:eastAsia="仿宋_GB2312"/>
          <w:color w:val="auto"/>
          <w:sz w:val="24"/>
          <w:szCs w:val="24"/>
          <w:lang w:val="en-US" w:eastAsia="zh-CN"/>
        </w:rPr>
        <w:t>5%</w:t>
      </w:r>
      <w:r>
        <w:rPr>
          <w:rFonts w:hint="eastAsia" w:eastAsia="仿宋_GB2312"/>
          <w:color w:val="auto"/>
          <w:sz w:val="24"/>
          <w:szCs w:val="24"/>
        </w:rPr>
        <w:t>；</w:t>
      </w:r>
    </w:p>
    <w:p>
      <w:pPr>
        <w:widowControl w:val="0"/>
        <w:spacing w:line="360" w:lineRule="auto"/>
        <w:ind w:firstLine="1200" w:firstLineChars="500"/>
        <w:rPr>
          <w:rFonts w:hint="eastAsia" w:eastAsia="仿宋_GB2312"/>
          <w:color w:val="auto"/>
          <w:sz w:val="24"/>
          <w:szCs w:val="24"/>
          <w:lang w:eastAsia="zh-CN"/>
        </w:rPr>
      </w:pPr>
      <w:r>
        <w:rPr>
          <w:rFonts w:hint="eastAsia" w:eastAsia="仿宋_GB2312"/>
          <w:color w:val="auto"/>
          <w:sz w:val="24"/>
          <w:szCs w:val="24"/>
        </w:rPr>
        <w:t>Y——装卸</w:t>
      </w:r>
      <w:r>
        <w:rPr>
          <w:rFonts w:hint="eastAsia" w:eastAsia="仿宋_GB2312"/>
          <w:color w:val="auto"/>
          <w:sz w:val="24"/>
          <w:szCs w:val="24"/>
          <w:lang w:val="en-US" w:eastAsia="zh-CN"/>
        </w:rPr>
        <w:t>作业效率</w:t>
      </w:r>
      <w:r>
        <w:rPr>
          <w:rFonts w:hint="eastAsia" w:eastAsia="仿宋_GB2312"/>
          <w:color w:val="auto"/>
          <w:sz w:val="24"/>
          <w:szCs w:val="24"/>
        </w:rPr>
        <w:t>，装卸作业时间按码头年工作天数</w:t>
      </w:r>
      <w:r>
        <w:rPr>
          <w:rFonts w:hint="eastAsia" w:eastAsia="仿宋_GB2312"/>
          <w:color w:val="auto"/>
          <w:sz w:val="24"/>
          <w:szCs w:val="24"/>
          <w:lang w:val="en-US" w:eastAsia="zh-CN"/>
        </w:rPr>
        <w:t>330</w:t>
      </w:r>
      <w:r>
        <w:rPr>
          <w:rFonts w:hint="eastAsia" w:eastAsia="仿宋_GB2312"/>
          <w:color w:val="auto"/>
          <w:sz w:val="24"/>
          <w:szCs w:val="24"/>
        </w:rPr>
        <w:t>天，每天工作24小时计，本工程取5</w:t>
      </w:r>
      <w:r>
        <w:rPr>
          <w:rFonts w:hint="eastAsia" w:eastAsia="仿宋_GB2312"/>
          <w:color w:val="auto"/>
          <w:sz w:val="24"/>
          <w:szCs w:val="24"/>
          <w:lang w:val="en-US" w:eastAsia="zh-CN"/>
        </w:rPr>
        <w:t>0</w:t>
      </w:r>
      <w:r>
        <w:rPr>
          <w:rFonts w:hint="eastAsia" w:eastAsia="仿宋_GB2312"/>
          <w:color w:val="auto"/>
          <w:sz w:val="24"/>
          <w:szCs w:val="24"/>
        </w:rPr>
        <w:t>5t/h</w:t>
      </w:r>
      <w:r>
        <w:rPr>
          <w:rFonts w:hint="eastAsia" w:eastAsia="仿宋_GB2312"/>
          <w:color w:val="auto"/>
          <w:sz w:val="24"/>
          <w:szCs w:val="24"/>
          <w:lang w:eastAsia="zh-CN"/>
        </w:rPr>
        <w:t>；</w:t>
      </w:r>
    </w:p>
    <w:p>
      <w:pPr>
        <w:widowControl w:val="0"/>
        <w:spacing w:line="360" w:lineRule="auto"/>
        <w:ind w:firstLine="1200" w:firstLineChars="500"/>
        <w:rPr>
          <w:rFonts w:hint="eastAsia" w:eastAsia="仿宋_GB2312"/>
          <w:color w:val="auto"/>
          <w:sz w:val="24"/>
          <w:szCs w:val="24"/>
          <w:lang w:eastAsia="zh-CN"/>
        </w:rPr>
      </w:pPr>
      <w:r>
        <w:rPr>
          <w:rFonts w:hint="eastAsia" w:eastAsia="仿宋_GB2312"/>
          <w:color w:val="auto"/>
          <w:sz w:val="24"/>
          <w:szCs w:val="24"/>
        </w:rPr>
        <w:t>v</w:t>
      </w:r>
      <w:r>
        <w:rPr>
          <w:rFonts w:hint="eastAsia" w:eastAsia="仿宋_GB2312"/>
          <w:color w:val="auto"/>
          <w:sz w:val="24"/>
          <w:szCs w:val="24"/>
          <w:vertAlign w:val="subscript"/>
        </w:rPr>
        <w:t>2</w:t>
      </w:r>
      <w:r>
        <w:rPr>
          <w:rFonts w:hint="eastAsia" w:eastAsia="仿宋_GB2312"/>
          <w:color w:val="auto"/>
          <w:sz w:val="24"/>
          <w:szCs w:val="24"/>
        </w:rPr>
        <w:t>——作业起尘量达到最大起尘量50%时的风速（m/s）</w:t>
      </w:r>
      <w:r>
        <w:rPr>
          <w:rFonts w:hint="eastAsia" w:eastAsia="仿宋_GB2312"/>
          <w:color w:val="auto"/>
          <w:sz w:val="24"/>
          <w:szCs w:val="24"/>
          <w:lang w:eastAsia="zh-CN"/>
        </w:rPr>
        <w:t>，</w:t>
      </w:r>
      <w:r>
        <w:rPr>
          <w:rFonts w:hint="eastAsia" w:eastAsia="仿宋_GB2312"/>
          <w:color w:val="auto"/>
          <w:sz w:val="24"/>
          <w:szCs w:val="24"/>
          <w:lang w:val="en-US" w:eastAsia="zh-CN"/>
        </w:rPr>
        <w:t>根据项目所在地最大风速计算最大起尘量，v</w:t>
      </w:r>
      <w:r>
        <w:rPr>
          <w:rFonts w:hint="eastAsia" w:eastAsia="仿宋_GB2312"/>
          <w:color w:val="auto"/>
          <w:sz w:val="24"/>
          <w:szCs w:val="24"/>
          <w:vertAlign w:val="subscript"/>
          <w:lang w:val="en-US" w:eastAsia="zh-CN"/>
        </w:rPr>
        <w:t>2</w:t>
      </w:r>
      <w:r>
        <w:rPr>
          <w:rFonts w:hint="eastAsia" w:eastAsia="仿宋_GB2312"/>
          <w:color w:val="auto"/>
          <w:sz w:val="24"/>
          <w:szCs w:val="24"/>
          <w:lang w:val="en-US" w:eastAsia="zh-CN"/>
        </w:rPr>
        <w:t>取16m/s</w:t>
      </w:r>
      <w:r>
        <w:rPr>
          <w:rFonts w:hint="eastAsia" w:eastAsia="仿宋_GB2312"/>
          <w:color w:val="auto"/>
          <w:sz w:val="24"/>
          <w:szCs w:val="24"/>
          <w:lang w:eastAsia="zh-CN"/>
        </w:rPr>
        <w:t>；</w:t>
      </w:r>
    </w:p>
    <w:p>
      <w:pPr>
        <w:widowControl w:val="0"/>
        <w:spacing w:line="360" w:lineRule="auto"/>
        <w:ind w:firstLine="1200" w:firstLineChars="500"/>
        <w:rPr>
          <w:rFonts w:hint="eastAsia" w:eastAsia="仿宋_GB2312"/>
          <w:color w:val="auto"/>
          <w:sz w:val="24"/>
          <w:szCs w:val="24"/>
          <w:lang w:eastAsia="zh-CN"/>
        </w:rPr>
      </w:pPr>
      <w:r>
        <w:rPr>
          <w:rFonts w:hint="eastAsia" w:eastAsia="仿宋_GB2312"/>
          <w:color w:val="auto"/>
          <w:sz w:val="24"/>
          <w:szCs w:val="24"/>
        </w:rPr>
        <w:t>U——风速(m/s)，</w:t>
      </w:r>
      <w:r>
        <w:rPr>
          <w:rFonts w:hint="eastAsia" w:eastAsia="仿宋_GB2312"/>
          <w:color w:val="auto"/>
          <w:sz w:val="24"/>
          <w:szCs w:val="24"/>
          <w:lang w:val="en-US" w:eastAsia="zh-CN"/>
        </w:rPr>
        <w:t>取项目所在地</w:t>
      </w:r>
      <w:r>
        <w:rPr>
          <w:rFonts w:hint="eastAsia" w:eastAsia="仿宋_GB2312"/>
          <w:color w:val="auto"/>
          <w:sz w:val="24"/>
          <w:szCs w:val="24"/>
        </w:rPr>
        <w:t>平均风速</w:t>
      </w:r>
      <w:r>
        <w:rPr>
          <w:rFonts w:hint="eastAsia" w:eastAsia="仿宋_GB2312"/>
          <w:color w:val="auto"/>
          <w:sz w:val="24"/>
          <w:szCs w:val="24"/>
          <w:lang w:eastAsia="zh-CN"/>
        </w:rPr>
        <w:t>，</w:t>
      </w:r>
      <w:r>
        <w:rPr>
          <w:rFonts w:hint="eastAsia" w:eastAsia="仿宋_GB2312"/>
          <w:color w:val="auto"/>
          <w:sz w:val="24"/>
          <w:szCs w:val="24"/>
          <w:lang w:val="en-US" w:eastAsia="zh-CN"/>
        </w:rPr>
        <w:t>1.5</w:t>
      </w:r>
      <w:r>
        <w:rPr>
          <w:rFonts w:hint="eastAsia" w:eastAsia="仿宋_GB2312"/>
          <w:color w:val="auto"/>
          <w:sz w:val="24"/>
          <w:szCs w:val="24"/>
        </w:rPr>
        <w:t>m/s</w:t>
      </w:r>
      <w:r>
        <w:rPr>
          <w:rFonts w:hint="eastAsia" w:eastAsia="仿宋_GB2312"/>
          <w:color w:val="auto"/>
          <w:sz w:val="24"/>
          <w:szCs w:val="24"/>
          <w:lang w:eastAsia="zh-CN"/>
        </w:rPr>
        <w:t>。</w:t>
      </w:r>
    </w:p>
    <w:p>
      <w:pPr>
        <w:widowControl w:val="0"/>
        <w:spacing w:line="360" w:lineRule="auto"/>
        <w:jc w:val="center"/>
        <w:rPr>
          <w:rFonts w:hint="default" w:ascii="Times New Roman" w:hAnsi="Times New Roman" w:eastAsia="黑体" w:cs="Times New Roman"/>
          <w:b/>
          <w:color w:val="auto"/>
          <w:lang w:val="en-US" w:eastAsia="zh-CN"/>
        </w:rPr>
      </w:pPr>
      <w:r>
        <w:rPr>
          <w:rFonts w:hint="eastAsia" w:ascii="Times New Roman" w:hAnsi="Times New Roman" w:eastAsia="黑体" w:cs="Times New Roman"/>
          <w:b/>
          <w:color w:val="auto"/>
        </w:rPr>
        <w:t>表3.</w:t>
      </w:r>
      <w:r>
        <w:rPr>
          <w:rFonts w:hint="eastAsia" w:eastAsia="黑体" w:cs="Times New Roman"/>
          <w:b/>
          <w:color w:val="auto"/>
          <w:lang w:val="en-US" w:eastAsia="zh-CN"/>
        </w:rPr>
        <w:t>2</w:t>
      </w:r>
      <w:r>
        <w:rPr>
          <w:rFonts w:hint="eastAsia" w:ascii="Times New Roman" w:hAnsi="Times New Roman" w:eastAsia="黑体" w:cs="Times New Roman"/>
          <w:b/>
          <w:color w:val="auto"/>
        </w:rPr>
        <w:t>-</w:t>
      </w:r>
      <w:r>
        <w:rPr>
          <w:rFonts w:hint="eastAsia" w:eastAsia="黑体" w:cs="Times New Roman"/>
          <w:b/>
          <w:color w:val="auto"/>
          <w:lang w:val="en-US" w:eastAsia="zh-CN"/>
        </w:rPr>
        <w:t>2</w:t>
      </w:r>
      <w:r>
        <w:rPr>
          <w:rFonts w:hint="eastAsia" w:ascii="Times New Roman" w:hAnsi="Times New Roman" w:eastAsia="黑体" w:cs="Times New Roman"/>
          <w:b/>
          <w:color w:val="auto"/>
        </w:rPr>
        <w:t xml:space="preserve">  </w:t>
      </w:r>
      <w:r>
        <w:rPr>
          <w:rFonts w:hint="eastAsia" w:eastAsia="黑体" w:cs="Times New Roman"/>
          <w:b/>
          <w:color w:val="auto"/>
          <w:lang w:val="en-US" w:eastAsia="zh-CN"/>
        </w:rPr>
        <w:t>物料类型调节系数</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56"/>
        <w:gridCol w:w="1175"/>
        <w:gridCol w:w="1175"/>
        <w:gridCol w:w="1175"/>
        <w:gridCol w:w="1175"/>
        <w:gridCol w:w="1176"/>
        <w:gridCol w:w="11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55"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标准类型</w:t>
            </w:r>
          </w:p>
        </w:tc>
        <w:tc>
          <w:tcPr>
            <w:tcW w:w="690"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矿粉</w:t>
            </w:r>
          </w:p>
        </w:tc>
        <w:tc>
          <w:tcPr>
            <w:tcW w:w="690"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球团矿</w:t>
            </w:r>
          </w:p>
        </w:tc>
        <w:tc>
          <w:tcPr>
            <w:tcW w:w="690"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精煤类</w:t>
            </w:r>
          </w:p>
        </w:tc>
        <w:tc>
          <w:tcPr>
            <w:tcW w:w="690"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大矿类</w:t>
            </w:r>
          </w:p>
        </w:tc>
        <w:tc>
          <w:tcPr>
            <w:tcW w:w="690"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原煤类</w:t>
            </w:r>
          </w:p>
        </w:tc>
        <w:tc>
          <w:tcPr>
            <w:tcW w:w="693"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水洗类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55"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起尘调节系数</w:t>
            </w:r>
          </w:p>
        </w:tc>
        <w:tc>
          <w:tcPr>
            <w:tcW w:w="690"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1.6</w:t>
            </w:r>
          </w:p>
        </w:tc>
        <w:tc>
          <w:tcPr>
            <w:tcW w:w="690"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0.6</w:t>
            </w:r>
          </w:p>
        </w:tc>
        <w:tc>
          <w:tcPr>
            <w:tcW w:w="690"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1.2</w:t>
            </w:r>
          </w:p>
        </w:tc>
        <w:tc>
          <w:tcPr>
            <w:tcW w:w="690"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1.1</w:t>
            </w:r>
          </w:p>
        </w:tc>
        <w:tc>
          <w:tcPr>
            <w:tcW w:w="690"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0.8</w:t>
            </w:r>
          </w:p>
        </w:tc>
        <w:tc>
          <w:tcPr>
            <w:tcW w:w="693"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0.6</w:t>
            </w:r>
          </w:p>
        </w:tc>
      </w:tr>
    </w:tbl>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港口起尘量与港口装卸作业工况有关，但港口本身装卸作业工况非常复杂。本</w:t>
      </w:r>
      <w:r>
        <w:rPr>
          <w:rFonts w:hint="eastAsia" w:eastAsia="仿宋_GB2312"/>
          <w:color w:val="auto"/>
          <w:sz w:val="24"/>
          <w:szCs w:val="24"/>
          <w:lang w:val="en-US" w:eastAsia="zh-CN"/>
        </w:rPr>
        <w:t>工程</w:t>
      </w:r>
      <w:r>
        <w:rPr>
          <w:rFonts w:hint="eastAsia" w:eastAsia="仿宋_GB2312"/>
          <w:color w:val="auto"/>
          <w:sz w:val="24"/>
          <w:szCs w:val="24"/>
        </w:rPr>
        <w:t>在计算时按各种设备的年转运量并适当考虑港口作业的不平衡性，以体现出较繁忙工况下的起尘量。</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散货起尘量还与气象条件紧密相关，在最大风速时，码头停止装卸作业。</w:t>
      </w:r>
      <w:r>
        <w:rPr>
          <w:rFonts w:hint="eastAsia" w:eastAsia="仿宋_GB2312"/>
          <w:color w:val="auto"/>
          <w:sz w:val="24"/>
          <w:szCs w:val="24"/>
          <w:lang w:val="en-US" w:eastAsia="zh-CN"/>
        </w:rPr>
        <w:t>工程1#、2#泊位出口货种一样，吞吐量均为200万吨/a</w:t>
      </w:r>
      <w:r>
        <w:rPr>
          <w:rFonts w:hint="eastAsia" w:eastAsia="仿宋_GB2312"/>
          <w:color w:val="auto"/>
          <w:sz w:val="24"/>
          <w:szCs w:val="24"/>
          <w:lang w:eastAsia="zh-CN"/>
        </w:rPr>
        <w:t>。</w:t>
      </w:r>
    </w:p>
    <w:p>
      <w:pPr>
        <w:widowControl w:val="0"/>
        <w:spacing w:line="360" w:lineRule="auto"/>
        <w:ind w:firstLine="482" w:firstLineChars="200"/>
        <w:rPr>
          <w:rFonts w:hint="eastAsia" w:eastAsia="仿宋_GB2312"/>
          <w:color w:val="auto"/>
          <w:sz w:val="24"/>
          <w:szCs w:val="24"/>
          <w:lang w:eastAsia="zh-CN"/>
        </w:rPr>
      </w:pPr>
      <w:r>
        <w:rPr>
          <w:rFonts w:hint="eastAsia" w:eastAsia="仿宋_GB2312"/>
          <w:b/>
          <w:bCs/>
          <w:color w:val="auto"/>
          <w:sz w:val="24"/>
          <w:szCs w:val="24"/>
          <w:lang w:val="en-US" w:eastAsia="zh-CN"/>
        </w:rPr>
        <w:t>1#泊位（2#泊位与1#泊位产排污量一致）：</w:t>
      </w:r>
      <w:r>
        <w:rPr>
          <w:rFonts w:hint="eastAsia" w:eastAsia="仿宋_GB2312"/>
          <w:color w:val="auto"/>
          <w:sz w:val="24"/>
          <w:szCs w:val="24"/>
          <w:lang w:val="en-US" w:eastAsia="zh-CN"/>
        </w:rPr>
        <w:t>工程装船作业</w:t>
      </w:r>
      <w:r>
        <w:rPr>
          <w:rFonts w:hint="eastAsia" w:eastAsia="仿宋_GB2312"/>
          <w:color w:val="auto"/>
          <w:sz w:val="24"/>
          <w:szCs w:val="24"/>
        </w:rPr>
        <w:t>装卸</w:t>
      </w:r>
      <w:r>
        <w:rPr>
          <w:rFonts w:hint="eastAsia" w:eastAsia="仿宋_GB2312"/>
          <w:color w:val="auto"/>
          <w:sz w:val="24"/>
          <w:szCs w:val="24"/>
          <w:lang w:val="en-US" w:eastAsia="zh-CN"/>
        </w:rPr>
        <w:t>总</w:t>
      </w:r>
      <w:r>
        <w:rPr>
          <w:rFonts w:hint="eastAsia" w:eastAsia="仿宋_GB2312"/>
          <w:color w:val="auto"/>
          <w:sz w:val="24"/>
          <w:szCs w:val="24"/>
        </w:rPr>
        <w:t>起尘</w:t>
      </w:r>
      <w:r>
        <w:rPr>
          <w:rFonts w:hint="eastAsia" w:eastAsia="仿宋_GB2312"/>
          <w:color w:val="auto"/>
          <w:sz w:val="24"/>
          <w:szCs w:val="24"/>
          <w:lang w:val="en-US" w:eastAsia="zh-CN"/>
        </w:rPr>
        <w:t>速率</w:t>
      </w:r>
      <w:r>
        <w:rPr>
          <w:rFonts w:hint="eastAsia" w:eastAsia="仿宋_GB2312"/>
          <w:color w:val="auto"/>
          <w:sz w:val="24"/>
          <w:szCs w:val="24"/>
        </w:rPr>
        <w:t>约</w:t>
      </w:r>
      <w:r>
        <w:rPr>
          <w:rFonts w:hint="eastAsia" w:eastAsia="仿宋_GB2312"/>
          <w:color w:val="auto"/>
          <w:sz w:val="24"/>
          <w:szCs w:val="24"/>
          <w:lang w:val="en-US" w:eastAsia="zh-CN"/>
        </w:rPr>
        <w:t>1.966</w:t>
      </w:r>
      <w:r>
        <w:rPr>
          <w:rFonts w:hint="eastAsia" w:eastAsia="仿宋_GB2312"/>
          <w:color w:val="auto"/>
          <w:sz w:val="24"/>
          <w:szCs w:val="24"/>
        </w:rPr>
        <w:t>kg/h，</w:t>
      </w:r>
      <w:r>
        <w:rPr>
          <w:rFonts w:hint="eastAsia" w:eastAsia="仿宋_GB2312"/>
          <w:color w:val="auto"/>
          <w:sz w:val="24"/>
          <w:szCs w:val="24"/>
          <w:lang w:eastAsia="zh-CN"/>
        </w:rPr>
        <w:t>考虑细粉尘约占总粉尘量的5%，</w:t>
      </w:r>
      <w:r>
        <w:rPr>
          <w:rFonts w:hint="eastAsia" w:eastAsia="仿宋_GB2312"/>
          <w:color w:val="auto"/>
          <w:sz w:val="24"/>
          <w:szCs w:val="24"/>
          <w:lang w:val="en-US" w:eastAsia="zh-CN"/>
        </w:rPr>
        <w:t>则细粉尘（即TSP）产生速率为0.098</w:t>
      </w:r>
      <w:r>
        <w:rPr>
          <w:rFonts w:hint="eastAsia" w:eastAsia="仿宋_GB2312"/>
          <w:color w:val="auto"/>
          <w:sz w:val="24"/>
          <w:szCs w:val="24"/>
        </w:rPr>
        <w:t>kg/h</w:t>
      </w:r>
      <w:r>
        <w:rPr>
          <w:rFonts w:hint="eastAsia" w:eastAsia="仿宋_GB2312"/>
          <w:color w:val="auto"/>
          <w:sz w:val="24"/>
          <w:szCs w:val="24"/>
          <w:lang w:val="en-US" w:eastAsia="zh-CN"/>
        </w:rPr>
        <w:t>，</w:t>
      </w:r>
      <w:r>
        <w:rPr>
          <w:rFonts w:hint="eastAsia" w:eastAsia="仿宋_GB2312"/>
          <w:color w:val="auto"/>
          <w:sz w:val="24"/>
          <w:szCs w:val="24"/>
        </w:rPr>
        <w:t>最大产尘</w:t>
      </w:r>
      <w:r>
        <w:rPr>
          <w:rFonts w:hint="eastAsia" w:eastAsia="仿宋_GB2312"/>
          <w:color w:val="auto"/>
          <w:sz w:val="24"/>
          <w:szCs w:val="24"/>
          <w:lang w:val="en-US" w:eastAsia="zh-CN"/>
        </w:rPr>
        <w:t>量为0.776</w:t>
      </w:r>
      <w:r>
        <w:rPr>
          <w:rFonts w:hint="eastAsia" w:eastAsia="仿宋_GB2312"/>
          <w:color w:val="auto"/>
          <w:sz w:val="24"/>
          <w:szCs w:val="24"/>
        </w:rPr>
        <w:t>t/a，</w:t>
      </w:r>
      <w:r>
        <w:rPr>
          <w:rFonts w:hint="eastAsia" w:eastAsia="仿宋_GB2312"/>
          <w:color w:val="auto"/>
          <w:sz w:val="24"/>
          <w:szCs w:val="24"/>
          <w:lang w:val="en-US" w:eastAsia="zh-CN"/>
        </w:rPr>
        <w:t>1#泊位装船机设置脉冲布袋除尘器，收集效率为80%，除尘效率为99.5%，收集处理装船卸料口处粉尘</w:t>
      </w:r>
      <w:r>
        <w:rPr>
          <w:rFonts w:hint="eastAsia" w:eastAsia="仿宋_GB2312"/>
          <w:color w:val="auto"/>
          <w:sz w:val="24"/>
          <w:szCs w:val="24"/>
        </w:rPr>
        <w:t>，</w:t>
      </w:r>
      <w:r>
        <w:rPr>
          <w:rFonts w:hint="eastAsia" w:eastAsia="仿宋_GB2312"/>
          <w:color w:val="auto"/>
          <w:sz w:val="24"/>
          <w:szCs w:val="24"/>
          <w:lang w:val="en-US" w:eastAsia="zh-CN"/>
        </w:rPr>
        <w:t>颗粒物无组织</w:t>
      </w:r>
      <w:r>
        <w:rPr>
          <w:rFonts w:hint="eastAsia" w:eastAsia="仿宋_GB2312"/>
          <w:color w:val="auto"/>
          <w:sz w:val="24"/>
          <w:szCs w:val="24"/>
        </w:rPr>
        <w:t>排放量约为</w:t>
      </w:r>
      <w:r>
        <w:rPr>
          <w:rFonts w:hint="eastAsia" w:eastAsia="仿宋_GB2312"/>
          <w:color w:val="auto"/>
          <w:sz w:val="24"/>
          <w:szCs w:val="24"/>
          <w:lang w:val="en-US" w:eastAsia="zh-CN"/>
        </w:rPr>
        <w:t>0.159</w:t>
      </w:r>
      <w:r>
        <w:rPr>
          <w:rFonts w:hint="eastAsia" w:eastAsia="仿宋_GB2312"/>
          <w:color w:val="auto"/>
          <w:sz w:val="24"/>
          <w:szCs w:val="24"/>
        </w:rPr>
        <w:t>t/a，最大排放速率约</w:t>
      </w:r>
      <w:r>
        <w:rPr>
          <w:rFonts w:hint="eastAsia" w:eastAsia="仿宋_GB2312"/>
          <w:color w:val="auto"/>
          <w:sz w:val="24"/>
          <w:szCs w:val="24"/>
          <w:lang w:val="en-US" w:eastAsia="zh-CN"/>
        </w:rPr>
        <w:t>0.02</w:t>
      </w:r>
      <w:r>
        <w:rPr>
          <w:rFonts w:hint="eastAsia" w:eastAsia="仿宋_GB2312"/>
          <w:color w:val="auto"/>
          <w:sz w:val="24"/>
          <w:szCs w:val="24"/>
        </w:rPr>
        <w:t>kg/h</w:t>
      </w:r>
      <w:r>
        <w:rPr>
          <w:rFonts w:hint="eastAsia" w:eastAsia="仿宋_GB2312"/>
          <w:color w:val="auto"/>
          <w:sz w:val="24"/>
          <w:szCs w:val="24"/>
          <w:lang w:eastAsia="zh-CN"/>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转运点粉尘</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rPr>
        <w:t>本码头输运系统不涉及装车、卸车工艺，</w:t>
      </w:r>
      <w:r>
        <w:rPr>
          <w:rFonts w:hint="eastAsia" w:eastAsia="仿宋_GB2312"/>
          <w:color w:val="auto"/>
          <w:sz w:val="24"/>
          <w:szCs w:val="24"/>
          <w:lang w:val="en-US" w:eastAsia="zh-CN"/>
        </w:rPr>
        <w:t>出口散货</w:t>
      </w:r>
      <w:r>
        <w:rPr>
          <w:rFonts w:hint="eastAsia" w:eastAsia="仿宋_GB2312"/>
          <w:color w:val="auto"/>
          <w:sz w:val="24"/>
          <w:szCs w:val="24"/>
        </w:rPr>
        <w:t>主要采用</w:t>
      </w:r>
      <w:r>
        <w:rPr>
          <w:rFonts w:hint="eastAsia" w:eastAsia="仿宋_GB2312"/>
          <w:color w:val="auto"/>
          <w:sz w:val="24"/>
          <w:szCs w:val="24"/>
          <w:lang w:val="en-US" w:eastAsia="zh-CN"/>
        </w:rPr>
        <w:t>封闭式廊道进行输送</w:t>
      </w:r>
      <w:r>
        <w:rPr>
          <w:rFonts w:hint="eastAsia" w:eastAsia="仿宋_GB2312"/>
          <w:color w:val="auto"/>
          <w:sz w:val="24"/>
          <w:szCs w:val="24"/>
        </w:rPr>
        <w:t>，隔断外部空气流动，故</w:t>
      </w:r>
      <w:r>
        <w:rPr>
          <w:rFonts w:hint="eastAsia" w:eastAsia="仿宋_GB2312"/>
          <w:color w:val="auto"/>
          <w:sz w:val="24"/>
          <w:szCs w:val="24"/>
          <w:lang w:val="en-US" w:eastAsia="zh-CN"/>
        </w:rPr>
        <w:t>不对皮带廊道输送</w:t>
      </w:r>
      <w:r>
        <w:rPr>
          <w:rFonts w:hint="eastAsia" w:eastAsia="仿宋_GB2312"/>
          <w:color w:val="auto"/>
          <w:sz w:val="24"/>
          <w:szCs w:val="24"/>
        </w:rPr>
        <w:t>作业粉尘不作定量分析：</w:t>
      </w:r>
      <w:r>
        <w:rPr>
          <w:rFonts w:hint="eastAsia" w:eastAsia="仿宋_GB2312"/>
          <w:color w:val="auto"/>
          <w:sz w:val="24"/>
          <w:szCs w:val="24"/>
          <w:lang w:val="en-US" w:eastAsia="zh-CN"/>
        </w:rPr>
        <w:t>仅对转运点粉尘进行定量分析。</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转运点采用封闭式筒状结构，项目皮带廊道设置</w:t>
      </w:r>
      <w:r>
        <w:rPr>
          <w:rFonts w:hint="eastAsia" w:eastAsia="仿宋_GB2312"/>
          <w:color w:val="auto"/>
          <w:sz w:val="24"/>
          <w:szCs w:val="24"/>
          <w:lang w:val="en-US" w:eastAsia="zh-CN"/>
        </w:rPr>
        <w:t>1#、2#转运楼，1#、2#趸船转运平台，共设置4</w:t>
      </w:r>
      <w:r>
        <w:rPr>
          <w:rFonts w:hint="eastAsia" w:eastAsia="仿宋_GB2312"/>
          <w:color w:val="auto"/>
          <w:sz w:val="24"/>
          <w:szCs w:val="24"/>
          <w:lang w:eastAsia="zh-CN"/>
        </w:rPr>
        <w:t>个转运点，以调节皮带的高度及方向，但</w:t>
      </w:r>
      <w:r>
        <w:rPr>
          <w:rFonts w:hint="eastAsia" w:eastAsia="仿宋_GB2312"/>
          <w:color w:val="auto"/>
          <w:sz w:val="24"/>
          <w:szCs w:val="24"/>
          <w:lang w:val="en-US" w:eastAsia="zh-CN"/>
        </w:rPr>
        <w:t>散货</w:t>
      </w:r>
      <w:r>
        <w:rPr>
          <w:rFonts w:hint="eastAsia" w:eastAsia="仿宋_GB2312"/>
          <w:color w:val="auto"/>
          <w:sz w:val="24"/>
          <w:szCs w:val="24"/>
          <w:lang w:eastAsia="zh-CN"/>
        </w:rPr>
        <w:t>中途转运时，从高处跌落会产生一定的粉尘。</w:t>
      </w:r>
    </w:p>
    <w:p>
      <w:pPr>
        <w:widowControl w:val="0"/>
        <w:spacing w:line="360" w:lineRule="auto"/>
        <w:ind w:firstLine="480" w:firstLineChars="200"/>
        <w:rPr>
          <w:rFonts w:hint="eastAsia" w:eastAsia="仿宋_GB2312"/>
          <w:color w:val="auto"/>
          <w:sz w:val="24"/>
          <w:szCs w:val="24"/>
          <w:lang w:eastAsia="zh-CN"/>
        </w:rPr>
      </w:pP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336550</wp:posOffset>
                </wp:positionH>
                <wp:positionV relativeFrom="paragraph">
                  <wp:posOffset>1036955</wp:posOffset>
                </wp:positionV>
                <wp:extent cx="266700" cy="0"/>
                <wp:effectExtent l="0" t="48895" r="0" b="65405"/>
                <wp:wrapNone/>
                <wp:docPr id="24" name="直接箭头连接符 24"/>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6.5pt;margin-top:81.65pt;height:0pt;width:21pt;z-index:251678720;mso-width-relative:page;mso-height-relative:page;" filled="f" stroked="t" coordsize="21600,21600" o:gfxdata="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t36HdUAAAAJAQAADwAA&#10;AAAAAAABACAAAAAiAAAAZHJzL2Rvd25yZXYueG1sUEsBAhQAFAAAAAgAh07iQGyAjFkZAgAAEwQA&#10;AA4AAAAAAAAAAQAgAAAAJAEAAGRycy9lMm9Eb2MueG1sUEsFBgAAAAAGAAYAWQEAAK8FAAAAAA==&#10;">
                <v:fill on="f" focussize="0,0"/>
                <v:stroke color="#000000 [3200]"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1708150</wp:posOffset>
                </wp:positionH>
                <wp:positionV relativeFrom="paragraph">
                  <wp:posOffset>1036955</wp:posOffset>
                </wp:positionV>
                <wp:extent cx="266700" cy="0"/>
                <wp:effectExtent l="0" t="48895" r="0" b="65405"/>
                <wp:wrapNone/>
                <wp:docPr id="4" name="直接箭头连接符 4"/>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34.5pt;margin-top:81.65pt;height:0pt;width:21pt;z-index:251677696;mso-width-relative:page;mso-height-relative:page;" filled="f" stroked="t" coordsize="21600,21600" o:gfxdata="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AlgqLXAAAACwEAAA8A&#10;AAAAAAAAAQAgAAAAIgAAAGRycy9kb3ducmV2LnhtbFBLAQIUABQAAAAIAIdO4kDFZQGZGAIAABEE&#10;AAAOAAAAAAAAAAEAIAAAACYBAABkcnMvZTJvRG9jLnhtbFBLBQYAAAAABgAGAFkBAACwBQAAAAA=&#10;">
                <v:fill on="f" focussize="0,0"/>
                <v:stroke color="#000000 [3200]"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4032250</wp:posOffset>
                </wp:positionH>
                <wp:positionV relativeFrom="paragraph">
                  <wp:posOffset>741680</wp:posOffset>
                </wp:positionV>
                <wp:extent cx="266700" cy="0"/>
                <wp:effectExtent l="0" t="48895" r="0" b="65405"/>
                <wp:wrapNone/>
                <wp:docPr id="3" name="直接箭头连接符 3"/>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17.5pt;margin-top:58.4pt;height:0pt;width:21pt;z-index:251676672;mso-width-relative:page;mso-height-relative:page;" filled="f" stroked="t" coordsize="21600,21600" o:gfxdata="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gpIHdYAAAALAQAADwAA&#10;AAAAAAABACAAAAAiAAAAZHJzL2Rvd25yZXYueG1sUEsBAhQAFAAAAAgAh07iQMXzSZMYAgAAEQQA&#10;AA4AAAAAAAAAAQAgAAAAJQEAAGRycy9lMm9Eb2MueG1sUEsFBgAAAAAGAAYAWQEAAK8FAAAAAA==&#10;">
                <v:fill on="f" focussize="0,0"/>
                <v:stroke color="#000000 [3200]"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2651125</wp:posOffset>
                </wp:positionH>
                <wp:positionV relativeFrom="paragraph">
                  <wp:posOffset>741680</wp:posOffset>
                </wp:positionV>
                <wp:extent cx="266700" cy="0"/>
                <wp:effectExtent l="0" t="48895" r="0" b="65405"/>
                <wp:wrapNone/>
                <wp:docPr id="21" name="直接箭头连接符 21"/>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08.75pt;margin-top:58.4pt;height:0pt;width:21pt;z-index:251673600;mso-width-relative:page;mso-height-relative:page;" filled="f" stroked="t" coordsize="21600,21600" o:gfxdata="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llV3fXAAAACwEAAA8A&#10;AAAAAAAAAQAgAAAAIgAAAGRycy9kb3ducmV2LnhtbFBLAQIUABQAAAAIAIdO4kDYyThcGAIAABME&#10;AAAOAAAAAAAAAAEAIAAAACYBAABkcnMvZTJvRG9jLnhtbFBLBQYAAAAABgAGAFkBAACwBQAAAAA=&#10;">
                <v:fill on="f" focussize="0,0"/>
                <v:stroke color="#000000 [3200]"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1755775</wp:posOffset>
                </wp:positionH>
                <wp:positionV relativeFrom="paragraph">
                  <wp:posOffset>741680</wp:posOffset>
                </wp:positionV>
                <wp:extent cx="266700" cy="0"/>
                <wp:effectExtent l="0" t="48895" r="0" b="65405"/>
                <wp:wrapNone/>
                <wp:docPr id="19" name="直接箭头连接符 19"/>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38.25pt;margin-top:58.4pt;height:0pt;width:21pt;z-index:251672576;mso-width-relative:page;mso-height-relative:page;" filled="f" stroked="t" coordsize="21600,21600" o:gfxdata="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yWLvNYAAAALAQAADwAA&#10;AAAAAAABACAAAAAiAAAAZHJzL2Rvd25yZXYueG1sUEsBAhQAFAAAAAgAh07iQFlgr3wYAgAAEwQA&#10;AA4AAAAAAAAAAQAgAAAAJQEAAGRycy9lMm9Eb2MueG1sUEsFBgAAAAAGAAYAWQEAAK8FAAAAAA==&#10;">
                <v:fill on="f" focussize="0,0"/>
                <v:stroke color="#000000 [3200]" joinstyle="round" endarrow="open"/>
                <v:imagedata o:title=""/>
                <o:lock v:ext="edit" aspectratio="f"/>
              </v:shape>
            </w:pict>
          </mc:Fallback>
        </mc:AlternateContent>
      </w:r>
      <w:r>
        <w:rPr>
          <w:rFonts w:hint="eastAsia" w:eastAsia="仿宋_GB2312"/>
          <w:color w:val="auto"/>
          <w:sz w:val="24"/>
          <w:szCs w:val="24"/>
          <w:lang w:eastAsia="zh-CN"/>
        </w:rPr>
        <w:t>项目转运站落料过程中会产生粉尘，根据《逸散性工业粉尘技术》表18-1中7.出料-砂和砾石，0.0</w:t>
      </w:r>
      <w:r>
        <w:rPr>
          <w:rFonts w:hint="eastAsia" w:eastAsia="仿宋_GB2312"/>
          <w:color w:val="auto"/>
          <w:sz w:val="24"/>
          <w:szCs w:val="24"/>
          <w:lang w:val="en-US" w:eastAsia="zh-CN"/>
        </w:rPr>
        <w:t>0</w:t>
      </w:r>
      <w:r>
        <w:rPr>
          <w:rFonts w:hint="eastAsia" w:eastAsia="仿宋_GB2312"/>
          <w:color w:val="auto"/>
          <w:sz w:val="24"/>
          <w:szCs w:val="24"/>
          <w:lang w:eastAsia="zh-CN"/>
        </w:rPr>
        <w:t>1</w:t>
      </w:r>
      <w:r>
        <w:rPr>
          <w:rFonts w:hint="eastAsia" w:eastAsia="仿宋_GB2312"/>
          <w:color w:val="auto"/>
          <w:sz w:val="24"/>
          <w:szCs w:val="24"/>
          <w:lang w:val="en-US" w:eastAsia="zh-CN"/>
        </w:rPr>
        <w:t>15</w:t>
      </w:r>
      <w:r>
        <w:rPr>
          <w:rFonts w:hint="eastAsia" w:eastAsia="仿宋_GB2312"/>
          <w:color w:val="auto"/>
          <w:sz w:val="24"/>
          <w:szCs w:val="24"/>
          <w:lang w:eastAsia="zh-CN"/>
        </w:rPr>
        <w:t>kg/t系数核算，砂石料通过</w:t>
      </w:r>
      <w:r>
        <w:rPr>
          <w:rFonts w:hint="eastAsia" w:eastAsia="仿宋_GB2312"/>
          <w:color w:val="auto"/>
          <w:sz w:val="24"/>
          <w:szCs w:val="24"/>
          <w:lang w:val="en-US" w:eastAsia="zh-CN"/>
        </w:rPr>
        <w:t>皮带廊道</w:t>
      </w:r>
      <w:r>
        <w:rPr>
          <w:rFonts w:hint="eastAsia" w:eastAsia="仿宋_GB2312"/>
          <w:color w:val="auto"/>
          <w:sz w:val="24"/>
          <w:szCs w:val="24"/>
          <w:lang w:eastAsia="zh-CN"/>
        </w:rPr>
        <w:t>输送至2</w:t>
      </w:r>
      <w:r>
        <w:rPr>
          <w:rFonts w:hint="eastAsia" w:eastAsia="仿宋_GB2312"/>
          <w:color w:val="auto"/>
          <w:sz w:val="24"/>
          <w:szCs w:val="24"/>
          <w:lang w:val="en-US" w:eastAsia="zh-CN"/>
        </w:rPr>
        <w:t>#转运楼后，分别通过2#转运楼    1#转运楼    1#趸船转运平台    1#泊位；2#转运楼    2#趸船转运平台    2#泊位</w:t>
      </w:r>
      <w:r>
        <w:rPr>
          <w:rFonts w:hint="eastAsia" w:eastAsia="仿宋_GB2312"/>
          <w:color w:val="auto"/>
          <w:sz w:val="24"/>
          <w:szCs w:val="24"/>
          <w:lang w:eastAsia="zh-CN"/>
        </w:rPr>
        <w:t>。故2</w:t>
      </w:r>
      <w:r>
        <w:rPr>
          <w:rFonts w:hint="eastAsia" w:eastAsia="仿宋_GB2312"/>
          <w:color w:val="auto"/>
          <w:sz w:val="24"/>
          <w:szCs w:val="24"/>
          <w:lang w:val="en-US" w:eastAsia="zh-CN"/>
        </w:rPr>
        <w:t>#转运楼</w:t>
      </w:r>
      <w:r>
        <w:rPr>
          <w:rFonts w:hint="eastAsia" w:eastAsia="仿宋_GB2312"/>
          <w:color w:val="auto"/>
          <w:sz w:val="24"/>
          <w:szCs w:val="24"/>
          <w:lang w:eastAsia="zh-CN"/>
        </w:rPr>
        <w:t>运输通过量为</w:t>
      </w:r>
      <w:r>
        <w:rPr>
          <w:rFonts w:hint="eastAsia" w:eastAsia="仿宋_GB2312"/>
          <w:color w:val="auto"/>
          <w:sz w:val="24"/>
          <w:szCs w:val="24"/>
          <w:lang w:val="en-US" w:eastAsia="zh-CN"/>
        </w:rPr>
        <w:t>400</w:t>
      </w:r>
      <w:r>
        <w:rPr>
          <w:rFonts w:hint="eastAsia" w:eastAsia="仿宋_GB2312"/>
          <w:color w:val="auto"/>
          <w:sz w:val="24"/>
          <w:szCs w:val="24"/>
          <w:lang w:eastAsia="zh-CN"/>
        </w:rPr>
        <w:t>万吨，</w:t>
      </w:r>
      <w:r>
        <w:rPr>
          <w:rFonts w:hint="eastAsia" w:eastAsia="仿宋_GB2312"/>
          <w:color w:val="auto"/>
          <w:sz w:val="24"/>
          <w:szCs w:val="24"/>
          <w:lang w:val="en-US" w:eastAsia="zh-CN"/>
        </w:rPr>
        <w:t>其余</w:t>
      </w:r>
      <w:r>
        <w:rPr>
          <w:rFonts w:hint="eastAsia" w:eastAsia="仿宋_GB2312"/>
          <w:color w:val="auto"/>
          <w:sz w:val="24"/>
          <w:szCs w:val="24"/>
          <w:lang w:eastAsia="zh-CN"/>
        </w:rPr>
        <w:t>3个转运点运输通过量为</w:t>
      </w:r>
      <w:r>
        <w:rPr>
          <w:rFonts w:hint="eastAsia" w:eastAsia="仿宋_GB2312"/>
          <w:color w:val="auto"/>
          <w:sz w:val="24"/>
          <w:szCs w:val="24"/>
          <w:lang w:val="en-US" w:eastAsia="zh-CN"/>
        </w:rPr>
        <w:t>200</w:t>
      </w:r>
      <w:r>
        <w:rPr>
          <w:rFonts w:hint="eastAsia" w:eastAsia="仿宋_GB2312"/>
          <w:color w:val="auto"/>
          <w:sz w:val="24"/>
          <w:szCs w:val="24"/>
          <w:lang w:eastAsia="zh-CN"/>
        </w:rPr>
        <w:t>万吨。</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val="en-US" w:eastAsia="zh-CN"/>
        </w:rPr>
        <w:t>故</w:t>
      </w:r>
      <w:r>
        <w:rPr>
          <w:rFonts w:hint="eastAsia" w:eastAsia="仿宋_GB2312"/>
          <w:color w:val="auto"/>
          <w:sz w:val="24"/>
          <w:szCs w:val="24"/>
          <w:lang w:eastAsia="zh-CN"/>
        </w:rPr>
        <w:t>2</w:t>
      </w:r>
      <w:r>
        <w:rPr>
          <w:rFonts w:hint="eastAsia" w:eastAsia="仿宋_GB2312"/>
          <w:color w:val="auto"/>
          <w:sz w:val="24"/>
          <w:szCs w:val="24"/>
          <w:lang w:val="en-US" w:eastAsia="zh-CN"/>
        </w:rPr>
        <w:t>#转运楼</w:t>
      </w:r>
      <w:r>
        <w:rPr>
          <w:rFonts w:hint="eastAsia" w:eastAsia="仿宋_GB2312"/>
          <w:color w:val="auto"/>
          <w:sz w:val="24"/>
          <w:szCs w:val="24"/>
          <w:lang w:eastAsia="zh-CN"/>
        </w:rPr>
        <w:t>粉尘</w:t>
      </w:r>
      <w:r>
        <w:rPr>
          <w:rFonts w:hint="eastAsia" w:eastAsia="仿宋_GB2312"/>
          <w:color w:val="auto"/>
          <w:sz w:val="24"/>
          <w:szCs w:val="24"/>
          <w:lang w:val="en-US" w:eastAsia="zh-CN"/>
        </w:rPr>
        <w:t>产生</w:t>
      </w:r>
      <w:r>
        <w:rPr>
          <w:rFonts w:hint="eastAsia" w:eastAsia="仿宋_GB2312"/>
          <w:color w:val="auto"/>
          <w:sz w:val="24"/>
          <w:szCs w:val="24"/>
          <w:lang w:eastAsia="zh-CN"/>
        </w:rPr>
        <w:t>量为</w:t>
      </w:r>
      <w:r>
        <w:rPr>
          <w:rFonts w:hint="eastAsia" w:eastAsia="仿宋_GB2312"/>
          <w:color w:val="auto"/>
          <w:sz w:val="24"/>
          <w:szCs w:val="24"/>
          <w:lang w:val="en-US" w:eastAsia="zh-CN"/>
        </w:rPr>
        <w:t>4.6</w:t>
      </w:r>
      <w:r>
        <w:rPr>
          <w:rFonts w:hint="eastAsia" w:eastAsia="仿宋_GB2312"/>
          <w:color w:val="auto"/>
          <w:sz w:val="24"/>
          <w:szCs w:val="24"/>
          <w:lang w:eastAsia="zh-CN"/>
        </w:rPr>
        <w:t>t/a，</w:t>
      </w:r>
      <w:r>
        <w:rPr>
          <w:rFonts w:hint="eastAsia" w:eastAsia="仿宋_GB2312"/>
          <w:color w:val="auto"/>
          <w:sz w:val="24"/>
          <w:szCs w:val="24"/>
          <w:lang w:val="en-US" w:eastAsia="zh-CN"/>
        </w:rPr>
        <w:t>其余</w:t>
      </w:r>
      <w:r>
        <w:rPr>
          <w:rFonts w:hint="eastAsia" w:eastAsia="仿宋_GB2312"/>
          <w:color w:val="auto"/>
          <w:sz w:val="24"/>
          <w:szCs w:val="24"/>
          <w:lang w:eastAsia="zh-CN"/>
        </w:rPr>
        <w:t>转运点粉尘</w:t>
      </w:r>
      <w:r>
        <w:rPr>
          <w:rFonts w:hint="eastAsia" w:eastAsia="仿宋_GB2312"/>
          <w:color w:val="auto"/>
          <w:sz w:val="24"/>
          <w:szCs w:val="24"/>
          <w:lang w:val="en-US" w:eastAsia="zh-CN"/>
        </w:rPr>
        <w:t>产生</w:t>
      </w:r>
      <w:r>
        <w:rPr>
          <w:rFonts w:hint="eastAsia" w:eastAsia="仿宋_GB2312"/>
          <w:color w:val="auto"/>
          <w:sz w:val="24"/>
          <w:szCs w:val="24"/>
          <w:lang w:eastAsia="zh-CN"/>
        </w:rPr>
        <w:t>量为</w:t>
      </w:r>
      <w:r>
        <w:rPr>
          <w:rFonts w:hint="eastAsia" w:eastAsia="仿宋_GB2312"/>
          <w:color w:val="auto"/>
          <w:sz w:val="24"/>
          <w:szCs w:val="24"/>
          <w:lang w:val="en-US" w:eastAsia="zh-CN"/>
        </w:rPr>
        <w:t>2.3</w:t>
      </w:r>
      <w:r>
        <w:rPr>
          <w:rFonts w:hint="eastAsia" w:eastAsia="仿宋_GB2312"/>
          <w:color w:val="auto"/>
          <w:sz w:val="24"/>
          <w:szCs w:val="24"/>
          <w:lang w:eastAsia="zh-CN"/>
        </w:rPr>
        <w:t>t/a。</w:t>
      </w:r>
      <w:r>
        <w:rPr>
          <w:rFonts w:hint="eastAsia" w:eastAsia="仿宋_GB2312"/>
          <w:color w:val="auto"/>
          <w:sz w:val="24"/>
          <w:szCs w:val="24"/>
          <w:lang w:val="en-US" w:eastAsia="zh-CN"/>
        </w:rPr>
        <w:t>转运点设置脉冲布袋除尘器，密闭收集效率为100%，除尘效率为99.5%</w:t>
      </w:r>
      <w:r>
        <w:rPr>
          <w:rFonts w:hint="eastAsia" w:eastAsia="仿宋_GB2312"/>
          <w:color w:val="auto"/>
          <w:sz w:val="24"/>
          <w:szCs w:val="24"/>
          <w:lang w:eastAsia="zh-CN"/>
        </w:rPr>
        <w:t>，故2</w:t>
      </w:r>
      <w:r>
        <w:rPr>
          <w:rFonts w:hint="eastAsia" w:eastAsia="仿宋_GB2312"/>
          <w:color w:val="auto"/>
          <w:sz w:val="24"/>
          <w:szCs w:val="24"/>
          <w:lang w:val="en-US" w:eastAsia="zh-CN"/>
        </w:rPr>
        <w:t>#转运楼颗粒物无组织</w:t>
      </w:r>
      <w:r>
        <w:rPr>
          <w:rFonts w:hint="eastAsia" w:eastAsia="仿宋_GB2312"/>
          <w:color w:val="auto"/>
          <w:sz w:val="24"/>
          <w:szCs w:val="24"/>
          <w:lang w:eastAsia="zh-CN"/>
        </w:rPr>
        <w:t>排放量为</w:t>
      </w:r>
      <w:r>
        <w:rPr>
          <w:rFonts w:hint="eastAsia" w:eastAsia="仿宋_GB2312"/>
          <w:color w:val="auto"/>
          <w:sz w:val="24"/>
          <w:szCs w:val="24"/>
          <w:lang w:val="en-US" w:eastAsia="zh-CN"/>
        </w:rPr>
        <w:t>0.023</w:t>
      </w:r>
      <w:r>
        <w:rPr>
          <w:rFonts w:hint="eastAsia" w:eastAsia="仿宋_GB2312"/>
          <w:color w:val="auto"/>
          <w:sz w:val="24"/>
          <w:szCs w:val="24"/>
          <w:lang w:eastAsia="zh-CN"/>
        </w:rPr>
        <w:t>t/a</w:t>
      </w:r>
      <w:r>
        <w:rPr>
          <w:rFonts w:hint="eastAsia" w:eastAsia="仿宋_GB2312"/>
          <w:color w:val="auto"/>
          <w:sz w:val="24"/>
          <w:szCs w:val="24"/>
        </w:rPr>
        <w:t>，最大排放速率约</w:t>
      </w:r>
      <w:r>
        <w:rPr>
          <w:rFonts w:hint="eastAsia" w:eastAsia="仿宋_GB2312"/>
          <w:color w:val="auto"/>
          <w:sz w:val="24"/>
          <w:szCs w:val="24"/>
          <w:lang w:val="en-US" w:eastAsia="zh-CN"/>
        </w:rPr>
        <w:t>0.003</w:t>
      </w:r>
      <w:r>
        <w:rPr>
          <w:rFonts w:hint="eastAsia" w:eastAsia="仿宋_GB2312"/>
          <w:color w:val="auto"/>
          <w:sz w:val="24"/>
          <w:szCs w:val="24"/>
        </w:rPr>
        <w:t>kg/h</w:t>
      </w:r>
      <w:r>
        <w:rPr>
          <w:rFonts w:hint="eastAsia" w:eastAsia="仿宋_GB2312"/>
          <w:color w:val="auto"/>
          <w:sz w:val="24"/>
          <w:szCs w:val="24"/>
          <w:lang w:eastAsia="zh-CN"/>
        </w:rPr>
        <w:t>；</w:t>
      </w:r>
      <w:r>
        <w:rPr>
          <w:rFonts w:hint="eastAsia" w:eastAsia="仿宋_GB2312"/>
          <w:color w:val="auto"/>
          <w:sz w:val="24"/>
          <w:szCs w:val="24"/>
          <w:lang w:val="en-US" w:eastAsia="zh-CN"/>
        </w:rPr>
        <w:t>其余</w:t>
      </w:r>
      <w:r>
        <w:rPr>
          <w:rFonts w:hint="eastAsia" w:eastAsia="仿宋_GB2312"/>
          <w:color w:val="auto"/>
          <w:sz w:val="24"/>
          <w:szCs w:val="24"/>
          <w:lang w:eastAsia="zh-CN"/>
        </w:rPr>
        <w:t>转运点</w:t>
      </w:r>
      <w:r>
        <w:rPr>
          <w:rFonts w:hint="eastAsia" w:eastAsia="仿宋_GB2312"/>
          <w:color w:val="auto"/>
          <w:sz w:val="24"/>
          <w:szCs w:val="24"/>
          <w:lang w:val="en-US" w:eastAsia="zh-CN"/>
        </w:rPr>
        <w:t>颗粒物无组织</w:t>
      </w:r>
      <w:r>
        <w:rPr>
          <w:rFonts w:hint="eastAsia" w:eastAsia="仿宋_GB2312"/>
          <w:color w:val="auto"/>
          <w:sz w:val="24"/>
          <w:szCs w:val="24"/>
          <w:lang w:eastAsia="zh-CN"/>
        </w:rPr>
        <w:t>排放量为</w:t>
      </w:r>
      <w:r>
        <w:rPr>
          <w:rFonts w:hint="eastAsia" w:eastAsia="仿宋_GB2312"/>
          <w:color w:val="auto"/>
          <w:sz w:val="24"/>
          <w:szCs w:val="24"/>
          <w:lang w:val="en-US" w:eastAsia="zh-CN"/>
        </w:rPr>
        <w:t>0.012</w:t>
      </w:r>
      <w:r>
        <w:rPr>
          <w:rFonts w:hint="eastAsia" w:eastAsia="仿宋_GB2312"/>
          <w:color w:val="auto"/>
          <w:sz w:val="24"/>
          <w:szCs w:val="24"/>
          <w:lang w:eastAsia="zh-CN"/>
        </w:rPr>
        <w:t>t/a</w:t>
      </w:r>
      <w:r>
        <w:rPr>
          <w:rFonts w:hint="eastAsia" w:eastAsia="仿宋_GB2312"/>
          <w:color w:val="auto"/>
          <w:sz w:val="24"/>
          <w:szCs w:val="24"/>
        </w:rPr>
        <w:t>，最大排放速率约</w:t>
      </w:r>
      <w:r>
        <w:rPr>
          <w:rFonts w:hint="eastAsia" w:eastAsia="仿宋_GB2312"/>
          <w:color w:val="auto"/>
          <w:sz w:val="24"/>
          <w:szCs w:val="24"/>
          <w:lang w:val="en-US" w:eastAsia="zh-CN"/>
        </w:rPr>
        <w:t>0.0015</w:t>
      </w:r>
      <w:r>
        <w:rPr>
          <w:rFonts w:hint="eastAsia" w:eastAsia="仿宋_GB2312"/>
          <w:color w:val="auto"/>
          <w:sz w:val="24"/>
          <w:szCs w:val="24"/>
        </w:rPr>
        <w:t>kg/h</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参考《扬尘源颗粒物排放清单编制技术指南（试行）》（环保部，2014.12.31）中TSP、PM</w:t>
      </w:r>
      <w:r>
        <w:rPr>
          <w:rFonts w:hint="eastAsia" w:eastAsia="仿宋_GB2312"/>
          <w:color w:val="auto"/>
          <w:sz w:val="24"/>
          <w:szCs w:val="24"/>
          <w:vertAlign w:val="subscript"/>
        </w:rPr>
        <w:t>10</w:t>
      </w:r>
      <w:r>
        <w:rPr>
          <w:rFonts w:hint="eastAsia" w:eastAsia="仿宋_GB2312"/>
          <w:color w:val="auto"/>
          <w:sz w:val="24"/>
          <w:szCs w:val="24"/>
        </w:rPr>
        <w:t>粒度乘数，PM</w:t>
      </w:r>
      <w:r>
        <w:rPr>
          <w:rFonts w:hint="eastAsia" w:eastAsia="仿宋_GB2312"/>
          <w:color w:val="auto"/>
          <w:sz w:val="24"/>
          <w:szCs w:val="24"/>
          <w:vertAlign w:val="subscript"/>
        </w:rPr>
        <w:t>10</w:t>
      </w:r>
      <w:r>
        <w:rPr>
          <w:rFonts w:hint="eastAsia" w:eastAsia="仿宋_GB2312"/>
          <w:color w:val="auto"/>
          <w:sz w:val="24"/>
          <w:szCs w:val="24"/>
        </w:rPr>
        <w:t>约占TSP总量的47%，PM</w:t>
      </w:r>
      <w:r>
        <w:rPr>
          <w:rFonts w:hint="eastAsia" w:eastAsia="仿宋_GB2312"/>
          <w:color w:val="auto"/>
          <w:sz w:val="24"/>
          <w:szCs w:val="24"/>
          <w:vertAlign w:val="subscript"/>
          <w:lang w:val="en-US" w:eastAsia="zh-CN"/>
        </w:rPr>
        <w:t>2.5</w:t>
      </w:r>
      <w:r>
        <w:rPr>
          <w:rFonts w:hint="eastAsia" w:eastAsia="仿宋_GB2312"/>
          <w:color w:val="auto"/>
          <w:sz w:val="24"/>
          <w:szCs w:val="24"/>
        </w:rPr>
        <w:t>约占TSP总量的7%。</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到港船舶燃油废气</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码头采用岸电系统代替船舶辅机为停靠的船舶提供能源，可避免辅机工作时的废气污染，仅在船舶靠岸和驶离码头时产生少量的船舶尾气，船舶主机为柴油机，尾气主要污染指标为SO</w:t>
      </w:r>
      <w:r>
        <w:rPr>
          <w:rFonts w:hint="eastAsia" w:eastAsia="仿宋_GB2312"/>
          <w:color w:val="auto"/>
          <w:sz w:val="24"/>
          <w:szCs w:val="24"/>
          <w:vertAlign w:val="subscript"/>
        </w:rPr>
        <w:t>2</w:t>
      </w:r>
      <w:r>
        <w:rPr>
          <w:rFonts w:hint="eastAsia" w:eastAsia="仿宋_GB2312"/>
          <w:color w:val="auto"/>
          <w:sz w:val="24"/>
          <w:szCs w:val="24"/>
        </w:rPr>
        <w:t>和NO</w:t>
      </w:r>
      <w:r>
        <w:rPr>
          <w:rFonts w:hint="eastAsia" w:eastAsia="仿宋_GB2312"/>
          <w:color w:val="auto"/>
          <w:sz w:val="24"/>
          <w:szCs w:val="24"/>
          <w:vertAlign w:val="subscript"/>
        </w:rPr>
        <w:t>x</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船舶废气排放量采用英国劳氏船级社推荐的方法，即每1kW·h耗油量平均231g，考虑代表船型3000DWT主机功率约为</w:t>
      </w:r>
      <w:r>
        <w:rPr>
          <w:rFonts w:hint="eastAsia" w:eastAsia="仿宋_GB2312"/>
          <w:color w:val="auto"/>
          <w:sz w:val="24"/>
          <w:szCs w:val="24"/>
          <w:lang w:val="en-US" w:eastAsia="zh-CN"/>
        </w:rPr>
        <w:t>50</w:t>
      </w:r>
      <w:r>
        <w:rPr>
          <w:rFonts w:hint="eastAsia" w:eastAsia="仿宋_GB2312"/>
          <w:color w:val="auto"/>
          <w:sz w:val="24"/>
          <w:szCs w:val="24"/>
        </w:rPr>
        <w:t>0KW。根据业主提供资料，</w:t>
      </w:r>
      <w:r>
        <w:rPr>
          <w:rFonts w:hint="eastAsia" w:eastAsia="仿宋_GB2312"/>
          <w:color w:val="auto"/>
          <w:sz w:val="24"/>
          <w:szCs w:val="24"/>
          <w:lang w:val="en-US" w:eastAsia="zh-CN"/>
        </w:rPr>
        <w:t>散</w:t>
      </w:r>
      <w:r>
        <w:rPr>
          <w:rFonts w:hint="eastAsia" w:eastAsia="仿宋_GB2312"/>
          <w:color w:val="auto"/>
          <w:sz w:val="24"/>
          <w:szCs w:val="24"/>
        </w:rPr>
        <w:t>货船</w:t>
      </w:r>
      <w:r>
        <w:rPr>
          <w:rFonts w:hint="eastAsia" w:eastAsia="仿宋_GB2312"/>
          <w:color w:val="auto"/>
          <w:sz w:val="24"/>
          <w:szCs w:val="24"/>
          <w:lang w:val="en-US" w:eastAsia="zh-CN"/>
        </w:rPr>
        <w:t>单船</w:t>
      </w:r>
      <w:r>
        <w:rPr>
          <w:rFonts w:hint="eastAsia" w:eastAsia="仿宋_GB2312"/>
          <w:color w:val="auto"/>
          <w:sz w:val="24"/>
          <w:szCs w:val="24"/>
        </w:rPr>
        <w:t>装载砂石量约为</w:t>
      </w:r>
      <w:r>
        <w:rPr>
          <w:rFonts w:hint="eastAsia" w:eastAsia="仿宋_GB2312"/>
          <w:color w:val="auto"/>
          <w:sz w:val="24"/>
          <w:szCs w:val="24"/>
          <w:lang w:val="en-US" w:eastAsia="zh-CN"/>
        </w:rPr>
        <w:t>30</w:t>
      </w:r>
      <w:r>
        <w:rPr>
          <w:rFonts w:hint="eastAsia" w:eastAsia="仿宋_GB2312"/>
          <w:color w:val="auto"/>
          <w:sz w:val="24"/>
          <w:szCs w:val="24"/>
        </w:rPr>
        <w:t>00t，项目码头年出口砂石</w:t>
      </w:r>
      <w:r>
        <w:rPr>
          <w:rFonts w:hint="eastAsia" w:eastAsia="仿宋_GB2312"/>
          <w:color w:val="auto"/>
          <w:sz w:val="24"/>
          <w:szCs w:val="24"/>
          <w:lang w:val="en-US" w:eastAsia="zh-CN"/>
        </w:rPr>
        <w:t>400</w:t>
      </w:r>
      <w:r>
        <w:rPr>
          <w:rFonts w:hint="eastAsia" w:eastAsia="仿宋_GB2312"/>
          <w:color w:val="auto"/>
          <w:sz w:val="24"/>
          <w:szCs w:val="24"/>
        </w:rPr>
        <w:t>万吨，则</w:t>
      </w:r>
      <w:r>
        <w:rPr>
          <w:rFonts w:hint="eastAsia" w:eastAsia="仿宋_GB2312"/>
          <w:color w:val="auto"/>
          <w:sz w:val="24"/>
          <w:szCs w:val="24"/>
          <w:lang w:val="en-US" w:eastAsia="zh-CN"/>
        </w:rPr>
        <w:t>散</w:t>
      </w:r>
      <w:r>
        <w:rPr>
          <w:rFonts w:hint="eastAsia" w:eastAsia="仿宋_GB2312"/>
          <w:color w:val="auto"/>
          <w:sz w:val="24"/>
          <w:szCs w:val="24"/>
        </w:rPr>
        <w:t>货船年泊港次数约为</w:t>
      </w:r>
      <w:r>
        <w:rPr>
          <w:rFonts w:hint="eastAsia" w:eastAsia="仿宋_GB2312"/>
          <w:color w:val="auto"/>
          <w:sz w:val="24"/>
          <w:szCs w:val="24"/>
          <w:lang w:val="en-US" w:eastAsia="zh-CN"/>
        </w:rPr>
        <w:t>1334</w:t>
      </w:r>
      <w:r>
        <w:rPr>
          <w:rFonts w:hint="eastAsia" w:eastAsia="仿宋_GB2312"/>
          <w:color w:val="auto"/>
          <w:sz w:val="24"/>
          <w:szCs w:val="24"/>
        </w:rPr>
        <w:t>次，船舶靠岸和驶出时间约为</w:t>
      </w:r>
      <w:r>
        <w:rPr>
          <w:rFonts w:hint="eastAsia" w:eastAsia="仿宋_GB2312"/>
          <w:color w:val="auto"/>
          <w:sz w:val="24"/>
          <w:szCs w:val="24"/>
          <w:lang w:val="en-US" w:eastAsia="zh-CN"/>
        </w:rPr>
        <w:t>1</w:t>
      </w:r>
      <w:r>
        <w:rPr>
          <w:rFonts w:hint="eastAsia" w:eastAsia="仿宋_GB2312"/>
          <w:color w:val="auto"/>
          <w:sz w:val="24"/>
          <w:szCs w:val="24"/>
        </w:rPr>
        <w:t>h/次计，则船舶尾气排放时间共计</w:t>
      </w:r>
      <w:r>
        <w:rPr>
          <w:rFonts w:hint="eastAsia" w:eastAsia="仿宋_GB2312"/>
          <w:color w:val="auto"/>
          <w:sz w:val="24"/>
          <w:szCs w:val="24"/>
          <w:lang w:val="en-US" w:eastAsia="zh-CN"/>
        </w:rPr>
        <w:t>1334</w:t>
      </w:r>
      <w:r>
        <w:rPr>
          <w:rFonts w:hint="eastAsia" w:eastAsia="仿宋_GB2312"/>
          <w:color w:val="auto"/>
          <w:sz w:val="24"/>
          <w:szCs w:val="24"/>
        </w:rPr>
        <w:t>h，可计算得每天船舶辅机耗油量</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val="en-US" w:eastAsia="zh-CN"/>
        </w:rPr>
        <w:t>根据《燃料燃烧排放大气污染物物料衡算办法（暂行）》可知，</w:t>
      </w:r>
      <w:r>
        <w:rPr>
          <w:rFonts w:hint="eastAsia" w:eastAsia="仿宋_GB2312"/>
          <w:color w:val="auto"/>
          <w:sz w:val="24"/>
          <w:szCs w:val="24"/>
        </w:rPr>
        <w:t>废气中SO</w:t>
      </w:r>
      <w:r>
        <w:rPr>
          <w:rFonts w:hint="eastAsia" w:eastAsia="仿宋_GB2312"/>
          <w:color w:val="auto"/>
          <w:sz w:val="24"/>
          <w:szCs w:val="24"/>
          <w:vertAlign w:val="subscript"/>
        </w:rPr>
        <w:t>2</w:t>
      </w:r>
      <w:r>
        <w:rPr>
          <w:rFonts w:hint="eastAsia" w:eastAsia="仿宋_GB2312"/>
          <w:color w:val="auto"/>
          <w:sz w:val="24"/>
          <w:szCs w:val="24"/>
        </w:rPr>
        <w:t>和NO</w:t>
      </w:r>
      <w:r>
        <w:rPr>
          <w:rFonts w:hint="eastAsia" w:eastAsia="仿宋_GB2312"/>
          <w:color w:val="auto"/>
          <w:sz w:val="24"/>
          <w:szCs w:val="24"/>
          <w:vertAlign w:val="subscript"/>
        </w:rPr>
        <w:t>x</w:t>
      </w:r>
      <w:r>
        <w:rPr>
          <w:rFonts w:hint="eastAsia" w:eastAsia="仿宋_GB2312"/>
          <w:color w:val="auto"/>
          <w:sz w:val="24"/>
          <w:szCs w:val="24"/>
        </w:rPr>
        <w:t>排放量计算公式为：</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G</w:t>
      </w:r>
      <w:r>
        <w:rPr>
          <w:rFonts w:hint="eastAsia" w:eastAsia="仿宋_GB2312"/>
          <w:color w:val="auto"/>
          <w:sz w:val="24"/>
          <w:szCs w:val="24"/>
          <w:vertAlign w:val="subscript"/>
        </w:rPr>
        <w:t>SO2</w:t>
      </w:r>
      <w:r>
        <w:rPr>
          <w:rFonts w:hint="eastAsia" w:eastAsia="仿宋_GB2312"/>
          <w:color w:val="auto"/>
          <w:sz w:val="24"/>
          <w:szCs w:val="24"/>
        </w:rPr>
        <w:t>=2000×B×S</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G</w:t>
      </w:r>
      <w:r>
        <w:rPr>
          <w:rFonts w:hint="eastAsia" w:eastAsia="仿宋_GB2312"/>
          <w:color w:val="auto"/>
          <w:sz w:val="24"/>
          <w:szCs w:val="24"/>
          <w:vertAlign w:val="subscript"/>
        </w:rPr>
        <w:t>NOx</w:t>
      </w:r>
      <w:r>
        <w:rPr>
          <w:rFonts w:hint="eastAsia" w:eastAsia="仿宋_GB2312"/>
          <w:color w:val="auto"/>
          <w:sz w:val="24"/>
          <w:szCs w:val="24"/>
        </w:rPr>
        <w:t>=1630×B×(N×0.4+0.000938)</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式中：G</w:t>
      </w:r>
      <w:r>
        <w:rPr>
          <w:rFonts w:hint="eastAsia" w:eastAsia="仿宋_GB2312"/>
          <w:color w:val="auto"/>
          <w:sz w:val="24"/>
          <w:szCs w:val="24"/>
          <w:vertAlign w:val="subscript"/>
        </w:rPr>
        <w:t>SO2</w:t>
      </w:r>
      <w:r>
        <w:rPr>
          <w:rFonts w:hint="eastAsia" w:eastAsia="仿宋_GB2312"/>
          <w:color w:val="auto"/>
          <w:sz w:val="24"/>
          <w:szCs w:val="24"/>
          <w:lang w:eastAsia="zh-CN"/>
        </w:rPr>
        <w:t>——</w:t>
      </w:r>
      <w:r>
        <w:rPr>
          <w:rFonts w:hint="eastAsia" w:eastAsia="仿宋_GB2312"/>
          <w:color w:val="auto"/>
          <w:sz w:val="24"/>
          <w:szCs w:val="24"/>
        </w:rPr>
        <w:t>SO</w:t>
      </w:r>
      <w:r>
        <w:rPr>
          <w:rFonts w:hint="eastAsia" w:eastAsia="仿宋_GB2312"/>
          <w:color w:val="auto"/>
          <w:sz w:val="24"/>
          <w:szCs w:val="24"/>
          <w:vertAlign w:val="subscript"/>
        </w:rPr>
        <w:t>2</w:t>
      </w:r>
      <w:r>
        <w:rPr>
          <w:rFonts w:hint="eastAsia" w:eastAsia="仿宋_GB2312"/>
          <w:color w:val="auto"/>
          <w:sz w:val="24"/>
          <w:szCs w:val="24"/>
        </w:rPr>
        <w:t>废气量，kg/a；</w:t>
      </w:r>
    </w:p>
    <w:p>
      <w:pPr>
        <w:widowControl w:val="0"/>
        <w:spacing w:line="360" w:lineRule="auto"/>
        <w:ind w:firstLine="1440" w:firstLineChars="600"/>
        <w:rPr>
          <w:rFonts w:hint="eastAsia" w:eastAsia="仿宋_GB2312"/>
          <w:color w:val="auto"/>
          <w:sz w:val="24"/>
          <w:szCs w:val="24"/>
        </w:rPr>
      </w:pPr>
      <w:r>
        <w:rPr>
          <w:rFonts w:hint="eastAsia" w:eastAsia="仿宋_GB2312"/>
          <w:color w:val="auto"/>
          <w:sz w:val="24"/>
          <w:szCs w:val="24"/>
        </w:rPr>
        <w:t>B</w:t>
      </w:r>
      <w:r>
        <w:rPr>
          <w:rFonts w:hint="eastAsia" w:eastAsia="仿宋_GB2312"/>
          <w:color w:val="auto"/>
          <w:sz w:val="24"/>
          <w:szCs w:val="24"/>
          <w:lang w:eastAsia="zh-CN"/>
        </w:rPr>
        <w:t>——</w:t>
      </w:r>
      <w:r>
        <w:rPr>
          <w:rFonts w:hint="eastAsia" w:eastAsia="仿宋_GB2312"/>
          <w:color w:val="auto"/>
          <w:sz w:val="24"/>
          <w:szCs w:val="24"/>
        </w:rPr>
        <w:t>耗油量，t/a，</w:t>
      </w:r>
      <w:r>
        <w:rPr>
          <w:rFonts w:hint="eastAsia" w:eastAsia="仿宋_GB2312"/>
          <w:color w:val="auto"/>
          <w:sz w:val="24"/>
          <w:szCs w:val="24"/>
          <w:lang w:val="en-US" w:eastAsia="zh-CN"/>
        </w:rPr>
        <w:t>155</w:t>
      </w:r>
      <w:r>
        <w:rPr>
          <w:rFonts w:hint="eastAsia" w:eastAsia="仿宋_GB2312"/>
          <w:color w:val="auto"/>
          <w:sz w:val="24"/>
          <w:szCs w:val="24"/>
        </w:rPr>
        <w:t>t/a；</w:t>
      </w:r>
    </w:p>
    <w:p>
      <w:pPr>
        <w:widowControl w:val="0"/>
        <w:spacing w:line="360" w:lineRule="auto"/>
        <w:ind w:firstLine="1440" w:firstLineChars="600"/>
        <w:rPr>
          <w:rFonts w:hint="eastAsia" w:eastAsia="仿宋_GB2312"/>
          <w:color w:val="auto"/>
          <w:sz w:val="24"/>
          <w:szCs w:val="24"/>
        </w:rPr>
      </w:pPr>
      <w:r>
        <w:rPr>
          <w:rFonts w:hint="eastAsia" w:eastAsia="仿宋_GB2312"/>
          <w:color w:val="auto"/>
          <w:sz w:val="24"/>
          <w:szCs w:val="24"/>
        </w:rPr>
        <w:t>S</w:t>
      </w:r>
      <w:r>
        <w:rPr>
          <w:rFonts w:hint="eastAsia" w:eastAsia="仿宋_GB2312"/>
          <w:color w:val="auto"/>
          <w:sz w:val="24"/>
          <w:szCs w:val="24"/>
          <w:lang w:eastAsia="zh-CN"/>
        </w:rPr>
        <w:t>——</w:t>
      </w:r>
      <w:r>
        <w:rPr>
          <w:rFonts w:hint="eastAsia" w:eastAsia="仿宋_GB2312"/>
          <w:color w:val="auto"/>
          <w:sz w:val="24"/>
          <w:szCs w:val="24"/>
        </w:rPr>
        <w:t>含硫率，硫含量小于10mg/kg，取10</w:t>
      </w:r>
      <w:r>
        <w:rPr>
          <w:rFonts w:hint="eastAsia" w:eastAsia="仿宋_GB2312"/>
          <w:color w:val="auto"/>
          <w:sz w:val="24"/>
          <w:szCs w:val="24"/>
          <w:vertAlign w:val="superscript"/>
        </w:rPr>
        <w:t>-5</w:t>
      </w:r>
      <w:r>
        <w:rPr>
          <w:rFonts w:hint="eastAsia" w:eastAsia="仿宋_GB2312"/>
          <w:color w:val="auto"/>
          <w:sz w:val="24"/>
          <w:szCs w:val="24"/>
        </w:rPr>
        <w:t>；</w:t>
      </w:r>
    </w:p>
    <w:p>
      <w:pPr>
        <w:widowControl w:val="0"/>
        <w:spacing w:line="360" w:lineRule="auto"/>
        <w:ind w:firstLine="1200" w:firstLineChars="500"/>
        <w:rPr>
          <w:rFonts w:hint="eastAsia" w:eastAsia="仿宋_GB2312"/>
          <w:color w:val="auto"/>
          <w:sz w:val="24"/>
          <w:szCs w:val="24"/>
        </w:rPr>
      </w:pPr>
      <w:r>
        <w:rPr>
          <w:rFonts w:hint="eastAsia" w:eastAsia="仿宋_GB2312"/>
          <w:color w:val="auto"/>
          <w:sz w:val="24"/>
          <w:szCs w:val="24"/>
        </w:rPr>
        <w:t>G</w:t>
      </w:r>
      <w:r>
        <w:rPr>
          <w:rFonts w:hint="eastAsia" w:eastAsia="仿宋_GB2312"/>
          <w:color w:val="auto"/>
          <w:sz w:val="24"/>
          <w:szCs w:val="24"/>
          <w:vertAlign w:val="subscript"/>
        </w:rPr>
        <w:t>NOx</w:t>
      </w:r>
      <w:r>
        <w:rPr>
          <w:rFonts w:hint="eastAsia" w:eastAsia="仿宋_GB2312"/>
          <w:color w:val="auto"/>
          <w:sz w:val="24"/>
          <w:szCs w:val="24"/>
          <w:lang w:eastAsia="zh-CN"/>
        </w:rPr>
        <w:t>——</w:t>
      </w:r>
      <w:r>
        <w:rPr>
          <w:rFonts w:hint="eastAsia" w:eastAsia="仿宋_GB2312"/>
          <w:color w:val="auto"/>
          <w:sz w:val="24"/>
          <w:szCs w:val="24"/>
        </w:rPr>
        <w:t>NO</w:t>
      </w:r>
      <w:r>
        <w:rPr>
          <w:rFonts w:hint="eastAsia" w:eastAsia="仿宋_GB2312"/>
          <w:color w:val="auto"/>
          <w:sz w:val="24"/>
          <w:szCs w:val="24"/>
          <w:vertAlign w:val="subscript"/>
        </w:rPr>
        <w:t>x</w:t>
      </w:r>
      <w:r>
        <w:rPr>
          <w:rFonts w:hint="eastAsia" w:eastAsia="仿宋_GB2312"/>
          <w:color w:val="auto"/>
          <w:sz w:val="24"/>
          <w:szCs w:val="24"/>
        </w:rPr>
        <w:t>废气量，kg/a；</w:t>
      </w:r>
    </w:p>
    <w:p>
      <w:pPr>
        <w:widowControl w:val="0"/>
        <w:spacing w:line="360" w:lineRule="auto"/>
        <w:ind w:firstLine="1440" w:firstLineChars="600"/>
        <w:rPr>
          <w:rFonts w:hint="eastAsia" w:eastAsia="仿宋_GB2312"/>
          <w:color w:val="auto"/>
          <w:sz w:val="24"/>
          <w:szCs w:val="24"/>
        </w:rPr>
      </w:pPr>
      <w:r>
        <w:rPr>
          <w:rFonts w:hint="eastAsia" w:eastAsia="仿宋_GB2312"/>
          <w:color w:val="auto"/>
          <w:sz w:val="24"/>
          <w:szCs w:val="24"/>
        </w:rPr>
        <w:t>N</w:t>
      </w:r>
      <w:r>
        <w:rPr>
          <w:rFonts w:hint="eastAsia" w:eastAsia="仿宋_GB2312"/>
          <w:color w:val="auto"/>
          <w:sz w:val="24"/>
          <w:szCs w:val="24"/>
          <w:lang w:eastAsia="zh-CN"/>
        </w:rPr>
        <w:t>——</w:t>
      </w:r>
      <w:r>
        <w:rPr>
          <w:rFonts w:hint="eastAsia" w:eastAsia="仿宋_GB2312"/>
          <w:color w:val="auto"/>
          <w:sz w:val="24"/>
          <w:szCs w:val="24"/>
        </w:rPr>
        <w:t>含氮率，取0.14%。</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通过计算可得，船舶尾气中SO</w:t>
      </w:r>
      <w:r>
        <w:rPr>
          <w:rFonts w:hint="eastAsia" w:eastAsia="仿宋_GB2312"/>
          <w:color w:val="auto"/>
          <w:sz w:val="24"/>
          <w:szCs w:val="24"/>
          <w:vertAlign w:val="subscript"/>
        </w:rPr>
        <w:t>2</w:t>
      </w:r>
      <w:r>
        <w:rPr>
          <w:rFonts w:hint="eastAsia" w:eastAsia="仿宋_GB2312"/>
          <w:color w:val="auto"/>
          <w:sz w:val="24"/>
          <w:szCs w:val="24"/>
        </w:rPr>
        <w:t>和NO</w:t>
      </w:r>
      <w:r>
        <w:rPr>
          <w:rFonts w:hint="eastAsia" w:eastAsia="仿宋_GB2312"/>
          <w:color w:val="auto"/>
          <w:sz w:val="24"/>
          <w:szCs w:val="24"/>
          <w:vertAlign w:val="subscript"/>
        </w:rPr>
        <w:t>x</w:t>
      </w:r>
      <w:r>
        <w:rPr>
          <w:rFonts w:hint="eastAsia" w:eastAsia="仿宋_GB2312"/>
          <w:color w:val="auto"/>
          <w:sz w:val="24"/>
          <w:szCs w:val="24"/>
        </w:rPr>
        <w:t>的产生量分别为</w:t>
      </w:r>
      <w:r>
        <w:rPr>
          <w:rFonts w:hint="eastAsia" w:eastAsia="仿宋_GB2312"/>
          <w:color w:val="auto"/>
          <w:sz w:val="24"/>
          <w:szCs w:val="24"/>
          <w:lang w:val="en-US" w:eastAsia="zh-CN"/>
        </w:rPr>
        <w:t>0.0031</w:t>
      </w:r>
      <w:r>
        <w:rPr>
          <w:rFonts w:hint="eastAsia" w:eastAsia="仿宋_GB2312"/>
          <w:color w:val="auto"/>
          <w:sz w:val="24"/>
          <w:szCs w:val="24"/>
        </w:rPr>
        <w:t>t/a、</w:t>
      </w:r>
      <w:r>
        <w:rPr>
          <w:rFonts w:hint="eastAsia" w:eastAsia="仿宋_GB2312"/>
          <w:color w:val="auto"/>
          <w:sz w:val="24"/>
          <w:szCs w:val="24"/>
          <w:lang w:val="en-US" w:eastAsia="zh-CN"/>
        </w:rPr>
        <w:t>0.378</w:t>
      </w:r>
      <w:r>
        <w:rPr>
          <w:rFonts w:hint="eastAsia" w:eastAsia="仿宋_GB2312"/>
          <w:color w:val="auto"/>
          <w:sz w:val="24"/>
          <w:szCs w:val="24"/>
        </w:rPr>
        <w:t>t/a，均为无组织排放</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实际上，船舶在码头停泊时主机处于停运状态（待主机启动不久后即离港而去），只有辅机运转，用来提供用电和基本动力，耗油较少，所以燃油排放的废气量很少。</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综合上述分析，项目</w:t>
      </w:r>
      <w:r>
        <w:rPr>
          <w:rFonts w:hint="eastAsia" w:eastAsia="仿宋_GB2312"/>
          <w:color w:val="auto"/>
          <w:sz w:val="24"/>
          <w:szCs w:val="24"/>
          <w:lang w:eastAsia="zh-CN"/>
        </w:rPr>
        <w:t>运营期</w:t>
      </w:r>
      <w:r>
        <w:rPr>
          <w:rFonts w:hint="eastAsia" w:eastAsia="仿宋_GB2312"/>
          <w:color w:val="auto"/>
          <w:sz w:val="24"/>
          <w:szCs w:val="24"/>
        </w:rPr>
        <w:t>间产生的废气产生情况见</w:t>
      </w:r>
      <w:r>
        <w:rPr>
          <w:rFonts w:hint="eastAsia" w:eastAsia="仿宋_GB2312"/>
          <w:color w:val="auto"/>
          <w:sz w:val="24"/>
          <w:szCs w:val="24"/>
          <w:lang w:val="en-US" w:eastAsia="zh-CN"/>
        </w:rPr>
        <w:t>下</w:t>
      </w:r>
      <w:r>
        <w:rPr>
          <w:rFonts w:hint="eastAsia" w:eastAsia="仿宋_GB2312"/>
          <w:color w:val="auto"/>
          <w:sz w:val="24"/>
          <w:szCs w:val="24"/>
        </w:rPr>
        <w:t>表</w:t>
      </w:r>
      <w:r>
        <w:rPr>
          <w:rFonts w:hint="eastAsia" w:eastAsia="仿宋_GB2312"/>
          <w:color w:val="auto"/>
          <w:sz w:val="24"/>
          <w:szCs w:val="24"/>
          <w:lang w:eastAsia="zh-CN"/>
        </w:rPr>
        <w:t>。</w:t>
      </w:r>
    </w:p>
    <w:p>
      <w:pPr>
        <w:widowControl w:val="0"/>
        <w:spacing w:line="360" w:lineRule="auto"/>
        <w:jc w:val="center"/>
        <w:rPr>
          <w:rFonts w:hint="default" w:ascii="Times New Roman" w:hAnsi="Times New Roman" w:eastAsia="黑体" w:cs="Times New Roman"/>
          <w:b/>
          <w:color w:val="auto"/>
          <w:lang w:val="en-US" w:eastAsia="zh-CN"/>
        </w:rPr>
      </w:pPr>
      <w:r>
        <w:rPr>
          <w:rFonts w:hint="eastAsia" w:ascii="Times New Roman" w:hAnsi="Times New Roman" w:eastAsia="黑体" w:cs="Times New Roman"/>
          <w:b/>
          <w:color w:val="auto"/>
        </w:rPr>
        <w:t>表3.</w:t>
      </w:r>
      <w:r>
        <w:rPr>
          <w:rFonts w:hint="eastAsia" w:eastAsia="黑体" w:cs="Times New Roman"/>
          <w:b/>
          <w:color w:val="auto"/>
          <w:lang w:val="en-US" w:eastAsia="zh-CN"/>
        </w:rPr>
        <w:t>2</w:t>
      </w:r>
      <w:r>
        <w:rPr>
          <w:rFonts w:hint="eastAsia" w:ascii="Times New Roman" w:hAnsi="Times New Roman" w:eastAsia="黑体" w:cs="Times New Roman"/>
          <w:b/>
          <w:color w:val="auto"/>
        </w:rPr>
        <w:t>-</w:t>
      </w:r>
      <w:r>
        <w:rPr>
          <w:rFonts w:hint="eastAsia" w:eastAsia="黑体" w:cs="Times New Roman"/>
          <w:b/>
          <w:color w:val="auto"/>
          <w:lang w:val="en-US" w:eastAsia="zh-CN"/>
        </w:rPr>
        <w:t>3</w:t>
      </w:r>
      <w:r>
        <w:rPr>
          <w:rFonts w:hint="eastAsia" w:ascii="Times New Roman" w:hAnsi="Times New Roman" w:eastAsia="黑体" w:cs="Times New Roman"/>
          <w:b/>
          <w:color w:val="auto"/>
        </w:rPr>
        <w:t xml:space="preserve"> </w:t>
      </w:r>
      <w:r>
        <w:rPr>
          <w:rFonts w:hint="eastAsia" w:eastAsia="黑体" w:cs="Times New Roman"/>
          <w:b/>
          <w:color w:val="auto"/>
          <w:lang w:val="en-US" w:eastAsia="zh-CN"/>
        </w:rPr>
        <w:t xml:space="preserve"> 运营期间项目产生的废气分析汇总表</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16"/>
        <w:gridCol w:w="854"/>
        <w:gridCol w:w="825"/>
        <w:gridCol w:w="797"/>
        <w:gridCol w:w="1891"/>
        <w:gridCol w:w="900"/>
        <w:gridCol w:w="2014"/>
        <w:gridCol w:w="8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序号</w:t>
            </w:r>
          </w:p>
        </w:tc>
        <w:tc>
          <w:tcPr>
            <w:tcW w:w="501"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污染物类型</w:t>
            </w:r>
          </w:p>
        </w:tc>
        <w:tc>
          <w:tcPr>
            <w:tcW w:w="952" w:type="pct"/>
            <w:gridSpan w:val="2"/>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产尘环节</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产生量</w:t>
            </w:r>
          </w:p>
        </w:tc>
        <w:tc>
          <w:tcPr>
            <w:tcW w:w="528" w:type="pc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处理措施</w:t>
            </w:r>
          </w:p>
        </w:tc>
        <w:tc>
          <w:tcPr>
            <w:tcW w:w="1182"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排放量</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排放方式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restar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1</w:t>
            </w:r>
          </w:p>
        </w:tc>
        <w:tc>
          <w:tcPr>
            <w:tcW w:w="501"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装船</w:t>
            </w:r>
          </w:p>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扬尘</w:t>
            </w:r>
          </w:p>
        </w:tc>
        <w:tc>
          <w:tcPr>
            <w:tcW w:w="484" w:type="pct"/>
            <w:vMerge w:val="restar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1#泊位</w:t>
            </w:r>
          </w:p>
        </w:tc>
        <w:tc>
          <w:tcPr>
            <w:tcW w:w="468"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0.098</w:t>
            </w:r>
            <w:r>
              <w:rPr>
                <w:rFonts w:hint="eastAsia" w:cs="Times New Roman"/>
                <w:b w:val="0"/>
                <w:bCs/>
                <w:color w:val="auto"/>
                <w:sz w:val="20"/>
                <w:szCs w:val="20"/>
                <w:lang w:val="en-US" w:eastAsia="zh-CN"/>
              </w:rPr>
              <w:t>kg/h</w:t>
            </w:r>
            <w:r>
              <w:rPr>
                <w:rFonts w:hint="eastAsia" w:cs="Times New Roman"/>
                <w:b w:val="0"/>
                <w:bCs/>
                <w:color w:val="auto"/>
                <w:kern w:val="2"/>
                <w:sz w:val="20"/>
                <w:szCs w:val="20"/>
                <w:lang w:val="en-US" w:eastAsia="zh-CN" w:bidi="ar-SA"/>
              </w:rPr>
              <w:t>，0.776</w:t>
            </w:r>
            <w:r>
              <w:rPr>
                <w:rFonts w:hint="eastAsia" w:cs="Times New Roman"/>
                <w:b w:val="0"/>
                <w:bCs/>
                <w:color w:val="auto"/>
                <w:sz w:val="20"/>
                <w:szCs w:val="20"/>
                <w:lang w:val="en-US" w:eastAsia="zh-CN"/>
              </w:rPr>
              <w:t>t/a</w:t>
            </w:r>
          </w:p>
        </w:tc>
        <w:tc>
          <w:tcPr>
            <w:tcW w:w="528" w:type="pct"/>
            <w:vMerge w:val="restart"/>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脉冲布袋除尘器</w:t>
            </w:r>
          </w:p>
        </w:tc>
        <w:tc>
          <w:tcPr>
            <w:tcW w:w="1182"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0.02</w:t>
            </w:r>
            <w:r>
              <w:rPr>
                <w:rFonts w:hint="eastAsia" w:cs="Times New Roman"/>
                <w:b w:val="0"/>
                <w:bCs/>
                <w:color w:val="auto"/>
                <w:sz w:val="20"/>
                <w:szCs w:val="20"/>
                <w:lang w:val="en-US" w:eastAsia="zh-CN"/>
              </w:rPr>
              <w:t>kg/h</w:t>
            </w:r>
            <w:r>
              <w:rPr>
                <w:rFonts w:hint="eastAsia" w:cs="Times New Roman"/>
                <w:b w:val="0"/>
                <w:bCs/>
                <w:color w:val="auto"/>
                <w:kern w:val="2"/>
                <w:sz w:val="20"/>
                <w:szCs w:val="20"/>
                <w:lang w:val="en-US" w:eastAsia="zh-CN" w:bidi="ar-SA"/>
              </w:rPr>
              <w:t>，0.159</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501"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0.046kg/h</w:t>
            </w:r>
            <w:r>
              <w:rPr>
                <w:rFonts w:hint="eastAsia" w:cs="Times New Roman"/>
                <w:b w:val="0"/>
                <w:bCs/>
                <w:color w:val="auto"/>
                <w:kern w:val="2"/>
                <w:sz w:val="20"/>
                <w:szCs w:val="20"/>
                <w:lang w:val="en-US" w:eastAsia="zh-CN" w:bidi="ar-SA"/>
              </w:rPr>
              <w:t>，0.365</w:t>
            </w:r>
            <w:r>
              <w:rPr>
                <w:rFonts w:hint="eastAsia" w:cs="Times New Roman"/>
                <w:b w:val="0"/>
                <w:bCs/>
                <w:color w:val="auto"/>
                <w:sz w:val="20"/>
                <w:szCs w:val="20"/>
                <w:lang w:val="en-US" w:eastAsia="zh-CN"/>
              </w:rPr>
              <w:t>t/a</w:t>
            </w:r>
          </w:p>
        </w:tc>
        <w:tc>
          <w:tcPr>
            <w:tcW w:w="528"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1182"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0.009kg/h</w:t>
            </w:r>
            <w:r>
              <w:rPr>
                <w:rFonts w:hint="eastAsia" w:cs="Times New Roman"/>
                <w:b w:val="0"/>
                <w:bCs/>
                <w:color w:val="auto"/>
                <w:kern w:val="2"/>
                <w:sz w:val="20"/>
                <w:szCs w:val="20"/>
                <w:lang w:val="en-US" w:eastAsia="zh-CN" w:bidi="ar-SA"/>
              </w:rPr>
              <w:t>，0.075</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501"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0.006kg/h</w:t>
            </w:r>
            <w:r>
              <w:rPr>
                <w:rFonts w:hint="eastAsia" w:cs="Times New Roman"/>
                <w:b w:val="0"/>
                <w:bCs/>
                <w:color w:val="auto"/>
                <w:kern w:val="2"/>
                <w:sz w:val="20"/>
                <w:szCs w:val="20"/>
                <w:lang w:val="en-US" w:eastAsia="zh-CN" w:bidi="ar-SA"/>
              </w:rPr>
              <w:t>，</w:t>
            </w:r>
            <w:r>
              <w:rPr>
                <w:rFonts w:hint="eastAsia" w:cs="Times New Roman"/>
                <w:b w:val="0"/>
                <w:bCs/>
                <w:color w:val="auto"/>
                <w:sz w:val="20"/>
                <w:szCs w:val="20"/>
                <w:lang w:val="en-US" w:eastAsia="zh-CN"/>
              </w:rPr>
              <w:t>0.05t/a</w:t>
            </w:r>
          </w:p>
        </w:tc>
        <w:tc>
          <w:tcPr>
            <w:tcW w:w="528"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1182"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0.001kg/h</w:t>
            </w:r>
            <w:r>
              <w:rPr>
                <w:rFonts w:hint="eastAsia" w:cs="Times New Roman"/>
                <w:b w:val="0"/>
                <w:bCs/>
                <w:color w:val="auto"/>
                <w:kern w:val="2"/>
                <w:sz w:val="20"/>
                <w:szCs w:val="20"/>
                <w:lang w:val="en-US" w:eastAsia="zh-CN" w:bidi="ar-SA"/>
              </w:rPr>
              <w:t>，0.011</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p>
        </w:tc>
        <w:tc>
          <w:tcPr>
            <w:tcW w:w="484" w:type="pct"/>
            <w:vMerge w:val="restar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cs="Times New Roman"/>
                <w:b w:val="0"/>
                <w:bCs/>
                <w:color w:val="auto"/>
                <w:sz w:val="20"/>
                <w:szCs w:val="20"/>
                <w:lang w:val="en-US" w:eastAsia="zh-CN"/>
              </w:rPr>
              <w:t>2#泊位</w:t>
            </w: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0.098</w:t>
            </w:r>
            <w:r>
              <w:rPr>
                <w:rFonts w:hint="eastAsia" w:cs="Times New Roman"/>
                <w:b w:val="0"/>
                <w:bCs/>
                <w:color w:val="auto"/>
                <w:sz w:val="20"/>
                <w:szCs w:val="20"/>
                <w:lang w:val="en-US" w:eastAsia="zh-CN"/>
              </w:rPr>
              <w:t>kg/h</w:t>
            </w:r>
            <w:r>
              <w:rPr>
                <w:rFonts w:hint="eastAsia" w:cs="Times New Roman"/>
                <w:b w:val="0"/>
                <w:bCs/>
                <w:color w:val="auto"/>
                <w:kern w:val="2"/>
                <w:sz w:val="20"/>
                <w:szCs w:val="20"/>
                <w:lang w:val="en-US" w:eastAsia="zh-CN" w:bidi="ar-SA"/>
              </w:rPr>
              <w:t>，0.776</w:t>
            </w:r>
            <w:r>
              <w:rPr>
                <w:rFonts w:hint="eastAsia" w:cs="Times New Roman"/>
                <w:b w:val="0"/>
                <w:bCs/>
                <w:color w:val="auto"/>
                <w:sz w:val="20"/>
                <w:szCs w:val="20"/>
                <w:lang w:val="en-US" w:eastAsia="zh-CN"/>
              </w:rPr>
              <w:t>t/a</w:t>
            </w:r>
          </w:p>
        </w:tc>
        <w:tc>
          <w:tcPr>
            <w:tcW w:w="528" w:type="pct"/>
            <w:vMerge w:val="restar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cs="Times New Roman"/>
                <w:b w:val="0"/>
                <w:bCs/>
                <w:color w:val="auto"/>
                <w:sz w:val="20"/>
                <w:szCs w:val="20"/>
                <w:lang w:val="en-US" w:eastAsia="zh-CN"/>
              </w:rPr>
              <w:t>脉冲布袋除尘器</w:t>
            </w:r>
          </w:p>
        </w:tc>
        <w:tc>
          <w:tcPr>
            <w:tcW w:w="1182"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0.02</w:t>
            </w:r>
            <w:r>
              <w:rPr>
                <w:rFonts w:hint="eastAsia" w:cs="Times New Roman"/>
                <w:b w:val="0"/>
                <w:bCs/>
                <w:color w:val="auto"/>
                <w:sz w:val="20"/>
                <w:szCs w:val="20"/>
                <w:lang w:val="en-US" w:eastAsia="zh-CN"/>
              </w:rPr>
              <w:t>kg/h</w:t>
            </w:r>
            <w:r>
              <w:rPr>
                <w:rFonts w:hint="eastAsia" w:cs="Times New Roman"/>
                <w:b w:val="0"/>
                <w:bCs/>
                <w:color w:val="auto"/>
                <w:kern w:val="2"/>
                <w:sz w:val="20"/>
                <w:szCs w:val="20"/>
                <w:lang w:val="en-US" w:eastAsia="zh-CN" w:bidi="ar-SA"/>
              </w:rPr>
              <w:t>，0.159</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0.046kg/h</w:t>
            </w:r>
            <w:r>
              <w:rPr>
                <w:rFonts w:hint="eastAsia" w:cs="Times New Roman"/>
                <w:b w:val="0"/>
                <w:bCs/>
                <w:color w:val="auto"/>
                <w:kern w:val="2"/>
                <w:sz w:val="20"/>
                <w:szCs w:val="20"/>
                <w:lang w:val="en-US" w:eastAsia="zh-CN" w:bidi="ar-SA"/>
              </w:rPr>
              <w:t>，0.365</w:t>
            </w:r>
            <w:r>
              <w:rPr>
                <w:rFonts w:hint="eastAsia" w:cs="Times New Roman"/>
                <w:b w:val="0"/>
                <w:bCs/>
                <w:color w:val="auto"/>
                <w:sz w:val="20"/>
                <w:szCs w:val="20"/>
                <w:lang w:val="en-US" w:eastAsia="zh-CN"/>
              </w:rPr>
              <w:t>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0.009kg/h</w:t>
            </w:r>
            <w:r>
              <w:rPr>
                <w:rFonts w:hint="eastAsia" w:cs="Times New Roman"/>
                <w:b w:val="0"/>
                <w:bCs/>
                <w:color w:val="auto"/>
                <w:kern w:val="2"/>
                <w:sz w:val="20"/>
                <w:szCs w:val="20"/>
                <w:lang w:val="en-US" w:eastAsia="zh-CN" w:bidi="ar-SA"/>
              </w:rPr>
              <w:t>，0.075</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sz w:val="20"/>
                <w:szCs w:val="20"/>
                <w:lang w:val="en-US" w:eastAsia="zh-CN"/>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0.006kg/h</w:t>
            </w:r>
            <w:r>
              <w:rPr>
                <w:rFonts w:hint="eastAsia" w:cs="Times New Roman"/>
                <w:b w:val="0"/>
                <w:bCs/>
                <w:color w:val="auto"/>
                <w:kern w:val="2"/>
                <w:sz w:val="20"/>
                <w:szCs w:val="20"/>
                <w:lang w:val="en-US" w:eastAsia="zh-CN" w:bidi="ar-SA"/>
              </w:rPr>
              <w:t>，</w:t>
            </w:r>
            <w:r>
              <w:rPr>
                <w:rFonts w:hint="eastAsia" w:cs="Times New Roman"/>
                <w:b w:val="0"/>
                <w:bCs/>
                <w:color w:val="auto"/>
                <w:sz w:val="20"/>
                <w:szCs w:val="20"/>
                <w:lang w:val="en-US" w:eastAsia="zh-CN"/>
              </w:rPr>
              <w:t>0.05t/a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0.001kg/h</w:t>
            </w:r>
            <w:r>
              <w:rPr>
                <w:rFonts w:hint="eastAsia" w:cs="Times New Roman"/>
                <w:b w:val="0"/>
                <w:bCs/>
                <w:color w:val="auto"/>
                <w:kern w:val="2"/>
                <w:sz w:val="20"/>
                <w:szCs w:val="20"/>
                <w:lang w:val="en-US" w:eastAsia="zh-CN" w:bidi="ar-SA"/>
              </w:rPr>
              <w:t>，0.011</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restar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2</w:t>
            </w:r>
          </w:p>
        </w:tc>
        <w:tc>
          <w:tcPr>
            <w:tcW w:w="501" w:type="pct"/>
            <w:vMerge w:val="restar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转运点粉尘</w:t>
            </w:r>
          </w:p>
        </w:tc>
        <w:tc>
          <w:tcPr>
            <w:tcW w:w="484"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1#转运楼</w:t>
            </w:r>
          </w:p>
        </w:tc>
        <w:tc>
          <w:tcPr>
            <w:tcW w:w="468"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0.29kg/h，2.3t/a</w:t>
            </w:r>
          </w:p>
        </w:tc>
        <w:tc>
          <w:tcPr>
            <w:tcW w:w="528" w:type="pct"/>
            <w:vMerge w:val="restar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cs="Times New Roman"/>
                <w:b w:val="0"/>
                <w:bCs/>
                <w:color w:val="auto"/>
                <w:sz w:val="20"/>
                <w:szCs w:val="20"/>
                <w:lang w:val="en-US" w:eastAsia="zh-CN"/>
              </w:rPr>
              <w:t>封闭廊道+脉冲布袋除尘器</w:t>
            </w: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0.0015kg/h，0.012t/a</w:t>
            </w:r>
          </w:p>
        </w:tc>
        <w:tc>
          <w:tcPr>
            <w:tcW w:w="479" w:type="pct"/>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501"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0.136g/h</w:t>
            </w: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0.0006kg/h</w:t>
            </w:r>
            <w:r>
              <w:rPr>
                <w:rFonts w:hint="eastAsia" w:cs="Times New Roman"/>
                <w:b w:val="0"/>
                <w:bCs/>
                <w:color w:val="auto"/>
                <w:kern w:val="2"/>
                <w:sz w:val="20"/>
                <w:szCs w:val="20"/>
                <w:lang w:val="en-US" w:eastAsia="zh-CN" w:bidi="ar-SA"/>
              </w:rPr>
              <w:t>，0.006</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501"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0.02kg/h，0.161t/a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0.0001kg/h，0.0008t/a</w:t>
            </w:r>
          </w:p>
        </w:tc>
        <w:tc>
          <w:tcPr>
            <w:tcW w:w="479" w:type="pct"/>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2#转运楼</w:t>
            </w:r>
          </w:p>
        </w:tc>
        <w:tc>
          <w:tcPr>
            <w:tcW w:w="468"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0.581kg/h，4.6t/a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0.003kg/h，0.023t/a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0.273kg/h，2.162t/a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0.0014kg/h，0.011t/a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0.041kg/h，0.322t/a</w:t>
            </w:r>
          </w:p>
        </w:tc>
        <w:tc>
          <w:tcPr>
            <w:tcW w:w="528"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1182"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0.0003kg/h，0.002t/a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1#趸船转运平台</w:t>
            </w:r>
          </w:p>
        </w:tc>
        <w:tc>
          <w:tcPr>
            <w:tcW w:w="468"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0.29kg/h，2.3t/a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0.0015kg/h，0.012t/a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0.136g/h</w:t>
            </w: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0.0006kg/h</w:t>
            </w:r>
            <w:r>
              <w:rPr>
                <w:rFonts w:hint="eastAsia" w:cs="Times New Roman"/>
                <w:b w:val="0"/>
                <w:bCs/>
                <w:color w:val="auto"/>
                <w:kern w:val="2"/>
                <w:sz w:val="20"/>
                <w:szCs w:val="20"/>
                <w:lang w:val="en-US" w:eastAsia="zh-CN" w:bidi="ar-SA"/>
              </w:rPr>
              <w:t>，0.006</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0.02kg/h，0.161t/a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0.0001kg/h，0.0008t/a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2#趸船转运平台</w:t>
            </w:r>
          </w:p>
        </w:tc>
        <w:tc>
          <w:tcPr>
            <w:tcW w:w="468"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TSP</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0.29kg/h，2.3t/a</w:t>
            </w:r>
          </w:p>
        </w:tc>
        <w:tc>
          <w:tcPr>
            <w:tcW w:w="528"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0.0015kg/h，0.012t/a</w:t>
            </w:r>
          </w:p>
        </w:tc>
        <w:tc>
          <w:tcPr>
            <w:tcW w:w="479"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10</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0.136g/h</w:t>
            </w: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0.0006kg/h</w:t>
            </w:r>
            <w:r>
              <w:rPr>
                <w:rFonts w:hint="eastAsia" w:cs="Times New Roman"/>
                <w:b w:val="0"/>
                <w:bCs/>
                <w:color w:val="auto"/>
                <w:kern w:val="2"/>
                <w:sz w:val="20"/>
                <w:szCs w:val="20"/>
                <w:lang w:val="en-US" w:eastAsia="zh-CN" w:bidi="ar-SA"/>
              </w:rPr>
              <w:t>，0.006</w:t>
            </w:r>
            <w:r>
              <w:rPr>
                <w:rFonts w:hint="eastAsia" w:cs="Times New Roman"/>
                <w:b w:val="0"/>
                <w:bCs/>
                <w:color w:val="auto"/>
                <w:sz w:val="20"/>
                <w:szCs w:val="20"/>
                <w:lang w:val="en-US" w:eastAsia="zh-CN"/>
              </w:rPr>
              <w:t>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PM</w:t>
            </w:r>
            <w:r>
              <w:rPr>
                <w:rFonts w:hint="eastAsia" w:cs="Times New Roman"/>
                <w:b w:val="0"/>
                <w:bCs/>
                <w:color w:val="auto"/>
                <w:sz w:val="20"/>
                <w:szCs w:val="20"/>
                <w:vertAlign w:val="subscript"/>
                <w:lang w:val="en-US" w:eastAsia="zh-CN"/>
              </w:rPr>
              <w:t>2.5</w:t>
            </w:r>
          </w:p>
        </w:tc>
        <w:tc>
          <w:tcPr>
            <w:tcW w:w="1110"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0.02kg/h，0.161t/a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kern w:val="2"/>
                <w:sz w:val="20"/>
                <w:szCs w:val="20"/>
                <w:lang w:val="en-US" w:eastAsia="zh-CN" w:bidi="ar-SA"/>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0.0001kg/h，0.0008t/a</w:t>
            </w:r>
          </w:p>
        </w:tc>
        <w:tc>
          <w:tcPr>
            <w:tcW w:w="479" w:type="pct"/>
            <w:vAlign w:val="center"/>
          </w:tcPr>
          <w:p>
            <w:pPr>
              <w:widowControl w:val="0"/>
              <w:spacing w:line="240" w:lineRule="auto"/>
              <w:jc w:val="center"/>
              <w:rPr>
                <w:rFonts w:ascii="Times New Roman" w:hAnsi="Times New Roman" w:eastAsia="宋体" w:cs="Times New Roman"/>
                <w:b w:val="0"/>
                <w:bCs/>
                <w:color w:val="auto"/>
                <w:sz w:val="20"/>
                <w:szCs w:val="20"/>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restar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3</w:t>
            </w:r>
          </w:p>
        </w:tc>
        <w:tc>
          <w:tcPr>
            <w:tcW w:w="501" w:type="pct"/>
            <w:vMerge w:val="restart"/>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到港船舶废气</w:t>
            </w:r>
          </w:p>
        </w:tc>
        <w:tc>
          <w:tcPr>
            <w:tcW w:w="484" w:type="pct"/>
            <w:vMerge w:val="restar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船舶靠岸和驶出</w:t>
            </w:r>
          </w:p>
        </w:tc>
        <w:tc>
          <w:tcPr>
            <w:tcW w:w="468"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SO</w:t>
            </w:r>
            <w:r>
              <w:rPr>
                <w:rFonts w:hint="eastAsia" w:cs="Times New Roman"/>
                <w:b w:val="0"/>
                <w:bCs/>
                <w:color w:val="auto"/>
                <w:sz w:val="20"/>
                <w:szCs w:val="20"/>
                <w:vertAlign w:val="subscript"/>
                <w:lang w:val="en-US" w:eastAsia="zh-CN"/>
              </w:rPr>
              <w:t>2</w:t>
            </w:r>
          </w:p>
        </w:tc>
        <w:tc>
          <w:tcPr>
            <w:tcW w:w="1110"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0.002kg/h，0.0031t/a</w:t>
            </w:r>
          </w:p>
        </w:tc>
        <w:tc>
          <w:tcPr>
            <w:tcW w:w="528" w:type="pct"/>
            <w:vMerge w:val="restart"/>
            <w:vAlign w:val="center"/>
          </w:tcPr>
          <w:p>
            <w:pPr>
              <w:widowControl w:val="0"/>
              <w:spacing w:line="240" w:lineRule="auto"/>
              <w:jc w:val="center"/>
              <w:rPr>
                <w:rFonts w:hint="eastAsia" w:ascii="Times New Roman" w:hAnsi="Times New Roman" w:eastAsia="宋体" w:cs="Times New Roman"/>
                <w:b w:val="0"/>
                <w:bCs/>
                <w:color w:val="auto"/>
                <w:sz w:val="20"/>
                <w:szCs w:val="20"/>
                <w:lang w:val="en-US" w:eastAsia="zh-CN"/>
              </w:rPr>
            </w:pPr>
            <w:r>
              <w:rPr>
                <w:rFonts w:hint="eastAsia" w:cs="Times New Roman"/>
                <w:b w:val="0"/>
                <w:bCs/>
                <w:color w:val="auto"/>
                <w:sz w:val="20"/>
                <w:szCs w:val="20"/>
                <w:lang w:val="en-US" w:eastAsia="zh-CN"/>
              </w:rPr>
              <w:t>/</w:t>
            </w: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0.002kg/h，0.0031t/a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44"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501" w:type="pct"/>
            <w:vMerge w:val="continue"/>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p>
        </w:tc>
        <w:tc>
          <w:tcPr>
            <w:tcW w:w="484" w:type="pct"/>
            <w:vMerge w:val="continue"/>
            <w:vAlign w:val="center"/>
          </w:tcPr>
          <w:p>
            <w:pPr>
              <w:widowControl w:val="0"/>
              <w:spacing w:line="240" w:lineRule="auto"/>
              <w:jc w:val="center"/>
              <w:rPr>
                <w:rFonts w:hint="eastAsia" w:cs="Times New Roman"/>
                <w:b w:val="0"/>
                <w:bCs/>
                <w:color w:val="auto"/>
                <w:sz w:val="20"/>
                <w:szCs w:val="20"/>
                <w:lang w:val="en-US" w:eastAsia="zh-CN"/>
              </w:rPr>
            </w:pPr>
          </w:p>
        </w:tc>
        <w:tc>
          <w:tcPr>
            <w:tcW w:w="468" w:type="pct"/>
            <w:vAlign w:val="center"/>
          </w:tcPr>
          <w:p>
            <w:pPr>
              <w:widowControl w:val="0"/>
              <w:spacing w:line="240" w:lineRule="auto"/>
              <w:jc w:val="center"/>
              <w:rPr>
                <w:rFonts w:hint="default" w:cs="Times New Roman"/>
                <w:b w:val="0"/>
                <w:bCs/>
                <w:color w:val="auto"/>
                <w:sz w:val="20"/>
                <w:szCs w:val="20"/>
                <w:lang w:val="en-US" w:eastAsia="zh-CN"/>
              </w:rPr>
            </w:pPr>
            <w:r>
              <w:rPr>
                <w:rFonts w:hint="eastAsia" w:cs="Times New Roman"/>
                <w:b w:val="0"/>
                <w:bCs/>
                <w:color w:val="auto"/>
                <w:sz w:val="20"/>
                <w:szCs w:val="20"/>
                <w:lang w:val="en-US" w:eastAsia="zh-CN"/>
              </w:rPr>
              <w:t>NO</w:t>
            </w:r>
            <w:r>
              <w:rPr>
                <w:rFonts w:hint="eastAsia" w:cs="Times New Roman"/>
                <w:b w:val="0"/>
                <w:bCs/>
                <w:color w:val="auto"/>
                <w:sz w:val="20"/>
                <w:szCs w:val="20"/>
                <w:vertAlign w:val="subscript"/>
                <w:lang w:val="en-US" w:eastAsia="zh-CN"/>
              </w:rPr>
              <w:t>x</w:t>
            </w:r>
          </w:p>
        </w:tc>
        <w:tc>
          <w:tcPr>
            <w:tcW w:w="1110"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0.283kg/h，0.378t/a</w:t>
            </w:r>
          </w:p>
        </w:tc>
        <w:tc>
          <w:tcPr>
            <w:tcW w:w="528" w:type="pct"/>
            <w:vMerge w:val="continue"/>
            <w:vAlign w:val="center"/>
          </w:tcPr>
          <w:p>
            <w:pPr>
              <w:widowControl w:val="0"/>
              <w:spacing w:line="240" w:lineRule="auto"/>
              <w:jc w:val="center"/>
              <w:rPr>
                <w:rFonts w:ascii="Times New Roman" w:hAnsi="Times New Roman" w:eastAsia="宋体" w:cs="Times New Roman"/>
                <w:b w:val="0"/>
                <w:bCs/>
                <w:color w:val="auto"/>
                <w:sz w:val="20"/>
                <w:szCs w:val="20"/>
              </w:rPr>
            </w:pPr>
          </w:p>
        </w:tc>
        <w:tc>
          <w:tcPr>
            <w:tcW w:w="1182" w:type="pct"/>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0.283kg/h，0.378t/a</w:t>
            </w:r>
          </w:p>
        </w:tc>
        <w:tc>
          <w:tcPr>
            <w:tcW w:w="479" w:type="pct"/>
            <w:vAlign w:val="center"/>
          </w:tcPr>
          <w:p>
            <w:pPr>
              <w:widowControl w:val="0"/>
              <w:spacing w:line="240" w:lineRule="auto"/>
              <w:jc w:val="center"/>
              <w:rPr>
                <w:rFonts w:hint="eastAsia" w:cs="Times New Roman"/>
                <w:b w:val="0"/>
                <w:bCs/>
                <w:color w:val="auto"/>
                <w:sz w:val="20"/>
                <w:szCs w:val="20"/>
                <w:lang w:val="en-US" w:eastAsia="zh-CN"/>
              </w:rPr>
            </w:pPr>
            <w:r>
              <w:rPr>
                <w:rFonts w:hint="eastAsia" w:cs="Times New Roman"/>
                <w:b w:val="0"/>
                <w:bCs/>
                <w:color w:val="auto"/>
                <w:sz w:val="20"/>
                <w:szCs w:val="20"/>
                <w:lang w:val="en-US" w:eastAsia="zh-CN"/>
              </w:rPr>
              <w:t>无组织</w:t>
            </w:r>
          </w:p>
        </w:tc>
      </w:tr>
    </w:tbl>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bookmarkStart w:id="321" w:name="_Toc14899"/>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.2废水</w:t>
      </w:r>
      <w:bookmarkEnd w:id="321"/>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项目</w:t>
      </w:r>
      <w:r>
        <w:rPr>
          <w:rFonts w:hint="eastAsia" w:eastAsia="仿宋_GB2312"/>
          <w:color w:val="auto"/>
          <w:sz w:val="24"/>
          <w:szCs w:val="24"/>
          <w:lang w:eastAsia="zh-CN"/>
        </w:rPr>
        <w:t>运营期</w:t>
      </w:r>
      <w:r>
        <w:rPr>
          <w:rFonts w:hint="eastAsia" w:eastAsia="仿宋_GB2312"/>
          <w:color w:val="auto"/>
          <w:sz w:val="24"/>
          <w:szCs w:val="24"/>
        </w:rPr>
        <w:t>废水主要为码头工作人员生活污水，</w:t>
      </w:r>
      <w:r>
        <w:rPr>
          <w:rFonts w:hint="eastAsia" w:eastAsia="仿宋_GB2312"/>
          <w:color w:val="auto"/>
          <w:sz w:val="24"/>
          <w:szCs w:val="24"/>
          <w:lang w:val="en-US" w:eastAsia="zh-CN"/>
        </w:rPr>
        <w:t>到港</w:t>
      </w:r>
      <w:r>
        <w:rPr>
          <w:rFonts w:hint="eastAsia" w:eastAsia="仿宋_GB2312"/>
          <w:color w:val="auto"/>
          <w:sz w:val="24"/>
          <w:szCs w:val="24"/>
        </w:rPr>
        <w:t>船舶含油污水和生活污水</w:t>
      </w:r>
      <w:r>
        <w:rPr>
          <w:rFonts w:hint="eastAsia" w:eastAsia="仿宋_GB2312"/>
          <w:color w:val="auto"/>
          <w:sz w:val="24"/>
          <w:szCs w:val="24"/>
          <w:lang w:eastAsia="zh-CN"/>
        </w:rPr>
        <w:t>，</w:t>
      </w:r>
      <w:r>
        <w:rPr>
          <w:rFonts w:hint="eastAsia" w:eastAsia="仿宋_GB2312"/>
          <w:color w:val="auto"/>
          <w:sz w:val="24"/>
          <w:szCs w:val="24"/>
        </w:rPr>
        <w:t>码头</w:t>
      </w:r>
      <w:r>
        <w:rPr>
          <w:rFonts w:hint="eastAsia" w:eastAsia="仿宋_GB2312"/>
          <w:color w:val="auto"/>
          <w:sz w:val="24"/>
          <w:szCs w:val="24"/>
          <w:lang w:val="en-US" w:eastAsia="zh-CN"/>
        </w:rPr>
        <w:t>面</w:t>
      </w:r>
      <w:r>
        <w:rPr>
          <w:rFonts w:hint="eastAsia" w:eastAsia="仿宋_GB2312"/>
          <w:color w:val="auto"/>
          <w:sz w:val="24"/>
          <w:szCs w:val="24"/>
        </w:rPr>
        <w:t>冲洗废水及码头</w:t>
      </w:r>
      <w:r>
        <w:rPr>
          <w:rFonts w:hint="eastAsia" w:eastAsia="仿宋_GB2312"/>
          <w:color w:val="auto"/>
          <w:sz w:val="24"/>
          <w:szCs w:val="24"/>
          <w:lang w:val="en-US" w:eastAsia="zh-CN"/>
        </w:rPr>
        <w:t>面</w:t>
      </w:r>
      <w:r>
        <w:rPr>
          <w:rFonts w:hint="eastAsia" w:eastAsia="仿宋_GB2312"/>
          <w:color w:val="auto"/>
          <w:sz w:val="24"/>
          <w:szCs w:val="24"/>
        </w:rPr>
        <w:t>初期雨水。</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（1）</w:t>
      </w:r>
      <w:r>
        <w:rPr>
          <w:rFonts w:hint="eastAsia" w:eastAsia="仿宋_GB2312"/>
          <w:color w:val="auto"/>
          <w:sz w:val="24"/>
          <w:szCs w:val="24"/>
          <w:lang w:val="en-US" w:eastAsia="zh-CN"/>
        </w:rPr>
        <w:t>码头</w:t>
      </w:r>
      <w:r>
        <w:rPr>
          <w:rFonts w:hint="eastAsia" w:eastAsia="仿宋_GB2312"/>
          <w:color w:val="auto"/>
          <w:sz w:val="24"/>
          <w:szCs w:val="24"/>
        </w:rPr>
        <w:t>工作人员生活污水</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本项目码头定员</w:t>
      </w:r>
      <w:r>
        <w:rPr>
          <w:rFonts w:hint="eastAsia" w:eastAsia="仿宋_GB2312"/>
          <w:color w:val="auto"/>
          <w:sz w:val="24"/>
          <w:szCs w:val="24"/>
          <w:lang w:val="en-US" w:eastAsia="zh-CN"/>
        </w:rPr>
        <w:t>30</w:t>
      </w:r>
      <w:r>
        <w:rPr>
          <w:rFonts w:hint="eastAsia" w:eastAsia="仿宋_GB2312"/>
          <w:color w:val="auto"/>
          <w:sz w:val="24"/>
          <w:szCs w:val="24"/>
        </w:rPr>
        <w:t>人，均不在厂区食宿</w:t>
      </w:r>
      <w:r>
        <w:rPr>
          <w:rFonts w:hint="eastAsia" w:eastAsia="仿宋_GB2312"/>
          <w:color w:val="auto"/>
          <w:sz w:val="24"/>
          <w:szCs w:val="24"/>
          <w:lang w:eastAsia="zh-CN"/>
        </w:rPr>
        <w:t>，</w:t>
      </w:r>
      <w:r>
        <w:rPr>
          <w:rFonts w:hint="eastAsia" w:eastAsia="仿宋_GB2312"/>
          <w:color w:val="auto"/>
          <w:sz w:val="24"/>
          <w:szCs w:val="24"/>
          <w:lang w:val="en-US" w:eastAsia="zh-CN"/>
        </w:rPr>
        <w:t>年工作时间330天</w:t>
      </w:r>
      <w:r>
        <w:rPr>
          <w:rFonts w:hint="eastAsia" w:eastAsia="仿宋_GB2312"/>
          <w:color w:val="auto"/>
          <w:sz w:val="24"/>
          <w:szCs w:val="24"/>
        </w:rPr>
        <w:t>。根据《建筑给水排水设计规范》（GB50015-2019），非住宿人员用水量按</w:t>
      </w:r>
      <w:r>
        <w:rPr>
          <w:rFonts w:hint="eastAsia" w:eastAsia="仿宋_GB2312"/>
          <w:color w:val="auto"/>
          <w:sz w:val="24"/>
          <w:szCs w:val="24"/>
          <w:lang w:val="en-US" w:eastAsia="zh-CN"/>
        </w:rPr>
        <w:t>5</w:t>
      </w:r>
      <w:r>
        <w:rPr>
          <w:rFonts w:hint="eastAsia" w:eastAsia="仿宋_GB2312"/>
          <w:color w:val="auto"/>
          <w:sz w:val="24"/>
          <w:szCs w:val="24"/>
        </w:rPr>
        <w:t>0L/人·d 计，则生活用水量为</w:t>
      </w:r>
      <w:r>
        <w:rPr>
          <w:rFonts w:hint="eastAsia" w:eastAsia="仿宋_GB2312"/>
          <w:color w:val="auto"/>
          <w:sz w:val="24"/>
          <w:szCs w:val="24"/>
          <w:lang w:val="en-US" w:eastAsia="zh-CN"/>
        </w:rPr>
        <w:t>1.5</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/d（</w:t>
      </w:r>
      <w:r>
        <w:rPr>
          <w:rFonts w:hint="eastAsia" w:eastAsia="仿宋_GB2312"/>
          <w:color w:val="auto"/>
          <w:sz w:val="24"/>
          <w:szCs w:val="24"/>
          <w:lang w:val="en-US" w:eastAsia="zh-CN"/>
        </w:rPr>
        <w:t>495</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/a）。生活污水排放量按用水量的80%计，则工作人员生活污水产生量约</w:t>
      </w:r>
      <w:r>
        <w:rPr>
          <w:rFonts w:hint="eastAsia" w:eastAsia="仿宋_GB2312"/>
          <w:color w:val="auto"/>
          <w:sz w:val="24"/>
          <w:szCs w:val="24"/>
          <w:lang w:val="en-US" w:eastAsia="zh-CN"/>
        </w:rPr>
        <w:t>1.2</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/d（</w:t>
      </w:r>
      <w:r>
        <w:rPr>
          <w:rFonts w:hint="eastAsia" w:eastAsia="仿宋_GB2312"/>
          <w:color w:val="auto"/>
          <w:sz w:val="24"/>
          <w:szCs w:val="24"/>
          <w:lang w:val="en-US" w:eastAsia="zh-CN"/>
        </w:rPr>
        <w:t>396</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/a）。污水中COD、BOD</w:t>
      </w:r>
      <w:r>
        <w:rPr>
          <w:rFonts w:hint="eastAsia" w:eastAsia="仿宋_GB2312"/>
          <w:color w:val="auto"/>
          <w:sz w:val="24"/>
          <w:szCs w:val="24"/>
          <w:vertAlign w:val="subscript"/>
        </w:rPr>
        <w:t>5</w:t>
      </w:r>
      <w:r>
        <w:rPr>
          <w:rFonts w:hint="eastAsia" w:eastAsia="仿宋_GB2312"/>
          <w:color w:val="auto"/>
          <w:sz w:val="24"/>
          <w:szCs w:val="24"/>
        </w:rPr>
        <w:t>、SS、NH</w:t>
      </w:r>
      <w:r>
        <w:rPr>
          <w:rFonts w:hint="eastAsia" w:eastAsia="仿宋_GB2312"/>
          <w:color w:val="auto"/>
          <w:sz w:val="24"/>
          <w:szCs w:val="24"/>
          <w:vertAlign w:val="subscript"/>
        </w:rPr>
        <w:t>3</w:t>
      </w:r>
      <w:r>
        <w:rPr>
          <w:rFonts w:hint="eastAsia" w:eastAsia="仿宋_GB2312"/>
          <w:color w:val="auto"/>
          <w:sz w:val="24"/>
          <w:szCs w:val="24"/>
        </w:rPr>
        <w:t>-N产生浓度分别约为300mg/L、200mg/L、200mg/L、30mg/L，则污染物的产生量分别为0.19</w:t>
      </w:r>
      <w:r>
        <w:rPr>
          <w:rFonts w:hint="eastAsia" w:eastAsia="仿宋_GB2312"/>
          <w:color w:val="auto"/>
          <w:sz w:val="24"/>
          <w:szCs w:val="24"/>
          <w:lang w:val="en-US" w:eastAsia="zh-CN"/>
        </w:rPr>
        <w:t>0</w:t>
      </w:r>
      <w:r>
        <w:rPr>
          <w:rFonts w:hint="eastAsia" w:eastAsia="仿宋_GB2312"/>
          <w:color w:val="auto"/>
          <w:sz w:val="24"/>
          <w:szCs w:val="24"/>
        </w:rPr>
        <w:t>t/a、0.1267t/a、0.1267t/a、0.019t/a。</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val="en-US" w:eastAsia="zh-CN"/>
        </w:rPr>
        <w:t>码头</w:t>
      </w:r>
      <w:r>
        <w:rPr>
          <w:rFonts w:hint="eastAsia" w:eastAsia="仿宋_GB2312"/>
          <w:color w:val="auto"/>
          <w:sz w:val="24"/>
          <w:szCs w:val="24"/>
          <w:lang w:eastAsia="zh-CN"/>
        </w:rPr>
        <w:t>工作人员生活污水进入</w:t>
      </w:r>
      <w:r>
        <w:rPr>
          <w:rFonts w:hint="eastAsia" w:eastAsia="仿宋_GB2312"/>
          <w:color w:val="auto"/>
          <w:sz w:val="24"/>
          <w:szCs w:val="24"/>
          <w:lang w:val="en-US" w:eastAsia="zh-CN"/>
        </w:rPr>
        <w:t>各自</w:t>
      </w:r>
      <w:r>
        <w:rPr>
          <w:rFonts w:hint="eastAsia" w:eastAsia="仿宋_GB2312"/>
          <w:color w:val="auto"/>
          <w:sz w:val="24"/>
          <w:szCs w:val="24"/>
          <w:lang w:eastAsia="zh-CN"/>
        </w:rPr>
        <w:t>趸船下方</w:t>
      </w:r>
      <w:r>
        <w:rPr>
          <w:rFonts w:hint="eastAsia" w:eastAsia="仿宋_GB2312"/>
          <w:color w:val="auto"/>
          <w:sz w:val="24"/>
          <w:szCs w:val="24"/>
          <w:lang w:val="en-US" w:eastAsia="zh-CN"/>
        </w:rPr>
        <w:t>设置的</w:t>
      </w:r>
      <w:r>
        <w:rPr>
          <w:rFonts w:hint="eastAsia" w:eastAsia="仿宋_GB2312"/>
          <w:color w:val="auto"/>
          <w:sz w:val="24"/>
          <w:szCs w:val="24"/>
          <w:lang w:eastAsia="zh-CN"/>
        </w:rPr>
        <w:t>生活污水储存柜储存，委托海事部门认定的船舶污染物接收船</w:t>
      </w:r>
      <w:r>
        <w:rPr>
          <w:rFonts w:hint="eastAsia" w:eastAsia="仿宋_GB2312"/>
          <w:color w:val="auto"/>
          <w:sz w:val="24"/>
          <w:szCs w:val="24"/>
          <w:lang w:val="en-US" w:eastAsia="zh-CN"/>
        </w:rPr>
        <w:t>定期</w:t>
      </w:r>
      <w:r>
        <w:rPr>
          <w:rFonts w:hint="eastAsia" w:eastAsia="仿宋_GB2312"/>
          <w:color w:val="auto"/>
          <w:sz w:val="24"/>
          <w:szCs w:val="24"/>
          <w:lang w:eastAsia="zh-CN"/>
        </w:rPr>
        <w:t>统一处理。</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到港船舶污水</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①船舶舱底油污水</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根据《水运工程环境保护设计规范》（JTS 149</w:t>
      </w:r>
      <w:r>
        <w:rPr>
          <w:rFonts w:hint="eastAsia" w:eastAsia="仿宋_GB2312"/>
          <w:color w:val="auto"/>
          <w:sz w:val="24"/>
          <w:szCs w:val="24"/>
          <w:lang w:val="en-US" w:eastAsia="zh-CN"/>
        </w:rPr>
        <w:t>-</w:t>
      </w:r>
      <w:r>
        <w:rPr>
          <w:rFonts w:hint="eastAsia" w:eastAsia="仿宋_GB2312"/>
          <w:color w:val="auto"/>
          <w:sz w:val="24"/>
          <w:szCs w:val="24"/>
        </w:rPr>
        <w:t>2018），</w:t>
      </w:r>
      <w:r>
        <w:rPr>
          <w:rFonts w:hint="eastAsia" w:eastAsia="仿宋_GB2312"/>
          <w:color w:val="auto"/>
          <w:sz w:val="24"/>
          <w:szCs w:val="24"/>
          <w:lang w:val="en-US" w:eastAsia="zh-CN"/>
        </w:rPr>
        <w:t>30</w:t>
      </w:r>
      <w:r>
        <w:rPr>
          <w:rFonts w:hint="eastAsia" w:eastAsia="仿宋_GB2312"/>
          <w:color w:val="auto"/>
          <w:sz w:val="24"/>
          <w:szCs w:val="24"/>
        </w:rPr>
        <w:t>00DWT级船舶舱底油污水产生量为0</w:t>
      </w:r>
      <w:r>
        <w:rPr>
          <w:rFonts w:hint="eastAsia" w:eastAsia="仿宋_GB2312"/>
          <w:color w:val="auto"/>
          <w:sz w:val="24"/>
          <w:szCs w:val="24"/>
          <w:lang w:val="en-US" w:eastAsia="zh-CN"/>
        </w:rPr>
        <w:t>.81</w:t>
      </w:r>
      <w:r>
        <w:rPr>
          <w:rFonts w:hint="eastAsia" w:eastAsia="仿宋_GB2312"/>
          <w:color w:val="auto"/>
          <w:sz w:val="24"/>
          <w:szCs w:val="24"/>
        </w:rPr>
        <w:t>t/d·艘。根据本工程泊位吞吐量及设计代表船型，工程全年到港船舶约</w:t>
      </w:r>
      <w:r>
        <w:rPr>
          <w:rFonts w:hint="eastAsia" w:eastAsia="仿宋_GB2312"/>
          <w:color w:val="auto"/>
          <w:sz w:val="24"/>
          <w:szCs w:val="24"/>
          <w:lang w:val="en-US" w:eastAsia="zh-CN"/>
        </w:rPr>
        <w:t>1834</w:t>
      </w:r>
      <w:r>
        <w:rPr>
          <w:rFonts w:hint="eastAsia" w:eastAsia="仿宋_GB2312"/>
          <w:color w:val="auto"/>
          <w:sz w:val="24"/>
          <w:szCs w:val="24"/>
        </w:rPr>
        <w:t>艘</w:t>
      </w:r>
      <w:r>
        <w:rPr>
          <w:rFonts w:hint="eastAsia" w:eastAsia="仿宋_GB2312"/>
          <w:color w:val="auto"/>
          <w:sz w:val="24"/>
          <w:szCs w:val="24"/>
          <w:lang w:eastAsia="zh-CN"/>
        </w:rPr>
        <w:t>。</w:t>
      </w:r>
      <w:r>
        <w:rPr>
          <w:rFonts w:hint="eastAsia" w:eastAsia="仿宋_GB2312"/>
          <w:color w:val="auto"/>
          <w:sz w:val="24"/>
          <w:szCs w:val="24"/>
        </w:rPr>
        <w:t>综合考虑港区泊位数量、每艘船舶的停留时间及排放舱底油污水的比例等因素，确定到港船舶舱底油污水全年发生总量约为</w:t>
      </w:r>
      <w:r>
        <w:rPr>
          <w:rFonts w:hint="eastAsia" w:eastAsia="仿宋_GB2312"/>
          <w:color w:val="auto"/>
          <w:sz w:val="24"/>
          <w:szCs w:val="24"/>
          <w:lang w:val="en-US" w:eastAsia="zh-CN"/>
        </w:rPr>
        <w:t>1485.54</w:t>
      </w:r>
      <w:r>
        <w:rPr>
          <w:rFonts w:hint="eastAsia" w:eastAsia="仿宋_GB2312"/>
          <w:color w:val="auto"/>
          <w:sz w:val="24"/>
          <w:szCs w:val="24"/>
        </w:rPr>
        <w:t>t/a。舱底含油污水的平均含油浓度为5000mg/L，石油类的产生量为</w:t>
      </w:r>
      <w:r>
        <w:rPr>
          <w:rFonts w:hint="eastAsia" w:eastAsia="仿宋_GB2312"/>
          <w:color w:val="auto"/>
          <w:sz w:val="24"/>
          <w:szCs w:val="24"/>
          <w:lang w:val="en-US" w:eastAsia="zh-CN"/>
        </w:rPr>
        <w:t>7.428t</w:t>
      </w:r>
      <w:r>
        <w:rPr>
          <w:rFonts w:hint="eastAsia" w:eastAsia="仿宋_GB2312"/>
          <w:color w:val="auto"/>
          <w:sz w:val="24"/>
          <w:szCs w:val="24"/>
        </w:rPr>
        <w:t>/a。</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rPr>
        <w:t>②</w:t>
      </w:r>
      <w:r>
        <w:rPr>
          <w:rFonts w:hint="eastAsia" w:eastAsia="仿宋_GB2312"/>
          <w:color w:val="auto"/>
          <w:sz w:val="24"/>
          <w:szCs w:val="24"/>
          <w:lang w:val="en-US" w:eastAsia="zh-CN"/>
        </w:rPr>
        <w:t>船舶生活污水</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根据《中华人民共和国船舶最低安全配员规则》，保守估算，到港船舶上船员平均以20人/艘估算，人均用水量取150L/人•d，排污系数按0.8计，则生活污水产生量为</w:t>
      </w:r>
      <w:r>
        <w:rPr>
          <w:rFonts w:hint="eastAsia" w:eastAsia="仿宋_GB2312"/>
          <w:color w:val="auto"/>
          <w:sz w:val="24"/>
          <w:szCs w:val="24"/>
          <w:lang w:val="en-US" w:eastAsia="zh-CN"/>
        </w:rPr>
        <w:t>4401.6</w:t>
      </w:r>
      <w:r>
        <w:rPr>
          <w:rFonts w:hint="eastAsia" w:eastAsia="仿宋_GB2312"/>
          <w:color w:val="auto"/>
          <w:sz w:val="24"/>
          <w:szCs w:val="24"/>
        </w:rPr>
        <w:t>t/a。污水中主要污染因子COD、BOD</w:t>
      </w:r>
      <w:r>
        <w:rPr>
          <w:rFonts w:hint="eastAsia" w:eastAsia="仿宋_GB2312"/>
          <w:color w:val="auto"/>
          <w:sz w:val="24"/>
          <w:szCs w:val="24"/>
          <w:vertAlign w:val="subscript"/>
        </w:rPr>
        <w:t>5</w:t>
      </w:r>
      <w:r>
        <w:rPr>
          <w:rFonts w:hint="eastAsia" w:eastAsia="仿宋_GB2312"/>
          <w:color w:val="auto"/>
          <w:sz w:val="24"/>
          <w:szCs w:val="24"/>
        </w:rPr>
        <w:t>和氨氮浓度分别按300mg/L、200mg/L和35mg/L计，则COD、BOD</w:t>
      </w:r>
      <w:r>
        <w:rPr>
          <w:rFonts w:hint="eastAsia" w:eastAsia="仿宋_GB2312"/>
          <w:color w:val="auto"/>
          <w:sz w:val="24"/>
          <w:szCs w:val="24"/>
          <w:vertAlign w:val="subscript"/>
        </w:rPr>
        <w:t>5</w:t>
      </w:r>
      <w:r>
        <w:rPr>
          <w:rFonts w:hint="eastAsia" w:eastAsia="仿宋_GB2312"/>
          <w:color w:val="auto"/>
          <w:sz w:val="24"/>
          <w:szCs w:val="24"/>
        </w:rPr>
        <w:t>和氨氮的产生量分别为</w:t>
      </w:r>
      <w:r>
        <w:rPr>
          <w:rFonts w:hint="eastAsia" w:eastAsia="仿宋_GB2312"/>
          <w:color w:val="auto"/>
          <w:sz w:val="24"/>
          <w:szCs w:val="24"/>
          <w:lang w:val="en-US" w:eastAsia="zh-CN"/>
        </w:rPr>
        <w:t>1.32t</w:t>
      </w:r>
      <w:r>
        <w:rPr>
          <w:rFonts w:hint="eastAsia" w:eastAsia="仿宋_GB2312"/>
          <w:color w:val="auto"/>
          <w:sz w:val="24"/>
          <w:szCs w:val="24"/>
        </w:rPr>
        <w:t>/a，</w:t>
      </w:r>
      <w:r>
        <w:rPr>
          <w:rFonts w:hint="eastAsia" w:eastAsia="仿宋_GB2312"/>
          <w:color w:val="auto"/>
          <w:sz w:val="24"/>
          <w:szCs w:val="24"/>
          <w:lang w:val="en-US" w:eastAsia="zh-CN"/>
        </w:rPr>
        <w:t>0.88t</w:t>
      </w:r>
      <w:r>
        <w:rPr>
          <w:rFonts w:hint="eastAsia" w:eastAsia="仿宋_GB2312"/>
          <w:color w:val="auto"/>
          <w:sz w:val="24"/>
          <w:szCs w:val="24"/>
        </w:rPr>
        <w:t>/a，</w:t>
      </w:r>
      <w:r>
        <w:rPr>
          <w:rFonts w:hint="eastAsia" w:eastAsia="仿宋_GB2312"/>
          <w:color w:val="auto"/>
          <w:sz w:val="24"/>
          <w:szCs w:val="24"/>
          <w:lang w:val="en-US" w:eastAsia="zh-CN"/>
        </w:rPr>
        <w:t>0.154t</w:t>
      </w:r>
      <w:r>
        <w:rPr>
          <w:rFonts w:hint="eastAsia" w:eastAsia="仿宋_GB2312"/>
          <w:color w:val="auto"/>
          <w:sz w:val="24"/>
          <w:szCs w:val="24"/>
        </w:rPr>
        <w:t>/a。</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不得在码头所在江段排放舱底油污水</w:t>
      </w:r>
      <w:r>
        <w:rPr>
          <w:rFonts w:hint="eastAsia" w:eastAsia="仿宋_GB2312"/>
          <w:color w:val="auto"/>
          <w:sz w:val="24"/>
          <w:szCs w:val="24"/>
          <w:lang w:eastAsia="zh-CN"/>
        </w:rPr>
        <w:t>。</w:t>
      </w:r>
      <w:r>
        <w:rPr>
          <w:rFonts w:hint="eastAsia" w:eastAsia="仿宋_GB2312"/>
          <w:color w:val="auto"/>
          <w:sz w:val="24"/>
          <w:szCs w:val="24"/>
          <w:lang w:val="en-US" w:eastAsia="zh-CN"/>
        </w:rPr>
        <w:t>到港</w:t>
      </w:r>
      <w:r>
        <w:rPr>
          <w:rFonts w:hint="eastAsia" w:eastAsia="仿宋_GB2312"/>
          <w:color w:val="auto"/>
          <w:sz w:val="24"/>
          <w:szCs w:val="24"/>
        </w:rPr>
        <w:t>船舶生活污水</w:t>
      </w:r>
      <w:r>
        <w:rPr>
          <w:rFonts w:hint="eastAsia" w:eastAsia="仿宋_GB2312"/>
          <w:color w:val="auto"/>
          <w:sz w:val="24"/>
          <w:szCs w:val="24"/>
          <w:lang w:val="en-US" w:eastAsia="zh-CN"/>
        </w:rPr>
        <w:t>及油污水直接交由</w:t>
      </w:r>
      <w:r>
        <w:rPr>
          <w:rFonts w:hint="eastAsia" w:eastAsia="仿宋_GB2312"/>
          <w:color w:val="auto"/>
          <w:sz w:val="24"/>
          <w:szCs w:val="24"/>
        </w:rPr>
        <w:t>由</w:t>
      </w:r>
      <w:r>
        <w:rPr>
          <w:rFonts w:hint="eastAsia" w:eastAsia="仿宋_GB2312"/>
          <w:color w:val="auto"/>
          <w:sz w:val="24"/>
          <w:szCs w:val="24"/>
          <w:lang w:val="en-US" w:eastAsia="zh-CN"/>
        </w:rPr>
        <w:t>海事部门指定的接收船处理，本项目不接收到港船舶废水</w:t>
      </w:r>
      <w:r>
        <w:rPr>
          <w:rFonts w:hint="eastAsia" w:eastAsia="仿宋_GB2312"/>
          <w:color w:val="auto"/>
          <w:sz w:val="24"/>
          <w:szCs w:val="24"/>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码头面冲洗废水</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本码头设计有散货泊位2个。散货主要是</w:t>
      </w:r>
      <w:r>
        <w:rPr>
          <w:rFonts w:hint="eastAsia" w:eastAsia="仿宋_GB2312"/>
          <w:color w:val="auto"/>
          <w:sz w:val="24"/>
          <w:szCs w:val="24"/>
          <w:lang w:val="en-US" w:eastAsia="zh-CN"/>
        </w:rPr>
        <w:t>水洗砂</w:t>
      </w:r>
      <w:r>
        <w:rPr>
          <w:rFonts w:hint="eastAsia" w:eastAsia="仿宋_GB2312"/>
          <w:color w:val="auto"/>
          <w:sz w:val="24"/>
          <w:szCs w:val="24"/>
        </w:rPr>
        <w:t>和</w:t>
      </w:r>
      <w:r>
        <w:rPr>
          <w:rFonts w:hint="eastAsia" w:eastAsia="仿宋_GB2312"/>
          <w:color w:val="auto"/>
          <w:sz w:val="24"/>
          <w:szCs w:val="24"/>
          <w:lang w:val="en-US" w:eastAsia="zh-CN"/>
        </w:rPr>
        <w:t>骨料</w:t>
      </w:r>
      <w:r>
        <w:rPr>
          <w:rFonts w:hint="eastAsia" w:eastAsia="仿宋_GB2312"/>
          <w:color w:val="auto"/>
          <w:sz w:val="24"/>
          <w:szCs w:val="24"/>
        </w:rPr>
        <w:t>。码头装卸作业完毕后，及时清扫，并对码头面进行冲洗。</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本评价按一年冲洗12次，每次按10m</w:t>
      </w:r>
      <w:r>
        <w:rPr>
          <w:rFonts w:hint="eastAsia" w:eastAsia="仿宋_GB2312"/>
          <w:color w:val="auto"/>
          <w:sz w:val="24"/>
          <w:szCs w:val="24"/>
          <w:vertAlign w:val="superscript"/>
        </w:rPr>
        <w:t>3</w:t>
      </w:r>
      <w:r>
        <w:rPr>
          <w:rFonts w:hint="eastAsia" w:eastAsia="仿宋_GB2312"/>
          <w:color w:val="auto"/>
          <w:sz w:val="24"/>
          <w:szCs w:val="24"/>
        </w:rPr>
        <w:t>水计算，则码头冲洗用水量为120m</w:t>
      </w:r>
      <w:r>
        <w:rPr>
          <w:rFonts w:hint="eastAsia" w:eastAsia="仿宋_GB2312"/>
          <w:color w:val="auto"/>
          <w:sz w:val="24"/>
          <w:szCs w:val="24"/>
          <w:vertAlign w:val="superscript"/>
        </w:rPr>
        <w:t>3</w:t>
      </w:r>
      <w:r>
        <w:rPr>
          <w:rFonts w:hint="eastAsia" w:eastAsia="仿宋_GB2312"/>
          <w:color w:val="auto"/>
          <w:sz w:val="24"/>
          <w:szCs w:val="24"/>
        </w:rPr>
        <w:t>/a，污水产生系数按80%计，则码头</w:t>
      </w:r>
      <w:r>
        <w:rPr>
          <w:rFonts w:hint="eastAsia" w:eastAsia="仿宋_GB2312"/>
          <w:color w:val="auto"/>
          <w:sz w:val="24"/>
          <w:szCs w:val="24"/>
          <w:lang w:val="en-US" w:eastAsia="zh-CN"/>
        </w:rPr>
        <w:t>面</w:t>
      </w:r>
      <w:r>
        <w:rPr>
          <w:rFonts w:hint="eastAsia" w:eastAsia="仿宋_GB2312"/>
          <w:color w:val="auto"/>
          <w:sz w:val="24"/>
          <w:szCs w:val="24"/>
        </w:rPr>
        <w:t>冲洗废水年产生量为96m</w:t>
      </w:r>
      <w:r>
        <w:rPr>
          <w:rFonts w:hint="eastAsia" w:eastAsia="仿宋_GB2312"/>
          <w:color w:val="auto"/>
          <w:sz w:val="24"/>
          <w:szCs w:val="24"/>
          <w:vertAlign w:val="superscript"/>
        </w:rPr>
        <w:t>3</w:t>
      </w:r>
      <w:r>
        <w:rPr>
          <w:rFonts w:hint="eastAsia" w:eastAsia="仿宋_GB2312"/>
          <w:color w:val="auto"/>
          <w:sz w:val="24"/>
          <w:szCs w:val="24"/>
        </w:rPr>
        <w:t>/a。根据同类港口类比分析，其主要污染物SS浓度为1000mg/L，则SS产生量为</w:t>
      </w:r>
      <w:r>
        <w:rPr>
          <w:rFonts w:hint="eastAsia" w:eastAsia="仿宋_GB2312"/>
          <w:color w:val="auto"/>
          <w:sz w:val="24"/>
          <w:szCs w:val="24"/>
          <w:lang w:val="en-US" w:eastAsia="zh-CN"/>
        </w:rPr>
        <w:t>0.0</w:t>
      </w:r>
      <w:r>
        <w:rPr>
          <w:rFonts w:hint="eastAsia" w:eastAsia="仿宋_GB2312"/>
          <w:color w:val="auto"/>
          <w:sz w:val="24"/>
          <w:szCs w:val="24"/>
        </w:rPr>
        <w:t>96</w:t>
      </w:r>
      <w:r>
        <w:rPr>
          <w:rFonts w:hint="eastAsia" w:eastAsia="仿宋_GB2312"/>
          <w:color w:val="auto"/>
          <w:sz w:val="24"/>
          <w:szCs w:val="24"/>
          <w:lang w:val="en-US" w:eastAsia="zh-CN"/>
        </w:rPr>
        <w:t>t</w:t>
      </w:r>
      <w:r>
        <w:rPr>
          <w:rFonts w:hint="eastAsia" w:eastAsia="仿宋_GB2312"/>
          <w:color w:val="auto"/>
          <w:sz w:val="24"/>
          <w:szCs w:val="24"/>
        </w:rPr>
        <w:t>/a</w:t>
      </w:r>
      <w:r>
        <w:rPr>
          <w:rFonts w:hint="eastAsia" w:eastAsia="仿宋_GB2312"/>
          <w:color w:val="auto"/>
          <w:sz w:val="24"/>
          <w:szCs w:val="24"/>
          <w:lang w:eastAsia="zh-CN"/>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4</w:t>
      </w:r>
      <w:r>
        <w:rPr>
          <w:rFonts w:hint="eastAsia" w:eastAsia="仿宋_GB2312"/>
          <w:color w:val="auto"/>
          <w:sz w:val="24"/>
          <w:szCs w:val="24"/>
          <w:lang w:eastAsia="zh-CN"/>
        </w:rPr>
        <w:t>）</w:t>
      </w:r>
      <w:r>
        <w:rPr>
          <w:rFonts w:hint="eastAsia" w:eastAsia="仿宋_GB2312"/>
          <w:color w:val="auto"/>
          <w:sz w:val="24"/>
          <w:szCs w:val="24"/>
          <w:lang w:val="en-US" w:eastAsia="zh-CN"/>
        </w:rPr>
        <w:t>码头面初期雨水</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码头平台初期雨水悬浮物浓度较高，若不收集处理，可能对江水及周边环境产生污染，因此必须收集处理。初期雨水产生量本评价拟采用下式计算</w:t>
      </w:r>
      <w:r>
        <w:rPr>
          <w:rFonts w:hint="eastAsia" w:eastAsia="仿宋_GB2312"/>
          <w:color w:val="auto"/>
          <w:sz w:val="24"/>
          <w:szCs w:val="24"/>
          <w:lang w:eastAsia="zh-CN"/>
        </w:rPr>
        <w:t>：</w:t>
      </w:r>
    </w:p>
    <w:p>
      <w:pPr>
        <w:widowControl w:val="0"/>
        <w:spacing w:line="360" w:lineRule="auto"/>
        <w:jc w:val="center"/>
        <w:rPr>
          <w:rFonts w:hint="eastAsia" w:eastAsia="仿宋_GB2312"/>
          <w:color w:val="auto"/>
          <w:sz w:val="24"/>
          <w:szCs w:val="24"/>
          <w:lang w:eastAsia="zh-CN"/>
        </w:rPr>
      </w:pPr>
      <w:r>
        <w:rPr>
          <w:rFonts w:hint="eastAsia" w:eastAsia="仿宋_GB2312"/>
          <w:color w:val="auto"/>
          <w:position w:val="-24"/>
          <w:sz w:val="24"/>
          <w:szCs w:val="24"/>
          <w:lang w:eastAsia="zh-CN"/>
        </w:rPr>
        <w:object>
          <v:shape id="_x0000_i1032" o:spt="75" type="#_x0000_t75" style="height:31pt;width:120pt;" o:ole="t" filled="f" o:preferrelative="t" stroked="f" coordsize="21600,21600">
            <v:path/>
            <v:fill on="f" focussize="0,0"/>
            <v:stroke on="f"/>
            <v:imagedata r:id="rId47" o:title=""/>
            <o:lock v:ext="edit" aspectratio="t"/>
            <w10:wrap type="none"/>
            <w10:anchorlock/>
          </v:shape>
          <o:OLEObject Type="Embed" ProgID="Equation.KSEE3" ShapeID="_x0000_i1032" DrawAspect="Content" ObjectID="_1468075732" r:id="rId46">
            <o:LockedField>false</o:LockedField>
          </o:OLEObject>
        </w:object>
      </w:r>
    </w:p>
    <w:p>
      <w:pPr>
        <w:widowControl w:val="0"/>
        <w:spacing w:line="360" w:lineRule="auto"/>
        <w:jc w:val="center"/>
        <w:rPr>
          <w:rFonts w:hint="eastAsia" w:eastAsia="仿宋_GB2312"/>
          <w:color w:val="auto"/>
          <w:sz w:val="24"/>
          <w:szCs w:val="24"/>
          <w:lang w:eastAsia="zh-CN"/>
        </w:rPr>
      </w:pPr>
      <w:r>
        <w:rPr>
          <w:rFonts w:hint="eastAsia" w:eastAsia="仿宋_GB2312"/>
          <w:color w:val="auto"/>
          <w:position w:val="-10"/>
          <w:sz w:val="24"/>
          <w:szCs w:val="24"/>
          <w:lang w:eastAsia="zh-CN"/>
        </w:rPr>
        <w:object>
          <v:shape id="_x0000_i1033" o:spt="75" type="#_x0000_t75" style="height:16pt;width:78.95pt;" o:ole="t" filled="f" o:preferrelative="t" stroked="f" coordsize="21600,21600">
            <v:path/>
            <v:fill on="f" focussize="0,0"/>
            <v:stroke on="f"/>
            <v:imagedata r:id="rId49" o:title=""/>
            <o:lock v:ext="edit" aspectratio="t"/>
            <w10:wrap type="none"/>
            <w10:anchorlock/>
          </v:shape>
          <o:OLEObject Type="Embed" ProgID="Equation.KSEE3" ShapeID="_x0000_i1033" DrawAspect="Content" ObjectID="_1468075733" r:id="rId48">
            <o:LockedField>false</o:LockedField>
          </o:OLEObject>
        </w:objec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式中：q——设计暴雨强度，L/s</w:t>
      </w:r>
      <w:r>
        <w:rPr>
          <w:rFonts w:hint="eastAsia" w:ascii="微软雅黑" w:hAnsi="微软雅黑" w:eastAsia="微软雅黑" w:cs="微软雅黑"/>
          <w:color w:val="auto"/>
          <w:sz w:val="24"/>
          <w:szCs w:val="24"/>
          <w:lang w:val="en-US" w:eastAsia="zh-CN"/>
        </w:rPr>
        <w:t>·</w:t>
      </w:r>
      <w:r>
        <w:rPr>
          <w:rFonts w:hint="eastAsia" w:eastAsia="仿宋_GB2312"/>
          <w:color w:val="auto"/>
          <w:sz w:val="24"/>
          <w:szCs w:val="24"/>
          <w:lang w:val="en-US" w:eastAsia="zh-CN"/>
        </w:rPr>
        <w:t>hm</w:t>
      </w:r>
      <w:r>
        <w:rPr>
          <w:rFonts w:hint="eastAsia" w:eastAsia="仿宋_GB2312"/>
          <w:color w:val="auto"/>
          <w:sz w:val="24"/>
          <w:szCs w:val="24"/>
          <w:vertAlign w:val="superscript"/>
          <w:lang w:val="en-US" w:eastAsia="zh-CN"/>
        </w:rPr>
        <w:t>2</w:t>
      </w:r>
      <w:r>
        <w:rPr>
          <w:rFonts w:hint="eastAsia" w:eastAsia="仿宋_GB2312"/>
          <w:color w:val="auto"/>
          <w:sz w:val="24"/>
          <w:szCs w:val="24"/>
          <w:lang w:val="en-US" w:eastAsia="zh-CN"/>
        </w:rPr>
        <w:t>；</w:t>
      </w:r>
    </w:p>
    <w:p>
      <w:pPr>
        <w:widowControl w:val="0"/>
        <w:spacing w:line="360" w:lineRule="auto"/>
        <w:ind w:firstLine="1200" w:firstLineChars="500"/>
        <w:rPr>
          <w:rFonts w:hint="default" w:eastAsia="仿宋_GB2312"/>
          <w:color w:val="auto"/>
          <w:sz w:val="24"/>
          <w:szCs w:val="24"/>
          <w:lang w:val="en-US" w:eastAsia="zh-CN"/>
        </w:rPr>
      </w:pPr>
      <w:r>
        <w:rPr>
          <w:rFonts w:hint="eastAsia" w:eastAsia="仿宋_GB2312"/>
          <w:color w:val="auto"/>
          <w:sz w:val="24"/>
          <w:szCs w:val="24"/>
          <w:lang w:val="en-US" w:eastAsia="zh-CN"/>
        </w:rPr>
        <w:t>P——设计降雨重现期（年），取2；</w:t>
      </w:r>
    </w:p>
    <w:p>
      <w:pPr>
        <w:widowControl w:val="0"/>
        <w:spacing w:line="360" w:lineRule="auto"/>
        <w:ind w:firstLine="1200" w:firstLineChars="500"/>
        <w:rPr>
          <w:rFonts w:hint="default" w:eastAsia="仿宋_GB2312"/>
          <w:color w:val="auto"/>
          <w:sz w:val="24"/>
          <w:szCs w:val="24"/>
          <w:lang w:val="en-US" w:eastAsia="zh-CN"/>
        </w:rPr>
      </w:pPr>
      <w:r>
        <w:rPr>
          <w:rFonts w:hint="eastAsia" w:eastAsia="仿宋_GB2312"/>
          <w:color w:val="auto"/>
          <w:sz w:val="24"/>
          <w:szCs w:val="24"/>
          <w:lang w:val="en-US" w:eastAsia="zh-CN"/>
        </w:rPr>
        <w:t>t——设计降雨历时，min，由地面集水时间和雨水在计算管段中流行的时间组成，取为15min；</w:t>
      </w:r>
    </w:p>
    <w:p>
      <w:pPr>
        <w:widowControl w:val="0"/>
        <w:spacing w:line="360" w:lineRule="auto"/>
        <w:ind w:firstLine="1200" w:firstLineChars="500"/>
        <w:rPr>
          <w:rFonts w:hint="eastAsia" w:eastAsia="仿宋_GB2312"/>
          <w:color w:val="auto"/>
          <w:sz w:val="24"/>
          <w:szCs w:val="24"/>
          <w:lang w:val="en-US" w:eastAsia="zh-CN"/>
        </w:rPr>
      </w:pPr>
      <w:r>
        <w:rPr>
          <w:rFonts w:hint="eastAsia" w:eastAsia="仿宋_GB2312"/>
          <w:color w:val="auto"/>
          <w:sz w:val="24"/>
          <w:szCs w:val="24"/>
          <w:lang w:val="en-US" w:eastAsia="zh-CN"/>
        </w:rPr>
        <w:t>Q——径流雨水量，m</w:t>
      </w:r>
      <w:r>
        <w:rPr>
          <w:rFonts w:hint="eastAsia" w:eastAsia="仿宋_GB2312"/>
          <w:color w:val="auto"/>
          <w:sz w:val="24"/>
          <w:szCs w:val="24"/>
          <w:vertAlign w:val="superscript"/>
          <w:lang w:val="en-US" w:eastAsia="zh-CN"/>
        </w:rPr>
        <w:t>3</w:t>
      </w:r>
      <w:r>
        <w:rPr>
          <w:rFonts w:hint="eastAsia" w:eastAsia="仿宋_GB2312"/>
          <w:color w:val="auto"/>
          <w:sz w:val="24"/>
          <w:szCs w:val="24"/>
          <w:lang w:val="en-US" w:eastAsia="zh-CN"/>
        </w:rPr>
        <w:t>；</w:t>
      </w:r>
    </w:p>
    <w:p>
      <w:pPr>
        <w:widowControl w:val="0"/>
        <w:spacing w:line="360" w:lineRule="auto"/>
        <w:ind w:firstLine="1200" w:firstLineChars="500"/>
        <w:jc w:val="both"/>
        <w:rPr>
          <w:rFonts w:hint="default" w:ascii="Arial" w:hAnsi="Arial" w:eastAsia="仿宋_GB2312" w:cs="Arial"/>
          <w:color w:val="auto"/>
          <w:sz w:val="24"/>
          <w:szCs w:val="24"/>
          <w:lang w:val="en-US"/>
        </w:rPr>
      </w:pPr>
      <w:r>
        <w:rPr>
          <w:rFonts w:hint="default" w:ascii="Arial" w:hAnsi="Arial" w:eastAsia="仿宋_GB2312" w:cs="Arial"/>
          <w:color w:val="auto"/>
          <w:sz w:val="24"/>
          <w:szCs w:val="24"/>
          <w:lang w:val="en-US" w:eastAsia="zh-CN"/>
        </w:rPr>
        <w:t>φ</w:t>
      </w:r>
      <w:r>
        <w:rPr>
          <w:rFonts w:hint="eastAsia" w:eastAsia="仿宋_GB2312"/>
          <w:color w:val="auto"/>
          <w:sz w:val="24"/>
          <w:szCs w:val="24"/>
          <w:lang w:val="en-US" w:eastAsia="zh-CN"/>
        </w:rPr>
        <w:t>——径流系数，取0.9；</w:t>
      </w:r>
    </w:p>
    <w:p>
      <w:pPr>
        <w:widowControl w:val="0"/>
        <w:spacing w:line="360" w:lineRule="auto"/>
        <w:ind w:firstLine="1200" w:firstLineChars="500"/>
        <w:jc w:val="both"/>
        <w:rPr>
          <w:rFonts w:hint="default"/>
          <w:color w:val="auto"/>
          <w:lang w:val="en-US"/>
        </w:rPr>
      </w:pPr>
      <w:r>
        <w:rPr>
          <w:rFonts w:hint="eastAsia" w:eastAsia="仿宋_GB2312"/>
          <w:color w:val="auto"/>
          <w:sz w:val="24"/>
          <w:szCs w:val="24"/>
          <w:lang w:val="en-US" w:eastAsia="zh-CN"/>
        </w:rPr>
        <w:t>F——汇水面积，m</w:t>
      </w:r>
      <w:r>
        <w:rPr>
          <w:rFonts w:hint="eastAsia" w:eastAsia="仿宋_GB2312"/>
          <w:color w:val="auto"/>
          <w:sz w:val="24"/>
          <w:szCs w:val="24"/>
          <w:vertAlign w:val="superscript"/>
          <w:lang w:val="en-US" w:eastAsia="zh-CN"/>
        </w:rPr>
        <w:t>2</w:t>
      </w:r>
      <w:r>
        <w:rPr>
          <w:rFonts w:hint="eastAsia" w:eastAsia="仿宋_GB2312"/>
          <w:color w:val="auto"/>
          <w:sz w:val="24"/>
          <w:szCs w:val="24"/>
          <w:lang w:val="en-US" w:eastAsia="zh-CN"/>
        </w:rPr>
        <w:t>，取3060m</w:t>
      </w:r>
      <w:r>
        <w:rPr>
          <w:rFonts w:hint="eastAsia" w:eastAsia="仿宋_GB2312"/>
          <w:color w:val="auto"/>
          <w:sz w:val="24"/>
          <w:szCs w:val="24"/>
          <w:vertAlign w:val="superscript"/>
          <w:lang w:val="en-US" w:eastAsia="zh-CN"/>
        </w:rPr>
        <w:t>2</w:t>
      </w:r>
      <w:r>
        <w:rPr>
          <w:rFonts w:hint="eastAsia" w:eastAsia="仿宋_GB2312"/>
          <w:color w:val="auto"/>
          <w:sz w:val="24"/>
          <w:szCs w:val="24"/>
          <w:lang w:val="en-US" w:eastAsia="zh-CN"/>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经计算，项目设计暴雨强度为226.0L/s·hm</w:t>
      </w:r>
      <w:r>
        <w:rPr>
          <w:rFonts w:hint="eastAsia" w:eastAsia="仿宋_GB2312"/>
          <w:color w:val="auto"/>
          <w:sz w:val="24"/>
          <w:szCs w:val="24"/>
          <w:vertAlign w:val="superscript"/>
        </w:rPr>
        <w:t>2</w:t>
      </w:r>
      <w:r>
        <w:rPr>
          <w:rFonts w:hint="eastAsia" w:eastAsia="仿宋_GB2312"/>
          <w:color w:val="auto"/>
          <w:sz w:val="24"/>
          <w:szCs w:val="24"/>
        </w:rPr>
        <w:t>，初期雨水量为</w:t>
      </w:r>
      <w:r>
        <w:rPr>
          <w:rFonts w:hint="eastAsia" w:eastAsia="仿宋_GB2312"/>
          <w:color w:val="auto"/>
          <w:sz w:val="24"/>
          <w:szCs w:val="24"/>
          <w:lang w:val="en-US" w:eastAsia="zh-CN"/>
        </w:rPr>
        <w:t>56.03</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/次。年暴雨次数取30次，年初期雨水量</w:t>
      </w:r>
      <w:r>
        <w:rPr>
          <w:rFonts w:hint="eastAsia" w:eastAsia="仿宋_GB2312"/>
          <w:color w:val="auto"/>
          <w:sz w:val="24"/>
          <w:szCs w:val="24"/>
          <w:lang w:val="en-US" w:eastAsia="zh-CN"/>
        </w:rPr>
        <w:t>1680.9</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/a。初期雨水中主要污染物为SS，其浓度为500mg/L，则SS产生量为</w:t>
      </w:r>
      <w:r>
        <w:rPr>
          <w:rFonts w:hint="eastAsia" w:eastAsia="仿宋_GB2312"/>
          <w:color w:val="auto"/>
          <w:sz w:val="24"/>
          <w:szCs w:val="24"/>
          <w:lang w:val="en-US" w:eastAsia="zh-CN"/>
        </w:rPr>
        <w:t>0.84</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码头</w:t>
      </w:r>
      <w:r>
        <w:rPr>
          <w:rFonts w:hint="eastAsia" w:eastAsia="仿宋_GB2312"/>
          <w:color w:val="auto"/>
          <w:sz w:val="24"/>
          <w:szCs w:val="24"/>
          <w:lang w:val="en-US" w:eastAsia="zh-CN"/>
        </w:rPr>
        <w:t>面</w:t>
      </w:r>
      <w:r>
        <w:rPr>
          <w:rFonts w:hint="eastAsia" w:eastAsia="仿宋_GB2312"/>
          <w:color w:val="auto"/>
          <w:sz w:val="24"/>
          <w:szCs w:val="24"/>
          <w:lang w:eastAsia="zh-CN"/>
        </w:rPr>
        <w:t>冲洗废水</w:t>
      </w:r>
      <w:r>
        <w:rPr>
          <w:rFonts w:hint="eastAsia" w:eastAsia="仿宋_GB2312"/>
          <w:color w:val="auto"/>
          <w:sz w:val="24"/>
          <w:szCs w:val="24"/>
          <w:lang w:val="en-US" w:eastAsia="zh-CN"/>
        </w:rPr>
        <w:t>以及初期雨水通过</w:t>
      </w:r>
      <w:r>
        <w:rPr>
          <w:rFonts w:hint="eastAsia" w:eastAsia="仿宋_GB2312"/>
          <w:color w:val="auto"/>
          <w:sz w:val="24"/>
          <w:szCs w:val="24"/>
          <w:lang w:eastAsia="zh-CN"/>
        </w:rPr>
        <w:t>趸船收集坎收集，</w:t>
      </w:r>
      <w:r>
        <w:rPr>
          <w:rFonts w:hint="eastAsia" w:eastAsia="仿宋_GB2312"/>
          <w:color w:val="auto"/>
          <w:sz w:val="24"/>
          <w:szCs w:val="24"/>
          <w:lang w:val="en-US" w:eastAsia="zh-CN"/>
        </w:rPr>
        <w:t>进入各自</w:t>
      </w:r>
      <w:r>
        <w:rPr>
          <w:rFonts w:hint="eastAsia" w:eastAsia="仿宋_GB2312"/>
          <w:color w:val="auto"/>
          <w:sz w:val="24"/>
          <w:szCs w:val="24"/>
          <w:lang w:eastAsia="zh-CN"/>
        </w:rPr>
        <w:t>趸船下方</w:t>
      </w:r>
      <w:r>
        <w:rPr>
          <w:rFonts w:hint="eastAsia" w:eastAsia="仿宋_GB2312"/>
          <w:color w:val="auto"/>
          <w:sz w:val="24"/>
          <w:szCs w:val="24"/>
          <w:lang w:val="en-US" w:eastAsia="zh-CN"/>
        </w:rPr>
        <w:t>设置的初期雨水</w:t>
      </w:r>
      <w:r>
        <w:rPr>
          <w:rFonts w:hint="eastAsia" w:eastAsia="仿宋_GB2312"/>
          <w:color w:val="auto"/>
          <w:sz w:val="24"/>
          <w:szCs w:val="24"/>
          <w:lang w:eastAsia="zh-CN"/>
        </w:rPr>
        <w:t>收集柜储存，委托海事部门认定的船舶污染物接收船</w:t>
      </w:r>
      <w:r>
        <w:rPr>
          <w:rFonts w:hint="eastAsia" w:eastAsia="仿宋_GB2312"/>
          <w:color w:val="auto"/>
          <w:sz w:val="24"/>
          <w:szCs w:val="24"/>
          <w:lang w:val="en-US" w:eastAsia="zh-CN"/>
        </w:rPr>
        <w:t>定期</w:t>
      </w:r>
      <w:r>
        <w:rPr>
          <w:rFonts w:hint="eastAsia" w:eastAsia="仿宋_GB2312"/>
          <w:color w:val="auto"/>
          <w:sz w:val="24"/>
          <w:szCs w:val="24"/>
          <w:lang w:eastAsia="zh-CN"/>
        </w:rPr>
        <w:t>统一处理。</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5</w:t>
      </w:r>
      <w:r>
        <w:rPr>
          <w:rFonts w:hint="eastAsia" w:eastAsia="仿宋_GB2312"/>
          <w:color w:val="auto"/>
          <w:sz w:val="24"/>
          <w:szCs w:val="24"/>
          <w:lang w:eastAsia="zh-CN"/>
        </w:rPr>
        <w:t>）</w:t>
      </w:r>
      <w:r>
        <w:rPr>
          <w:rFonts w:hint="eastAsia" w:eastAsia="仿宋_GB2312"/>
          <w:color w:val="auto"/>
          <w:sz w:val="24"/>
          <w:szCs w:val="24"/>
          <w:lang w:val="en-US" w:eastAsia="zh-CN"/>
        </w:rPr>
        <w:t>运营期废水污染源强</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val="en-US" w:eastAsia="zh-CN"/>
        </w:rPr>
        <w:t>运营期废水污染源及污染物排放情况见下表。</w:t>
      </w:r>
    </w:p>
    <w:p>
      <w:pPr>
        <w:widowControl w:val="0"/>
        <w:spacing w:line="360" w:lineRule="auto"/>
        <w:jc w:val="center"/>
        <w:rPr>
          <w:rFonts w:eastAsia="黑体"/>
          <w:b/>
          <w:color w:val="auto"/>
          <w:szCs w:val="21"/>
        </w:rPr>
      </w:pPr>
      <w:r>
        <w:rPr>
          <w:rFonts w:eastAsia="黑体"/>
          <w:b/>
          <w:color w:val="auto"/>
          <w:szCs w:val="21"/>
        </w:rPr>
        <w:t>表3.</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  全厂水平衡表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19"/>
        <w:gridCol w:w="1862"/>
        <w:gridCol w:w="884"/>
        <w:gridCol w:w="852"/>
        <w:gridCol w:w="913"/>
        <w:gridCol w:w="957"/>
        <w:gridCol w:w="24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457" w:type="pct"/>
            <w:gridSpan w:val="2"/>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废水来源</w:t>
            </w:r>
          </w:p>
        </w:tc>
        <w:tc>
          <w:tcPr>
            <w:tcW w:w="519" w:type="pct"/>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排放量</w:t>
            </w:r>
            <w:r>
              <w:rPr>
                <w:rFonts w:hint="eastAsia"/>
                <w:bCs/>
                <w:color w:val="auto"/>
                <w:kern w:val="0"/>
                <w:sz w:val="20"/>
                <w:lang w:val="en-US" w:eastAsia="zh-CN"/>
              </w:rPr>
              <w:t>m</w:t>
            </w:r>
            <w:r>
              <w:rPr>
                <w:rFonts w:hint="eastAsia"/>
                <w:bCs/>
                <w:color w:val="auto"/>
                <w:kern w:val="0"/>
                <w:sz w:val="20"/>
                <w:vertAlign w:val="superscript"/>
                <w:lang w:val="en-US" w:eastAsia="zh-CN"/>
              </w:rPr>
              <w:t>3</w:t>
            </w:r>
            <w:r>
              <w:rPr>
                <w:rFonts w:hint="eastAsia"/>
                <w:bCs/>
                <w:color w:val="auto"/>
                <w:kern w:val="0"/>
                <w:sz w:val="20"/>
                <w:lang w:val="en-US" w:eastAsia="zh-CN"/>
              </w:rPr>
              <w:t>/a</w:t>
            </w:r>
          </w:p>
        </w:tc>
        <w:tc>
          <w:tcPr>
            <w:tcW w:w="500" w:type="pct"/>
            <w:tcBorders>
              <w:top w:val="single" w:color="auto" w:sz="12" w:space="0"/>
              <w:bottom w:val="single" w:color="auto" w:sz="12" w:space="0"/>
            </w:tcBorders>
            <w:noWrap w:val="0"/>
            <w:vAlign w:val="center"/>
          </w:tcPr>
          <w:p>
            <w:pPr>
              <w:widowControl w:val="0"/>
              <w:adjustRightInd w:val="0"/>
              <w:jc w:val="center"/>
              <w:rPr>
                <w:rFonts w:hint="eastAsia"/>
                <w:color w:val="auto"/>
                <w:sz w:val="20"/>
                <w:szCs w:val="21"/>
                <w:lang w:val="en-US" w:eastAsia="zh-CN"/>
              </w:rPr>
            </w:pPr>
            <w:r>
              <w:rPr>
                <w:rFonts w:hint="eastAsia"/>
                <w:color w:val="auto"/>
                <w:sz w:val="20"/>
                <w:szCs w:val="21"/>
                <w:lang w:val="en-US" w:eastAsia="zh-CN"/>
              </w:rPr>
              <w:t>污染物</w:t>
            </w:r>
          </w:p>
        </w:tc>
        <w:tc>
          <w:tcPr>
            <w:tcW w:w="536" w:type="pct"/>
            <w:tcBorders>
              <w:top w:val="single" w:color="auto" w:sz="12" w:space="0"/>
              <w:bottom w:val="single" w:color="auto" w:sz="12" w:space="0"/>
            </w:tcBorders>
            <w:noWrap w:val="0"/>
            <w:vAlign w:val="center"/>
          </w:tcPr>
          <w:p>
            <w:pPr>
              <w:widowControl w:val="0"/>
              <w:adjustRightInd w:val="0"/>
              <w:jc w:val="center"/>
              <w:rPr>
                <w:rFonts w:hint="default"/>
                <w:color w:val="auto"/>
                <w:sz w:val="20"/>
                <w:szCs w:val="21"/>
                <w:lang w:val="en-US" w:eastAsia="zh-CN"/>
              </w:rPr>
            </w:pPr>
            <w:r>
              <w:rPr>
                <w:rFonts w:hint="eastAsia"/>
                <w:color w:val="auto"/>
                <w:sz w:val="20"/>
                <w:szCs w:val="21"/>
                <w:lang w:val="en-US" w:eastAsia="zh-CN"/>
              </w:rPr>
              <w:t>排放浓度mg/L</w:t>
            </w:r>
          </w:p>
        </w:tc>
        <w:tc>
          <w:tcPr>
            <w:tcW w:w="562" w:type="pct"/>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排放量</w:t>
            </w:r>
            <w:r>
              <w:rPr>
                <w:rFonts w:hint="eastAsia"/>
                <w:bCs/>
                <w:color w:val="auto"/>
                <w:kern w:val="0"/>
                <w:sz w:val="20"/>
                <w:lang w:val="en-US" w:eastAsia="zh-CN"/>
              </w:rPr>
              <w:t>m</w:t>
            </w:r>
            <w:r>
              <w:rPr>
                <w:rFonts w:hint="eastAsia"/>
                <w:bCs/>
                <w:color w:val="auto"/>
                <w:kern w:val="0"/>
                <w:sz w:val="20"/>
                <w:vertAlign w:val="superscript"/>
                <w:lang w:val="en-US" w:eastAsia="zh-CN"/>
              </w:rPr>
              <w:t>3</w:t>
            </w:r>
            <w:r>
              <w:rPr>
                <w:rFonts w:hint="eastAsia"/>
                <w:bCs/>
                <w:color w:val="auto"/>
                <w:kern w:val="0"/>
                <w:sz w:val="20"/>
                <w:lang w:val="en-US" w:eastAsia="zh-CN"/>
              </w:rPr>
              <w:t>/a</w:t>
            </w:r>
          </w:p>
        </w:tc>
        <w:tc>
          <w:tcPr>
            <w:tcW w:w="1423" w:type="pct"/>
            <w:tcBorders>
              <w:top w:val="single" w:color="auto" w:sz="12" w:space="0"/>
              <w:bottom w:val="single" w:color="auto" w:sz="12" w:space="0"/>
            </w:tcBorders>
            <w:noWrap w:val="0"/>
            <w:vAlign w:val="center"/>
          </w:tcPr>
          <w:p>
            <w:pPr>
              <w:widowControl w:val="0"/>
              <w:adjustRightInd w:val="0"/>
              <w:jc w:val="center"/>
              <w:rPr>
                <w:rFonts w:hint="eastAsia" w:eastAsia="宋体"/>
                <w:color w:val="auto"/>
                <w:sz w:val="20"/>
                <w:szCs w:val="21"/>
                <w:lang w:val="en-US" w:eastAsia="zh-CN"/>
              </w:rPr>
            </w:pPr>
            <w:r>
              <w:rPr>
                <w:rFonts w:hint="eastAsia"/>
                <w:color w:val="auto"/>
                <w:sz w:val="20"/>
                <w:szCs w:val="21"/>
                <w:lang w:val="en-US" w:eastAsia="zh-CN"/>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restar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港区废水</w:t>
            </w:r>
          </w:p>
        </w:tc>
        <w:tc>
          <w:tcPr>
            <w:tcW w:w="1093" w:type="pct"/>
            <w:vMerge w:val="restart"/>
            <w:tcBorders>
              <w:top w:val="single" w:color="auto" w:sz="12" w:space="0"/>
            </w:tcBorders>
            <w:noWrap w:val="0"/>
            <w:vAlign w:val="center"/>
          </w:tcPr>
          <w:p>
            <w:pPr>
              <w:widowControl w:val="0"/>
              <w:adjustRightInd w:val="0"/>
              <w:jc w:val="center"/>
              <w:rPr>
                <w:rFonts w:hint="eastAsia"/>
                <w:color w:val="auto"/>
                <w:sz w:val="20"/>
                <w:szCs w:val="21"/>
                <w:lang w:val="en-US" w:eastAsia="zh-CN"/>
              </w:rPr>
            </w:pPr>
            <w:r>
              <w:rPr>
                <w:rFonts w:hint="eastAsia"/>
                <w:color w:val="auto"/>
                <w:sz w:val="20"/>
                <w:szCs w:val="21"/>
                <w:lang w:val="en-US" w:eastAsia="zh-CN"/>
              </w:rPr>
              <w:t>码头人员生活污水</w:t>
            </w:r>
          </w:p>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产生量495</w:t>
            </w:r>
            <w:r>
              <w:rPr>
                <w:rFonts w:hint="eastAsia"/>
                <w:bCs/>
                <w:color w:val="auto"/>
                <w:kern w:val="0"/>
                <w:sz w:val="20"/>
                <w:lang w:val="en-US" w:eastAsia="zh-CN"/>
              </w:rPr>
              <w:t>m</w:t>
            </w:r>
            <w:r>
              <w:rPr>
                <w:rFonts w:hint="eastAsia"/>
                <w:bCs/>
                <w:color w:val="auto"/>
                <w:kern w:val="0"/>
                <w:sz w:val="20"/>
                <w:vertAlign w:val="superscript"/>
                <w:lang w:val="en-US" w:eastAsia="zh-CN"/>
              </w:rPr>
              <w:t>3</w:t>
            </w:r>
            <w:r>
              <w:rPr>
                <w:rFonts w:hint="eastAsia"/>
                <w:bCs/>
                <w:color w:val="auto"/>
                <w:kern w:val="0"/>
                <w:sz w:val="20"/>
                <w:lang w:val="en-US" w:eastAsia="zh-CN"/>
              </w:rPr>
              <w:t>/a</w:t>
            </w:r>
          </w:p>
        </w:tc>
        <w:tc>
          <w:tcPr>
            <w:tcW w:w="519" w:type="pct"/>
            <w:vMerge w:val="restar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396</w:t>
            </w:r>
          </w:p>
        </w:tc>
        <w:tc>
          <w:tcPr>
            <w:tcW w:w="500" w:type="pc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COD</w:t>
            </w:r>
          </w:p>
        </w:tc>
        <w:tc>
          <w:tcPr>
            <w:tcW w:w="536" w:type="pc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300</w:t>
            </w:r>
          </w:p>
        </w:tc>
        <w:tc>
          <w:tcPr>
            <w:tcW w:w="562" w:type="pc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0.190</w:t>
            </w:r>
          </w:p>
        </w:tc>
        <w:tc>
          <w:tcPr>
            <w:tcW w:w="1423" w:type="pct"/>
            <w:vMerge w:val="restart"/>
            <w:tcBorders>
              <w:top w:val="single" w:color="auto" w:sz="12" w:space="0"/>
            </w:tcBorders>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进入各自趸船下方生活污水储存柜储存，委托海事部门认定的船舶污染物接收船定期统一处理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continue"/>
            <w:noWrap w:val="0"/>
            <w:vAlign w:val="center"/>
          </w:tcPr>
          <w:p>
            <w:pPr>
              <w:widowControl w:val="0"/>
              <w:adjustRightInd w:val="0"/>
              <w:jc w:val="center"/>
              <w:rPr>
                <w:rFonts w:hint="eastAsia"/>
                <w:color w:val="auto"/>
                <w:sz w:val="20"/>
                <w:szCs w:val="21"/>
                <w:lang w:val="en-US" w:eastAsia="zh-CN"/>
              </w:rPr>
            </w:pPr>
          </w:p>
        </w:tc>
        <w:tc>
          <w:tcPr>
            <w:tcW w:w="519" w:type="pct"/>
            <w:vMerge w:val="continue"/>
            <w:noWrap w:val="0"/>
            <w:vAlign w:val="center"/>
          </w:tcPr>
          <w:p>
            <w:pPr>
              <w:widowControl w:val="0"/>
              <w:jc w:val="center"/>
              <w:rPr>
                <w:bCs/>
                <w:color w:val="auto"/>
                <w:kern w:val="0"/>
                <w:sz w:val="20"/>
              </w:rPr>
            </w:pPr>
          </w:p>
        </w:tc>
        <w:tc>
          <w:tcPr>
            <w:tcW w:w="500"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BOD</w:t>
            </w:r>
            <w:r>
              <w:rPr>
                <w:rFonts w:hint="eastAsia"/>
                <w:bCs/>
                <w:color w:val="auto"/>
                <w:kern w:val="0"/>
                <w:sz w:val="20"/>
                <w:vertAlign w:val="subscript"/>
                <w:lang w:val="en-US" w:eastAsia="zh-CN"/>
              </w:rPr>
              <w:t>5</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200</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0.1267</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continue"/>
            <w:noWrap w:val="0"/>
            <w:vAlign w:val="center"/>
          </w:tcPr>
          <w:p>
            <w:pPr>
              <w:widowControl w:val="0"/>
              <w:adjustRightInd w:val="0"/>
              <w:jc w:val="center"/>
              <w:rPr>
                <w:rFonts w:hint="eastAsia"/>
                <w:color w:val="auto"/>
                <w:sz w:val="20"/>
                <w:szCs w:val="21"/>
                <w:lang w:val="en-US" w:eastAsia="zh-CN"/>
              </w:rPr>
            </w:pPr>
          </w:p>
        </w:tc>
        <w:tc>
          <w:tcPr>
            <w:tcW w:w="519" w:type="pct"/>
            <w:vMerge w:val="continue"/>
            <w:noWrap w:val="0"/>
            <w:vAlign w:val="center"/>
          </w:tcPr>
          <w:p>
            <w:pPr>
              <w:widowControl w:val="0"/>
              <w:jc w:val="center"/>
              <w:rPr>
                <w:bCs/>
                <w:color w:val="auto"/>
                <w:kern w:val="0"/>
                <w:sz w:val="20"/>
              </w:rPr>
            </w:pPr>
          </w:p>
        </w:tc>
        <w:tc>
          <w:tcPr>
            <w:tcW w:w="500" w:type="pct"/>
            <w:noWrap w:val="0"/>
            <w:vAlign w:val="center"/>
          </w:tcPr>
          <w:p>
            <w:pPr>
              <w:widowControl w:val="0"/>
              <w:jc w:val="center"/>
              <w:rPr>
                <w:rFonts w:hint="default"/>
                <w:bCs/>
                <w:color w:val="auto"/>
                <w:kern w:val="0"/>
                <w:sz w:val="20"/>
                <w:lang w:val="en-US" w:eastAsia="zh-CN"/>
              </w:rPr>
            </w:pPr>
            <w:r>
              <w:rPr>
                <w:rFonts w:hint="eastAsia"/>
                <w:bCs/>
                <w:color w:val="auto"/>
                <w:kern w:val="0"/>
                <w:sz w:val="20"/>
                <w:lang w:val="en-US" w:eastAsia="zh-CN"/>
              </w:rPr>
              <w:t>SS</w:t>
            </w:r>
          </w:p>
        </w:tc>
        <w:tc>
          <w:tcPr>
            <w:tcW w:w="536" w:type="pct"/>
            <w:noWrap w:val="0"/>
            <w:vAlign w:val="center"/>
          </w:tcPr>
          <w:p>
            <w:pPr>
              <w:widowControl w:val="0"/>
              <w:jc w:val="center"/>
              <w:rPr>
                <w:rFonts w:hint="default"/>
                <w:bCs/>
                <w:color w:val="auto"/>
                <w:kern w:val="0"/>
                <w:sz w:val="20"/>
                <w:lang w:val="en-US" w:eastAsia="zh-CN"/>
              </w:rPr>
            </w:pPr>
            <w:r>
              <w:rPr>
                <w:rFonts w:hint="eastAsia"/>
                <w:bCs/>
                <w:color w:val="auto"/>
                <w:kern w:val="0"/>
                <w:sz w:val="20"/>
                <w:lang w:val="en-US" w:eastAsia="zh-CN"/>
              </w:rPr>
              <w:t>200</w:t>
            </w:r>
          </w:p>
        </w:tc>
        <w:tc>
          <w:tcPr>
            <w:tcW w:w="562" w:type="pct"/>
            <w:noWrap w:val="0"/>
            <w:vAlign w:val="center"/>
          </w:tcPr>
          <w:p>
            <w:pPr>
              <w:widowControl w:val="0"/>
              <w:jc w:val="center"/>
              <w:rPr>
                <w:rFonts w:hint="default"/>
                <w:bCs/>
                <w:color w:val="auto"/>
                <w:kern w:val="0"/>
                <w:sz w:val="20"/>
                <w:lang w:val="en-US" w:eastAsia="zh-CN"/>
              </w:rPr>
            </w:pPr>
            <w:r>
              <w:rPr>
                <w:rFonts w:hint="eastAsia"/>
                <w:bCs/>
                <w:color w:val="auto"/>
                <w:kern w:val="0"/>
                <w:sz w:val="20"/>
                <w:lang w:val="en-US" w:eastAsia="zh-CN"/>
              </w:rPr>
              <w:t>0.1267</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continue"/>
            <w:noWrap w:val="0"/>
            <w:vAlign w:val="center"/>
          </w:tcPr>
          <w:p>
            <w:pPr>
              <w:widowControl w:val="0"/>
              <w:adjustRightInd w:val="0"/>
              <w:jc w:val="center"/>
              <w:rPr>
                <w:rFonts w:hint="eastAsia"/>
                <w:color w:val="auto"/>
                <w:sz w:val="20"/>
                <w:szCs w:val="21"/>
                <w:lang w:val="en-US" w:eastAsia="zh-CN"/>
              </w:rPr>
            </w:pPr>
          </w:p>
        </w:tc>
        <w:tc>
          <w:tcPr>
            <w:tcW w:w="519" w:type="pct"/>
            <w:vMerge w:val="continue"/>
            <w:noWrap w:val="0"/>
            <w:vAlign w:val="center"/>
          </w:tcPr>
          <w:p>
            <w:pPr>
              <w:widowControl w:val="0"/>
              <w:jc w:val="center"/>
              <w:rPr>
                <w:bCs/>
                <w:color w:val="auto"/>
                <w:kern w:val="0"/>
                <w:sz w:val="20"/>
              </w:rPr>
            </w:pPr>
          </w:p>
        </w:tc>
        <w:tc>
          <w:tcPr>
            <w:tcW w:w="500"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NH</w:t>
            </w:r>
            <w:r>
              <w:rPr>
                <w:rFonts w:hint="eastAsia"/>
                <w:bCs/>
                <w:color w:val="auto"/>
                <w:kern w:val="0"/>
                <w:sz w:val="20"/>
                <w:vertAlign w:val="subscript"/>
                <w:lang w:val="en-US" w:eastAsia="zh-CN"/>
              </w:rPr>
              <w:t>3</w:t>
            </w:r>
            <w:r>
              <w:rPr>
                <w:rFonts w:hint="eastAsia"/>
                <w:bCs/>
                <w:color w:val="auto"/>
                <w:kern w:val="0"/>
                <w:sz w:val="20"/>
                <w:lang w:val="en-US" w:eastAsia="zh-CN"/>
              </w:rPr>
              <w:t>-N</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35</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0.019</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9" w:hRule="atLeast"/>
          <w:jc w:val="center"/>
        </w:trPr>
        <w:tc>
          <w:tcPr>
            <w:tcW w:w="364" w:type="pct"/>
            <w:vMerge w:val="continue"/>
            <w:noWrap w:val="0"/>
            <w:vAlign w:val="center"/>
          </w:tcPr>
          <w:p>
            <w:pPr>
              <w:widowControl w:val="0"/>
              <w:jc w:val="center"/>
              <w:rPr>
                <w:bCs/>
                <w:color w:val="auto"/>
                <w:kern w:val="0"/>
                <w:sz w:val="20"/>
              </w:rPr>
            </w:pPr>
          </w:p>
        </w:tc>
        <w:tc>
          <w:tcPr>
            <w:tcW w:w="1093" w:type="pct"/>
            <w:noWrap w:val="0"/>
            <w:vAlign w:val="center"/>
          </w:tcPr>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码头平台冲洗废水产生量96</w:t>
            </w:r>
            <w:r>
              <w:rPr>
                <w:rFonts w:hint="eastAsia"/>
                <w:bCs/>
                <w:color w:val="auto"/>
                <w:kern w:val="0"/>
                <w:sz w:val="20"/>
                <w:lang w:val="en-US" w:eastAsia="zh-CN"/>
              </w:rPr>
              <w:t>m</w:t>
            </w:r>
            <w:r>
              <w:rPr>
                <w:rFonts w:hint="eastAsia"/>
                <w:bCs/>
                <w:color w:val="auto"/>
                <w:kern w:val="0"/>
                <w:sz w:val="20"/>
                <w:vertAlign w:val="superscript"/>
                <w:lang w:val="en-US" w:eastAsia="zh-CN"/>
              </w:rPr>
              <w:t>3</w:t>
            </w:r>
            <w:r>
              <w:rPr>
                <w:rFonts w:hint="eastAsia"/>
                <w:bCs/>
                <w:color w:val="auto"/>
                <w:kern w:val="0"/>
                <w:sz w:val="20"/>
                <w:lang w:val="en-US" w:eastAsia="zh-CN"/>
              </w:rPr>
              <w:t>/a</w:t>
            </w:r>
          </w:p>
        </w:tc>
        <w:tc>
          <w:tcPr>
            <w:tcW w:w="519"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96</w:t>
            </w:r>
          </w:p>
        </w:tc>
        <w:tc>
          <w:tcPr>
            <w:tcW w:w="500"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SS</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1000</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0.096</w:t>
            </w:r>
          </w:p>
        </w:tc>
        <w:tc>
          <w:tcPr>
            <w:tcW w:w="1423" w:type="pct"/>
            <w:vMerge w:val="restart"/>
            <w:noWrap w:val="0"/>
            <w:vAlign w:val="center"/>
          </w:tcPr>
          <w:p>
            <w:pPr>
              <w:widowControl w:val="0"/>
              <w:jc w:val="center"/>
              <w:rPr>
                <w:bCs/>
                <w:color w:val="auto"/>
                <w:kern w:val="0"/>
                <w:sz w:val="20"/>
              </w:rPr>
            </w:pPr>
            <w:r>
              <w:rPr>
                <w:rFonts w:hint="eastAsia"/>
                <w:bCs/>
                <w:color w:val="auto"/>
                <w:kern w:val="0"/>
                <w:sz w:val="20"/>
              </w:rPr>
              <w:t>通过趸船收集坎收集</w:t>
            </w:r>
            <w:r>
              <w:rPr>
                <w:rFonts w:hint="eastAsia"/>
                <w:bCs/>
                <w:color w:val="auto"/>
                <w:kern w:val="0"/>
                <w:sz w:val="20"/>
                <w:lang w:val="en-US" w:eastAsia="zh-CN"/>
              </w:rPr>
              <w:t>后进入趸船下方</w:t>
            </w:r>
            <w:r>
              <w:rPr>
                <w:rFonts w:hint="eastAsia"/>
                <w:bCs/>
                <w:color w:val="auto"/>
                <w:kern w:val="0"/>
                <w:sz w:val="20"/>
              </w:rPr>
              <w:t>初期雨水收集柜储存，委托海事部门认定的船舶污染物接收船定期统一处理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64" w:type="pct"/>
            <w:vMerge w:val="continue"/>
            <w:noWrap w:val="0"/>
            <w:vAlign w:val="center"/>
          </w:tcPr>
          <w:p>
            <w:pPr>
              <w:widowControl w:val="0"/>
              <w:jc w:val="center"/>
              <w:rPr>
                <w:bCs/>
                <w:color w:val="auto"/>
                <w:kern w:val="0"/>
                <w:sz w:val="20"/>
              </w:rPr>
            </w:pPr>
          </w:p>
        </w:tc>
        <w:tc>
          <w:tcPr>
            <w:tcW w:w="1093" w:type="pct"/>
            <w:noWrap w:val="0"/>
            <w:vAlign w:val="center"/>
          </w:tcPr>
          <w:p>
            <w:pPr>
              <w:widowControl w:val="0"/>
              <w:adjustRightInd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码头平台初期雨水</w:t>
            </w:r>
          </w:p>
        </w:tc>
        <w:tc>
          <w:tcPr>
            <w:tcW w:w="519"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1680.9</w:t>
            </w:r>
          </w:p>
        </w:tc>
        <w:tc>
          <w:tcPr>
            <w:tcW w:w="500"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SS</w:t>
            </w:r>
          </w:p>
        </w:tc>
        <w:tc>
          <w:tcPr>
            <w:tcW w:w="536"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500</w:t>
            </w:r>
          </w:p>
        </w:tc>
        <w:tc>
          <w:tcPr>
            <w:tcW w:w="562"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0.84</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restar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到港船舶废水</w:t>
            </w:r>
          </w:p>
        </w:tc>
        <w:tc>
          <w:tcPr>
            <w:tcW w:w="1093" w:type="pct"/>
            <w:noWrap w:val="0"/>
            <w:vAlign w:val="center"/>
          </w:tcPr>
          <w:p>
            <w:pPr>
              <w:widowControl w:val="0"/>
              <w:adjustRightInd w:val="0"/>
              <w:jc w:val="center"/>
              <w:rPr>
                <w:rFonts w:hint="eastAsia" w:eastAsia="宋体"/>
                <w:color w:val="auto"/>
                <w:sz w:val="20"/>
                <w:szCs w:val="21"/>
                <w:lang w:val="en-US" w:eastAsia="zh-CN"/>
              </w:rPr>
            </w:pPr>
            <w:r>
              <w:rPr>
                <w:rFonts w:hint="eastAsia" w:eastAsia="宋体"/>
                <w:color w:val="auto"/>
                <w:sz w:val="20"/>
                <w:szCs w:val="21"/>
                <w:lang w:val="en-US" w:eastAsia="zh-CN"/>
              </w:rPr>
              <w:t>舱底油污水</w:t>
            </w:r>
          </w:p>
        </w:tc>
        <w:tc>
          <w:tcPr>
            <w:tcW w:w="519"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1485.54</w:t>
            </w:r>
          </w:p>
        </w:tc>
        <w:tc>
          <w:tcPr>
            <w:tcW w:w="500" w:type="pct"/>
            <w:noWrap w:val="0"/>
            <w:vAlign w:val="center"/>
          </w:tcPr>
          <w:p>
            <w:pPr>
              <w:widowControl w:val="0"/>
              <w:jc w:val="center"/>
              <w:rPr>
                <w:rFonts w:hint="eastAsia" w:eastAsia="宋体"/>
                <w:bCs/>
                <w:color w:val="auto"/>
                <w:kern w:val="0"/>
                <w:sz w:val="20"/>
                <w:lang w:val="en-US" w:eastAsia="zh-CN"/>
              </w:rPr>
            </w:pPr>
            <w:r>
              <w:rPr>
                <w:rFonts w:hint="eastAsia"/>
                <w:bCs/>
                <w:color w:val="auto"/>
                <w:kern w:val="0"/>
                <w:sz w:val="20"/>
                <w:lang w:val="en-US" w:eastAsia="zh-CN"/>
              </w:rPr>
              <w:t>石油类</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5000</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7.428</w:t>
            </w:r>
          </w:p>
        </w:tc>
        <w:tc>
          <w:tcPr>
            <w:tcW w:w="1423" w:type="pct"/>
            <w:vMerge w:val="restar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直接交</w:t>
            </w:r>
            <w:r>
              <w:rPr>
                <w:rFonts w:hint="eastAsia"/>
                <w:bCs/>
                <w:color w:val="auto"/>
                <w:kern w:val="0"/>
                <w:sz w:val="20"/>
              </w:rPr>
              <w:t>由海事部门指定的</w:t>
            </w:r>
            <w:r>
              <w:rPr>
                <w:rFonts w:hint="eastAsia"/>
                <w:bCs/>
                <w:color w:val="auto"/>
                <w:kern w:val="0"/>
                <w:sz w:val="20"/>
                <w:lang w:val="en-US" w:eastAsia="zh-CN"/>
              </w:rPr>
              <w:t>接收</w:t>
            </w:r>
            <w:r>
              <w:rPr>
                <w:rFonts w:hint="eastAsia"/>
                <w:bCs/>
                <w:color w:val="auto"/>
                <w:kern w:val="0"/>
                <w:sz w:val="20"/>
              </w:rPr>
              <w:t>船接收</w:t>
            </w:r>
            <w:r>
              <w:rPr>
                <w:rFonts w:hint="eastAsia"/>
                <w:bCs/>
                <w:color w:val="auto"/>
                <w:kern w:val="0"/>
                <w:sz w:val="20"/>
                <w:lang w:val="en-US" w:eastAsia="zh-CN"/>
              </w:rPr>
              <w:t>处理，本项目不接收到港船舶废水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restart"/>
            <w:noWrap w:val="0"/>
            <w:vAlign w:val="center"/>
          </w:tcPr>
          <w:p>
            <w:pPr>
              <w:widowControl w:val="0"/>
              <w:adjustRightInd w:val="0"/>
              <w:jc w:val="center"/>
              <w:rPr>
                <w:rFonts w:hint="default" w:eastAsia="宋体"/>
                <w:color w:val="auto"/>
                <w:sz w:val="20"/>
                <w:szCs w:val="21"/>
                <w:lang w:val="en-US" w:eastAsia="zh-CN"/>
              </w:rPr>
            </w:pPr>
            <w:r>
              <w:rPr>
                <w:rFonts w:hint="eastAsia"/>
                <w:color w:val="auto"/>
                <w:sz w:val="20"/>
                <w:szCs w:val="21"/>
                <w:lang w:val="en-US" w:eastAsia="zh-CN"/>
              </w:rPr>
              <w:t>船舶生活污水</w:t>
            </w:r>
          </w:p>
        </w:tc>
        <w:tc>
          <w:tcPr>
            <w:tcW w:w="519" w:type="pct"/>
            <w:vMerge w:val="restar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4401.6</w:t>
            </w:r>
          </w:p>
        </w:tc>
        <w:tc>
          <w:tcPr>
            <w:tcW w:w="500"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COD</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300</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1.32</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continue"/>
            <w:noWrap w:val="0"/>
            <w:vAlign w:val="center"/>
          </w:tcPr>
          <w:p>
            <w:pPr>
              <w:widowControl w:val="0"/>
              <w:adjustRightInd w:val="0"/>
              <w:jc w:val="center"/>
              <w:rPr>
                <w:rFonts w:hint="default" w:eastAsia="宋体"/>
                <w:color w:val="auto"/>
                <w:sz w:val="20"/>
                <w:szCs w:val="21"/>
                <w:lang w:val="en-US" w:eastAsia="zh-CN"/>
              </w:rPr>
            </w:pPr>
          </w:p>
        </w:tc>
        <w:tc>
          <w:tcPr>
            <w:tcW w:w="519" w:type="pct"/>
            <w:vMerge w:val="continue"/>
            <w:noWrap w:val="0"/>
            <w:vAlign w:val="center"/>
          </w:tcPr>
          <w:p>
            <w:pPr>
              <w:widowControl w:val="0"/>
              <w:jc w:val="center"/>
              <w:rPr>
                <w:bCs/>
                <w:color w:val="auto"/>
                <w:kern w:val="0"/>
                <w:sz w:val="20"/>
              </w:rPr>
            </w:pPr>
          </w:p>
        </w:tc>
        <w:tc>
          <w:tcPr>
            <w:tcW w:w="500"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BOD</w:t>
            </w:r>
            <w:r>
              <w:rPr>
                <w:rFonts w:hint="eastAsia"/>
                <w:bCs/>
                <w:color w:val="auto"/>
                <w:kern w:val="0"/>
                <w:sz w:val="20"/>
                <w:vertAlign w:val="subscript"/>
                <w:lang w:val="en-US" w:eastAsia="zh-CN"/>
              </w:rPr>
              <w:t>5</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200</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0.88</w:t>
            </w:r>
          </w:p>
        </w:tc>
        <w:tc>
          <w:tcPr>
            <w:tcW w:w="1423" w:type="pct"/>
            <w:vMerge w:val="continue"/>
            <w:noWrap w:val="0"/>
            <w:vAlign w:val="center"/>
          </w:tcPr>
          <w:p>
            <w:pPr>
              <w:widowControl w:val="0"/>
              <w:jc w:val="center"/>
              <w:rPr>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4" w:type="pct"/>
            <w:vMerge w:val="continue"/>
            <w:noWrap w:val="0"/>
            <w:vAlign w:val="center"/>
          </w:tcPr>
          <w:p>
            <w:pPr>
              <w:widowControl w:val="0"/>
              <w:jc w:val="center"/>
              <w:rPr>
                <w:bCs/>
                <w:color w:val="auto"/>
                <w:kern w:val="0"/>
                <w:sz w:val="20"/>
              </w:rPr>
            </w:pPr>
          </w:p>
        </w:tc>
        <w:tc>
          <w:tcPr>
            <w:tcW w:w="1093" w:type="pct"/>
            <w:vMerge w:val="continue"/>
            <w:noWrap w:val="0"/>
            <w:vAlign w:val="center"/>
          </w:tcPr>
          <w:p>
            <w:pPr>
              <w:widowControl w:val="0"/>
              <w:adjustRightInd w:val="0"/>
              <w:jc w:val="center"/>
              <w:rPr>
                <w:color w:val="auto"/>
                <w:sz w:val="20"/>
                <w:szCs w:val="21"/>
              </w:rPr>
            </w:pPr>
          </w:p>
        </w:tc>
        <w:tc>
          <w:tcPr>
            <w:tcW w:w="519" w:type="pct"/>
            <w:vMerge w:val="continue"/>
            <w:noWrap w:val="0"/>
            <w:vAlign w:val="center"/>
          </w:tcPr>
          <w:p>
            <w:pPr>
              <w:widowControl w:val="0"/>
              <w:jc w:val="center"/>
              <w:rPr>
                <w:bCs/>
                <w:color w:val="auto"/>
                <w:kern w:val="0"/>
                <w:sz w:val="20"/>
              </w:rPr>
            </w:pPr>
          </w:p>
        </w:tc>
        <w:tc>
          <w:tcPr>
            <w:tcW w:w="500" w:type="pct"/>
            <w:noWrap w:val="0"/>
            <w:vAlign w:val="center"/>
          </w:tcPr>
          <w:p>
            <w:pPr>
              <w:widowControl w:val="0"/>
              <w:jc w:val="center"/>
              <w:rPr>
                <w:rFonts w:hint="default" w:ascii="Times New Roman" w:hAnsi="Times New Roman" w:eastAsia="宋体" w:cs="Times New Roman"/>
                <w:bCs/>
                <w:color w:val="auto"/>
                <w:kern w:val="0"/>
                <w:sz w:val="20"/>
                <w:lang w:val="en-US" w:eastAsia="zh-CN" w:bidi="ar-SA"/>
              </w:rPr>
            </w:pPr>
            <w:r>
              <w:rPr>
                <w:rFonts w:hint="eastAsia"/>
                <w:bCs/>
                <w:color w:val="auto"/>
                <w:kern w:val="0"/>
                <w:sz w:val="20"/>
                <w:lang w:val="en-US" w:eastAsia="zh-CN"/>
              </w:rPr>
              <w:t>NH</w:t>
            </w:r>
            <w:r>
              <w:rPr>
                <w:rFonts w:hint="eastAsia"/>
                <w:bCs/>
                <w:color w:val="auto"/>
                <w:kern w:val="0"/>
                <w:sz w:val="20"/>
                <w:vertAlign w:val="subscript"/>
                <w:lang w:val="en-US" w:eastAsia="zh-CN"/>
              </w:rPr>
              <w:t>3</w:t>
            </w:r>
            <w:r>
              <w:rPr>
                <w:rFonts w:hint="eastAsia"/>
                <w:bCs/>
                <w:color w:val="auto"/>
                <w:kern w:val="0"/>
                <w:sz w:val="20"/>
                <w:lang w:val="en-US" w:eastAsia="zh-CN"/>
              </w:rPr>
              <w:t>-N</w:t>
            </w:r>
          </w:p>
        </w:tc>
        <w:tc>
          <w:tcPr>
            <w:tcW w:w="536"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35</w:t>
            </w:r>
          </w:p>
        </w:tc>
        <w:tc>
          <w:tcPr>
            <w:tcW w:w="562" w:type="pct"/>
            <w:noWrap w:val="0"/>
            <w:vAlign w:val="center"/>
          </w:tcPr>
          <w:p>
            <w:pPr>
              <w:widowControl w:val="0"/>
              <w:jc w:val="center"/>
              <w:rPr>
                <w:rFonts w:hint="default" w:eastAsia="宋体"/>
                <w:bCs/>
                <w:color w:val="auto"/>
                <w:kern w:val="0"/>
                <w:sz w:val="20"/>
                <w:lang w:val="en-US" w:eastAsia="zh-CN"/>
              </w:rPr>
            </w:pPr>
            <w:r>
              <w:rPr>
                <w:rFonts w:hint="eastAsia"/>
                <w:bCs/>
                <w:color w:val="auto"/>
                <w:kern w:val="0"/>
                <w:sz w:val="20"/>
                <w:lang w:val="en-US" w:eastAsia="zh-CN"/>
              </w:rPr>
              <w:t>0.154</w:t>
            </w:r>
          </w:p>
        </w:tc>
        <w:tc>
          <w:tcPr>
            <w:tcW w:w="1423" w:type="pct"/>
            <w:vMerge w:val="continue"/>
            <w:noWrap w:val="0"/>
            <w:vAlign w:val="center"/>
          </w:tcPr>
          <w:p>
            <w:pPr>
              <w:widowControl w:val="0"/>
              <w:jc w:val="center"/>
              <w:rPr>
                <w:bCs/>
                <w:color w:val="auto"/>
                <w:kern w:val="0"/>
                <w:sz w:val="20"/>
              </w:rPr>
            </w:pPr>
          </w:p>
        </w:tc>
      </w:tr>
    </w:tbl>
    <w:p>
      <w:pPr>
        <w:widowControl w:val="0"/>
        <w:spacing w:line="360" w:lineRule="auto"/>
        <w:ind w:firstLine="480" w:firstLineChars="200"/>
        <w:rPr>
          <w:rFonts w:hint="default" w:eastAsia="仿宋_GB2312"/>
          <w:color w:val="auto"/>
          <w:sz w:val="24"/>
          <w:szCs w:val="24"/>
          <w:lang w:val="en-US"/>
        </w:rPr>
      </w:pPr>
      <w:r>
        <w:rPr>
          <w:rFonts w:hint="eastAsia" w:eastAsia="仿宋_GB2312"/>
          <w:color w:val="auto"/>
          <w:sz w:val="24"/>
          <w:szCs w:val="24"/>
          <w:lang w:val="en-US" w:eastAsia="zh-CN"/>
        </w:rPr>
        <w:t>运营期废水水平衡示意图见下图。</w:t>
      </w:r>
    </w:p>
    <w:p>
      <w:pPr>
        <w:widowControl w:val="0"/>
        <w:spacing w:line="360" w:lineRule="auto"/>
        <w:jc w:val="center"/>
        <w:rPr>
          <w:rFonts w:hint="eastAsia" w:eastAsia="仿宋_GB2312"/>
          <w:color w:val="auto"/>
          <w:sz w:val="24"/>
          <w:szCs w:val="24"/>
        </w:rPr>
      </w:pPr>
      <w:r>
        <w:rPr>
          <w:rFonts w:hint="eastAsia" w:eastAsia="仿宋_GB2312"/>
          <w:color w:val="auto"/>
          <w:sz w:val="24"/>
          <w:szCs w:val="24"/>
        </w:rPr>
        <w:object>
          <v:shape id="_x0000_i1034" o:spt="75" type="#_x0000_t75" style="height:245.2pt;width:400.45pt;" o:ole="t" filled="f" o:preferrelative="t" stroked="f" coordsize="21600,21600">
            <v:path/>
            <v:fill on="f" focussize="0,0"/>
            <v:stroke on="f"/>
            <v:imagedata r:id="rId51" o:title=""/>
            <o:lock v:ext="edit" aspectratio="f"/>
            <w10:wrap type="none"/>
            <w10:anchorlock/>
          </v:shape>
          <o:OLEObject Type="Embed" ProgID="Visio.Drawing.15" ShapeID="_x0000_i1034" DrawAspect="Content" ObjectID="_1468075734" r:id="rId50">
            <o:LockedField>false</o:LockedField>
          </o:OLEObject>
        </w:object>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图3.</w:t>
      </w:r>
      <w:r>
        <w:rPr>
          <w:rFonts w:hint="eastAsia" w:eastAsia="黑体"/>
          <w:b/>
          <w:color w:val="auto"/>
          <w:szCs w:val="21"/>
          <w:lang w:val="en-US" w:eastAsia="zh-CN"/>
        </w:rPr>
        <w:t>2</w:t>
      </w:r>
      <w:r>
        <w:rPr>
          <w:rFonts w:eastAsia="黑体"/>
          <w:b/>
          <w:color w:val="auto"/>
          <w:szCs w:val="21"/>
          <w:lang w:val="zh-CN"/>
        </w:rPr>
        <w:t>-</w:t>
      </w:r>
      <w:r>
        <w:rPr>
          <w:rFonts w:hint="eastAsia" w:eastAsia="黑体"/>
          <w:b/>
          <w:color w:val="auto"/>
          <w:szCs w:val="21"/>
          <w:lang w:val="en-US" w:eastAsia="zh-CN"/>
        </w:rPr>
        <w:t>4</w:t>
      </w:r>
      <w:r>
        <w:rPr>
          <w:rFonts w:eastAsia="黑体"/>
          <w:b/>
          <w:color w:val="auto"/>
          <w:szCs w:val="21"/>
          <w:lang w:val="zh-CN"/>
        </w:rPr>
        <w:t xml:space="preserve">  </w:t>
      </w:r>
      <w:r>
        <w:rPr>
          <w:rFonts w:hint="eastAsia" w:eastAsia="黑体"/>
          <w:b/>
          <w:color w:val="auto"/>
          <w:szCs w:val="21"/>
          <w:lang w:val="en-US" w:eastAsia="zh-CN"/>
        </w:rPr>
        <w:t>项目水平衡图  单位m</w:t>
      </w:r>
      <w:r>
        <w:rPr>
          <w:rFonts w:hint="eastAsia" w:eastAsia="黑体"/>
          <w:b/>
          <w:color w:val="auto"/>
          <w:szCs w:val="21"/>
          <w:vertAlign w:val="superscript"/>
          <w:lang w:val="en-US" w:eastAsia="zh-CN"/>
        </w:rPr>
        <w:t>3</w:t>
      </w:r>
      <w:r>
        <w:rPr>
          <w:rFonts w:hint="eastAsia" w:eastAsia="黑体"/>
          <w:b/>
          <w:color w:val="auto"/>
          <w:szCs w:val="21"/>
          <w:lang w:val="en-US" w:eastAsia="zh-CN"/>
        </w:rPr>
        <w:t>/a</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bookmarkStart w:id="322" w:name="_Toc28101"/>
      <w:bookmarkStart w:id="323" w:name="_Toc22096"/>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2.3</w:t>
      </w:r>
      <w:r>
        <w:rPr>
          <w:rFonts w:hint="eastAsia" w:ascii="Times New Roman" w:hAnsi="Times New Roman" w:eastAsia="黑体" w:cs="Times New Roman"/>
          <w:color w:val="auto"/>
          <w:szCs w:val="24"/>
          <w:lang w:val="en-US" w:eastAsia="zh-CN"/>
        </w:rPr>
        <w:t>噪声</w:t>
      </w:r>
      <w:bookmarkEnd w:id="322"/>
      <w:bookmarkEnd w:id="323"/>
    </w:p>
    <w:p>
      <w:pPr>
        <w:widowControl w:val="0"/>
        <w:spacing w:line="360" w:lineRule="auto"/>
        <w:ind w:firstLine="480" w:firstLineChars="200"/>
        <w:rPr>
          <w:rFonts w:hint="eastAsia" w:eastAsia="仿宋_GB2312"/>
          <w:color w:val="auto"/>
          <w:sz w:val="24"/>
          <w:szCs w:val="24"/>
          <w:lang w:val="en-US" w:eastAsia="zh-CN"/>
        </w:rPr>
      </w:pPr>
      <w:r>
        <w:rPr>
          <w:rFonts w:hint="eastAsia" w:eastAsia="仿宋_GB2312"/>
          <w:color w:val="auto"/>
          <w:sz w:val="24"/>
          <w:szCs w:val="24"/>
          <w:lang w:eastAsia="zh-CN"/>
        </w:rPr>
        <w:t>运营期</w:t>
      </w:r>
      <w:r>
        <w:rPr>
          <w:rFonts w:hint="eastAsia" w:eastAsia="仿宋_GB2312"/>
          <w:color w:val="auto"/>
          <w:sz w:val="24"/>
          <w:szCs w:val="24"/>
          <w:lang w:val="en-US" w:eastAsia="zh-CN"/>
        </w:rPr>
        <w:t>项目</w:t>
      </w:r>
      <w:r>
        <w:rPr>
          <w:rFonts w:hint="eastAsia" w:eastAsia="仿宋_GB2312"/>
          <w:color w:val="auto"/>
          <w:sz w:val="24"/>
          <w:szCs w:val="24"/>
        </w:rPr>
        <w:t>主要噪声源为主要装卸机械产生的噪声。噪声源情况如</w:t>
      </w:r>
      <w:r>
        <w:rPr>
          <w:rFonts w:hint="eastAsia" w:eastAsia="仿宋_GB2312"/>
          <w:color w:val="auto"/>
          <w:sz w:val="24"/>
          <w:szCs w:val="24"/>
          <w:lang w:val="en-US" w:eastAsia="zh-CN"/>
        </w:rPr>
        <w:t>下表。</w:t>
      </w:r>
    </w:p>
    <w:p>
      <w:pPr>
        <w:widowControl w:val="0"/>
        <w:spacing w:line="360" w:lineRule="auto"/>
        <w:jc w:val="center"/>
        <w:rPr>
          <w:rFonts w:hint="eastAsia" w:ascii="Times New Roman" w:hAnsi="Times New Roman" w:eastAsia="黑体" w:cs="Times New Roman"/>
          <w:b/>
          <w:color w:val="auto"/>
          <w:lang w:eastAsia="zh-CN"/>
        </w:rPr>
      </w:pPr>
      <w:r>
        <w:rPr>
          <w:rFonts w:hint="eastAsia" w:ascii="Times New Roman" w:hAnsi="Times New Roman" w:eastAsia="黑体" w:cs="Times New Roman"/>
          <w:b/>
          <w:color w:val="auto"/>
        </w:rPr>
        <w:t>表3.</w:t>
      </w:r>
      <w:r>
        <w:rPr>
          <w:rFonts w:hint="eastAsia" w:eastAsia="黑体" w:cs="Times New Roman"/>
          <w:b/>
          <w:color w:val="auto"/>
          <w:lang w:val="en-US" w:eastAsia="zh-CN"/>
        </w:rPr>
        <w:t>2</w:t>
      </w:r>
      <w:r>
        <w:rPr>
          <w:rFonts w:hint="eastAsia" w:ascii="Times New Roman" w:hAnsi="Times New Roman" w:eastAsia="黑体" w:cs="Times New Roman"/>
          <w:b/>
          <w:color w:val="auto"/>
        </w:rPr>
        <w:t>-</w:t>
      </w:r>
      <w:r>
        <w:rPr>
          <w:rFonts w:hint="eastAsia" w:eastAsia="黑体" w:cs="Times New Roman"/>
          <w:b/>
          <w:color w:val="auto"/>
          <w:lang w:val="en-US" w:eastAsia="zh-CN"/>
        </w:rPr>
        <w:t>5</w:t>
      </w:r>
      <w:r>
        <w:rPr>
          <w:rFonts w:hint="eastAsia" w:ascii="Times New Roman" w:hAnsi="Times New Roman" w:eastAsia="黑体" w:cs="Times New Roman"/>
          <w:b/>
          <w:color w:val="auto"/>
        </w:rPr>
        <w:t xml:space="preserve">  主要装卸机械单机噪声值 </w:t>
      </w:r>
      <w:r>
        <w:rPr>
          <w:rFonts w:hint="eastAsia" w:eastAsia="黑体" w:cs="Times New Roman"/>
          <w:b/>
          <w:color w:val="auto"/>
          <w:lang w:val="en-US" w:eastAsia="zh-CN"/>
        </w:rPr>
        <w:t xml:space="preserve"> </w:t>
      </w:r>
      <w:r>
        <w:rPr>
          <w:rFonts w:hint="eastAsia" w:ascii="Times New Roman" w:hAnsi="Times New Roman" w:eastAsia="黑体" w:cs="Times New Roman"/>
          <w:b/>
          <w:color w:val="auto"/>
        </w:rPr>
        <w:t xml:space="preserve">  单位：dB(A)</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93"/>
        <w:gridCol w:w="1232"/>
        <w:gridCol w:w="734"/>
        <w:gridCol w:w="774"/>
        <w:gridCol w:w="705"/>
        <w:gridCol w:w="1422"/>
        <w:gridCol w:w="1812"/>
        <w:gridCol w:w="9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vMerge w:val="restart"/>
            <w:noWrap w:val="0"/>
            <w:vAlign w:val="center"/>
          </w:tcPr>
          <w:p>
            <w:pPr>
              <w:widowControl w:val="0"/>
              <w:spacing w:line="240" w:lineRule="auto"/>
              <w:jc w:val="center"/>
              <w:rPr>
                <w:rFonts w:hint="eastAsia"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序号</w:t>
            </w:r>
          </w:p>
        </w:tc>
        <w:tc>
          <w:tcPr>
            <w:tcW w:w="737" w:type="pct"/>
            <w:vMerge w:val="restart"/>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default" w:ascii="Times New Roman" w:hAnsi="Times New Roman" w:cs="Times New Roman"/>
                <w:b w:val="0"/>
                <w:bCs/>
                <w:color w:val="auto"/>
                <w:sz w:val="20"/>
                <w:szCs w:val="20"/>
                <w:lang w:val="en-US" w:eastAsia="zh-CN"/>
              </w:rPr>
              <w:t>声源</w:t>
            </w:r>
          </w:p>
        </w:tc>
        <w:tc>
          <w:tcPr>
            <w:tcW w:w="1324" w:type="pct"/>
            <w:gridSpan w:val="3"/>
            <w:tcBorders>
              <w:bottom w:val="single" w:color="auto" w:sz="4"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空间位置m</w:t>
            </w:r>
          </w:p>
        </w:tc>
        <w:tc>
          <w:tcPr>
            <w:tcW w:w="851" w:type="pct"/>
            <w:tcBorders>
              <w:bottom w:val="single" w:color="auto" w:sz="4"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default" w:ascii="Times New Roman" w:hAnsi="Times New Roman" w:cs="Times New Roman"/>
                <w:b w:val="0"/>
                <w:bCs/>
                <w:color w:val="auto"/>
                <w:sz w:val="20"/>
                <w:szCs w:val="20"/>
                <w:lang w:val="en-US" w:eastAsia="zh-CN"/>
              </w:rPr>
              <w:t>距声源距离(m)</w:t>
            </w:r>
          </w:p>
        </w:tc>
        <w:tc>
          <w:tcPr>
            <w:tcW w:w="1084" w:type="pct"/>
            <w:vMerge w:val="restart"/>
            <w:tcBorders>
              <w:bottom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声源控制措施</w:t>
            </w:r>
          </w:p>
        </w:tc>
        <w:tc>
          <w:tcPr>
            <w:tcW w:w="587" w:type="pct"/>
            <w:vMerge w:val="restart"/>
            <w:tcBorders>
              <w:bottom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vMerge w:val="continue"/>
            <w:tcBorders>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737" w:type="pct"/>
            <w:vMerge w:val="continue"/>
            <w:tcBorders>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439" w:type="pct"/>
            <w:tcBorders>
              <w:top w:val="single" w:color="auto" w:sz="4" w:space="0"/>
              <w:bottom w:val="single" w:color="auto" w:sz="12" w:space="0"/>
            </w:tcBorders>
            <w:noWrap w:val="0"/>
            <w:vAlign w:val="center"/>
          </w:tcPr>
          <w:p>
            <w:pPr>
              <w:widowControl w:val="0"/>
              <w:spacing w:line="240" w:lineRule="auto"/>
              <w:jc w:val="center"/>
              <w:rPr>
                <w:rFonts w:hint="eastAsia"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X</w:t>
            </w:r>
          </w:p>
        </w:tc>
        <w:tc>
          <w:tcPr>
            <w:tcW w:w="463" w:type="pct"/>
            <w:tcBorders>
              <w:top w:val="single" w:color="auto" w:sz="4" w:space="0"/>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Y</w:t>
            </w:r>
          </w:p>
        </w:tc>
        <w:tc>
          <w:tcPr>
            <w:tcW w:w="422" w:type="pct"/>
            <w:tcBorders>
              <w:top w:val="single" w:color="auto" w:sz="4" w:space="0"/>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Z</w:t>
            </w:r>
          </w:p>
        </w:tc>
        <w:tc>
          <w:tcPr>
            <w:tcW w:w="851" w:type="pct"/>
            <w:tcBorders>
              <w:top w:val="single" w:color="auto" w:sz="4" w:space="0"/>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default" w:ascii="Times New Roman" w:hAnsi="Times New Roman" w:cs="Times New Roman"/>
                <w:b w:val="0"/>
                <w:bCs/>
                <w:color w:val="auto"/>
                <w:sz w:val="20"/>
                <w:szCs w:val="20"/>
                <w:lang w:val="en-US" w:eastAsia="zh-CN"/>
              </w:rPr>
              <w:t>1</w:t>
            </w:r>
          </w:p>
        </w:tc>
        <w:tc>
          <w:tcPr>
            <w:tcW w:w="1084" w:type="pct"/>
            <w:vMerge w:val="continue"/>
            <w:tcBorders>
              <w:top w:val="nil"/>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587" w:type="pct"/>
            <w:vMerge w:val="continue"/>
            <w:tcBorders>
              <w:top w:val="nil"/>
              <w:bottom w:val="single" w:color="auto" w:sz="12" w:space="0"/>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tcBorders>
              <w:top w:val="single" w:color="auto" w:sz="12" w:space="0"/>
              <w:tl2br w:val="nil"/>
              <w:tr2bl w:val="nil"/>
            </w:tcBorders>
            <w:noWrap w:val="0"/>
            <w:vAlign w:val="center"/>
          </w:tcPr>
          <w:p>
            <w:pPr>
              <w:widowControl w:val="0"/>
              <w:spacing w:line="240" w:lineRule="auto"/>
              <w:jc w:val="center"/>
              <w:rPr>
                <w:rFonts w:hint="eastAsia"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1</w:t>
            </w:r>
          </w:p>
        </w:tc>
        <w:tc>
          <w:tcPr>
            <w:tcW w:w="737" w:type="pc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1#装船机</w:t>
            </w:r>
          </w:p>
        </w:tc>
        <w:tc>
          <w:tcPr>
            <w:tcW w:w="439" w:type="pc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0</w:t>
            </w:r>
          </w:p>
        </w:tc>
        <w:tc>
          <w:tcPr>
            <w:tcW w:w="463" w:type="pc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0</w:t>
            </w:r>
          </w:p>
        </w:tc>
        <w:tc>
          <w:tcPr>
            <w:tcW w:w="422" w:type="pct"/>
            <w:tcBorders>
              <w:top w:val="single" w:color="auto" w:sz="12" w:space="0"/>
              <w:tl2br w:val="nil"/>
              <w:tr2bl w:val="nil"/>
            </w:tcBorders>
            <w:noWrap w:val="0"/>
            <w:vAlign w:val="center"/>
          </w:tcPr>
          <w:p>
            <w:pPr>
              <w:widowControl w:val="0"/>
              <w:spacing w:line="240" w:lineRule="auto"/>
              <w:jc w:val="center"/>
              <w:rPr>
                <w:rFonts w:hint="eastAsia"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5</w:t>
            </w:r>
          </w:p>
        </w:tc>
        <w:tc>
          <w:tcPr>
            <w:tcW w:w="851" w:type="pct"/>
            <w:vMerge w:val="restar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90</w:t>
            </w:r>
          </w:p>
        </w:tc>
        <w:tc>
          <w:tcPr>
            <w:tcW w:w="1084" w:type="pct"/>
            <w:vMerge w:val="restar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选用低噪声设备，空地建设绿化带，加强设备的维修保养等</w:t>
            </w:r>
          </w:p>
        </w:tc>
        <w:tc>
          <w:tcPr>
            <w:tcW w:w="587" w:type="pct"/>
            <w:vMerge w:val="restart"/>
            <w:tcBorders>
              <w:top w:val="single" w:color="auto" w:sz="12" w:space="0"/>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运营期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2</w:t>
            </w:r>
          </w:p>
        </w:tc>
        <w:tc>
          <w:tcPr>
            <w:tcW w:w="737"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2#装船机</w:t>
            </w:r>
          </w:p>
        </w:tc>
        <w:tc>
          <w:tcPr>
            <w:tcW w:w="439"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30</w:t>
            </w:r>
          </w:p>
        </w:tc>
        <w:tc>
          <w:tcPr>
            <w:tcW w:w="463"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0</w:t>
            </w:r>
          </w:p>
        </w:tc>
        <w:tc>
          <w:tcPr>
            <w:tcW w:w="422"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5</w:t>
            </w:r>
          </w:p>
        </w:tc>
        <w:tc>
          <w:tcPr>
            <w:tcW w:w="851" w:type="pct"/>
            <w:vMerge w:val="continue"/>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1084"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c>
          <w:tcPr>
            <w:tcW w:w="587"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3</w:t>
            </w:r>
          </w:p>
        </w:tc>
        <w:tc>
          <w:tcPr>
            <w:tcW w:w="737"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3</w:t>
            </w:r>
            <w:r>
              <w:rPr>
                <w:rFonts w:hint="eastAsia" w:ascii="Times New Roman" w:hAnsi="Times New Roman" w:cs="Times New Roman"/>
                <w:b w:val="0"/>
                <w:bCs/>
                <w:color w:val="auto"/>
                <w:sz w:val="20"/>
                <w:szCs w:val="20"/>
                <w:lang w:val="en-US" w:eastAsia="zh-CN"/>
              </w:rPr>
              <w:t>#装船机</w:t>
            </w:r>
          </w:p>
        </w:tc>
        <w:tc>
          <w:tcPr>
            <w:tcW w:w="439"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ascii="Times New Roman" w:hAnsi="Times New Roman" w:cs="Times New Roman"/>
                <w:b w:val="0"/>
                <w:bCs/>
                <w:color w:val="auto"/>
                <w:sz w:val="20"/>
                <w:szCs w:val="20"/>
                <w:lang w:val="en-US" w:eastAsia="zh-CN"/>
              </w:rPr>
              <w:t>1</w:t>
            </w:r>
            <w:r>
              <w:rPr>
                <w:rFonts w:hint="eastAsia" w:cs="Times New Roman"/>
                <w:b w:val="0"/>
                <w:bCs/>
                <w:color w:val="auto"/>
                <w:sz w:val="20"/>
                <w:szCs w:val="20"/>
                <w:lang w:val="en-US" w:eastAsia="zh-CN"/>
              </w:rPr>
              <w:t>72</w:t>
            </w:r>
          </w:p>
        </w:tc>
        <w:tc>
          <w:tcPr>
            <w:tcW w:w="463"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0</w:t>
            </w:r>
          </w:p>
        </w:tc>
        <w:tc>
          <w:tcPr>
            <w:tcW w:w="422"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5</w:t>
            </w:r>
          </w:p>
        </w:tc>
        <w:tc>
          <w:tcPr>
            <w:tcW w:w="851" w:type="pct"/>
            <w:vMerge w:val="continue"/>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1084"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c>
          <w:tcPr>
            <w:tcW w:w="587"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4</w:t>
            </w:r>
          </w:p>
        </w:tc>
        <w:tc>
          <w:tcPr>
            <w:tcW w:w="737"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color w:val="auto"/>
                <w:kern w:val="2"/>
                <w:sz w:val="20"/>
                <w:szCs w:val="20"/>
                <w:lang w:val="en-US" w:eastAsia="zh-CN" w:bidi="ar-SA"/>
              </w:rPr>
            </w:pPr>
            <w:r>
              <w:rPr>
                <w:rFonts w:hint="eastAsia" w:cs="Times New Roman"/>
                <w:b w:val="0"/>
                <w:bCs/>
                <w:color w:val="auto"/>
                <w:sz w:val="20"/>
                <w:szCs w:val="20"/>
                <w:lang w:val="en-US" w:eastAsia="zh-CN"/>
              </w:rPr>
              <w:t>4</w:t>
            </w:r>
            <w:r>
              <w:rPr>
                <w:rFonts w:hint="eastAsia" w:ascii="Times New Roman" w:hAnsi="Times New Roman" w:cs="Times New Roman"/>
                <w:b w:val="0"/>
                <w:bCs/>
                <w:color w:val="auto"/>
                <w:sz w:val="20"/>
                <w:szCs w:val="20"/>
                <w:lang w:val="en-US" w:eastAsia="zh-CN"/>
              </w:rPr>
              <w:t>#装船机</w:t>
            </w:r>
          </w:p>
        </w:tc>
        <w:tc>
          <w:tcPr>
            <w:tcW w:w="439"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ascii="Times New Roman" w:hAnsi="Times New Roman" w:cs="Times New Roman"/>
                <w:b w:val="0"/>
                <w:bCs/>
                <w:color w:val="auto"/>
                <w:sz w:val="20"/>
                <w:szCs w:val="20"/>
                <w:lang w:val="en-US" w:eastAsia="zh-CN"/>
              </w:rPr>
              <w:t>1</w:t>
            </w:r>
            <w:r>
              <w:rPr>
                <w:rFonts w:hint="eastAsia" w:cs="Times New Roman"/>
                <w:b w:val="0"/>
                <w:bCs/>
                <w:color w:val="auto"/>
                <w:sz w:val="20"/>
                <w:szCs w:val="20"/>
                <w:lang w:val="en-US" w:eastAsia="zh-CN"/>
              </w:rPr>
              <w:t>97</w:t>
            </w:r>
          </w:p>
        </w:tc>
        <w:tc>
          <w:tcPr>
            <w:tcW w:w="463"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0</w:t>
            </w:r>
          </w:p>
        </w:tc>
        <w:tc>
          <w:tcPr>
            <w:tcW w:w="422"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5</w:t>
            </w:r>
          </w:p>
        </w:tc>
        <w:tc>
          <w:tcPr>
            <w:tcW w:w="851" w:type="pct"/>
            <w:vMerge w:val="continue"/>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p>
        </w:tc>
        <w:tc>
          <w:tcPr>
            <w:tcW w:w="1084"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c>
          <w:tcPr>
            <w:tcW w:w="587"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415"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5</w:t>
            </w:r>
          </w:p>
        </w:tc>
        <w:tc>
          <w:tcPr>
            <w:tcW w:w="737"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带式输送机</w:t>
            </w:r>
          </w:p>
        </w:tc>
        <w:tc>
          <w:tcPr>
            <w:tcW w:w="902" w:type="pct"/>
            <w:gridSpan w:val="2"/>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ascii="Times New Roman" w:hAnsi="Times New Roman" w:cs="Times New Roman"/>
                <w:b w:val="0"/>
                <w:bCs/>
                <w:color w:val="auto"/>
                <w:sz w:val="20"/>
                <w:szCs w:val="20"/>
                <w:lang w:val="en-US" w:eastAsia="zh-CN"/>
              </w:rPr>
              <w:t>由</w:t>
            </w:r>
            <w:r>
              <w:rPr>
                <w:rFonts w:hint="eastAsia" w:cs="Times New Roman"/>
                <w:b w:val="0"/>
                <w:bCs/>
                <w:color w:val="auto"/>
                <w:sz w:val="20"/>
                <w:szCs w:val="20"/>
                <w:lang w:val="en-US" w:eastAsia="zh-CN"/>
              </w:rPr>
              <w:t>2#转运楼</w:t>
            </w:r>
            <w:r>
              <w:rPr>
                <w:rFonts w:hint="eastAsia" w:ascii="Times New Roman" w:hAnsi="Times New Roman" w:cs="Times New Roman"/>
                <w:b w:val="0"/>
                <w:bCs/>
                <w:color w:val="auto"/>
                <w:sz w:val="20"/>
                <w:szCs w:val="20"/>
                <w:lang w:val="en-US" w:eastAsia="zh-CN"/>
              </w:rPr>
              <w:t>至码头</w:t>
            </w:r>
            <w:r>
              <w:rPr>
                <w:rFonts w:hint="eastAsia" w:cs="Times New Roman"/>
                <w:b w:val="0"/>
                <w:bCs/>
                <w:color w:val="auto"/>
                <w:sz w:val="20"/>
                <w:szCs w:val="20"/>
                <w:lang w:val="en-US" w:eastAsia="zh-CN"/>
              </w:rPr>
              <w:t>前沿</w:t>
            </w:r>
            <w:r>
              <w:rPr>
                <w:rFonts w:hint="eastAsia" w:ascii="Times New Roman" w:hAnsi="Times New Roman" w:cs="Times New Roman"/>
                <w:b w:val="0"/>
                <w:bCs/>
                <w:color w:val="auto"/>
                <w:sz w:val="20"/>
                <w:szCs w:val="20"/>
                <w:lang w:val="en-US" w:eastAsia="zh-CN"/>
              </w:rPr>
              <w:t>布置</w:t>
            </w:r>
          </w:p>
        </w:tc>
        <w:tc>
          <w:tcPr>
            <w:tcW w:w="422"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4</w:t>
            </w:r>
          </w:p>
        </w:tc>
        <w:tc>
          <w:tcPr>
            <w:tcW w:w="851" w:type="pct"/>
            <w:tcBorders>
              <w:tl2br w:val="nil"/>
              <w:tr2bl w:val="nil"/>
            </w:tcBorders>
            <w:noWrap w:val="0"/>
            <w:vAlign w:val="center"/>
          </w:tcPr>
          <w:p>
            <w:pPr>
              <w:widowControl w:val="0"/>
              <w:spacing w:line="240" w:lineRule="auto"/>
              <w:jc w:val="center"/>
              <w:rPr>
                <w:rFonts w:hint="default" w:ascii="Times New Roman" w:hAnsi="Times New Roman" w:cs="Times New Roman"/>
                <w:b w:val="0"/>
                <w:bCs/>
                <w:color w:val="auto"/>
                <w:sz w:val="20"/>
                <w:szCs w:val="20"/>
                <w:lang w:val="en-US" w:eastAsia="zh-CN"/>
              </w:rPr>
            </w:pPr>
            <w:r>
              <w:rPr>
                <w:rFonts w:hint="eastAsia" w:cs="Times New Roman"/>
                <w:b w:val="0"/>
                <w:bCs/>
                <w:color w:val="auto"/>
                <w:sz w:val="20"/>
                <w:szCs w:val="20"/>
                <w:lang w:val="en-US" w:eastAsia="zh-CN"/>
              </w:rPr>
              <w:t>75</w:t>
            </w:r>
          </w:p>
        </w:tc>
        <w:tc>
          <w:tcPr>
            <w:tcW w:w="1084"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c>
          <w:tcPr>
            <w:tcW w:w="587" w:type="pct"/>
            <w:vMerge w:val="continue"/>
            <w:tcBorders>
              <w:tl2br w:val="nil"/>
              <w:tr2bl w:val="nil"/>
            </w:tcBorders>
            <w:noWrap w:val="0"/>
            <w:vAlign w:val="center"/>
          </w:tcPr>
          <w:p>
            <w:pPr>
              <w:jc w:val="center"/>
              <w:rPr>
                <w:rFonts w:hint="eastAsia" w:ascii="Times New Roman" w:hAnsi="Times New Roman" w:cs="Times New Roman"/>
                <w:color w:val="auto"/>
                <w:lang w:val="en-US" w:eastAsia="zh-CN"/>
              </w:rPr>
            </w:pPr>
          </w:p>
        </w:tc>
      </w:tr>
    </w:tbl>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bookmarkStart w:id="324" w:name="_Toc20066"/>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4固体废物</w:t>
      </w:r>
      <w:bookmarkEnd w:id="324"/>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码头不设机修车间，只进行车辆设备简单修理及维护。</w:t>
      </w:r>
      <w:r>
        <w:rPr>
          <w:rFonts w:hint="eastAsia" w:eastAsia="仿宋_GB2312"/>
          <w:color w:val="auto"/>
          <w:sz w:val="24"/>
          <w:szCs w:val="24"/>
          <w:lang w:eastAsia="zh-CN"/>
        </w:rPr>
        <w:t>运营期</w:t>
      </w:r>
      <w:r>
        <w:rPr>
          <w:rFonts w:hint="eastAsia" w:eastAsia="仿宋_GB2312"/>
          <w:color w:val="auto"/>
          <w:sz w:val="24"/>
          <w:szCs w:val="24"/>
        </w:rPr>
        <w:t>固体废物主要为码头工作人员生活垃圾</w:t>
      </w:r>
      <w:r>
        <w:rPr>
          <w:rFonts w:hint="eastAsia" w:eastAsia="仿宋_GB2312"/>
          <w:color w:val="auto"/>
          <w:sz w:val="24"/>
          <w:szCs w:val="24"/>
          <w:lang w:eastAsia="zh-CN"/>
        </w:rPr>
        <w:t>、</w:t>
      </w:r>
      <w:r>
        <w:rPr>
          <w:rFonts w:hint="eastAsia" w:eastAsia="仿宋_GB2312"/>
          <w:color w:val="auto"/>
          <w:sz w:val="24"/>
          <w:szCs w:val="24"/>
          <w:lang w:val="en-US" w:eastAsia="zh-CN"/>
        </w:rPr>
        <w:t>除尘器收尘灰、</w:t>
      </w:r>
      <w:r>
        <w:rPr>
          <w:rFonts w:hint="eastAsia" w:eastAsia="仿宋_GB2312"/>
          <w:color w:val="auto"/>
          <w:sz w:val="24"/>
          <w:szCs w:val="24"/>
        </w:rPr>
        <w:t>到港船舶生活</w:t>
      </w:r>
      <w:r>
        <w:rPr>
          <w:rFonts w:hint="eastAsia" w:eastAsia="仿宋_GB2312"/>
          <w:color w:val="auto"/>
          <w:sz w:val="24"/>
          <w:szCs w:val="24"/>
          <w:lang w:val="en-US" w:eastAsia="zh-CN"/>
        </w:rPr>
        <w:t>垃圾</w:t>
      </w:r>
      <w:r>
        <w:rPr>
          <w:rFonts w:hint="eastAsia" w:eastAsia="仿宋_GB2312"/>
          <w:color w:val="auto"/>
          <w:sz w:val="24"/>
          <w:szCs w:val="24"/>
          <w:lang w:eastAsia="zh-CN"/>
        </w:rPr>
        <w:t>、</w:t>
      </w:r>
      <w:r>
        <w:rPr>
          <w:rFonts w:hint="eastAsia" w:eastAsia="仿宋_GB2312"/>
          <w:color w:val="auto"/>
          <w:sz w:val="24"/>
          <w:szCs w:val="24"/>
          <w:lang w:val="en-US" w:eastAsia="zh-CN"/>
        </w:rPr>
        <w:t>港区机械维修废机油</w:t>
      </w:r>
      <w:r>
        <w:rPr>
          <w:rFonts w:hint="eastAsia" w:eastAsia="仿宋_GB2312"/>
          <w:color w:val="auto"/>
          <w:sz w:val="24"/>
          <w:szCs w:val="24"/>
          <w:lang w:eastAsia="zh-CN"/>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1</w:t>
      </w:r>
      <w:r>
        <w:rPr>
          <w:rFonts w:hint="eastAsia" w:eastAsia="仿宋_GB2312"/>
          <w:color w:val="auto"/>
          <w:sz w:val="24"/>
          <w:szCs w:val="24"/>
          <w:lang w:eastAsia="zh-CN"/>
        </w:rPr>
        <w:t>）</w:t>
      </w:r>
      <w:r>
        <w:rPr>
          <w:rFonts w:hint="eastAsia" w:eastAsia="仿宋_GB2312"/>
          <w:color w:val="auto"/>
          <w:sz w:val="24"/>
          <w:szCs w:val="24"/>
          <w:lang w:val="en-US" w:eastAsia="zh-CN"/>
        </w:rPr>
        <w:t>码头工作人员生活垃圾</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该项目码头总定员为30人，采取三班制作业。生活垃圾发生量按1.5kg/天·人计算，则生活垃圾产生量为1</w:t>
      </w:r>
      <w:r>
        <w:rPr>
          <w:rFonts w:hint="eastAsia" w:eastAsia="仿宋_GB2312"/>
          <w:color w:val="auto"/>
          <w:sz w:val="24"/>
          <w:szCs w:val="24"/>
          <w:lang w:val="en-US" w:eastAsia="zh-CN"/>
        </w:rPr>
        <w:t>4.85</w:t>
      </w:r>
      <w:r>
        <w:rPr>
          <w:rFonts w:hint="eastAsia" w:eastAsia="仿宋_GB2312"/>
          <w:color w:val="auto"/>
          <w:sz w:val="24"/>
          <w:szCs w:val="24"/>
        </w:rPr>
        <w:t>t/a。在</w:t>
      </w:r>
      <w:r>
        <w:rPr>
          <w:rFonts w:hint="eastAsia" w:eastAsia="仿宋_GB2312"/>
          <w:color w:val="auto"/>
          <w:sz w:val="24"/>
          <w:szCs w:val="24"/>
          <w:lang w:val="en-US" w:eastAsia="zh-CN"/>
        </w:rPr>
        <w:t>趸船上</w:t>
      </w:r>
      <w:r>
        <w:rPr>
          <w:rFonts w:hint="eastAsia" w:eastAsia="仿宋_GB2312"/>
          <w:color w:val="auto"/>
          <w:sz w:val="24"/>
          <w:szCs w:val="24"/>
        </w:rPr>
        <w:t>设置生活垃圾收集桶，统一收集后由当地环卫部门定期</w:t>
      </w:r>
      <w:r>
        <w:rPr>
          <w:rFonts w:hint="eastAsia" w:eastAsia="仿宋_GB2312"/>
          <w:color w:val="auto"/>
          <w:sz w:val="24"/>
          <w:szCs w:val="24"/>
          <w:lang w:val="en-US" w:eastAsia="zh-CN"/>
        </w:rPr>
        <w:t>清运</w:t>
      </w:r>
      <w:r>
        <w:rPr>
          <w:rFonts w:hint="eastAsia" w:eastAsia="仿宋_GB2312"/>
          <w:color w:val="auto"/>
          <w:sz w:val="24"/>
          <w:szCs w:val="24"/>
          <w:lang w:eastAsia="zh-CN"/>
        </w:rPr>
        <w:t>。</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除尘器收尘灰</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根据估算除尘器收尘产生量约为</w:t>
      </w:r>
      <w:r>
        <w:rPr>
          <w:rFonts w:hint="eastAsia" w:eastAsia="仿宋_GB2312"/>
          <w:color w:val="auto"/>
          <w:sz w:val="24"/>
          <w:szCs w:val="24"/>
          <w:lang w:val="en-US" w:eastAsia="zh-CN"/>
        </w:rPr>
        <w:t>398</w:t>
      </w:r>
      <w:r>
        <w:rPr>
          <w:rFonts w:hint="eastAsia" w:eastAsia="仿宋_GB2312"/>
          <w:color w:val="auto"/>
          <w:sz w:val="24"/>
          <w:szCs w:val="24"/>
          <w:lang w:eastAsia="zh-CN"/>
        </w:rPr>
        <w:t>t/a，</w:t>
      </w:r>
      <w:r>
        <w:rPr>
          <w:rFonts w:hint="eastAsia" w:eastAsia="仿宋_GB2312"/>
          <w:color w:val="auto"/>
          <w:sz w:val="24"/>
          <w:szCs w:val="24"/>
          <w:lang w:val="en-US" w:eastAsia="zh-CN"/>
        </w:rPr>
        <w:t>布袋</w:t>
      </w:r>
      <w:r>
        <w:rPr>
          <w:rFonts w:hint="eastAsia" w:eastAsia="仿宋_GB2312"/>
          <w:color w:val="auto"/>
          <w:sz w:val="24"/>
          <w:szCs w:val="24"/>
          <w:lang w:eastAsia="zh-CN"/>
        </w:rPr>
        <w:t>中收集主要为</w:t>
      </w:r>
      <w:r>
        <w:rPr>
          <w:rFonts w:hint="eastAsia" w:eastAsia="仿宋_GB2312"/>
          <w:color w:val="auto"/>
          <w:sz w:val="24"/>
          <w:szCs w:val="24"/>
          <w:lang w:val="en-US" w:eastAsia="zh-CN"/>
        </w:rPr>
        <w:t>砂石料</w:t>
      </w:r>
      <w:r>
        <w:rPr>
          <w:rFonts w:hint="eastAsia" w:eastAsia="仿宋_GB2312"/>
          <w:color w:val="auto"/>
          <w:sz w:val="24"/>
          <w:szCs w:val="24"/>
          <w:lang w:eastAsia="zh-CN"/>
        </w:rPr>
        <w:t>，</w:t>
      </w:r>
      <w:r>
        <w:rPr>
          <w:rFonts w:hint="eastAsia" w:eastAsia="仿宋_GB2312"/>
          <w:color w:val="auto"/>
          <w:sz w:val="24"/>
          <w:szCs w:val="24"/>
          <w:lang w:val="en-US" w:eastAsia="zh-CN"/>
        </w:rPr>
        <w:t>定期清理后装船外售</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）到港船舶</w:t>
      </w:r>
      <w:r>
        <w:rPr>
          <w:rFonts w:hint="eastAsia" w:eastAsia="仿宋_GB2312"/>
          <w:color w:val="auto"/>
          <w:sz w:val="24"/>
          <w:szCs w:val="24"/>
          <w:lang w:val="en-US" w:eastAsia="zh-CN"/>
        </w:rPr>
        <w:t>生活垃圾</w:t>
      </w:r>
    </w:p>
    <w:p>
      <w:pPr>
        <w:widowControl w:val="0"/>
        <w:spacing w:line="360" w:lineRule="auto"/>
        <w:ind w:firstLine="480" w:firstLineChars="200"/>
        <w:rPr>
          <w:rFonts w:hint="default" w:eastAsia="仿宋_GB2312"/>
          <w:color w:val="auto"/>
          <w:sz w:val="24"/>
          <w:szCs w:val="24"/>
          <w:lang w:val="en-US"/>
        </w:rPr>
      </w:pPr>
      <w:r>
        <w:rPr>
          <w:rFonts w:hint="eastAsia" w:eastAsia="仿宋_GB2312"/>
          <w:color w:val="auto"/>
          <w:sz w:val="24"/>
          <w:szCs w:val="24"/>
          <w:lang w:eastAsia="zh-CN"/>
        </w:rPr>
        <w:t>船舶生活垃圾：到港船舶生活垃圾按1.5kg/人·d计，到港船舶上船员平均以20人/艘估算，全年港区靠泊船舶的数量约为</w:t>
      </w:r>
      <w:r>
        <w:rPr>
          <w:rFonts w:hint="eastAsia" w:eastAsia="仿宋_GB2312"/>
          <w:color w:val="auto"/>
          <w:sz w:val="24"/>
          <w:szCs w:val="24"/>
          <w:lang w:val="en-US" w:eastAsia="zh-CN"/>
        </w:rPr>
        <w:t>1834</w:t>
      </w:r>
      <w:r>
        <w:rPr>
          <w:rFonts w:hint="eastAsia" w:eastAsia="仿宋_GB2312"/>
          <w:color w:val="auto"/>
          <w:sz w:val="24"/>
          <w:szCs w:val="24"/>
        </w:rPr>
        <w:t>艘</w:t>
      </w:r>
      <w:r>
        <w:rPr>
          <w:rFonts w:hint="eastAsia" w:eastAsia="仿宋_GB2312"/>
          <w:color w:val="auto"/>
          <w:sz w:val="24"/>
          <w:szCs w:val="24"/>
          <w:lang w:eastAsia="zh-CN"/>
        </w:rPr>
        <w:t>/a，则船舶生活垃圾产生量约</w:t>
      </w:r>
      <w:r>
        <w:rPr>
          <w:rFonts w:hint="eastAsia" w:eastAsia="仿宋_GB2312"/>
          <w:color w:val="auto"/>
          <w:sz w:val="24"/>
          <w:szCs w:val="24"/>
          <w:lang w:val="en-US" w:eastAsia="zh-CN"/>
        </w:rPr>
        <w:t>55.02</w:t>
      </w:r>
      <w:r>
        <w:rPr>
          <w:rFonts w:hint="eastAsia" w:eastAsia="仿宋_GB2312"/>
          <w:color w:val="auto"/>
          <w:sz w:val="24"/>
          <w:szCs w:val="24"/>
          <w:lang w:eastAsia="zh-CN"/>
        </w:rPr>
        <w:t>t/</w:t>
      </w:r>
      <w:r>
        <w:rPr>
          <w:rFonts w:hint="eastAsia" w:eastAsia="仿宋_GB2312"/>
          <w:color w:val="auto"/>
          <w:sz w:val="24"/>
          <w:szCs w:val="24"/>
          <w:lang w:val="en-US" w:eastAsia="zh-CN"/>
        </w:rPr>
        <w:t>a</w:t>
      </w:r>
      <w:r>
        <w:rPr>
          <w:rFonts w:hint="eastAsia" w:eastAsia="仿宋_GB2312"/>
          <w:color w:val="auto"/>
          <w:sz w:val="24"/>
          <w:szCs w:val="24"/>
          <w:lang w:eastAsia="zh-CN"/>
        </w:rPr>
        <w:t>由船上自带的垃圾收集设施统一收集，交海事部门接收。</w:t>
      </w:r>
    </w:p>
    <w:p>
      <w:pPr>
        <w:widowControl w:val="0"/>
        <w:spacing w:line="360" w:lineRule="auto"/>
        <w:ind w:firstLine="480" w:firstLineChars="200"/>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港区机械维修废机油</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eastAsia="zh-CN"/>
        </w:rPr>
        <w:t>车辆及设备简单修理会产生少量废矿物油，约0.5t/a，该类废物属于危险废物，项目设置危废暂存间，集中收集后交由有资质的危废处置单位进行处理。</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lang w:val="en-US" w:eastAsia="zh-CN"/>
        </w:rPr>
        <w:t>对照</w:t>
      </w:r>
      <w:r>
        <w:rPr>
          <w:rFonts w:hint="eastAsia" w:eastAsia="仿宋_GB2312"/>
          <w:color w:val="auto"/>
          <w:sz w:val="24"/>
          <w:szCs w:val="24"/>
          <w:lang w:eastAsia="zh-CN"/>
        </w:rPr>
        <w:t>《国家危险废物名录》（2021年版），</w:t>
      </w:r>
      <w:r>
        <w:rPr>
          <w:rFonts w:hint="eastAsia" w:eastAsia="仿宋_GB2312"/>
          <w:color w:val="auto"/>
          <w:sz w:val="24"/>
          <w:szCs w:val="24"/>
          <w:lang w:val="en-US" w:eastAsia="zh-CN"/>
        </w:rPr>
        <w:t>废机油为危险废物，属于HW08，危废代码为900-214-08，交由有资质的单位统一处置</w:t>
      </w:r>
      <w:r>
        <w:rPr>
          <w:rFonts w:hint="eastAsia" w:eastAsia="仿宋_GB2312"/>
          <w:color w:val="auto"/>
          <w:sz w:val="24"/>
          <w:szCs w:val="24"/>
          <w:lang w:eastAsia="zh-CN"/>
        </w:rPr>
        <w:t>。</w:t>
      </w:r>
    </w:p>
    <w:p>
      <w:pPr>
        <w:widowControl w:val="0"/>
        <w:spacing w:line="360" w:lineRule="auto"/>
        <w:jc w:val="center"/>
        <w:rPr>
          <w:rFonts w:hint="default" w:ascii="Times New Roman" w:hAnsi="Times New Roman" w:eastAsia="黑体" w:cs="Times New Roman"/>
          <w:b/>
          <w:color w:val="auto"/>
          <w:lang w:val="en-US" w:eastAsia="zh-CN"/>
        </w:rPr>
      </w:pPr>
      <w:r>
        <w:rPr>
          <w:rFonts w:hint="eastAsia" w:ascii="Times New Roman" w:hAnsi="Times New Roman" w:eastAsia="黑体" w:cs="Times New Roman"/>
          <w:b/>
          <w:color w:val="auto"/>
        </w:rPr>
        <w:t>表3.</w:t>
      </w:r>
      <w:r>
        <w:rPr>
          <w:rFonts w:hint="eastAsia" w:eastAsia="黑体" w:cs="Times New Roman"/>
          <w:b/>
          <w:color w:val="auto"/>
          <w:lang w:val="en-US" w:eastAsia="zh-CN"/>
        </w:rPr>
        <w:t>2-6</w:t>
      </w:r>
      <w:r>
        <w:rPr>
          <w:rFonts w:hint="eastAsia" w:ascii="Times New Roman" w:hAnsi="Times New Roman" w:eastAsia="黑体" w:cs="Times New Roman"/>
          <w:b/>
          <w:color w:val="auto"/>
        </w:rPr>
        <w:t xml:space="preserve">  </w:t>
      </w:r>
      <w:r>
        <w:rPr>
          <w:rFonts w:hint="eastAsia" w:eastAsia="黑体" w:cs="Times New Roman"/>
          <w:b/>
          <w:color w:val="auto"/>
          <w:lang w:val="en-US" w:eastAsia="zh-CN"/>
        </w:rPr>
        <w:t>项目固体废物产生及处置情况一览表</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16"/>
        <w:gridCol w:w="1487"/>
        <w:gridCol w:w="634"/>
        <w:gridCol w:w="1185"/>
        <w:gridCol w:w="1125"/>
        <w:gridCol w:w="900"/>
        <w:gridCol w:w="27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序号</w:t>
            </w:r>
          </w:p>
        </w:tc>
        <w:tc>
          <w:tcPr>
            <w:tcW w:w="873"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固废名称</w:t>
            </w:r>
          </w:p>
        </w:tc>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固废类别</w:t>
            </w:r>
          </w:p>
        </w:tc>
        <w:tc>
          <w:tcPr>
            <w:tcW w:w="695"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产生工序</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废物代码</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产生量（t/a）</w:t>
            </w:r>
          </w:p>
        </w:tc>
        <w:tc>
          <w:tcPr>
            <w:tcW w:w="162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处置方式及去向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1</w:t>
            </w:r>
          </w:p>
        </w:tc>
        <w:tc>
          <w:tcPr>
            <w:tcW w:w="873"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码头工作人员生活垃圾</w:t>
            </w:r>
          </w:p>
        </w:tc>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w:t>
            </w:r>
          </w:p>
        </w:tc>
        <w:tc>
          <w:tcPr>
            <w:tcW w:w="695"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码头面人员生活</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14.85</w:t>
            </w:r>
          </w:p>
        </w:tc>
        <w:tc>
          <w:tcPr>
            <w:tcW w:w="162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集中收集后交由环卫部门处理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b w:val="0"/>
                <w:bCs/>
                <w:color w:val="auto"/>
                <w:sz w:val="20"/>
                <w:szCs w:val="20"/>
                <w:lang w:val="en-US" w:eastAsia="zh-CN"/>
              </w:rPr>
            </w:pPr>
            <w:r>
              <w:rPr>
                <w:rFonts w:hint="eastAsia"/>
                <w:b w:val="0"/>
                <w:bCs/>
                <w:color w:val="auto"/>
                <w:sz w:val="20"/>
                <w:szCs w:val="20"/>
                <w:lang w:val="en-US" w:eastAsia="zh-CN"/>
              </w:rPr>
              <w:t>2</w:t>
            </w:r>
          </w:p>
        </w:tc>
        <w:tc>
          <w:tcPr>
            <w:tcW w:w="873"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b w:val="0"/>
                <w:bCs/>
                <w:color w:val="auto"/>
                <w:sz w:val="20"/>
                <w:szCs w:val="20"/>
                <w:lang w:val="en-US" w:eastAsia="zh-CN"/>
              </w:rPr>
            </w:pPr>
            <w:r>
              <w:rPr>
                <w:rFonts w:hint="eastAsia"/>
                <w:b w:val="0"/>
                <w:bCs/>
                <w:color w:val="auto"/>
                <w:sz w:val="20"/>
                <w:szCs w:val="20"/>
                <w:lang w:val="en-US" w:eastAsia="zh-CN"/>
              </w:rPr>
              <w:t>除尘器收尘灰</w:t>
            </w:r>
          </w:p>
        </w:tc>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w:t>
            </w:r>
          </w:p>
        </w:tc>
        <w:tc>
          <w:tcPr>
            <w:tcW w:w="695"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除尘设备</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b w:val="0"/>
                <w:bCs/>
                <w:color w:val="auto"/>
                <w:sz w:val="20"/>
                <w:szCs w:val="20"/>
                <w:lang w:val="en-US" w:eastAsia="zh-CN"/>
              </w:rPr>
            </w:pPr>
            <w:r>
              <w:rPr>
                <w:rFonts w:hint="eastAsia"/>
                <w:b w:val="0"/>
                <w:bCs/>
                <w:color w:val="auto"/>
                <w:sz w:val="20"/>
                <w:szCs w:val="20"/>
                <w:lang w:val="en-US" w:eastAsia="zh-CN"/>
              </w:rPr>
              <w:t>398</w:t>
            </w:r>
          </w:p>
        </w:tc>
        <w:tc>
          <w:tcPr>
            <w:tcW w:w="162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b w:val="0"/>
                <w:bCs/>
                <w:color w:val="auto"/>
                <w:sz w:val="20"/>
                <w:szCs w:val="20"/>
                <w:lang w:val="en-US" w:eastAsia="zh-CN"/>
              </w:rPr>
            </w:pPr>
            <w:r>
              <w:rPr>
                <w:rFonts w:hint="eastAsia"/>
                <w:b w:val="0"/>
                <w:bCs/>
                <w:color w:val="auto"/>
                <w:sz w:val="20"/>
                <w:szCs w:val="20"/>
                <w:lang w:val="en-US" w:eastAsia="zh-CN"/>
              </w:rPr>
              <w:t>定期清理后装船外售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3</w:t>
            </w:r>
          </w:p>
        </w:tc>
        <w:tc>
          <w:tcPr>
            <w:tcW w:w="873"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b w:val="0"/>
                <w:bCs/>
                <w:color w:val="auto"/>
                <w:sz w:val="20"/>
                <w:szCs w:val="20"/>
                <w:lang w:val="en-US" w:eastAsia="zh-CN"/>
              </w:rPr>
              <w:t>到港船舶生活垃圾</w:t>
            </w:r>
          </w:p>
        </w:tc>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一般固废</w:t>
            </w:r>
          </w:p>
        </w:tc>
        <w:tc>
          <w:tcPr>
            <w:tcW w:w="695"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eastAsia"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到港船舶</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b w:val="0"/>
                <w:bCs/>
                <w:color w:val="auto"/>
                <w:sz w:val="20"/>
                <w:szCs w:val="20"/>
                <w:lang w:val="en-US" w:eastAsia="zh-CN"/>
              </w:rPr>
              <w:t>55.02</w:t>
            </w:r>
          </w:p>
        </w:tc>
        <w:tc>
          <w:tcPr>
            <w:tcW w:w="162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default" w:eastAsia="宋体"/>
                <w:b w:val="0"/>
                <w:bCs/>
                <w:color w:val="auto"/>
                <w:sz w:val="20"/>
                <w:szCs w:val="20"/>
                <w:lang w:val="en-US" w:eastAsia="zh-CN"/>
              </w:rPr>
              <w:t>集中收集后交由</w:t>
            </w:r>
            <w:r>
              <w:rPr>
                <w:rFonts w:hint="eastAsia"/>
                <w:bCs/>
                <w:color w:val="auto"/>
                <w:kern w:val="0"/>
                <w:sz w:val="20"/>
              </w:rPr>
              <w:t>海事部门指定的工作船</w:t>
            </w:r>
            <w:r>
              <w:rPr>
                <w:rFonts w:hint="default" w:eastAsia="宋体"/>
                <w:b w:val="0"/>
                <w:bCs/>
                <w:color w:val="auto"/>
                <w:sz w:val="20"/>
                <w:szCs w:val="20"/>
                <w:lang w:val="en-US" w:eastAsia="zh-CN"/>
              </w:rPr>
              <w:t>接收转运及处置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4</w:t>
            </w:r>
          </w:p>
        </w:tc>
        <w:tc>
          <w:tcPr>
            <w:tcW w:w="873"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废机油</w:t>
            </w:r>
          </w:p>
        </w:tc>
        <w:tc>
          <w:tcPr>
            <w:tcW w:w="372"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危险废物</w:t>
            </w:r>
          </w:p>
        </w:tc>
        <w:tc>
          <w:tcPr>
            <w:tcW w:w="695"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设备维修及保养</w:t>
            </w:r>
          </w:p>
        </w:tc>
        <w:tc>
          <w:tcPr>
            <w:tcW w:w="660"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eastAsia"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900-214-08</w:t>
            </w:r>
          </w:p>
        </w:tc>
        <w:tc>
          <w:tcPr>
            <w:tcW w:w="528"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0.5</w:t>
            </w:r>
          </w:p>
        </w:tc>
        <w:tc>
          <w:tcPr>
            <w:tcW w:w="1624" w:type="pct"/>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eastAsia="宋体"/>
                <w:b w:val="0"/>
                <w:bCs/>
                <w:color w:val="auto"/>
                <w:sz w:val="20"/>
                <w:szCs w:val="20"/>
                <w:lang w:val="en-US" w:eastAsia="zh-CN"/>
              </w:rPr>
            </w:pPr>
            <w:r>
              <w:rPr>
                <w:rFonts w:hint="eastAsia"/>
                <w:b w:val="0"/>
                <w:bCs/>
                <w:color w:val="auto"/>
                <w:sz w:val="20"/>
                <w:szCs w:val="20"/>
                <w:lang w:val="en-US" w:eastAsia="zh-CN"/>
              </w:rPr>
              <w:t>定期交由有资质的单位处置</w:t>
            </w:r>
          </w:p>
        </w:tc>
      </w:tr>
    </w:tbl>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bookmarkStart w:id="325" w:name="_Toc28096"/>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5生态环境</w:t>
      </w:r>
      <w:bookmarkEnd w:id="325"/>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（1）陆域生态环境</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val="en-US" w:eastAsia="zh-CN"/>
        </w:rPr>
        <w:t>技改项目建设完成后，港区永久占地为转运楼及墩台</w:t>
      </w:r>
      <w:r>
        <w:rPr>
          <w:rFonts w:hint="eastAsia" w:eastAsia="仿宋_GB2312"/>
          <w:color w:val="auto"/>
          <w:sz w:val="24"/>
          <w:szCs w:val="24"/>
        </w:rPr>
        <w:t>。</w:t>
      </w:r>
    </w:p>
    <w:p>
      <w:pPr>
        <w:widowControl w:val="0"/>
        <w:spacing w:line="360" w:lineRule="auto"/>
        <w:ind w:firstLine="480" w:firstLineChars="200"/>
        <w:rPr>
          <w:rFonts w:hint="eastAsia" w:eastAsia="仿宋_GB2312"/>
          <w:color w:val="auto"/>
          <w:sz w:val="24"/>
          <w:szCs w:val="24"/>
          <w:highlight w:val="none"/>
        </w:rPr>
      </w:pPr>
      <w:r>
        <w:rPr>
          <w:rFonts w:hint="eastAsia" w:eastAsia="仿宋_GB2312"/>
          <w:color w:val="auto"/>
          <w:sz w:val="24"/>
          <w:szCs w:val="24"/>
          <w:lang w:val="en-US" w:eastAsia="zh-CN"/>
        </w:rPr>
        <w:t>陆域永久占地使得该区域内植被覆盖面积减少、植被生物量受损，陆生动物生境面积部分丧失，导致物种迁徙，对区域生态系统产生一定的影响</w:t>
      </w:r>
      <w:r>
        <w:rPr>
          <w:rFonts w:hint="eastAsia" w:eastAsia="仿宋_GB2312"/>
          <w:color w:val="auto"/>
          <w:sz w:val="24"/>
          <w:szCs w:val="24"/>
          <w:highlight w:val="none"/>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highlight w:val="none"/>
        </w:rPr>
        <w:t>廊道运营期输送噪声、废气、振动等对动物的生存环境存在不同程度的污染，降低了廊道沿线动物生存环境质量，动物将寻找远离道路的环境作为其活动和栖息场所。</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（2）水生生态环境</w:t>
      </w:r>
    </w:p>
    <w:p>
      <w:pPr>
        <w:widowControl w:val="0"/>
        <w:spacing w:line="360" w:lineRule="auto"/>
        <w:ind w:firstLine="480" w:firstLineChars="200"/>
        <w:rPr>
          <w:rFonts w:hint="eastAsia" w:eastAsia="仿宋_GB2312"/>
          <w:color w:val="auto"/>
          <w:sz w:val="24"/>
          <w:szCs w:val="24"/>
          <w:lang w:val="en-US" w:eastAsia="zh-CN"/>
        </w:rPr>
      </w:pPr>
      <w:r>
        <w:rPr>
          <w:rFonts w:hint="eastAsia" w:eastAsia="仿宋_GB2312"/>
          <w:color w:val="auto"/>
          <w:sz w:val="24"/>
          <w:szCs w:val="24"/>
          <w:lang w:val="en-US" w:eastAsia="zh-CN"/>
        </w:rPr>
        <w:t>工程运营期对水生生态的影响主要为到港船舶进出产生的噪声干扰、螺旋桨误伤，以及运营期船运增加可能发生碰撞和港口作业导致可能发生的事故溢油风险。事故溢油风险一但发生，将会对江体水质及水生生物产生一定影响。</w:t>
      </w:r>
    </w:p>
    <w:p>
      <w:pPr>
        <w:widowControl w:val="0"/>
        <w:spacing w:line="360" w:lineRule="auto"/>
        <w:ind w:firstLine="480" w:firstLineChars="200"/>
        <w:rPr>
          <w:rFonts w:hint="eastAsia" w:eastAsia="仿宋_GB2312"/>
          <w:color w:val="auto"/>
          <w:sz w:val="24"/>
          <w:szCs w:val="24"/>
          <w:lang w:val="en-US" w:eastAsia="zh-CN"/>
        </w:rPr>
      </w:pPr>
      <w:r>
        <w:rPr>
          <w:rFonts w:hint="eastAsia" w:eastAsia="仿宋_GB2312"/>
          <w:color w:val="auto"/>
          <w:sz w:val="24"/>
          <w:szCs w:val="24"/>
          <w:lang w:val="en-US" w:eastAsia="zh-CN"/>
        </w:rPr>
        <w:t>运营期产生的废水包括码头人员生活污水、码头面冲洗废水及码头面初期雨水、到港船舶生活污水及舱底油污水等，如处理处置不当，将会对长江水生生态环境产生不利影响。</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lang w:eastAsia="zh-CN"/>
        </w:rPr>
        <w:t>运营期</w:t>
      </w:r>
      <w:r>
        <w:rPr>
          <w:rFonts w:hint="eastAsia" w:eastAsia="仿宋_GB2312"/>
          <w:color w:val="auto"/>
          <w:sz w:val="24"/>
          <w:szCs w:val="24"/>
        </w:rPr>
        <w:t>间的噪声和船舶活动将会对水生动物繁殖群体的栖息和洄游产生一定的不利影响；但总体而言，由于码头影响水域面积有限，影响程度较小。</w:t>
      </w:r>
    </w:p>
    <w:p>
      <w:pPr>
        <w:pStyle w:val="5"/>
        <w:widowControl w:val="0"/>
        <w:adjustRightInd/>
        <w:spacing w:before="156" w:beforeLines="50" w:after="156" w:afterLines="50" w:line="360" w:lineRule="auto"/>
        <w:ind w:firstLine="0"/>
        <w:textAlignment w:val="auto"/>
        <w:outlineLvl w:val="3"/>
        <w:rPr>
          <w:rFonts w:hint="eastAsia" w:ascii="Times New Roman" w:hAnsi="Times New Roman" w:eastAsia="黑体" w:cs="Times New Roman"/>
          <w:color w:val="auto"/>
          <w:szCs w:val="24"/>
          <w:lang w:val="en-US" w:eastAsia="zh-CN"/>
        </w:rPr>
      </w:pPr>
      <w:bookmarkStart w:id="326" w:name="_Toc408140912"/>
      <w:bookmarkStart w:id="327" w:name="_Toc29299"/>
      <w:bookmarkStart w:id="328" w:name="_Toc408140906"/>
      <w:r>
        <w:rPr>
          <w:rFonts w:hint="eastAsia" w:ascii="Times New Roman" w:hAnsi="Times New Roman" w:eastAsia="黑体" w:cs="Times New Roman"/>
          <w:color w:val="auto"/>
          <w:szCs w:val="24"/>
          <w:lang w:val="en-US" w:eastAsia="zh-CN"/>
        </w:rPr>
        <w:t>3.2.</w:t>
      </w:r>
      <w:r>
        <w:rPr>
          <w:rFonts w:hint="eastAsia" w:eastAsia="黑体" w:cs="Times New Roman"/>
          <w:color w:val="auto"/>
          <w:szCs w:val="24"/>
          <w:lang w:val="en-US" w:eastAsia="zh-CN"/>
        </w:rPr>
        <w:t>2.</w:t>
      </w:r>
      <w:r>
        <w:rPr>
          <w:rFonts w:hint="eastAsia" w:ascii="Times New Roman" w:hAnsi="Times New Roman" w:eastAsia="黑体" w:cs="Times New Roman"/>
          <w:color w:val="auto"/>
          <w:szCs w:val="24"/>
          <w:lang w:val="en-US" w:eastAsia="zh-CN"/>
        </w:rPr>
        <w:t>6污染物排放情况汇总</w:t>
      </w:r>
      <w:bookmarkEnd w:id="326"/>
      <w:bookmarkEnd w:id="327"/>
    </w:p>
    <w:p>
      <w:pPr>
        <w:widowControl w:val="0"/>
        <w:spacing w:line="360" w:lineRule="auto"/>
        <w:ind w:firstLine="480" w:firstLineChars="200"/>
        <w:jc w:val="both"/>
        <w:rPr>
          <w:rFonts w:eastAsia="仿宋_GB2312"/>
          <w:color w:val="auto"/>
          <w:sz w:val="24"/>
        </w:rPr>
      </w:pPr>
      <w:r>
        <w:rPr>
          <w:rFonts w:hint="eastAsia" w:eastAsia="仿宋_GB2312"/>
          <w:color w:val="auto"/>
          <w:sz w:val="24"/>
          <w:lang w:val="en-US" w:eastAsia="zh-CN"/>
        </w:rPr>
        <w:t>技改</w:t>
      </w:r>
      <w:r>
        <w:rPr>
          <w:rFonts w:hint="eastAsia" w:eastAsia="仿宋_GB2312"/>
          <w:color w:val="auto"/>
          <w:sz w:val="24"/>
        </w:rPr>
        <w:t>项目</w:t>
      </w:r>
      <w:r>
        <w:rPr>
          <w:rFonts w:hint="eastAsia" w:eastAsia="仿宋_GB2312"/>
          <w:color w:val="auto"/>
          <w:sz w:val="24"/>
          <w:lang w:val="en-US" w:eastAsia="zh-CN"/>
        </w:rPr>
        <w:t>运营期</w:t>
      </w:r>
      <w:r>
        <w:rPr>
          <w:rFonts w:eastAsia="仿宋_GB2312"/>
          <w:color w:val="auto"/>
          <w:sz w:val="24"/>
        </w:rPr>
        <w:t>污染物排放情况见表3.</w:t>
      </w:r>
      <w:r>
        <w:rPr>
          <w:rFonts w:hint="eastAsia" w:eastAsia="仿宋_GB2312"/>
          <w:color w:val="auto"/>
          <w:sz w:val="24"/>
          <w:lang w:val="en-US" w:eastAsia="zh-CN"/>
        </w:rPr>
        <w:t>2</w:t>
      </w:r>
      <w:r>
        <w:rPr>
          <w:rFonts w:eastAsia="仿宋_GB2312"/>
          <w:color w:val="auto"/>
          <w:sz w:val="24"/>
        </w:rPr>
        <w:t>-</w:t>
      </w:r>
      <w:r>
        <w:rPr>
          <w:rFonts w:hint="eastAsia" w:eastAsia="仿宋_GB2312"/>
          <w:color w:val="auto"/>
          <w:sz w:val="24"/>
          <w:lang w:val="en-US" w:eastAsia="zh-CN"/>
        </w:rPr>
        <w:t>7</w:t>
      </w:r>
      <w:r>
        <w:rPr>
          <w:rFonts w:eastAsia="仿宋_GB2312"/>
          <w:color w:val="auto"/>
          <w:sz w:val="24"/>
        </w:rPr>
        <w:t>。</w:t>
      </w:r>
    </w:p>
    <w:p>
      <w:pPr>
        <w:widowControl w:val="0"/>
        <w:spacing w:line="360" w:lineRule="auto"/>
        <w:jc w:val="center"/>
        <w:rPr>
          <w:rFonts w:eastAsia="黑体"/>
          <w:b/>
          <w:color w:val="auto"/>
          <w:szCs w:val="21"/>
        </w:rPr>
      </w:pPr>
      <w:r>
        <w:rPr>
          <w:rFonts w:eastAsia="黑体"/>
          <w:b/>
          <w:color w:val="auto"/>
          <w:szCs w:val="21"/>
        </w:rPr>
        <w:t>表3.</w:t>
      </w:r>
      <w:r>
        <w:rPr>
          <w:rFonts w:hint="eastAsia" w:eastAsia="黑体"/>
          <w:b/>
          <w:color w:val="auto"/>
          <w:szCs w:val="21"/>
          <w:lang w:val="en-US" w:eastAsia="zh-CN"/>
        </w:rPr>
        <w:t>2-7</w:t>
      </w:r>
      <w:r>
        <w:rPr>
          <w:rFonts w:eastAsia="黑体"/>
          <w:b/>
          <w:color w:val="auto"/>
          <w:szCs w:val="21"/>
        </w:rPr>
        <w:t xml:space="preserve">  </w:t>
      </w:r>
      <w:r>
        <w:rPr>
          <w:rFonts w:hint="eastAsia" w:eastAsia="黑体"/>
          <w:b/>
          <w:color w:val="auto"/>
          <w:szCs w:val="21"/>
        </w:rPr>
        <w:t>技改项目</w:t>
      </w:r>
      <w:r>
        <w:rPr>
          <w:rFonts w:hint="eastAsia" w:eastAsia="黑体"/>
          <w:b/>
          <w:color w:val="auto"/>
          <w:szCs w:val="21"/>
          <w:lang w:val="en-US" w:eastAsia="zh-CN"/>
        </w:rPr>
        <w:t>运营期</w:t>
      </w:r>
      <w:r>
        <w:rPr>
          <w:rFonts w:eastAsia="黑体"/>
          <w:b/>
          <w:color w:val="auto"/>
          <w:szCs w:val="21"/>
        </w:rPr>
        <w:t>污染物排放情况一览表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7"/>
        <w:gridCol w:w="1137"/>
        <w:gridCol w:w="1124"/>
        <w:gridCol w:w="839"/>
        <w:gridCol w:w="1138"/>
        <w:gridCol w:w="1093"/>
        <w:gridCol w:w="24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415" w:type="pct"/>
            <w:tcBorders>
              <w:top w:val="single" w:color="auto" w:sz="12" w:space="0"/>
              <w:bottom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类型</w:t>
            </w:r>
          </w:p>
        </w:tc>
        <w:tc>
          <w:tcPr>
            <w:tcW w:w="1820" w:type="pct"/>
            <w:gridSpan w:val="3"/>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lang w:val="en-US" w:eastAsia="zh-CN"/>
              </w:rPr>
            </w:pPr>
            <w:r>
              <w:rPr>
                <w:rFonts w:hint="eastAsia"/>
                <w:color w:val="auto"/>
                <w:sz w:val="20"/>
                <w:szCs w:val="21"/>
                <w:lang w:val="en-US" w:eastAsia="zh-CN"/>
              </w:rPr>
              <w:t>污染物名称</w:t>
            </w:r>
          </w:p>
        </w:tc>
        <w:tc>
          <w:tcPr>
            <w:tcW w:w="668" w:type="pct"/>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lang w:val="en-US" w:eastAsia="zh-CN"/>
              </w:rPr>
            </w:pPr>
            <w:r>
              <w:rPr>
                <w:rFonts w:hint="eastAsia"/>
                <w:color w:val="auto"/>
                <w:sz w:val="20"/>
                <w:lang w:val="en-US" w:eastAsia="zh-CN"/>
              </w:rPr>
              <w:t>污染物产生量</w:t>
            </w:r>
          </w:p>
        </w:tc>
        <w:tc>
          <w:tcPr>
            <w:tcW w:w="642" w:type="pct"/>
            <w:tcBorders>
              <w:top w:val="single" w:color="auto" w:sz="12" w:space="0"/>
              <w:bottom w:val="single" w:color="auto" w:sz="12" w:space="0"/>
            </w:tcBorders>
            <w:noWrap w:val="0"/>
            <w:vAlign w:val="center"/>
          </w:tcPr>
          <w:p>
            <w:pPr>
              <w:widowControl w:val="0"/>
              <w:adjustRightInd w:val="0"/>
              <w:jc w:val="center"/>
              <w:rPr>
                <w:rFonts w:hint="eastAsia"/>
                <w:color w:val="auto"/>
                <w:sz w:val="20"/>
                <w:lang w:val="en-US" w:eastAsia="zh-CN"/>
              </w:rPr>
            </w:pPr>
            <w:r>
              <w:rPr>
                <w:rFonts w:hint="eastAsia"/>
                <w:color w:val="auto"/>
                <w:sz w:val="20"/>
                <w:lang w:val="en-US" w:eastAsia="zh-CN"/>
              </w:rPr>
              <w:t>污染物排放量</w:t>
            </w:r>
          </w:p>
        </w:tc>
        <w:tc>
          <w:tcPr>
            <w:tcW w:w="1453" w:type="pct"/>
            <w:tcBorders>
              <w:top w:val="single" w:color="auto" w:sz="12" w:space="0"/>
              <w:bottom w:val="single" w:color="auto" w:sz="12" w:space="0"/>
            </w:tcBorders>
            <w:noWrap w:val="0"/>
            <w:vAlign w:val="center"/>
          </w:tcPr>
          <w:p>
            <w:pPr>
              <w:widowControl w:val="0"/>
              <w:adjustRightInd w:val="0"/>
              <w:jc w:val="center"/>
              <w:rPr>
                <w:rFonts w:hint="default" w:eastAsia="宋体"/>
                <w:color w:val="auto"/>
                <w:sz w:val="20"/>
                <w:lang w:val="en-US" w:eastAsia="zh-CN"/>
              </w:rPr>
            </w:pPr>
            <w:r>
              <w:rPr>
                <w:rFonts w:hint="eastAsia"/>
                <w:color w:val="auto"/>
                <w:sz w:val="20"/>
                <w:lang w:val="en-US" w:eastAsia="zh-CN"/>
              </w:rPr>
              <w:t>处置去向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restart"/>
            <w:tcBorders>
              <w:top w:val="single" w:color="auto" w:sz="1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大气环境</w:t>
            </w:r>
          </w:p>
        </w:tc>
        <w:tc>
          <w:tcPr>
            <w:tcW w:w="667" w:type="pct"/>
            <w:vMerge w:val="restar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码头装船粉尘</w:t>
            </w:r>
          </w:p>
        </w:tc>
        <w:tc>
          <w:tcPr>
            <w:tcW w:w="660" w:type="pct"/>
            <w:vMerge w:val="restar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1#泊位</w:t>
            </w:r>
          </w:p>
        </w:tc>
        <w:tc>
          <w:tcPr>
            <w:tcW w:w="492" w:type="pct"/>
            <w:tcBorders>
              <w:top w:val="single" w:color="auto" w:sz="12" w:space="0"/>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0.776</w:t>
            </w:r>
            <w:r>
              <w:rPr>
                <w:rFonts w:hint="eastAsia" w:cs="Times New Roman"/>
                <w:b w:val="0"/>
                <w:bCs/>
                <w:color w:val="auto"/>
                <w:sz w:val="20"/>
                <w:szCs w:val="20"/>
                <w:lang w:val="en-US" w:eastAsia="zh-CN"/>
              </w:rPr>
              <w:t>t/a</w:t>
            </w:r>
          </w:p>
        </w:tc>
        <w:tc>
          <w:tcPr>
            <w:tcW w:w="642"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0.159</w:t>
            </w:r>
            <w:r>
              <w:rPr>
                <w:rFonts w:hint="eastAsia" w:cs="Times New Roman"/>
                <w:b w:val="0"/>
                <w:bCs/>
                <w:color w:val="auto"/>
                <w:sz w:val="20"/>
                <w:szCs w:val="20"/>
                <w:lang w:val="en-US" w:eastAsia="zh-CN"/>
              </w:rPr>
              <w:t>t/a</w:t>
            </w:r>
          </w:p>
        </w:tc>
        <w:tc>
          <w:tcPr>
            <w:tcW w:w="1453" w:type="pct"/>
            <w:vMerge w:val="restart"/>
            <w:tcBorders>
              <w:top w:val="single" w:color="auto" w:sz="12" w:space="0"/>
            </w:tcBorders>
            <w:noWrap w:val="0"/>
            <w:vAlign w:val="center"/>
          </w:tcPr>
          <w:p>
            <w:pPr>
              <w:widowControl w:val="0"/>
              <w:jc w:val="center"/>
              <w:rPr>
                <w:rFonts w:hint="default"/>
                <w:color w:val="auto"/>
                <w:sz w:val="20"/>
                <w:lang w:val="en-US"/>
              </w:rPr>
            </w:pPr>
            <w:r>
              <w:rPr>
                <w:rFonts w:hint="eastAsia" w:cs="Times New Roman"/>
                <w:b w:val="0"/>
                <w:bCs/>
                <w:color w:val="auto"/>
                <w:sz w:val="20"/>
                <w:szCs w:val="20"/>
                <w:lang w:val="en-US" w:eastAsia="zh-CN"/>
              </w:rPr>
              <w:t>脉冲布袋除尘器处理后无组织排放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eastAsia="宋体"/>
                <w:color w:val="auto"/>
                <w:sz w:val="20"/>
                <w:lang w:val="en-US" w:eastAsia="zh-CN"/>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0.365</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0.075</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eastAsia="宋体"/>
                <w:color w:val="auto"/>
                <w:sz w:val="20"/>
                <w:lang w:val="en-US" w:eastAsia="zh-CN"/>
              </w:rPr>
            </w:pPr>
          </w:p>
        </w:tc>
        <w:tc>
          <w:tcPr>
            <w:tcW w:w="49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0.05</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0.011</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restart"/>
            <w:noWrap w:val="0"/>
            <w:vAlign w:val="center"/>
          </w:tcPr>
          <w:p>
            <w:pPr>
              <w:widowControl w:val="0"/>
              <w:jc w:val="center"/>
              <w:rPr>
                <w:rFonts w:hint="eastAsia"/>
                <w:color w:val="auto"/>
                <w:sz w:val="20"/>
                <w:lang w:val="en-US" w:eastAsia="zh-CN"/>
              </w:rPr>
            </w:pPr>
            <w:r>
              <w:rPr>
                <w:rFonts w:hint="eastAsia"/>
                <w:color w:val="auto"/>
                <w:sz w:val="20"/>
                <w:lang w:val="en-US" w:eastAsia="zh-CN"/>
              </w:rPr>
              <w:t>2#泊位</w:t>
            </w: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0.776</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0.159</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eastAsia"/>
                <w:color w:val="auto"/>
                <w:sz w:val="20"/>
                <w:lang w:val="en-US" w:eastAsia="zh-CN"/>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0.365</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0.075</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eastAsia"/>
                <w:color w:val="auto"/>
                <w:sz w:val="20"/>
                <w:lang w:val="en-US" w:eastAsia="zh-CN"/>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0.05</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0.011</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转运平台粉尘</w:t>
            </w:r>
          </w:p>
        </w:tc>
        <w:tc>
          <w:tcPr>
            <w:tcW w:w="660" w:type="pct"/>
            <w:vMerge w:val="restar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1#转运楼</w:t>
            </w: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noWrap w:val="0"/>
            <w:vAlign w:val="center"/>
          </w:tcPr>
          <w:p>
            <w:pPr>
              <w:widowControl w:val="0"/>
              <w:jc w:val="center"/>
              <w:rPr>
                <w:color w:val="auto"/>
                <w:sz w:val="20"/>
                <w:szCs w:val="21"/>
              </w:rPr>
            </w:pPr>
            <w:r>
              <w:rPr>
                <w:rFonts w:hint="eastAsia" w:cs="Times New Roman"/>
                <w:b w:val="0"/>
                <w:bCs/>
                <w:color w:val="auto"/>
                <w:sz w:val="20"/>
                <w:szCs w:val="20"/>
                <w:lang w:val="en-US" w:eastAsia="zh-CN"/>
              </w:rPr>
              <w:t>2.3t/a</w:t>
            </w:r>
          </w:p>
        </w:tc>
        <w:tc>
          <w:tcPr>
            <w:tcW w:w="642" w:type="pct"/>
            <w:noWrap w:val="0"/>
            <w:vAlign w:val="center"/>
          </w:tcPr>
          <w:p>
            <w:pPr>
              <w:widowControl w:val="0"/>
              <w:jc w:val="center"/>
              <w:rPr>
                <w:color w:val="auto"/>
                <w:sz w:val="20"/>
                <w:szCs w:val="21"/>
              </w:rPr>
            </w:pPr>
            <w:r>
              <w:rPr>
                <w:rFonts w:hint="eastAsia" w:cs="Times New Roman"/>
                <w:b w:val="0"/>
                <w:bCs/>
                <w:color w:val="auto"/>
                <w:sz w:val="20"/>
                <w:szCs w:val="20"/>
                <w:lang w:val="en-US" w:eastAsia="zh-CN"/>
              </w:rPr>
              <w:t>0.012t/a</w:t>
            </w:r>
          </w:p>
        </w:tc>
        <w:tc>
          <w:tcPr>
            <w:tcW w:w="1453" w:type="pct"/>
            <w:vMerge w:val="restart"/>
            <w:noWrap w:val="0"/>
            <w:vAlign w:val="center"/>
          </w:tcPr>
          <w:p>
            <w:pPr>
              <w:widowControl w:val="0"/>
              <w:jc w:val="center"/>
              <w:rPr>
                <w:rFonts w:hint="eastAsia"/>
                <w:color w:val="auto"/>
                <w:kern w:val="0"/>
                <w:sz w:val="20"/>
              </w:rPr>
            </w:pPr>
            <w:r>
              <w:rPr>
                <w:rFonts w:hint="eastAsia" w:cs="Times New Roman"/>
                <w:b w:val="0"/>
                <w:bCs/>
                <w:color w:val="auto"/>
                <w:sz w:val="20"/>
                <w:szCs w:val="20"/>
                <w:lang w:val="en-US" w:eastAsia="zh-CN"/>
              </w:rPr>
              <w:t>封闭廊道+脉冲布袋除尘器处理后无组织排放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0.006t/a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0.161</w:t>
            </w:r>
            <w:r>
              <w:rPr>
                <w:rFonts w:hint="eastAsia" w:cs="Times New Roman"/>
                <w:b w:val="0"/>
                <w:bCs/>
                <w:color w:val="auto"/>
                <w:sz w:val="20"/>
                <w:szCs w:val="20"/>
                <w:lang w:val="en-US" w:eastAsia="zh-CN"/>
              </w:rPr>
              <w:t>t/a</w:t>
            </w:r>
          </w:p>
        </w:tc>
        <w:tc>
          <w:tcPr>
            <w:tcW w:w="642" w:type="pct"/>
            <w:noWrap w:val="0"/>
            <w:vAlign w:val="center"/>
          </w:tcPr>
          <w:p>
            <w:pPr>
              <w:widowControl w:val="0"/>
              <w:jc w:val="center"/>
              <w:rPr>
                <w:color w:val="auto"/>
                <w:sz w:val="20"/>
                <w:szCs w:val="21"/>
              </w:rPr>
            </w:pPr>
            <w:r>
              <w:rPr>
                <w:rFonts w:hint="eastAsia" w:cs="Times New Roman"/>
                <w:b w:val="0"/>
                <w:bCs/>
                <w:color w:val="auto"/>
                <w:sz w:val="20"/>
                <w:szCs w:val="20"/>
                <w:lang w:val="en-US" w:eastAsia="zh-CN"/>
              </w:rPr>
              <w:t>0.0008t/a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restar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2#转运楼</w:t>
            </w: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noWrap w:val="0"/>
            <w:vAlign w:val="center"/>
          </w:tcPr>
          <w:p>
            <w:pPr>
              <w:widowControl w:val="0"/>
              <w:jc w:val="center"/>
              <w:rPr>
                <w:color w:val="auto"/>
                <w:sz w:val="20"/>
                <w:szCs w:val="21"/>
              </w:rPr>
            </w:pPr>
            <w:r>
              <w:rPr>
                <w:rFonts w:hint="eastAsia" w:cs="Times New Roman"/>
                <w:b w:val="0"/>
                <w:bCs/>
                <w:color w:val="auto"/>
                <w:sz w:val="20"/>
                <w:szCs w:val="20"/>
                <w:lang w:val="en-US" w:eastAsia="zh-CN"/>
              </w:rPr>
              <w:t>4.6t/a</w:t>
            </w:r>
          </w:p>
        </w:tc>
        <w:tc>
          <w:tcPr>
            <w:tcW w:w="642" w:type="pct"/>
            <w:noWrap w:val="0"/>
            <w:vAlign w:val="center"/>
          </w:tcPr>
          <w:p>
            <w:pPr>
              <w:widowControl w:val="0"/>
              <w:jc w:val="center"/>
              <w:rPr>
                <w:color w:val="auto"/>
                <w:sz w:val="20"/>
                <w:szCs w:val="21"/>
              </w:rPr>
            </w:pPr>
            <w:r>
              <w:rPr>
                <w:rFonts w:hint="eastAsia" w:cs="Times New Roman"/>
                <w:b w:val="0"/>
                <w:bCs/>
                <w:color w:val="auto"/>
                <w:sz w:val="20"/>
                <w:szCs w:val="20"/>
                <w:lang w:val="en-US" w:eastAsia="zh-CN"/>
              </w:rPr>
              <w:t>0.023t/a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2.162t/a</w:t>
            </w:r>
          </w:p>
        </w:tc>
        <w:tc>
          <w:tcPr>
            <w:tcW w:w="642"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0.011t/a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0.322</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0.002</w:t>
            </w:r>
            <w:r>
              <w:rPr>
                <w:rFonts w:hint="eastAsia" w:cs="Times New Roman"/>
                <w:b w:val="0"/>
                <w:bCs/>
                <w:color w:val="auto"/>
                <w:sz w:val="20"/>
                <w:szCs w:val="20"/>
                <w:lang w:val="en-US" w:eastAsia="zh-CN"/>
              </w:rPr>
              <w:t>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restar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1#趸船转运平台</w:t>
            </w: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2.3t/a</w:t>
            </w:r>
          </w:p>
        </w:tc>
        <w:tc>
          <w:tcPr>
            <w:tcW w:w="642"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0.012t/a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0.006t/a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0.161</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0.0008t/a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spacing w:line="260" w:lineRule="exact"/>
              <w:jc w:val="center"/>
              <w:rPr>
                <w:rFonts w:hint="default" w:eastAsia="宋体"/>
                <w:color w:val="auto"/>
                <w:sz w:val="20"/>
                <w:lang w:val="en-US" w:eastAsia="zh-CN"/>
              </w:rPr>
            </w:pPr>
          </w:p>
        </w:tc>
        <w:tc>
          <w:tcPr>
            <w:tcW w:w="660" w:type="pct"/>
            <w:vMerge w:val="restar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2#趸船转运平台</w:t>
            </w:r>
          </w:p>
        </w:tc>
        <w:tc>
          <w:tcPr>
            <w:tcW w:w="49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668"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2.3t/a</w:t>
            </w:r>
          </w:p>
        </w:tc>
        <w:tc>
          <w:tcPr>
            <w:tcW w:w="642"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0.012t/a</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415" w:type="pct"/>
            <w:vMerge w:val="continue"/>
            <w:noWrap w:val="0"/>
            <w:vAlign w:val="center"/>
          </w:tcPr>
          <w:p>
            <w:pPr>
              <w:widowControl w:val="0"/>
              <w:spacing w:line="260" w:lineRule="exact"/>
              <w:jc w:val="center"/>
              <w:rPr>
                <w:color w:val="auto"/>
                <w:sz w:val="20"/>
              </w:rPr>
            </w:pPr>
          </w:p>
        </w:tc>
        <w:tc>
          <w:tcPr>
            <w:tcW w:w="667" w:type="pct"/>
            <w:vMerge w:val="continue"/>
            <w:noWrap w:val="0"/>
            <w:vAlign w:val="center"/>
          </w:tcPr>
          <w:p>
            <w:pPr>
              <w:widowControl w:val="0"/>
              <w:spacing w:line="260" w:lineRule="exact"/>
              <w:jc w:val="center"/>
              <w:rPr>
                <w:rFonts w:hint="default" w:eastAsia="宋体"/>
                <w:color w:val="auto"/>
                <w:sz w:val="20"/>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PM</w:t>
            </w:r>
            <w:r>
              <w:rPr>
                <w:rFonts w:hint="eastAsia"/>
                <w:color w:val="auto"/>
                <w:sz w:val="20"/>
                <w:vertAlign w:val="subscript"/>
                <w:lang w:val="en-US" w:eastAsia="zh-CN"/>
              </w:rPr>
              <w:t>10</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kern w:val="2"/>
                <w:sz w:val="20"/>
                <w:szCs w:val="20"/>
                <w:lang w:val="en-US" w:eastAsia="zh-CN" w:bidi="ar-SA"/>
              </w:rPr>
              <w:t>1.081</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0.006t/a</w:t>
            </w:r>
          </w:p>
        </w:tc>
        <w:tc>
          <w:tcPr>
            <w:tcW w:w="1453" w:type="pct"/>
            <w:vMerge w:val="continue"/>
            <w:noWrap w:val="0"/>
            <w:vAlign w:val="center"/>
          </w:tcPr>
          <w:p>
            <w:pPr>
              <w:widowControl w:val="0"/>
              <w:jc w:val="center"/>
              <w:rPr>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spacing w:line="260" w:lineRule="exact"/>
              <w:jc w:val="center"/>
              <w:rPr>
                <w:color w:val="auto"/>
                <w:sz w:val="20"/>
              </w:rPr>
            </w:pPr>
          </w:p>
        </w:tc>
        <w:tc>
          <w:tcPr>
            <w:tcW w:w="667" w:type="pct"/>
            <w:vMerge w:val="continue"/>
            <w:noWrap w:val="0"/>
            <w:vAlign w:val="center"/>
          </w:tcPr>
          <w:p>
            <w:pPr>
              <w:widowControl w:val="0"/>
              <w:spacing w:line="260" w:lineRule="exact"/>
              <w:jc w:val="center"/>
              <w:rPr>
                <w:rFonts w:hint="default" w:eastAsia="宋体"/>
                <w:color w:val="auto"/>
                <w:sz w:val="20"/>
                <w:lang w:val="en-US" w:eastAsia="zh-CN"/>
              </w:rPr>
            </w:pPr>
          </w:p>
        </w:tc>
        <w:tc>
          <w:tcPr>
            <w:tcW w:w="660" w:type="pct"/>
            <w:vMerge w:val="continue"/>
            <w:noWrap w:val="0"/>
            <w:vAlign w:val="center"/>
          </w:tcPr>
          <w:p>
            <w:pPr>
              <w:widowControl w:val="0"/>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0.161</w:t>
            </w:r>
            <w:r>
              <w:rPr>
                <w:rFonts w:hint="eastAsia" w:cs="Times New Roman"/>
                <w:b w:val="0"/>
                <w:bCs/>
                <w:color w:val="auto"/>
                <w:sz w:val="20"/>
                <w:szCs w:val="20"/>
                <w:lang w:val="en-US" w:eastAsia="zh-CN"/>
              </w:rPr>
              <w:t>t/a</w:t>
            </w:r>
          </w:p>
        </w:tc>
        <w:tc>
          <w:tcPr>
            <w:tcW w:w="642"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0.0008t/a</w:t>
            </w:r>
          </w:p>
        </w:tc>
        <w:tc>
          <w:tcPr>
            <w:tcW w:w="1453" w:type="pct"/>
            <w:vMerge w:val="continue"/>
            <w:noWrap w:val="0"/>
            <w:vAlign w:val="center"/>
          </w:tcPr>
          <w:p>
            <w:pPr>
              <w:widowControl w:val="0"/>
              <w:jc w:val="center"/>
              <w:rPr>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spacing w:line="260" w:lineRule="exact"/>
              <w:jc w:val="center"/>
              <w:rPr>
                <w:color w:val="auto"/>
                <w:sz w:val="20"/>
              </w:rPr>
            </w:pPr>
          </w:p>
        </w:tc>
        <w:tc>
          <w:tcPr>
            <w:tcW w:w="667" w:type="pct"/>
            <w:vMerge w:val="restart"/>
            <w:noWrap w:val="0"/>
            <w:vAlign w:val="center"/>
          </w:tcPr>
          <w:p>
            <w:pPr>
              <w:widowControl w:val="0"/>
              <w:spacing w:line="240" w:lineRule="auto"/>
              <w:jc w:val="center"/>
              <w:rPr>
                <w:rFonts w:hint="default" w:eastAsia="宋体"/>
                <w:color w:val="auto"/>
                <w:sz w:val="20"/>
                <w:lang w:val="en-US" w:eastAsia="zh-CN"/>
              </w:rPr>
            </w:pPr>
            <w:r>
              <w:rPr>
                <w:rFonts w:hint="eastAsia" w:cs="Times New Roman"/>
                <w:b w:val="0"/>
                <w:bCs/>
                <w:color w:val="auto"/>
                <w:kern w:val="2"/>
                <w:sz w:val="20"/>
                <w:szCs w:val="20"/>
                <w:lang w:val="en-US" w:eastAsia="zh-CN" w:bidi="ar-SA"/>
              </w:rPr>
              <w:t>到港船舶废气</w:t>
            </w:r>
          </w:p>
        </w:tc>
        <w:tc>
          <w:tcPr>
            <w:tcW w:w="660" w:type="pct"/>
            <w:vMerge w:val="restart"/>
            <w:noWrap w:val="0"/>
            <w:vAlign w:val="center"/>
          </w:tcPr>
          <w:p>
            <w:pPr>
              <w:widowControl w:val="0"/>
              <w:spacing w:line="240" w:lineRule="auto"/>
              <w:jc w:val="center"/>
              <w:rPr>
                <w:rFonts w:hint="default" w:ascii="Times New Roman" w:hAnsi="Times New Roman" w:eastAsia="宋体" w:cs="Times New Roman"/>
                <w:color w:val="auto"/>
                <w:kern w:val="2"/>
                <w:sz w:val="20"/>
                <w:lang w:val="en-US" w:eastAsia="zh-CN" w:bidi="ar-SA"/>
              </w:rPr>
            </w:pPr>
            <w:r>
              <w:rPr>
                <w:rFonts w:hint="eastAsia" w:cs="Times New Roman"/>
                <w:b w:val="0"/>
                <w:bCs/>
                <w:color w:val="auto"/>
                <w:sz w:val="20"/>
                <w:szCs w:val="20"/>
                <w:lang w:val="en-US" w:eastAsia="zh-CN"/>
              </w:rPr>
              <w:t>船舶靠岸和驶出</w:t>
            </w:r>
          </w:p>
        </w:tc>
        <w:tc>
          <w:tcPr>
            <w:tcW w:w="492" w:type="pct"/>
            <w:noWrap w:val="0"/>
            <w:vAlign w:val="center"/>
          </w:tcPr>
          <w:p>
            <w:pPr>
              <w:widowControl w:val="0"/>
              <w:spacing w:line="240" w:lineRule="auto"/>
              <w:jc w:val="center"/>
              <w:rPr>
                <w:rFonts w:hint="eastAsia"/>
                <w:color w:val="auto"/>
                <w:sz w:val="20"/>
                <w:lang w:val="en-US" w:eastAsia="zh-CN"/>
              </w:rPr>
            </w:pPr>
            <w:r>
              <w:rPr>
                <w:rFonts w:hint="eastAsia" w:cs="Times New Roman"/>
                <w:b w:val="0"/>
                <w:bCs/>
                <w:color w:val="auto"/>
                <w:sz w:val="20"/>
                <w:szCs w:val="20"/>
                <w:lang w:val="en-US" w:eastAsia="zh-CN"/>
              </w:rPr>
              <w:t>SO</w:t>
            </w:r>
            <w:r>
              <w:rPr>
                <w:rFonts w:hint="eastAsia" w:cs="Times New Roman"/>
                <w:b w:val="0"/>
                <w:bCs/>
                <w:color w:val="auto"/>
                <w:sz w:val="20"/>
                <w:szCs w:val="20"/>
                <w:vertAlign w:val="subscript"/>
                <w:lang w:val="en-US" w:eastAsia="zh-CN"/>
              </w:rPr>
              <w:t>2</w:t>
            </w:r>
          </w:p>
        </w:tc>
        <w:tc>
          <w:tcPr>
            <w:tcW w:w="668" w:type="pct"/>
            <w:noWrap w:val="0"/>
            <w:vAlign w:val="center"/>
          </w:tcPr>
          <w:p>
            <w:pPr>
              <w:jc w:val="center"/>
              <w:rPr>
                <w:color w:val="auto"/>
                <w:sz w:val="20"/>
              </w:rPr>
            </w:pPr>
            <w:r>
              <w:rPr>
                <w:rFonts w:hint="eastAsia" w:cs="Times New Roman"/>
                <w:b w:val="0"/>
                <w:bCs/>
                <w:color w:val="auto"/>
                <w:sz w:val="20"/>
                <w:szCs w:val="20"/>
                <w:lang w:val="en-US" w:eastAsia="zh-CN"/>
              </w:rPr>
              <w:t>0.0031t/a</w:t>
            </w:r>
          </w:p>
        </w:tc>
        <w:tc>
          <w:tcPr>
            <w:tcW w:w="642" w:type="pct"/>
            <w:noWrap w:val="0"/>
            <w:vAlign w:val="center"/>
          </w:tcPr>
          <w:p>
            <w:pPr>
              <w:jc w:val="center"/>
              <w:rPr>
                <w:rFonts w:ascii="Times New Roman" w:hAnsi="Times New Roman" w:eastAsia="宋体" w:cs="Times New Roman"/>
                <w:color w:val="auto"/>
                <w:kern w:val="2"/>
                <w:sz w:val="20"/>
                <w:lang w:val="en-US" w:eastAsia="zh-CN" w:bidi="ar-SA"/>
              </w:rPr>
            </w:pPr>
            <w:r>
              <w:rPr>
                <w:rFonts w:hint="eastAsia" w:cs="Times New Roman"/>
                <w:b w:val="0"/>
                <w:bCs/>
                <w:color w:val="auto"/>
                <w:sz w:val="20"/>
                <w:szCs w:val="20"/>
                <w:lang w:val="en-US" w:eastAsia="zh-CN"/>
              </w:rPr>
              <w:t>0.0031t/a</w:t>
            </w:r>
          </w:p>
        </w:tc>
        <w:tc>
          <w:tcPr>
            <w:tcW w:w="1453" w:type="pct"/>
            <w:vMerge w:val="restart"/>
            <w:noWrap w:val="0"/>
            <w:vAlign w:val="center"/>
          </w:tcPr>
          <w:p>
            <w:pPr>
              <w:widowControl w:val="0"/>
              <w:jc w:val="center"/>
              <w:rPr>
                <w:rFonts w:hint="default" w:eastAsia="宋体"/>
                <w:color w:val="auto"/>
                <w:kern w:val="0"/>
                <w:sz w:val="20"/>
                <w:lang w:val="en-US" w:eastAsia="zh-CN"/>
              </w:rPr>
            </w:pPr>
            <w:r>
              <w:rPr>
                <w:rFonts w:hint="eastAsia"/>
                <w:color w:val="auto"/>
                <w:kern w:val="0"/>
                <w:sz w:val="20"/>
                <w:lang w:val="en-US" w:eastAsia="zh-CN"/>
              </w:rPr>
              <w:t>无组织排放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spacing w:line="260" w:lineRule="exact"/>
              <w:jc w:val="center"/>
              <w:rPr>
                <w:color w:val="auto"/>
                <w:sz w:val="20"/>
              </w:rPr>
            </w:pPr>
          </w:p>
        </w:tc>
        <w:tc>
          <w:tcPr>
            <w:tcW w:w="667" w:type="pct"/>
            <w:vMerge w:val="continue"/>
            <w:noWrap w:val="0"/>
            <w:vAlign w:val="center"/>
          </w:tcPr>
          <w:p>
            <w:pPr>
              <w:widowControl w:val="0"/>
              <w:spacing w:line="240" w:lineRule="auto"/>
              <w:jc w:val="center"/>
              <w:rPr>
                <w:rFonts w:hint="default" w:eastAsia="宋体"/>
                <w:color w:val="auto"/>
                <w:sz w:val="20"/>
                <w:lang w:val="en-US" w:eastAsia="zh-CN"/>
              </w:rPr>
            </w:pPr>
          </w:p>
        </w:tc>
        <w:tc>
          <w:tcPr>
            <w:tcW w:w="660" w:type="pct"/>
            <w:vMerge w:val="continue"/>
            <w:noWrap w:val="0"/>
            <w:vAlign w:val="center"/>
          </w:tcPr>
          <w:p>
            <w:pPr>
              <w:widowControl w:val="0"/>
              <w:spacing w:line="240" w:lineRule="auto"/>
              <w:jc w:val="center"/>
              <w:rPr>
                <w:rFonts w:hint="default" w:ascii="Times New Roman" w:hAnsi="Times New Roman" w:eastAsia="宋体" w:cs="Times New Roman"/>
                <w:color w:val="auto"/>
                <w:kern w:val="2"/>
                <w:sz w:val="20"/>
                <w:lang w:val="en-US" w:eastAsia="zh-CN" w:bidi="ar-SA"/>
              </w:rPr>
            </w:pPr>
          </w:p>
        </w:tc>
        <w:tc>
          <w:tcPr>
            <w:tcW w:w="492" w:type="pct"/>
            <w:noWrap w:val="0"/>
            <w:vAlign w:val="center"/>
          </w:tcPr>
          <w:p>
            <w:pPr>
              <w:widowControl w:val="0"/>
              <w:spacing w:line="240" w:lineRule="auto"/>
              <w:jc w:val="center"/>
              <w:rPr>
                <w:rFonts w:hint="eastAsia"/>
                <w:color w:val="auto"/>
                <w:sz w:val="20"/>
                <w:lang w:val="en-US" w:eastAsia="zh-CN"/>
              </w:rPr>
            </w:pPr>
            <w:r>
              <w:rPr>
                <w:rFonts w:hint="eastAsia" w:cs="Times New Roman"/>
                <w:b w:val="0"/>
                <w:bCs/>
                <w:color w:val="auto"/>
                <w:sz w:val="20"/>
                <w:szCs w:val="20"/>
                <w:lang w:val="en-US" w:eastAsia="zh-CN"/>
              </w:rPr>
              <w:t>NO</w:t>
            </w:r>
            <w:r>
              <w:rPr>
                <w:rFonts w:hint="eastAsia" w:cs="Times New Roman"/>
                <w:b w:val="0"/>
                <w:bCs/>
                <w:color w:val="auto"/>
                <w:sz w:val="20"/>
                <w:szCs w:val="20"/>
                <w:vertAlign w:val="subscript"/>
                <w:lang w:val="en-US" w:eastAsia="zh-CN"/>
              </w:rPr>
              <w:t>x</w:t>
            </w:r>
          </w:p>
        </w:tc>
        <w:tc>
          <w:tcPr>
            <w:tcW w:w="668" w:type="pct"/>
            <w:noWrap w:val="0"/>
            <w:vAlign w:val="center"/>
          </w:tcPr>
          <w:p>
            <w:pPr>
              <w:jc w:val="center"/>
              <w:rPr>
                <w:color w:val="auto"/>
                <w:sz w:val="20"/>
              </w:rPr>
            </w:pPr>
            <w:r>
              <w:rPr>
                <w:rFonts w:hint="eastAsia" w:cs="Times New Roman"/>
                <w:b w:val="0"/>
                <w:bCs/>
                <w:color w:val="auto"/>
                <w:sz w:val="20"/>
                <w:szCs w:val="20"/>
                <w:lang w:val="en-US" w:eastAsia="zh-CN"/>
              </w:rPr>
              <w:t>0.378t/a</w:t>
            </w:r>
          </w:p>
        </w:tc>
        <w:tc>
          <w:tcPr>
            <w:tcW w:w="642" w:type="pct"/>
            <w:noWrap w:val="0"/>
            <w:vAlign w:val="center"/>
          </w:tcPr>
          <w:p>
            <w:pPr>
              <w:jc w:val="center"/>
              <w:rPr>
                <w:rFonts w:ascii="Times New Roman" w:hAnsi="Times New Roman" w:eastAsia="宋体" w:cs="Times New Roman"/>
                <w:color w:val="auto"/>
                <w:kern w:val="2"/>
                <w:sz w:val="20"/>
                <w:lang w:val="en-US" w:eastAsia="zh-CN" w:bidi="ar-SA"/>
              </w:rPr>
            </w:pPr>
            <w:r>
              <w:rPr>
                <w:rFonts w:hint="eastAsia" w:cs="Times New Roman"/>
                <w:b w:val="0"/>
                <w:bCs/>
                <w:color w:val="auto"/>
                <w:sz w:val="20"/>
                <w:szCs w:val="20"/>
                <w:lang w:val="en-US" w:eastAsia="zh-CN"/>
              </w:rPr>
              <w:t>0.378t/a</w:t>
            </w:r>
          </w:p>
        </w:tc>
        <w:tc>
          <w:tcPr>
            <w:tcW w:w="1453" w:type="pct"/>
            <w:vMerge w:val="continue"/>
            <w:noWrap w:val="0"/>
            <w:vAlign w:val="center"/>
          </w:tcPr>
          <w:p>
            <w:pPr>
              <w:widowControl w:val="0"/>
              <w:jc w:val="center"/>
              <w:rPr>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restar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水环境</w:t>
            </w:r>
          </w:p>
        </w:tc>
        <w:tc>
          <w:tcPr>
            <w:tcW w:w="667" w:type="pct"/>
            <w:vMerge w:val="restar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码头工作人员生活污水</w:t>
            </w:r>
          </w:p>
        </w:tc>
        <w:tc>
          <w:tcPr>
            <w:tcW w:w="1153" w:type="pct"/>
            <w:gridSpan w:val="2"/>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废水量</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396m</w:t>
            </w:r>
            <w:r>
              <w:rPr>
                <w:rFonts w:hint="eastAsia"/>
                <w:color w:val="auto"/>
                <w:sz w:val="20"/>
                <w:szCs w:val="21"/>
                <w:vertAlign w:val="superscript"/>
                <w:lang w:val="en-US" w:eastAsia="zh-CN"/>
              </w:rPr>
              <w:t>3</w:t>
            </w:r>
            <w:r>
              <w:rPr>
                <w:rFonts w:hint="eastAsia"/>
                <w:color w:val="auto"/>
                <w:sz w:val="20"/>
                <w:szCs w:val="21"/>
                <w:lang w:val="en-US" w:eastAsia="zh-CN"/>
              </w:rPr>
              <w: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restart"/>
            <w:noWrap w:val="0"/>
            <w:vAlign w:val="center"/>
          </w:tcPr>
          <w:p>
            <w:pPr>
              <w:widowControl w:val="0"/>
              <w:jc w:val="center"/>
              <w:rPr>
                <w:rFonts w:hint="eastAsia"/>
                <w:color w:val="auto"/>
                <w:kern w:val="0"/>
                <w:sz w:val="20"/>
              </w:rPr>
            </w:pPr>
            <w:r>
              <w:rPr>
                <w:rFonts w:hint="eastAsia"/>
                <w:bCs/>
                <w:color w:val="auto"/>
                <w:kern w:val="0"/>
                <w:sz w:val="20"/>
                <w:lang w:val="en-US" w:eastAsia="zh-CN"/>
              </w:rPr>
              <w:t>进入各自趸船下方生活污水储存柜储存，委托海事部门认定的船舶污染物接收船定期统一处理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COD</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0.190t/a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BOD</w:t>
            </w:r>
            <w:r>
              <w:rPr>
                <w:rFonts w:hint="eastAsia"/>
                <w:color w:val="auto"/>
                <w:sz w:val="20"/>
                <w:vertAlign w:val="subscript"/>
                <w:lang w:val="en-US" w:eastAsia="zh-CN"/>
              </w:rPr>
              <w:t>5</w:t>
            </w:r>
          </w:p>
        </w:tc>
        <w:tc>
          <w:tcPr>
            <w:tcW w:w="668" w:type="pct"/>
            <w:noWrap w:val="0"/>
            <w:vAlign w:val="center"/>
          </w:tcPr>
          <w:p>
            <w:pPr>
              <w:widowControl w:val="0"/>
              <w:jc w:val="center"/>
              <w:rPr>
                <w:color w:val="auto"/>
                <w:sz w:val="20"/>
                <w:szCs w:val="21"/>
              </w:rPr>
            </w:pPr>
            <w:r>
              <w:rPr>
                <w:rFonts w:hint="eastAsia"/>
                <w:color w:val="auto"/>
                <w:sz w:val="20"/>
                <w:szCs w:val="21"/>
                <w:lang w:val="en-US" w:eastAsia="zh-CN"/>
              </w:rPr>
              <w:t>0.1267t/a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SS</w:t>
            </w:r>
          </w:p>
        </w:tc>
        <w:tc>
          <w:tcPr>
            <w:tcW w:w="668" w:type="pct"/>
            <w:noWrap w:val="0"/>
            <w:vAlign w:val="center"/>
          </w:tcPr>
          <w:p>
            <w:pPr>
              <w:widowControl w:val="0"/>
              <w:jc w:val="center"/>
              <w:rPr>
                <w:color w:val="auto"/>
                <w:sz w:val="20"/>
                <w:szCs w:val="21"/>
              </w:rPr>
            </w:pPr>
            <w:r>
              <w:rPr>
                <w:rFonts w:hint="eastAsia"/>
                <w:color w:val="auto"/>
                <w:sz w:val="20"/>
                <w:szCs w:val="21"/>
                <w:lang w:val="en-US" w:eastAsia="zh-CN"/>
              </w:rPr>
              <w:t>0.1267t/a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NH</w:t>
            </w:r>
            <w:r>
              <w:rPr>
                <w:rFonts w:hint="eastAsia"/>
                <w:color w:val="auto"/>
                <w:sz w:val="20"/>
                <w:vertAlign w:val="subscript"/>
                <w:lang w:val="en-US" w:eastAsia="zh-CN"/>
              </w:rPr>
              <w:t>3</w:t>
            </w:r>
            <w:r>
              <w:rPr>
                <w:rFonts w:hint="eastAsia"/>
                <w:color w:val="auto"/>
                <w:sz w:val="20"/>
                <w:lang w:val="en-US" w:eastAsia="zh-CN"/>
              </w:rPr>
              <w:t>-N</w:t>
            </w:r>
          </w:p>
        </w:tc>
        <w:tc>
          <w:tcPr>
            <w:tcW w:w="668" w:type="pct"/>
            <w:noWrap w:val="0"/>
            <w:vAlign w:val="center"/>
          </w:tcPr>
          <w:p>
            <w:pPr>
              <w:widowControl w:val="0"/>
              <w:jc w:val="center"/>
              <w:rPr>
                <w:color w:val="auto"/>
                <w:sz w:val="20"/>
                <w:szCs w:val="21"/>
              </w:rPr>
            </w:pPr>
            <w:r>
              <w:rPr>
                <w:rFonts w:hint="eastAsia"/>
                <w:color w:val="auto"/>
                <w:sz w:val="20"/>
                <w:szCs w:val="21"/>
                <w:lang w:val="en-US" w:eastAsia="zh-CN"/>
              </w:rPr>
              <w:t>0.019t/a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ascii="Times New Roman" w:hAnsi="Times New Roman" w:eastAsia="宋体" w:cs="Times New Roman"/>
                <w:bCs/>
                <w:color w:val="auto"/>
                <w:kern w:val="0"/>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码头面冲洗水</w:t>
            </w: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废水量</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96m</w:t>
            </w:r>
            <w:r>
              <w:rPr>
                <w:rFonts w:hint="eastAsia"/>
                <w:color w:val="auto"/>
                <w:sz w:val="20"/>
                <w:szCs w:val="21"/>
                <w:vertAlign w:val="superscript"/>
                <w:lang w:val="en-US" w:eastAsia="zh-CN"/>
              </w:rPr>
              <w:t>3</w:t>
            </w:r>
            <w:r>
              <w:rPr>
                <w:rFonts w:hint="eastAsia"/>
                <w:color w:val="auto"/>
                <w:sz w:val="20"/>
                <w:szCs w:val="21"/>
                <w:lang w:val="en-US" w:eastAsia="zh-CN"/>
              </w:rPr>
              <w: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restart"/>
            <w:noWrap w:val="0"/>
            <w:vAlign w:val="center"/>
          </w:tcPr>
          <w:p>
            <w:pPr>
              <w:widowControl w:val="0"/>
              <w:jc w:val="center"/>
              <w:rPr>
                <w:rFonts w:hint="eastAsia"/>
                <w:color w:val="auto"/>
                <w:kern w:val="0"/>
                <w:sz w:val="20"/>
              </w:rPr>
            </w:pPr>
            <w:r>
              <w:rPr>
                <w:rFonts w:hint="eastAsia"/>
                <w:bCs/>
                <w:color w:val="auto"/>
                <w:kern w:val="0"/>
                <w:sz w:val="20"/>
              </w:rPr>
              <w:t>通过趸船收集坎收集</w:t>
            </w:r>
            <w:r>
              <w:rPr>
                <w:rFonts w:hint="eastAsia"/>
                <w:bCs/>
                <w:color w:val="auto"/>
                <w:kern w:val="0"/>
                <w:sz w:val="20"/>
                <w:lang w:val="en-US" w:eastAsia="zh-CN"/>
              </w:rPr>
              <w:t>后，进入</w:t>
            </w:r>
            <w:r>
              <w:rPr>
                <w:rFonts w:hint="eastAsia"/>
                <w:bCs/>
                <w:color w:val="auto"/>
                <w:kern w:val="0"/>
                <w:sz w:val="20"/>
              </w:rPr>
              <w:t>各自趸船下方初期雨水收集柜储存，委托海事部门认定的船舶污染物接收船定期统一处理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lang w:val="en-US" w:eastAsia="zh-CN"/>
              </w:rPr>
            </w:pPr>
          </w:p>
        </w:tc>
        <w:tc>
          <w:tcPr>
            <w:tcW w:w="1153" w:type="pct"/>
            <w:gridSpan w:val="2"/>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SS</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0.096t/a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ascii="Times New Roman" w:hAnsi="Times New Roman" w:eastAsia="宋体" w:cs="Times New Roman"/>
                <w:bCs/>
                <w:color w:val="auto"/>
                <w:kern w:val="0"/>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5"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restart"/>
            <w:noWrap w:val="0"/>
            <w:vAlign w:val="center"/>
          </w:tcPr>
          <w:p>
            <w:pPr>
              <w:widowControl w:val="0"/>
              <w:jc w:val="center"/>
              <w:rPr>
                <w:rFonts w:hint="eastAsia"/>
                <w:color w:val="auto"/>
                <w:sz w:val="20"/>
                <w:szCs w:val="21"/>
                <w:lang w:val="en-US" w:eastAsia="zh-CN"/>
              </w:rPr>
            </w:pPr>
            <w:r>
              <w:rPr>
                <w:rFonts w:hint="eastAsia"/>
                <w:color w:val="auto"/>
                <w:sz w:val="20"/>
                <w:lang w:val="en-US" w:eastAsia="zh-CN"/>
              </w:rPr>
              <w:t>码头初期雨水</w:t>
            </w: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废水量</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1680.9m</w:t>
            </w:r>
            <w:r>
              <w:rPr>
                <w:rFonts w:hint="eastAsia"/>
                <w:color w:val="auto"/>
                <w:sz w:val="20"/>
                <w:szCs w:val="21"/>
                <w:vertAlign w:val="superscript"/>
                <w:lang w:val="en-US" w:eastAsia="zh-CN"/>
              </w:rPr>
              <w:t>3</w:t>
            </w:r>
            <w:r>
              <w:rPr>
                <w:rFonts w:hint="eastAsia"/>
                <w:color w:val="auto"/>
                <w:sz w:val="20"/>
                <w:szCs w:val="21"/>
                <w:lang w:val="en-US" w:eastAsia="zh-CN"/>
              </w:rPr>
              <w: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SS</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0.84m</w:t>
            </w:r>
            <w:r>
              <w:rPr>
                <w:rFonts w:hint="eastAsia"/>
                <w:color w:val="auto"/>
                <w:sz w:val="20"/>
                <w:szCs w:val="21"/>
                <w:vertAlign w:val="superscript"/>
                <w:lang w:val="en-US" w:eastAsia="zh-CN"/>
              </w:rPr>
              <w:t>3</w:t>
            </w:r>
            <w:r>
              <w:rPr>
                <w:rFonts w:hint="eastAsia"/>
                <w:color w:val="auto"/>
                <w:sz w:val="20"/>
                <w:szCs w:val="21"/>
                <w:lang w:val="en-US" w:eastAsia="zh-CN"/>
              </w:rPr>
              <w: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restart"/>
            <w:noWrap w:val="0"/>
            <w:vAlign w:val="center"/>
          </w:tcPr>
          <w:p>
            <w:pPr>
              <w:widowControl w:val="0"/>
              <w:jc w:val="center"/>
              <w:rPr>
                <w:rFonts w:hint="eastAsia"/>
                <w:color w:val="auto"/>
                <w:sz w:val="20"/>
                <w:szCs w:val="21"/>
                <w:lang w:val="en-US" w:eastAsia="zh-CN"/>
              </w:rPr>
            </w:pPr>
            <w:r>
              <w:rPr>
                <w:rFonts w:hint="eastAsia"/>
                <w:color w:val="auto"/>
                <w:sz w:val="20"/>
                <w:lang w:val="en-US" w:eastAsia="zh-CN"/>
              </w:rPr>
              <w:t>到港船舶生活污水</w:t>
            </w: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废水量</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4401.6t/a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restart"/>
            <w:noWrap w:val="0"/>
            <w:vAlign w:val="center"/>
          </w:tcPr>
          <w:p>
            <w:pPr>
              <w:widowControl w:val="0"/>
              <w:jc w:val="center"/>
              <w:rPr>
                <w:rFonts w:hint="eastAsia"/>
                <w:color w:val="auto"/>
                <w:kern w:val="0"/>
                <w:sz w:val="20"/>
              </w:rPr>
            </w:pPr>
            <w:r>
              <w:rPr>
                <w:rFonts w:hint="eastAsia"/>
                <w:bCs/>
                <w:color w:val="auto"/>
                <w:kern w:val="0"/>
                <w:sz w:val="20"/>
                <w:lang w:val="en-US" w:eastAsia="zh-CN"/>
              </w:rPr>
              <w:t>直接交</w:t>
            </w:r>
            <w:r>
              <w:rPr>
                <w:rFonts w:hint="eastAsia"/>
                <w:bCs/>
                <w:color w:val="auto"/>
                <w:kern w:val="0"/>
                <w:sz w:val="20"/>
              </w:rPr>
              <w:t>由海事部门指定的</w:t>
            </w:r>
            <w:r>
              <w:rPr>
                <w:rFonts w:hint="eastAsia"/>
                <w:bCs/>
                <w:color w:val="auto"/>
                <w:kern w:val="0"/>
                <w:sz w:val="20"/>
                <w:lang w:val="en-US" w:eastAsia="zh-CN"/>
              </w:rPr>
              <w:t>接收</w:t>
            </w:r>
            <w:r>
              <w:rPr>
                <w:rFonts w:hint="eastAsia"/>
                <w:bCs/>
                <w:color w:val="auto"/>
                <w:kern w:val="0"/>
                <w:sz w:val="20"/>
              </w:rPr>
              <w:t>船接收</w:t>
            </w:r>
            <w:r>
              <w:rPr>
                <w:rFonts w:hint="eastAsia"/>
                <w:bCs/>
                <w:color w:val="auto"/>
                <w:kern w:val="0"/>
                <w:sz w:val="20"/>
                <w:lang w:val="en-US" w:eastAsia="zh-CN"/>
              </w:rPr>
              <w:t>处理，本项目不接收到港船舶废水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COD</w:t>
            </w:r>
          </w:p>
        </w:tc>
        <w:tc>
          <w:tcPr>
            <w:tcW w:w="6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1.32t/a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color w:val="auto"/>
                <w:sz w:val="20"/>
                <w:vertAlign w:val="subscript"/>
              </w:rPr>
            </w:pPr>
          </w:p>
        </w:tc>
        <w:tc>
          <w:tcPr>
            <w:tcW w:w="667" w:type="pct"/>
            <w:vMerge w:val="continue"/>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BOD</w:t>
            </w:r>
            <w:r>
              <w:rPr>
                <w:rFonts w:hint="eastAsia"/>
                <w:color w:val="auto"/>
                <w:sz w:val="20"/>
                <w:vertAlign w:val="subscript"/>
                <w:lang w:val="en-US" w:eastAsia="zh-CN"/>
              </w:rPr>
              <w:t>5</w:t>
            </w:r>
          </w:p>
        </w:tc>
        <w:tc>
          <w:tcPr>
            <w:tcW w:w="668"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0.88t/a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rPr>
            </w:pPr>
          </w:p>
        </w:tc>
        <w:tc>
          <w:tcPr>
            <w:tcW w:w="667" w:type="pct"/>
            <w:vMerge w:val="continue"/>
            <w:noWrap w:val="0"/>
            <w:vAlign w:val="center"/>
          </w:tcPr>
          <w:p>
            <w:pPr>
              <w:widowControl w:val="0"/>
              <w:spacing w:line="260" w:lineRule="exact"/>
              <w:jc w:val="center"/>
              <w:rPr>
                <w:rFonts w:hint="default" w:ascii="Times New Roman" w:hAnsi="Times New Roman" w:eastAsia="宋体" w:cs="Times New Roman"/>
                <w:color w:val="auto"/>
                <w:kern w:val="2"/>
                <w:sz w:val="20"/>
                <w:lang w:val="en-US" w:eastAsia="zh-CN" w:bidi="ar-SA"/>
              </w:rPr>
            </w:pP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NH</w:t>
            </w:r>
            <w:r>
              <w:rPr>
                <w:rFonts w:hint="eastAsia"/>
                <w:color w:val="auto"/>
                <w:sz w:val="20"/>
                <w:vertAlign w:val="subscript"/>
                <w:lang w:val="en-US" w:eastAsia="zh-CN"/>
              </w:rPr>
              <w:t>3</w:t>
            </w:r>
            <w:r>
              <w:rPr>
                <w:rFonts w:hint="eastAsia"/>
                <w:color w:val="auto"/>
                <w:sz w:val="20"/>
                <w:lang w:val="en-US" w:eastAsia="zh-CN"/>
              </w:rPr>
              <w:t>-N</w:t>
            </w:r>
          </w:p>
        </w:tc>
        <w:tc>
          <w:tcPr>
            <w:tcW w:w="668"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0.154t/a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eastAsia="宋体"/>
                <w:color w:val="auto"/>
                <w:sz w:val="20"/>
                <w:szCs w:val="21"/>
                <w:lang w:val="en-US" w:eastAsia="zh-CN"/>
              </w:rPr>
            </w:pPr>
          </w:p>
        </w:tc>
        <w:tc>
          <w:tcPr>
            <w:tcW w:w="667" w:type="pct"/>
            <w:vMerge w:val="restart"/>
            <w:noWrap w:val="0"/>
            <w:vAlign w:val="center"/>
          </w:tcPr>
          <w:p>
            <w:pPr>
              <w:widowControl w:val="0"/>
              <w:spacing w:line="260" w:lineRule="exac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船舶舱底油污水</w:t>
            </w:r>
          </w:p>
        </w:tc>
        <w:tc>
          <w:tcPr>
            <w:tcW w:w="1153" w:type="pct"/>
            <w:gridSpan w:val="2"/>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废水量</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kern w:val="0"/>
                <w:sz w:val="20"/>
                <w:lang w:val="en-US" w:eastAsia="zh-CN"/>
              </w:rPr>
              <w:t>1485.54t/a</w:t>
            </w:r>
          </w:p>
        </w:tc>
        <w:tc>
          <w:tcPr>
            <w:tcW w:w="642" w:type="pct"/>
            <w:noWrap w:val="0"/>
            <w:vAlign w:val="center"/>
          </w:tcPr>
          <w:p>
            <w:pPr>
              <w:widowControl w:val="0"/>
              <w:jc w:val="center"/>
              <w:rPr>
                <w:rFonts w:hint="default"/>
                <w:color w:val="auto"/>
                <w:kern w:val="0"/>
                <w:sz w:val="20"/>
                <w:lang w:val="en-US" w:eastAsia="zh-CN"/>
              </w:rPr>
            </w:pPr>
            <w:r>
              <w:rPr>
                <w:rFonts w:hint="eastAsia"/>
                <w:color w:val="auto"/>
                <w:kern w:val="0"/>
                <w:sz w:val="20"/>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eastAsia="宋体"/>
                <w:color w:val="auto"/>
                <w:sz w:val="20"/>
                <w:szCs w:val="21"/>
                <w:lang w:val="en-US" w:eastAsia="zh-CN"/>
              </w:rPr>
            </w:pPr>
          </w:p>
        </w:tc>
        <w:tc>
          <w:tcPr>
            <w:tcW w:w="667" w:type="pct"/>
            <w:vMerge w:val="continue"/>
            <w:noWrap w:val="0"/>
            <w:vAlign w:val="center"/>
          </w:tcPr>
          <w:p>
            <w:pPr>
              <w:widowControl w:val="0"/>
              <w:spacing w:line="260" w:lineRule="exact"/>
              <w:jc w:val="center"/>
              <w:rPr>
                <w:rFonts w:hint="eastAsia" w:ascii="Times New Roman" w:hAnsi="Times New Roman" w:eastAsia="宋体" w:cs="Times New Roman"/>
                <w:color w:val="auto"/>
                <w:kern w:val="2"/>
                <w:sz w:val="20"/>
                <w:lang w:val="en-US" w:eastAsia="zh-CN" w:bidi="ar-SA"/>
              </w:rPr>
            </w:pPr>
          </w:p>
        </w:tc>
        <w:tc>
          <w:tcPr>
            <w:tcW w:w="1153" w:type="pct"/>
            <w:gridSpan w:val="2"/>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石油类</w:t>
            </w:r>
          </w:p>
        </w:tc>
        <w:tc>
          <w:tcPr>
            <w:tcW w:w="668" w:type="pct"/>
            <w:noWrap w:val="0"/>
            <w:vAlign w:val="center"/>
          </w:tcPr>
          <w:p>
            <w:pPr>
              <w:widowControl w:val="0"/>
              <w:jc w:val="center"/>
              <w:rPr>
                <w:rFonts w:hint="default" w:eastAsia="宋体"/>
                <w:color w:val="auto"/>
                <w:kern w:val="0"/>
                <w:sz w:val="20"/>
                <w:lang w:val="en-US" w:eastAsia="zh-CN"/>
              </w:rPr>
            </w:pPr>
            <w:r>
              <w:rPr>
                <w:rFonts w:hint="eastAsia"/>
                <w:color w:val="auto"/>
                <w:kern w:val="0"/>
                <w:sz w:val="20"/>
                <w:lang w:val="en-US" w:eastAsia="zh-CN"/>
              </w:rPr>
              <w:t>7.428t/a</w:t>
            </w:r>
          </w:p>
        </w:tc>
        <w:tc>
          <w:tcPr>
            <w:tcW w:w="642" w:type="pct"/>
            <w:noWrap w:val="0"/>
            <w:vAlign w:val="center"/>
          </w:tcPr>
          <w:p>
            <w:pPr>
              <w:widowControl w:val="0"/>
              <w:jc w:val="center"/>
              <w:rPr>
                <w:rFonts w:hint="default"/>
                <w:color w:val="auto"/>
                <w:kern w:val="0"/>
                <w:sz w:val="20"/>
                <w:lang w:val="en-US" w:eastAsia="zh-CN"/>
              </w:rPr>
            </w:pPr>
            <w:r>
              <w:rPr>
                <w:rFonts w:hint="eastAsia"/>
                <w:color w:val="auto"/>
                <w:kern w:val="0"/>
                <w:sz w:val="20"/>
                <w:lang w:val="en-US" w:eastAsia="zh-CN"/>
              </w:rPr>
              <w:t>0</w:t>
            </w:r>
          </w:p>
        </w:tc>
        <w:tc>
          <w:tcPr>
            <w:tcW w:w="1453" w:type="pct"/>
            <w:vMerge w:val="continue"/>
            <w:noWrap w:val="0"/>
            <w:vAlign w:val="center"/>
          </w:tcPr>
          <w:p>
            <w:pPr>
              <w:widowControl w:val="0"/>
              <w:jc w:val="center"/>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415" w:type="pct"/>
            <w:noWrap w:val="0"/>
            <w:vAlign w:val="center"/>
          </w:tcPr>
          <w:p>
            <w:pPr>
              <w:widowControl w:val="0"/>
              <w:jc w:val="center"/>
              <w:rPr>
                <w:rFonts w:hint="eastAsia"/>
                <w:color w:val="auto"/>
                <w:sz w:val="20"/>
                <w:szCs w:val="21"/>
              </w:rPr>
            </w:pPr>
            <w:r>
              <w:rPr>
                <w:rFonts w:hint="eastAsia"/>
                <w:color w:val="auto"/>
                <w:sz w:val="20"/>
                <w:szCs w:val="21"/>
                <w:lang w:val="en-US" w:eastAsia="zh-CN"/>
              </w:rPr>
              <w:t>声环境</w:t>
            </w:r>
          </w:p>
        </w:tc>
        <w:tc>
          <w:tcPr>
            <w:tcW w:w="66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作业机械</w:t>
            </w:r>
          </w:p>
        </w:tc>
        <w:tc>
          <w:tcPr>
            <w:tcW w:w="1153" w:type="pct"/>
            <w:gridSpan w:val="2"/>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等效A声级</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78~85dB（A）</w:t>
            </w:r>
          </w:p>
        </w:tc>
        <w:tc>
          <w:tcPr>
            <w:tcW w:w="642" w:type="pc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63~70dB（A）</w:t>
            </w:r>
          </w:p>
        </w:tc>
        <w:tc>
          <w:tcPr>
            <w:tcW w:w="1453" w:type="pct"/>
            <w:noWrap w:val="0"/>
            <w:vAlign w:val="center"/>
          </w:tcPr>
          <w:p>
            <w:pPr>
              <w:widowControl w:val="0"/>
              <w:jc w:val="center"/>
              <w:rPr>
                <w:rFonts w:hint="eastAsia"/>
                <w:color w:val="auto"/>
                <w:sz w:val="20"/>
                <w:szCs w:val="21"/>
              </w:rPr>
            </w:pPr>
            <w:r>
              <w:rPr>
                <w:rFonts w:hint="eastAsia"/>
                <w:color w:val="auto"/>
                <w:sz w:val="20"/>
                <w:szCs w:val="21"/>
              </w:rPr>
              <w:t>选用低噪声设备、加消声器、构筑物基础隔震、吸声隔声措施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restart"/>
            <w:noWrap w:val="0"/>
            <w:vAlign w:val="center"/>
          </w:tcPr>
          <w:p>
            <w:pPr>
              <w:widowControl w:val="0"/>
              <w:jc w:val="center"/>
              <w:rPr>
                <w:color w:val="auto"/>
                <w:sz w:val="20"/>
                <w:szCs w:val="21"/>
              </w:rPr>
            </w:pPr>
            <w:r>
              <w:rPr>
                <w:rFonts w:hint="eastAsia"/>
                <w:color w:val="auto"/>
                <w:sz w:val="20"/>
                <w:szCs w:val="21"/>
                <w:lang w:val="en-US" w:eastAsia="zh-CN"/>
              </w:rPr>
              <w:t>固体废物</w:t>
            </w:r>
          </w:p>
        </w:tc>
        <w:tc>
          <w:tcPr>
            <w:tcW w:w="667"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生活垃圾</w:t>
            </w:r>
          </w:p>
        </w:tc>
        <w:tc>
          <w:tcPr>
            <w:tcW w:w="1153" w:type="pct"/>
            <w:gridSpan w:val="2"/>
            <w:noWrap w:val="0"/>
            <w:vAlign w:val="center"/>
          </w:tcPr>
          <w:p>
            <w:pPr>
              <w:widowControl w:val="0"/>
              <w:jc w:val="center"/>
              <w:rPr>
                <w:rFonts w:hint="eastAsia"/>
                <w:color w:val="auto"/>
                <w:sz w:val="20"/>
                <w:szCs w:val="21"/>
              </w:rPr>
            </w:pPr>
            <w:r>
              <w:rPr>
                <w:rFonts w:hint="eastAsia"/>
                <w:color w:val="auto"/>
                <w:sz w:val="20"/>
                <w:szCs w:val="21"/>
                <w:lang w:val="en-US" w:eastAsia="zh-CN"/>
              </w:rPr>
              <w:t>码头工作人员生活垃圾</w:t>
            </w:r>
          </w:p>
        </w:tc>
        <w:tc>
          <w:tcPr>
            <w:tcW w:w="6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14.85t/a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noWrap w:val="0"/>
            <w:vAlign w:val="center"/>
          </w:tcPr>
          <w:p>
            <w:pPr>
              <w:widowControl w:val="0"/>
              <w:spacing w:line="240" w:lineRule="auto"/>
              <w:jc w:val="center"/>
              <w:rPr>
                <w:rFonts w:hint="eastAsia"/>
                <w:color w:val="auto"/>
                <w:sz w:val="20"/>
                <w:szCs w:val="21"/>
              </w:rPr>
            </w:pPr>
            <w:r>
              <w:rPr>
                <w:rFonts w:hint="eastAsia"/>
                <w:b w:val="0"/>
                <w:bCs/>
                <w:color w:val="auto"/>
                <w:sz w:val="20"/>
                <w:szCs w:val="20"/>
                <w:lang w:val="en-US" w:eastAsia="zh-CN"/>
              </w:rPr>
              <w:t>集中收集后交由环卫部门处理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667"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一般固废</w:t>
            </w:r>
          </w:p>
        </w:tc>
        <w:tc>
          <w:tcPr>
            <w:tcW w:w="1153" w:type="pct"/>
            <w:gridSpan w:val="2"/>
            <w:noWrap w:val="0"/>
            <w:vAlign w:val="center"/>
          </w:tcPr>
          <w:p>
            <w:pPr>
              <w:widowControl w:val="0"/>
              <w:jc w:val="center"/>
              <w:rPr>
                <w:rFonts w:hint="eastAsia"/>
                <w:color w:val="auto"/>
                <w:sz w:val="20"/>
                <w:szCs w:val="21"/>
                <w:lang w:val="en-US" w:eastAsia="zh-CN"/>
              </w:rPr>
            </w:pPr>
            <w:r>
              <w:rPr>
                <w:rFonts w:hint="eastAsia"/>
                <w:b w:val="0"/>
                <w:bCs/>
                <w:color w:val="auto"/>
                <w:sz w:val="20"/>
                <w:szCs w:val="20"/>
                <w:lang w:val="en-US" w:eastAsia="zh-CN"/>
              </w:rPr>
              <w:t>除尘器收尘灰</w:t>
            </w:r>
          </w:p>
        </w:tc>
        <w:tc>
          <w:tcPr>
            <w:tcW w:w="668"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398t/a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noWrap w:val="0"/>
            <w:vAlign w:val="center"/>
          </w:tcPr>
          <w:p>
            <w:pPr>
              <w:widowControl w:val="0"/>
              <w:spacing w:line="240" w:lineRule="auto"/>
              <w:jc w:val="center"/>
              <w:rPr>
                <w:rFonts w:hint="default" w:eastAsia="宋体"/>
                <w:b w:val="0"/>
                <w:bCs/>
                <w:color w:val="auto"/>
                <w:sz w:val="20"/>
                <w:szCs w:val="20"/>
                <w:lang w:val="en-US" w:eastAsia="zh-CN"/>
              </w:rPr>
            </w:pPr>
            <w:r>
              <w:rPr>
                <w:rFonts w:hint="eastAsia"/>
                <w:b w:val="0"/>
                <w:bCs/>
                <w:color w:val="auto"/>
                <w:sz w:val="20"/>
                <w:szCs w:val="20"/>
                <w:lang w:val="en-US" w:eastAsia="zh-CN"/>
              </w:rPr>
              <w:t>定期清理后装船外售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667" w:type="pct"/>
            <w:vMerge w:val="continue"/>
            <w:noWrap w:val="0"/>
            <w:vAlign w:val="center"/>
          </w:tcPr>
          <w:p>
            <w:pPr>
              <w:widowControl w:val="0"/>
              <w:jc w:val="center"/>
              <w:rPr>
                <w:rFonts w:hint="eastAsia"/>
                <w:color w:val="auto"/>
                <w:sz w:val="20"/>
                <w:szCs w:val="21"/>
                <w:lang w:val="en-US" w:eastAsia="zh-CN"/>
              </w:rPr>
            </w:pPr>
          </w:p>
        </w:tc>
        <w:tc>
          <w:tcPr>
            <w:tcW w:w="1153" w:type="pct"/>
            <w:gridSpan w:val="2"/>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到港船舶生活垃圾</w:t>
            </w:r>
          </w:p>
        </w:tc>
        <w:tc>
          <w:tcPr>
            <w:tcW w:w="6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55.02t/a</w:t>
            </w:r>
          </w:p>
        </w:tc>
        <w:tc>
          <w:tcPr>
            <w:tcW w:w="642"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0</w:t>
            </w:r>
          </w:p>
        </w:tc>
        <w:tc>
          <w:tcPr>
            <w:tcW w:w="1453" w:type="pct"/>
            <w:noWrap w:val="0"/>
            <w:vAlign w:val="center"/>
          </w:tcPr>
          <w:p>
            <w:pPr>
              <w:widowControl w:val="0"/>
              <w:spacing w:line="240" w:lineRule="auto"/>
              <w:jc w:val="center"/>
              <w:rPr>
                <w:rFonts w:hint="eastAsia"/>
                <w:color w:val="auto"/>
                <w:sz w:val="20"/>
                <w:szCs w:val="21"/>
              </w:rPr>
            </w:pPr>
            <w:r>
              <w:rPr>
                <w:rFonts w:hint="default" w:eastAsia="宋体"/>
                <w:b w:val="0"/>
                <w:bCs/>
                <w:color w:val="auto"/>
                <w:sz w:val="20"/>
                <w:szCs w:val="20"/>
                <w:lang w:val="en-US" w:eastAsia="zh-CN"/>
              </w:rPr>
              <w:t>集中收集后交由交海事部门接收接收转运及处置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667" w:type="pct"/>
            <w:noWrap w:val="0"/>
            <w:vAlign w:val="center"/>
          </w:tcPr>
          <w:p>
            <w:pPr>
              <w:widowControl w:val="0"/>
              <w:jc w:val="center"/>
              <w:rPr>
                <w:rFonts w:hint="eastAsia"/>
                <w:color w:val="auto"/>
                <w:sz w:val="20"/>
                <w:szCs w:val="21"/>
                <w:lang w:val="en-US" w:eastAsia="zh-CN"/>
              </w:rPr>
            </w:pPr>
            <w:r>
              <w:rPr>
                <w:rFonts w:hint="eastAsia"/>
                <w:color w:val="auto"/>
                <w:sz w:val="20"/>
                <w:lang w:val="en-US" w:eastAsia="zh-CN"/>
              </w:rPr>
              <w:t>危险废物</w:t>
            </w:r>
          </w:p>
        </w:tc>
        <w:tc>
          <w:tcPr>
            <w:tcW w:w="1153" w:type="pct"/>
            <w:gridSpan w:val="2"/>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废机油</w:t>
            </w:r>
          </w:p>
        </w:tc>
        <w:tc>
          <w:tcPr>
            <w:tcW w:w="668" w:type="pct"/>
            <w:noWrap w:val="0"/>
            <w:vAlign w:val="center"/>
          </w:tcPr>
          <w:p>
            <w:pPr>
              <w:widowControl w:val="0"/>
              <w:jc w:val="center"/>
              <w:rPr>
                <w:rFonts w:hint="eastAsia"/>
                <w:color w:val="auto"/>
                <w:sz w:val="20"/>
                <w:szCs w:val="21"/>
              </w:rPr>
            </w:pPr>
            <w:r>
              <w:rPr>
                <w:rFonts w:hint="eastAsia"/>
                <w:color w:val="auto"/>
                <w:sz w:val="20"/>
                <w:szCs w:val="21"/>
                <w:lang w:val="en-US" w:eastAsia="zh-CN"/>
              </w:rPr>
              <w:t>0.5t/a</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0</w:t>
            </w:r>
          </w:p>
        </w:tc>
        <w:tc>
          <w:tcPr>
            <w:tcW w:w="1453" w:type="pct"/>
            <w:noWrap w:val="0"/>
            <w:vAlign w:val="center"/>
          </w:tcPr>
          <w:p>
            <w:pPr>
              <w:widowControl w:val="0"/>
              <w:spacing w:line="240" w:lineRule="auto"/>
              <w:jc w:val="center"/>
              <w:rPr>
                <w:rFonts w:hint="eastAsia"/>
                <w:color w:val="auto"/>
                <w:sz w:val="20"/>
                <w:szCs w:val="21"/>
              </w:rPr>
            </w:pPr>
            <w:r>
              <w:rPr>
                <w:rFonts w:hint="eastAsia"/>
                <w:b w:val="0"/>
                <w:bCs/>
                <w:color w:val="auto"/>
                <w:sz w:val="20"/>
                <w:szCs w:val="20"/>
                <w:lang w:val="en-US" w:eastAsia="zh-CN"/>
              </w:rPr>
              <w:t>定期交由有资质的单位处置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5" w:type="pct"/>
            <w:noWrap w:val="0"/>
            <w:vAlign w:val="center"/>
          </w:tcPr>
          <w:p>
            <w:pPr>
              <w:widowControl w:val="0"/>
              <w:jc w:val="center"/>
              <w:rPr>
                <w:color w:val="auto"/>
                <w:sz w:val="20"/>
                <w:szCs w:val="21"/>
              </w:rPr>
            </w:pPr>
            <w:r>
              <w:rPr>
                <w:rFonts w:hint="eastAsia"/>
                <w:color w:val="auto"/>
                <w:sz w:val="20"/>
                <w:szCs w:val="21"/>
                <w:lang w:val="en-US" w:eastAsia="zh-CN"/>
              </w:rPr>
              <w:t>事故风险</w:t>
            </w:r>
          </w:p>
        </w:tc>
        <w:tc>
          <w:tcPr>
            <w:tcW w:w="667" w:type="pct"/>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溢油事故</w:t>
            </w:r>
          </w:p>
        </w:tc>
        <w:tc>
          <w:tcPr>
            <w:tcW w:w="1153" w:type="pct"/>
            <w:gridSpan w:val="2"/>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石油类</w:t>
            </w:r>
          </w:p>
        </w:tc>
        <w:tc>
          <w:tcPr>
            <w:tcW w:w="668" w:type="pct"/>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w:t>
            </w:r>
          </w:p>
        </w:tc>
        <w:tc>
          <w:tcPr>
            <w:tcW w:w="642"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w:t>
            </w:r>
          </w:p>
        </w:tc>
        <w:tc>
          <w:tcPr>
            <w:tcW w:w="1453"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火灾应急措施</w:t>
            </w:r>
          </w:p>
        </w:tc>
      </w:tr>
    </w:tbl>
    <w:p>
      <w:pPr>
        <w:widowControl w:val="0"/>
        <w:spacing w:line="360" w:lineRule="auto"/>
        <w:ind w:firstLine="480" w:firstLineChars="200"/>
        <w:rPr>
          <w:rFonts w:hint="eastAsia" w:eastAsia="仿宋_GB2312"/>
          <w:color w:val="auto"/>
          <w:sz w:val="24"/>
          <w:szCs w:val="24"/>
        </w:rPr>
      </w:pPr>
    </w:p>
    <w:p>
      <w:pPr>
        <w:widowControl w:val="0"/>
        <w:spacing w:line="360" w:lineRule="auto"/>
        <w:ind w:firstLine="480" w:firstLineChars="200"/>
        <w:jc w:val="both"/>
        <w:rPr>
          <w:rFonts w:eastAsia="仿宋_GB2312"/>
          <w:color w:val="auto"/>
          <w:sz w:val="24"/>
        </w:rPr>
        <w:sectPr>
          <w:headerReference r:id="rId15"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319"/>
    <w:bookmarkEnd w:id="328"/>
    <w:p>
      <w:pPr>
        <w:widowControl w:val="0"/>
        <w:spacing w:before="240" w:after="240" w:line="360" w:lineRule="auto"/>
        <w:jc w:val="center"/>
        <w:outlineLvl w:val="0"/>
        <w:rPr>
          <w:rFonts w:hint="default" w:eastAsia="黑体"/>
          <w:color w:val="auto"/>
          <w:sz w:val="44"/>
          <w:szCs w:val="44"/>
          <w:lang w:val="en-US" w:eastAsia="zh-CN"/>
        </w:rPr>
      </w:pPr>
      <w:bookmarkStart w:id="329" w:name="_Toc2216"/>
      <w:r>
        <w:rPr>
          <w:rFonts w:eastAsia="黑体"/>
          <w:color w:val="auto"/>
          <w:sz w:val="44"/>
          <w:szCs w:val="44"/>
        </w:rPr>
        <w:t>4</w:t>
      </w:r>
      <w:r>
        <w:rPr>
          <w:rFonts w:hint="eastAsia" w:eastAsia="黑体"/>
          <w:color w:val="auto"/>
          <w:sz w:val="44"/>
          <w:szCs w:val="44"/>
          <w:lang w:val="en-US" w:eastAsia="zh-CN"/>
        </w:rPr>
        <w:t>环境现状调查与评价</w:t>
      </w:r>
      <w:bookmarkEnd w:id="329"/>
    </w:p>
    <w:bookmarkEnd w:id="309"/>
    <w:bookmarkEnd w:id="310"/>
    <w:bookmarkEnd w:id="311"/>
    <w:p>
      <w:pPr>
        <w:pStyle w:val="8"/>
        <w:widowControl w:val="0"/>
        <w:spacing w:before="120" w:after="120" w:line="360" w:lineRule="auto"/>
        <w:rPr>
          <w:rFonts w:ascii="Times New Roman" w:hAnsi="Times New Roman"/>
          <w:b w:val="0"/>
          <w:color w:val="auto"/>
          <w:szCs w:val="32"/>
        </w:rPr>
      </w:pPr>
      <w:bookmarkStart w:id="330" w:name="_Toc14971265"/>
      <w:bookmarkStart w:id="331" w:name="_Toc13071"/>
      <w:bookmarkStart w:id="332" w:name="_Toc444681028"/>
      <w:r>
        <w:rPr>
          <w:rFonts w:ascii="Times New Roman" w:hAnsi="Times New Roman"/>
          <w:b w:val="0"/>
          <w:color w:val="auto"/>
          <w:szCs w:val="32"/>
        </w:rPr>
        <w:t>4.1自然环境概况</w:t>
      </w:r>
      <w:bookmarkEnd w:id="330"/>
      <w:bookmarkEnd w:id="331"/>
    </w:p>
    <w:p>
      <w:pPr>
        <w:pStyle w:val="9"/>
        <w:spacing w:before="120" w:after="120" w:line="360" w:lineRule="auto"/>
        <w:rPr>
          <w:rFonts w:eastAsia="黑体"/>
          <w:b w:val="0"/>
          <w:color w:val="auto"/>
          <w:sz w:val="24"/>
        </w:rPr>
      </w:pPr>
      <w:bookmarkStart w:id="333" w:name="_Toc7925"/>
      <w:bookmarkStart w:id="334" w:name="_Toc14971266"/>
      <w:r>
        <w:rPr>
          <w:rFonts w:eastAsia="黑体"/>
          <w:b w:val="0"/>
          <w:color w:val="auto"/>
          <w:sz w:val="24"/>
        </w:rPr>
        <w:t>4.1.1地埋位置</w:t>
      </w:r>
      <w:bookmarkEnd w:id="333"/>
      <w:bookmarkEnd w:id="334"/>
    </w:p>
    <w:p>
      <w:pPr>
        <w:widowControl w:val="0"/>
        <w:spacing w:line="360" w:lineRule="auto"/>
        <w:ind w:firstLine="480" w:firstLineChars="200"/>
        <w:jc w:val="both"/>
        <w:rPr>
          <w:rFonts w:eastAsia="仿宋_GB2312"/>
          <w:bCs/>
          <w:color w:val="auto"/>
          <w:sz w:val="24"/>
        </w:rPr>
      </w:pPr>
      <w:r>
        <w:rPr>
          <w:rFonts w:hint="eastAsia" w:eastAsia="仿宋_GB2312"/>
          <w:bCs/>
          <w:color w:val="auto"/>
          <w:sz w:val="24"/>
        </w:rPr>
        <w:t>宜昌市位于湖北省西部，长江上游与中游分界处，地理坐标为东经</w:t>
      </w:r>
      <w:r>
        <w:rPr>
          <w:rFonts w:hint="default" w:ascii="Times New Roman" w:hAnsi="Times New Roman" w:eastAsia="仿宋_GB2312" w:cs="Times New Roman"/>
          <w:bCs/>
          <w:color w:val="auto"/>
          <w:sz w:val="24"/>
        </w:rPr>
        <w:t>110°15′～112°04′，北纬29°56′~31°34′之间</w:t>
      </w:r>
      <w:r>
        <w:rPr>
          <w:rFonts w:hint="eastAsia" w:eastAsia="仿宋_GB2312"/>
          <w:bCs/>
          <w:color w:val="auto"/>
          <w:sz w:val="24"/>
        </w:rPr>
        <w:t>，东接荆州，北邻襄阳和神农架，南及西北毗邻湘西和鄂西自治州，西与川东部分地区相接。现辖远安、兴山、长阳、五峰、秭归五个县，宜都、枝江、当阳三个县级市，夷陵、西陵、伍家岗、点军、猇亭五个市辖区</w:t>
      </w:r>
      <w:r>
        <w:rPr>
          <w:rFonts w:eastAsia="仿宋_GB2312"/>
          <w:bCs/>
          <w:color w:val="auto"/>
          <w:sz w:val="24"/>
        </w:rPr>
        <w:t>。</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宜都</w:t>
      </w:r>
      <w:r>
        <w:rPr>
          <w:rFonts w:hint="eastAsia" w:eastAsia="仿宋_GB2312"/>
          <w:bCs/>
          <w:color w:val="auto"/>
          <w:sz w:val="24"/>
          <w:lang w:val="en-US" w:eastAsia="zh-CN"/>
        </w:rPr>
        <w:t>市</w:t>
      </w:r>
      <w:r>
        <w:rPr>
          <w:rFonts w:hint="eastAsia" w:eastAsia="仿宋_GB2312"/>
          <w:bCs/>
          <w:color w:val="auto"/>
          <w:sz w:val="24"/>
        </w:rPr>
        <w:t>位于鄂西南长江中游南岸，地处江汉平原向鄂西南山地过渡地带，东隔长江与宜昌市猇亭区、枝江市相望，东南邻松滋市，西南、正西与五峰土家族自治县、长阳土家族自治县交界，北与宜昌市点军区接壤，介于东经</w:t>
      </w:r>
      <w:r>
        <w:rPr>
          <w:rFonts w:hint="default" w:ascii="Times New Roman" w:hAnsi="Times New Roman" w:eastAsia="仿宋_GB2312" w:cs="Times New Roman"/>
          <w:bCs/>
          <w:color w:val="auto"/>
          <w:sz w:val="24"/>
        </w:rPr>
        <w:t>110°05′-111°36′，北纬30°05′-30°36′</w:t>
      </w:r>
      <w:r>
        <w:rPr>
          <w:rFonts w:hint="eastAsia" w:eastAsia="仿宋_GB2312"/>
          <w:bCs/>
          <w:color w:val="auto"/>
          <w:sz w:val="24"/>
        </w:rPr>
        <w:t>之间。</w:t>
      </w:r>
    </w:p>
    <w:p>
      <w:pPr>
        <w:widowControl w:val="0"/>
        <w:spacing w:line="360" w:lineRule="auto"/>
        <w:ind w:firstLine="480" w:firstLineChars="200"/>
        <w:jc w:val="both"/>
        <w:rPr>
          <w:rFonts w:eastAsia="仿宋_GB2312"/>
          <w:bCs/>
          <w:color w:val="auto"/>
          <w:sz w:val="24"/>
        </w:rPr>
      </w:pPr>
      <w:r>
        <w:rPr>
          <w:rFonts w:hint="eastAsia" w:eastAsia="仿宋_GB2312"/>
          <w:bCs/>
          <w:color w:val="auto"/>
          <w:sz w:val="24"/>
        </w:rPr>
        <w:t>宜都市版图总面积1357平方千米，下辖1个街道、8个镇、1个乡，户籍总人口39万人。自古就有“楚蜀咽喉”、“三峡门城”、“鄂西门户”的美誉,三座长江大桥贯穿南北，黄金水道沟通西东，高速、高铁、三峡国际机场联通内外，是长江经济带、鄂西生态文化旅游圈、三峡城市群节点城市。</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本项目位于在宜昌港宜都港区洋溪村附近，距宜都城区15km左右、上距枝城长江大桥约5km，</w:t>
      </w:r>
      <w:r>
        <w:rPr>
          <w:rFonts w:hint="eastAsia" w:eastAsia="仿宋_GB2312"/>
          <w:bCs/>
          <w:color w:val="auto"/>
          <w:sz w:val="24"/>
          <w:lang w:val="en-US" w:eastAsia="zh-CN"/>
        </w:rPr>
        <w:t>位于</w:t>
      </w:r>
      <w:r>
        <w:rPr>
          <w:rFonts w:hint="eastAsia" w:eastAsia="仿宋_GB2312"/>
          <w:bCs/>
          <w:color w:val="auto"/>
          <w:sz w:val="24"/>
        </w:rPr>
        <w:t>长江右岸，地理位置见附图一。</w:t>
      </w:r>
    </w:p>
    <w:p>
      <w:pPr>
        <w:keepNext/>
        <w:keepLines/>
        <w:widowControl w:val="0"/>
        <w:spacing w:before="156" w:beforeLines="50" w:after="156" w:afterLines="50" w:line="360" w:lineRule="auto"/>
        <w:jc w:val="both"/>
        <w:outlineLvl w:val="2"/>
        <w:rPr>
          <w:rFonts w:hint="eastAsia" w:eastAsia="黑体"/>
          <w:color w:val="auto"/>
          <w:sz w:val="24"/>
          <w:lang w:eastAsia="zh-CN"/>
        </w:rPr>
      </w:pPr>
      <w:bookmarkStart w:id="335" w:name="_Toc14971267"/>
      <w:bookmarkStart w:id="336" w:name="_Toc446961465"/>
      <w:bookmarkStart w:id="337" w:name="_Toc17250"/>
      <w:r>
        <w:rPr>
          <w:rFonts w:eastAsia="黑体"/>
          <w:color w:val="auto"/>
          <w:sz w:val="24"/>
        </w:rPr>
        <w:t>4.1.2</w:t>
      </w:r>
      <w:bookmarkEnd w:id="335"/>
      <w:bookmarkEnd w:id="336"/>
      <w:r>
        <w:rPr>
          <w:rFonts w:hint="eastAsia" w:eastAsia="黑体"/>
          <w:color w:val="auto"/>
          <w:sz w:val="24"/>
          <w:lang w:val="en-US" w:eastAsia="zh-CN"/>
        </w:rPr>
        <w:t>气象气候</w:t>
      </w:r>
      <w:bookmarkEnd w:id="337"/>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本河段气候温暖湿润，春夏多雨，盛夏炎热，秋季干燥，冬季温和，无霜期长，属热带大陆性季风气候，具有气候适宜，四季分明的特点。其气象特征如下（根据宜都市枝城区多年统计资料）。</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lang w:eastAsia="zh-CN"/>
        </w:rPr>
        <w:t>（</w:t>
      </w:r>
      <w:r>
        <w:rPr>
          <w:rFonts w:hint="eastAsia" w:eastAsia="仿宋_GB2312"/>
          <w:bCs/>
          <w:color w:val="auto"/>
          <w:sz w:val="24"/>
          <w:lang w:val="en-US" w:eastAsia="zh-CN"/>
        </w:rPr>
        <w:t>1</w:t>
      </w:r>
      <w:r>
        <w:rPr>
          <w:rFonts w:hint="eastAsia" w:eastAsia="仿宋_GB2312"/>
          <w:bCs/>
          <w:color w:val="auto"/>
          <w:sz w:val="24"/>
          <w:lang w:eastAsia="zh-CN"/>
        </w:rPr>
        <w:t>）</w:t>
      </w:r>
      <w:r>
        <w:rPr>
          <w:rFonts w:hint="eastAsia" w:eastAsia="仿宋_GB2312"/>
          <w:bCs/>
          <w:color w:val="auto"/>
          <w:sz w:val="24"/>
        </w:rPr>
        <w:t>气温</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最高气温               39.6℃</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最低气温              -13.8℃</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 xml:space="preserve">年平均气温            </w:t>
      </w:r>
      <w:r>
        <w:rPr>
          <w:rFonts w:hint="eastAsia" w:eastAsia="仿宋_GB2312"/>
          <w:bCs/>
          <w:color w:val="auto"/>
          <w:sz w:val="24"/>
          <w:lang w:val="en-US" w:eastAsia="zh-CN"/>
        </w:rPr>
        <w:t xml:space="preserve"> </w:t>
      </w:r>
      <w:r>
        <w:rPr>
          <w:rFonts w:hint="eastAsia" w:eastAsia="仿宋_GB2312"/>
          <w:bCs/>
          <w:color w:val="auto"/>
          <w:sz w:val="24"/>
        </w:rPr>
        <w:t>16.7℃</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lang w:eastAsia="zh-CN"/>
        </w:rPr>
        <w:t>（</w:t>
      </w:r>
      <w:r>
        <w:rPr>
          <w:rFonts w:hint="eastAsia" w:eastAsia="仿宋_GB2312"/>
          <w:bCs/>
          <w:color w:val="auto"/>
          <w:sz w:val="24"/>
          <w:lang w:val="en-US" w:eastAsia="zh-CN"/>
        </w:rPr>
        <w:t>2</w:t>
      </w:r>
      <w:r>
        <w:rPr>
          <w:rFonts w:hint="eastAsia" w:eastAsia="仿宋_GB2312"/>
          <w:bCs/>
          <w:color w:val="auto"/>
          <w:sz w:val="24"/>
          <w:lang w:eastAsia="zh-CN"/>
        </w:rPr>
        <w:t>）</w:t>
      </w:r>
      <w:r>
        <w:rPr>
          <w:rFonts w:hint="eastAsia" w:eastAsia="仿宋_GB2312"/>
          <w:bCs/>
          <w:color w:val="auto"/>
          <w:sz w:val="24"/>
        </w:rPr>
        <w:t>降水</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年最大降雨量           1775.4mm</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年最小降雨量           757.2mm</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年平均降雨量           1253.6mm</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日最大降雨量           183.9mm</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年平均降雨天数         103.5天</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连续最长降雨天数       18天</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lang w:eastAsia="zh-CN"/>
        </w:rPr>
        <w:t>（</w:t>
      </w:r>
      <w:r>
        <w:rPr>
          <w:rFonts w:hint="eastAsia" w:eastAsia="仿宋_GB2312"/>
          <w:bCs/>
          <w:color w:val="auto"/>
          <w:sz w:val="24"/>
          <w:lang w:val="en-US" w:eastAsia="zh-CN"/>
        </w:rPr>
        <w:t>3</w:t>
      </w:r>
      <w:r>
        <w:rPr>
          <w:rFonts w:hint="eastAsia" w:eastAsia="仿宋_GB2312"/>
          <w:bCs/>
          <w:color w:val="auto"/>
          <w:sz w:val="24"/>
          <w:lang w:eastAsia="zh-CN"/>
        </w:rPr>
        <w:t>）</w:t>
      </w:r>
      <w:r>
        <w:rPr>
          <w:rFonts w:hint="eastAsia" w:eastAsia="仿宋_GB2312"/>
          <w:bCs/>
          <w:color w:val="auto"/>
          <w:sz w:val="24"/>
        </w:rPr>
        <w:t>风况</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常年风向为南北风，强风为东北风，夏季为东南风。</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最大风速：        20m/s（1975年7月4日）。</w:t>
      </w:r>
    </w:p>
    <w:p>
      <w:pPr>
        <w:widowControl w:val="0"/>
        <w:spacing w:line="360" w:lineRule="auto"/>
        <w:ind w:firstLine="480" w:firstLineChars="200"/>
        <w:jc w:val="both"/>
        <w:rPr>
          <w:rFonts w:hint="eastAsia" w:eastAsia="仿宋_GB2312"/>
          <w:bCs/>
          <w:color w:val="auto"/>
          <w:sz w:val="24"/>
        </w:rPr>
      </w:pPr>
      <w:r>
        <w:rPr>
          <w:rFonts w:hint="eastAsia" w:eastAsia="仿宋_GB2312"/>
          <w:bCs/>
          <w:color w:val="auto"/>
          <w:sz w:val="24"/>
        </w:rPr>
        <w:t>年平均风速：      0.8～1.2m/s，常年主导风向为ＥＳ风，频率14%。</w:t>
      </w:r>
    </w:p>
    <w:p>
      <w:pPr>
        <w:adjustRightInd w:val="0"/>
        <w:spacing w:line="360" w:lineRule="auto"/>
        <w:ind w:firstLine="480" w:firstLineChars="200"/>
        <w:contextualSpacing/>
        <w:jc w:val="both"/>
        <w:rPr>
          <w:rFonts w:hint="eastAsia" w:eastAsia="仿宋_GB2312"/>
          <w:bCs/>
          <w:color w:val="auto"/>
          <w:sz w:val="24"/>
        </w:rPr>
      </w:pPr>
      <w:r>
        <w:rPr>
          <w:rFonts w:hint="eastAsia" w:eastAsia="仿宋_GB2312"/>
          <w:bCs/>
          <w:color w:val="auto"/>
          <w:sz w:val="24"/>
        </w:rPr>
        <w:t>冬季主导风向：     为WN风。</w:t>
      </w:r>
    </w:p>
    <w:p>
      <w:pPr>
        <w:adjustRightInd w:val="0"/>
        <w:spacing w:line="360" w:lineRule="auto"/>
        <w:ind w:firstLine="480" w:firstLineChars="200"/>
        <w:contextualSpacing/>
        <w:jc w:val="both"/>
        <w:rPr>
          <w:rFonts w:hint="eastAsia" w:eastAsia="仿宋_GB2312"/>
          <w:bCs/>
          <w:color w:val="auto"/>
          <w:sz w:val="24"/>
        </w:rPr>
      </w:pPr>
      <w:r>
        <w:rPr>
          <w:rFonts w:hint="eastAsia" w:eastAsia="仿宋_GB2312"/>
          <w:bCs/>
          <w:color w:val="auto"/>
          <w:sz w:val="24"/>
        </w:rPr>
        <w:t>工程区风玫瑰图见下图。</w:t>
      </w:r>
    </w:p>
    <w:p>
      <w:pPr>
        <w:adjustRightInd w:val="0"/>
        <w:spacing w:line="360" w:lineRule="auto"/>
        <w:ind w:firstLine="420" w:firstLineChars="200"/>
        <w:contextualSpacing/>
        <w:jc w:val="center"/>
        <w:rPr>
          <w:rFonts w:ascii="Times New Roman"/>
          <w:color w:val="auto"/>
        </w:rPr>
      </w:pPr>
      <w:r>
        <w:rPr>
          <w:rFonts w:ascii="Times New Roman"/>
          <w:color w:val="auto"/>
        </w:rPr>
        <w:object>
          <v:shape id="_x0000_i1035" o:spt="75" type="#_x0000_t75" style="height:124.15pt;width:180.35pt;" o:ole="t" filled="f" stroked="f" coordsize="21600,21600">
            <v:path/>
            <v:fill on="f" focussize="0,0"/>
            <v:stroke on="f"/>
            <v:imagedata r:id="rId53" cropleft="24325f" croptop="11544f" cropright="20010f" cropbottom="28914f" o:title=""/>
            <o:lock v:ext="edit" aspectratio="t"/>
            <w10:wrap type="none"/>
            <w10:anchorlock/>
          </v:shape>
          <o:OLEObject Type="Embed" ProgID="Equation.3" ShapeID="_x0000_i1035" DrawAspect="Content" ObjectID="_1468075735" r:id="rId52">
            <o:LockedField>false</o:LockedField>
          </o:OLEObject>
        </w:object>
      </w:r>
    </w:p>
    <w:p>
      <w:pPr>
        <w:widowControl w:val="0"/>
        <w:spacing w:line="360" w:lineRule="auto"/>
        <w:jc w:val="center"/>
        <w:rPr>
          <w:rFonts w:ascii="Times New Roman" w:hAnsi="Times New Roman" w:eastAsia="黑体" w:cs="Times New Roman"/>
          <w:b/>
          <w:color w:val="auto"/>
          <w:szCs w:val="21"/>
        </w:rPr>
      </w:pPr>
      <w:r>
        <w:rPr>
          <w:rFonts w:ascii="Times New Roman" w:hAnsi="Times New Roman" w:eastAsia="黑体" w:cs="Times New Roman"/>
          <w:b/>
          <w:color w:val="auto"/>
          <w:szCs w:val="21"/>
        </w:rPr>
        <w:t>图</w:t>
      </w:r>
      <w:r>
        <w:rPr>
          <w:rFonts w:hint="eastAsia" w:ascii="Times New Roman" w:hAnsi="Times New Roman" w:eastAsia="黑体" w:cs="Times New Roman"/>
          <w:b/>
          <w:color w:val="auto"/>
          <w:szCs w:val="21"/>
          <w:lang w:val="en-US" w:eastAsia="zh-CN"/>
        </w:rPr>
        <w:t>4</w:t>
      </w:r>
      <w:r>
        <w:rPr>
          <w:rFonts w:ascii="Times New Roman" w:hAnsi="Times New Roman" w:eastAsia="黑体" w:cs="Times New Roman"/>
          <w:b/>
          <w:color w:val="auto"/>
          <w:szCs w:val="21"/>
        </w:rPr>
        <w:t>.1-1  工程区风玫瑰图</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lang w:eastAsia="zh-CN"/>
        </w:rPr>
        <w:t>（</w:t>
      </w:r>
      <w:r>
        <w:rPr>
          <w:rFonts w:hint="eastAsia" w:ascii="Times New Roman" w:hAnsi="Times New Roman" w:eastAsia="仿宋_GB2312" w:cs="Times New Roman"/>
          <w:bCs/>
          <w:color w:val="auto"/>
          <w:sz w:val="24"/>
          <w:lang w:val="en-US" w:eastAsia="zh-CN"/>
        </w:rPr>
        <w:t>4</w:t>
      </w:r>
      <w:r>
        <w:rPr>
          <w:rFonts w:hint="eastAsia" w:ascii="Times New Roman" w:hAnsi="Times New Roman" w:eastAsia="仿宋_GB2312" w:cs="Times New Roman"/>
          <w:bCs/>
          <w:color w:val="auto"/>
          <w:sz w:val="24"/>
          <w:lang w:eastAsia="zh-CN"/>
        </w:rPr>
        <w:t>）</w:t>
      </w:r>
      <w:r>
        <w:rPr>
          <w:rFonts w:hint="eastAsia" w:ascii="Times New Roman" w:hAnsi="Times New Roman" w:eastAsia="仿宋_GB2312" w:cs="Times New Roman"/>
          <w:bCs/>
          <w:color w:val="auto"/>
          <w:sz w:val="24"/>
        </w:rPr>
        <w:t>雾况</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年平均雾日              30.3天</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持续4小时以上年均雾日  3.5天</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lang w:eastAsia="zh-CN"/>
        </w:rPr>
        <w:t>（</w:t>
      </w:r>
      <w:r>
        <w:rPr>
          <w:rFonts w:hint="eastAsia" w:ascii="Times New Roman" w:hAnsi="Times New Roman" w:eastAsia="仿宋_GB2312" w:cs="Times New Roman"/>
          <w:bCs/>
          <w:color w:val="auto"/>
          <w:sz w:val="24"/>
          <w:lang w:val="en-US" w:eastAsia="zh-CN"/>
        </w:rPr>
        <w:t>5</w:t>
      </w:r>
      <w:r>
        <w:rPr>
          <w:rFonts w:hint="eastAsia" w:ascii="Times New Roman" w:hAnsi="Times New Roman" w:eastAsia="仿宋_GB2312" w:cs="Times New Roman"/>
          <w:bCs/>
          <w:color w:val="auto"/>
          <w:sz w:val="24"/>
          <w:lang w:eastAsia="zh-CN"/>
        </w:rPr>
        <w:t>）</w:t>
      </w:r>
      <w:r>
        <w:rPr>
          <w:rFonts w:hint="eastAsia" w:ascii="Times New Roman" w:hAnsi="Times New Roman" w:eastAsia="仿宋_GB2312" w:cs="Times New Roman"/>
          <w:bCs/>
          <w:color w:val="auto"/>
          <w:sz w:val="24"/>
        </w:rPr>
        <w:t>相对湿度</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宜都市相对湿度在74～83%之间，年均湿度为78%。</w:t>
      </w:r>
    </w:p>
    <w:p>
      <w:pPr>
        <w:keepNext/>
        <w:keepLines/>
        <w:widowControl w:val="0"/>
        <w:spacing w:before="156" w:beforeLines="50" w:after="156" w:afterLines="50" w:line="360" w:lineRule="auto"/>
        <w:jc w:val="both"/>
        <w:outlineLvl w:val="2"/>
        <w:rPr>
          <w:rFonts w:eastAsia="黑体"/>
          <w:color w:val="auto"/>
          <w:sz w:val="24"/>
        </w:rPr>
      </w:pPr>
      <w:bookmarkStart w:id="338" w:name="_Toc24946"/>
      <w:bookmarkStart w:id="339" w:name="_Toc14971268"/>
      <w:bookmarkStart w:id="340" w:name="_Toc446961466"/>
      <w:r>
        <w:rPr>
          <w:rFonts w:eastAsia="黑体"/>
          <w:color w:val="auto"/>
          <w:sz w:val="24"/>
        </w:rPr>
        <w:t>4.1.3水文</w:t>
      </w:r>
      <w:bookmarkEnd w:id="338"/>
      <w:bookmarkEnd w:id="339"/>
      <w:bookmarkEnd w:id="340"/>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（1）水位特征值（1985国家高程基准，下同）</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历年最高洪水位：48.62m(1981.7.19）</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历年最低枯水位：34.88m(1979.3.9)</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多年平均水位：39.56m</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历年最大水位差：13.74m</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（2）设计水位</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本次设计水位计算采用宜昌、枝城水文站实测水位、流量资料进行相应标准的基本站设计水位计算，然后按比降推算至拟建码头。</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拟建码头位于三峡大坝下游近坝河段，三峡工程已于2003年6月开始蓄水，2009年建成使用。三峡工程蓄水后，改变了下游河段水、沙特性。拟建码头设计水位结合三峡工程运行以后水沙变化、水库运行调度及河床冲淤情况分析确定。</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设计高水位：</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拟建码头均为为平原河流二类码头，根据《河港工程总体设计规范》（JTJ212-2006），平原河流二类码头设计高水位的计算标准为重现期二十年一遇。</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三峡工程的运行方式为“蓄清排浑”，一般年份，汛期6～9月份，建库前后下泄流量基本不变，只有当枝城站下泄流量超过56700m</w:t>
      </w:r>
      <w:r>
        <w:rPr>
          <w:rFonts w:hint="eastAsia" w:eastAsia="仿宋_GB2312" w:cs="Times New Roman"/>
          <w:bCs/>
          <w:color w:val="auto"/>
          <w:sz w:val="24"/>
          <w:vertAlign w:val="superscript"/>
          <w:lang w:val="en-US" w:eastAsia="zh-CN"/>
        </w:rPr>
        <w:t>3</w:t>
      </w:r>
      <w:r>
        <w:rPr>
          <w:rFonts w:hint="eastAsia" w:ascii="Times New Roman" w:hAnsi="Times New Roman" w:eastAsia="仿宋_GB2312" w:cs="Times New Roman"/>
          <w:bCs/>
          <w:color w:val="auto"/>
          <w:sz w:val="24"/>
        </w:rPr>
        <w:t>/s时，水库才起消峰作用。根据《宜昌港宜都港区石鼓作业区综合码头工程防洪评价报告》，本码头设计高水位采用下泄流量为56700m</w:t>
      </w:r>
      <w:r>
        <w:rPr>
          <w:rFonts w:hint="eastAsia" w:eastAsia="仿宋_GB2312" w:cs="Times New Roman"/>
          <w:bCs/>
          <w:color w:val="auto"/>
          <w:sz w:val="24"/>
          <w:vertAlign w:val="superscript"/>
          <w:lang w:val="en-US" w:eastAsia="zh-CN"/>
        </w:rPr>
        <w:t>3</w:t>
      </w:r>
      <w:r>
        <w:rPr>
          <w:rFonts w:hint="eastAsia" w:ascii="Times New Roman" w:hAnsi="Times New Roman" w:eastAsia="仿宋_GB2312" w:cs="Times New Roman"/>
          <w:bCs/>
          <w:color w:val="auto"/>
          <w:sz w:val="24"/>
        </w:rPr>
        <w:t>/s时码头处对应的水位。取48.90m。</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设计低水位：</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根据《河港工程总体设计规范》（JTJ212-2006），河港码头设计低水位应与所在航道的设计最低通航水位相一致，最低通航水位可采用综合历时曲线法，拟建码头所在河段航道等级为Ⅰ级航道，采用综合历时曲线法，最低通行水位的综合历时保证率为98%。</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根据上述标准，设计低水位的确定主要有以下两种情况：</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①长江航道局2010年修订的航线基准面，工程处航线基准面水位为35.14m；</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②拟建码头位于近坝段，三峡工程建成后，受水库下泄清水影响，河床将发生冲刷，引桥同流量水位下降，但同时，三峡工程运行后，由于水库调蓄作用，枯水流量明显增加，这在一定程度上又弥补了河床下切造成的水位下降。</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拟建码头工程设计水位如下：</w:t>
      </w:r>
    </w:p>
    <w:p>
      <w:pPr>
        <w:widowControl w:val="0"/>
        <w:spacing w:line="360" w:lineRule="auto"/>
        <w:ind w:firstLine="480" w:firstLineChars="200"/>
        <w:jc w:val="both"/>
        <w:rPr>
          <w:rFonts w:hint="eastAsia" w:ascii="Times New Roman" w:hAnsi="Times New Roman" w:eastAsia="仿宋_GB2312" w:cs="Times New Roman"/>
          <w:bCs/>
          <w:color w:val="auto"/>
          <w:sz w:val="24"/>
          <w:lang w:eastAsia="zh-CN"/>
        </w:rPr>
      </w:pPr>
      <w:r>
        <w:rPr>
          <w:rFonts w:hint="eastAsia" w:ascii="Times New Roman" w:hAnsi="Times New Roman" w:eastAsia="仿宋_GB2312" w:cs="Times New Roman"/>
          <w:bCs/>
          <w:color w:val="auto"/>
          <w:sz w:val="24"/>
        </w:rPr>
        <w:t>设计高水位：48.90m（枝城站下泄流量56700m</w:t>
      </w:r>
      <w:r>
        <w:rPr>
          <w:rFonts w:hint="eastAsia" w:ascii="Times New Roman" w:hAnsi="Times New Roman" w:eastAsia="仿宋_GB2312" w:cs="Times New Roman"/>
          <w:bCs/>
          <w:color w:val="auto"/>
          <w:sz w:val="24"/>
          <w:vertAlign w:val="superscript"/>
          <w:lang w:val="en-US" w:eastAsia="zh-CN"/>
        </w:rPr>
        <w:t>3</w:t>
      </w:r>
      <w:r>
        <w:rPr>
          <w:rFonts w:hint="eastAsia" w:ascii="Times New Roman" w:hAnsi="Times New Roman" w:eastAsia="仿宋_GB2312" w:cs="Times New Roman"/>
          <w:bCs/>
          <w:color w:val="auto"/>
          <w:sz w:val="24"/>
        </w:rPr>
        <w:t>/s时码头处对应水位）</w:t>
      </w:r>
      <w:r>
        <w:rPr>
          <w:rFonts w:hint="eastAsia" w:ascii="Times New Roman" w:hAnsi="Times New Roman" w:eastAsia="仿宋_GB2312" w:cs="Times New Roman"/>
          <w:bCs/>
          <w:color w:val="auto"/>
          <w:sz w:val="24"/>
          <w:lang w:eastAsia="zh-CN"/>
        </w:rPr>
        <w:t>。</w:t>
      </w:r>
    </w:p>
    <w:p>
      <w:pPr>
        <w:widowControl w:val="0"/>
        <w:spacing w:line="360" w:lineRule="auto"/>
        <w:ind w:firstLine="480" w:firstLineChars="200"/>
        <w:jc w:val="both"/>
        <w:rPr>
          <w:rFonts w:hint="eastAsia"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设计低水位：35.14m（航行基准面）。</w:t>
      </w:r>
    </w:p>
    <w:p>
      <w:pPr>
        <w:keepNext/>
        <w:keepLines/>
        <w:widowControl w:val="0"/>
        <w:spacing w:before="156" w:beforeLines="50" w:after="156" w:afterLines="50" w:line="360" w:lineRule="auto"/>
        <w:jc w:val="both"/>
        <w:outlineLvl w:val="2"/>
        <w:rPr>
          <w:rFonts w:hint="default" w:eastAsia="黑体"/>
          <w:color w:val="auto"/>
          <w:sz w:val="24"/>
          <w:lang w:val="en-US" w:eastAsia="zh-CN"/>
        </w:rPr>
      </w:pPr>
      <w:bookmarkStart w:id="341" w:name="_Toc201456185"/>
      <w:bookmarkStart w:id="342" w:name="_Toc14971270"/>
      <w:bookmarkStart w:id="343" w:name="_Toc212172798"/>
      <w:bookmarkStart w:id="344" w:name="_Toc232171941"/>
      <w:bookmarkStart w:id="345" w:name="_Toc446961468"/>
      <w:bookmarkStart w:id="346" w:name="_Toc23082"/>
      <w:r>
        <w:rPr>
          <w:rFonts w:hint="eastAsia" w:eastAsia="黑体"/>
          <w:color w:val="auto"/>
          <w:sz w:val="24"/>
        </w:rPr>
        <w:t>4.1.</w:t>
      </w:r>
      <w:bookmarkEnd w:id="341"/>
      <w:bookmarkEnd w:id="342"/>
      <w:bookmarkEnd w:id="343"/>
      <w:bookmarkEnd w:id="344"/>
      <w:bookmarkEnd w:id="345"/>
      <w:r>
        <w:rPr>
          <w:rFonts w:hint="eastAsia" w:eastAsia="黑体"/>
          <w:color w:val="auto"/>
          <w:sz w:val="24"/>
          <w:lang w:val="en-US" w:eastAsia="zh-CN"/>
        </w:rPr>
        <w:t>4地形地貌及工程泥沙</w:t>
      </w:r>
      <w:bookmarkEnd w:id="346"/>
    </w:p>
    <w:p>
      <w:pPr>
        <w:widowControl w:val="0"/>
        <w:spacing w:before="120" w:after="120" w:line="360" w:lineRule="auto"/>
        <w:outlineLvl w:val="3"/>
        <w:rPr>
          <w:rFonts w:hint="eastAsia" w:eastAsia="黑体"/>
          <w:color w:val="auto"/>
          <w:sz w:val="24"/>
          <w:lang w:eastAsia="zh-CN"/>
        </w:rPr>
      </w:pPr>
      <w:bookmarkStart w:id="347" w:name="_Toc201456186"/>
      <w:r>
        <w:rPr>
          <w:rFonts w:hint="eastAsia" w:eastAsia="黑体"/>
          <w:color w:val="auto"/>
          <w:sz w:val="24"/>
        </w:rPr>
        <w:t>4</w:t>
      </w:r>
      <w:r>
        <w:rPr>
          <w:rFonts w:hint="eastAsia" w:eastAsia="黑体"/>
          <w:color w:val="auto"/>
          <w:sz w:val="24"/>
          <w:lang w:val="en-US" w:eastAsia="zh-CN"/>
        </w:rPr>
        <w:t>.1.4.1地形地貌</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工程区域地貌单元为长江中游低山—丘陵地貌，位于斜坡地貌之下部，为长江Ⅰ级阶地与长江河床连接处。场地多为堆场及道路，岸边有码头建筑物分布其上，堆场及道路地形平坦，岸边地形有一定起伏。</w:t>
      </w:r>
    </w:p>
    <w:p>
      <w:pPr>
        <w:widowControl w:val="0"/>
        <w:spacing w:before="120" w:after="120" w:line="360" w:lineRule="auto"/>
        <w:outlineLvl w:val="3"/>
        <w:rPr>
          <w:rFonts w:hint="default" w:eastAsia="黑体"/>
          <w:color w:val="auto"/>
          <w:sz w:val="24"/>
          <w:lang w:val="en-US"/>
        </w:rPr>
      </w:pPr>
      <w:r>
        <w:rPr>
          <w:rFonts w:hint="eastAsia" w:eastAsia="黑体"/>
          <w:color w:val="auto"/>
          <w:sz w:val="24"/>
        </w:rPr>
        <w:t>4</w:t>
      </w:r>
      <w:r>
        <w:rPr>
          <w:rFonts w:hint="eastAsia" w:eastAsia="黑体"/>
          <w:color w:val="auto"/>
          <w:sz w:val="24"/>
          <w:lang w:val="en-US" w:eastAsia="zh-CN"/>
        </w:rPr>
        <w:t>.1.4.2工程泥沙</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本河段径流及泥沙主要来自宜昌以上的长江干流，在宜昌至本河段之间有清江入汇，距本河段距离较近且观测资料较完整齐全的水文站为上游的宜昌站、枝城站（1992年恢复为水文站）及下游的砖窑水位站（砖窑水位站1982年移至马家店后改为马家店水位站）。由于清江入汇的水量只占长江干流的3%。因此，可用宜昌站和砖窑站的水沙特征值代表本河段的水沙特征。</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（1）三峡水库蓄水前的水沙条件</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宋体" w:hAnsi="宋体" w:eastAsia="宋体" w:cs="宋体"/>
          <w:color w:val="auto"/>
          <w:sz w:val="24"/>
          <w:lang w:val="en-US" w:eastAsia="zh-CN"/>
        </w:rPr>
        <w:t>①</w:t>
      </w:r>
      <w:r>
        <w:rPr>
          <w:rFonts w:hint="eastAsia" w:ascii="Times New Roman" w:hAnsi="Times New Roman" w:eastAsia="仿宋_GB2312" w:cs="Times New Roman"/>
          <w:color w:val="auto"/>
          <w:sz w:val="24"/>
          <w:lang w:val="en-US" w:eastAsia="zh-CN"/>
        </w:rPr>
        <w:t>水位</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在1981年前（葛洲坝尚未蓄水运用），砖窑历年最高水位为46.33m（1954年8月7日），历年最低水位32.01m（1973年3月9日）。1982年后（葛洲坝已蓄水运用），马家店历年最高水位45.26m(1989年7月14日)，历年最低水位31.45m(1993年2月14日)。该河段最高水位出现在7～9月份，最低水位出现在2～3月份，河段多年月平均水位见下表。</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-1  </w:t>
      </w:r>
      <w:r>
        <w:rPr>
          <w:rFonts w:hint="eastAsia" w:eastAsia="黑体"/>
          <w:b/>
          <w:color w:val="auto"/>
          <w:szCs w:val="21"/>
          <w:lang w:val="en-US" w:eastAsia="zh-CN"/>
        </w:rPr>
        <w:t>砖窑、马家店站多年月平均水位</w:t>
      </w:r>
      <w:r>
        <w:rPr>
          <w:rFonts w:eastAsia="黑体"/>
          <w:b/>
          <w:color w:val="auto"/>
          <w:szCs w:val="21"/>
        </w:rPr>
        <w:t>表</w:t>
      </w:r>
      <w:r>
        <w:rPr>
          <w:rFonts w:hint="eastAsia" w:eastAsia="黑体"/>
          <w:b/>
          <w:color w:val="auto"/>
          <w:szCs w:val="21"/>
          <w:lang w:val="en-US" w:eastAsia="zh-CN"/>
        </w:rPr>
        <w:t xml:space="preserve">  单位：m</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29"/>
        <w:gridCol w:w="1263"/>
        <w:gridCol w:w="1263"/>
        <w:gridCol w:w="1263"/>
        <w:gridCol w:w="1263"/>
        <w:gridCol w:w="1265"/>
        <w:gridCol w:w="12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tcBorders>
              <w:top w:val="single" w:color="auto" w:sz="12" w:space="0"/>
              <w:bottom w:val="single" w:color="auto" w:sz="12" w:space="0"/>
            </w:tcBorders>
            <w:noWrap w:val="0"/>
            <w:vAlign w:val="center"/>
          </w:tcPr>
          <w:p>
            <w:pPr>
              <w:widowControl w:val="0"/>
              <w:jc w:val="center"/>
              <w:rPr>
                <w:rFonts w:hint="eastAsia" w:eastAsia="宋体"/>
                <w:b/>
                <w:bCs/>
                <w:color w:val="auto"/>
                <w:sz w:val="20"/>
                <w:lang w:val="en-US" w:eastAsia="zh-CN"/>
              </w:rPr>
            </w:pPr>
            <w:r>
              <w:rPr>
                <w:rFonts w:hint="eastAsia"/>
                <w:b/>
                <w:bCs/>
                <w:color w:val="auto"/>
                <w:sz w:val="20"/>
                <w:lang w:val="en-US" w:eastAsia="zh-CN"/>
              </w:rPr>
              <w:t>站名</w:t>
            </w:r>
          </w:p>
        </w:tc>
        <w:tc>
          <w:tcPr>
            <w:tcW w:w="742"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1月</w:t>
            </w:r>
          </w:p>
        </w:tc>
        <w:tc>
          <w:tcPr>
            <w:tcW w:w="742"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2月</w:t>
            </w:r>
          </w:p>
        </w:tc>
        <w:tc>
          <w:tcPr>
            <w:tcW w:w="742"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3月</w:t>
            </w:r>
          </w:p>
        </w:tc>
        <w:tc>
          <w:tcPr>
            <w:tcW w:w="742"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4月</w:t>
            </w:r>
          </w:p>
        </w:tc>
        <w:tc>
          <w:tcPr>
            <w:tcW w:w="743"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5月</w:t>
            </w:r>
          </w:p>
        </w:tc>
        <w:tc>
          <w:tcPr>
            <w:tcW w:w="742"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6月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tcBorders>
              <w:top w:val="single" w:color="auto" w:sz="12" w:space="0"/>
            </w:tcBorders>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砖窑</w:t>
            </w:r>
          </w:p>
        </w:tc>
        <w:tc>
          <w:tcPr>
            <w:tcW w:w="742"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33.95</w:t>
            </w:r>
          </w:p>
        </w:tc>
        <w:tc>
          <w:tcPr>
            <w:tcW w:w="742"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33.64</w:t>
            </w:r>
          </w:p>
        </w:tc>
        <w:tc>
          <w:tcPr>
            <w:tcW w:w="742"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33.98</w:t>
            </w:r>
          </w:p>
        </w:tc>
        <w:tc>
          <w:tcPr>
            <w:tcW w:w="742"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35.34</w:t>
            </w:r>
          </w:p>
        </w:tc>
        <w:tc>
          <w:tcPr>
            <w:tcW w:w="743"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37.48</w:t>
            </w:r>
          </w:p>
        </w:tc>
        <w:tc>
          <w:tcPr>
            <w:tcW w:w="742"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39.10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马家店</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32.84</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32.56</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32.95</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34.25</w:t>
            </w:r>
          </w:p>
        </w:tc>
        <w:tc>
          <w:tcPr>
            <w:tcW w:w="743"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36.25</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38.45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noWrap w:val="0"/>
            <w:vAlign w:val="center"/>
          </w:tcPr>
          <w:p>
            <w:pPr>
              <w:widowControl w:val="0"/>
              <w:jc w:val="center"/>
              <w:rPr>
                <w:rFonts w:hint="eastAsia" w:ascii="Times New Roman" w:hAnsi="Times New Roman" w:eastAsia="宋体" w:cs="Times New Roman"/>
                <w:b/>
                <w:bCs/>
                <w:color w:val="auto"/>
                <w:kern w:val="2"/>
                <w:sz w:val="20"/>
                <w:lang w:val="en-US" w:eastAsia="zh-CN" w:bidi="ar-SA"/>
              </w:rPr>
            </w:pPr>
            <w:r>
              <w:rPr>
                <w:rFonts w:hint="eastAsia"/>
                <w:b/>
                <w:bCs/>
                <w:color w:val="auto"/>
                <w:sz w:val="20"/>
                <w:lang w:val="en-US" w:eastAsia="zh-CN"/>
              </w:rPr>
              <w:t>站名</w:t>
            </w:r>
          </w:p>
        </w:tc>
        <w:tc>
          <w:tcPr>
            <w:tcW w:w="742"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7月</w:t>
            </w:r>
          </w:p>
        </w:tc>
        <w:tc>
          <w:tcPr>
            <w:tcW w:w="742" w:type="pct"/>
            <w:noWrap w:val="0"/>
            <w:vAlign w:val="center"/>
          </w:tcPr>
          <w:p>
            <w:pPr>
              <w:widowControl w:val="0"/>
              <w:jc w:val="center"/>
              <w:rPr>
                <w:rFonts w:ascii="Times New Roman" w:hAnsi="Times New Roman" w:eastAsia="宋体" w:cs="Times New Roman"/>
                <w:b/>
                <w:bCs/>
                <w:color w:val="auto"/>
                <w:kern w:val="2"/>
                <w:sz w:val="20"/>
                <w:lang w:val="en-US" w:eastAsia="zh-CN" w:bidi="ar-SA"/>
              </w:rPr>
            </w:pPr>
            <w:r>
              <w:rPr>
                <w:rFonts w:hint="eastAsia"/>
                <w:b/>
                <w:bCs/>
                <w:color w:val="auto"/>
                <w:sz w:val="20"/>
                <w:lang w:val="en-US" w:eastAsia="zh-CN"/>
              </w:rPr>
              <w:t>8月</w:t>
            </w:r>
          </w:p>
        </w:tc>
        <w:tc>
          <w:tcPr>
            <w:tcW w:w="742"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9月</w:t>
            </w:r>
          </w:p>
        </w:tc>
        <w:tc>
          <w:tcPr>
            <w:tcW w:w="742" w:type="pct"/>
            <w:noWrap w:val="0"/>
            <w:vAlign w:val="center"/>
          </w:tcPr>
          <w:p>
            <w:pPr>
              <w:widowControl w:val="0"/>
              <w:jc w:val="center"/>
              <w:rPr>
                <w:rFonts w:ascii="Times New Roman" w:hAnsi="Times New Roman" w:eastAsia="宋体" w:cs="Times New Roman"/>
                <w:b/>
                <w:bCs/>
                <w:color w:val="auto"/>
                <w:kern w:val="2"/>
                <w:sz w:val="20"/>
                <w:lang w:val="en-US" w:eastAsia="zh-CN" w:bidi="ar-SA"/>
              </w:rPr>
            </w:pPr>
            <w:r>
              <w:rPr>
                <w:rFonts w:hint="eastAsia"/>
                <w:b/>
                <w:bCs/>
                <w:color w:val="auto"/>
                <w:sz w:val="20"/>
                <w:lang w:val="en-US" w:eastAsia="zh-CN"/>
              </w:rPr>
              <w:t>10月</w:t>
            </w:r>
          </w:p>
        </w:tc>
        <w:tc>
          <w:tcPr>
            <w:tcW w:w="743"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11月</w:t>
            </w:r>
          </w:p>
        </w:tc>
        <w:tc>
          <w:tcPr>
            <w:tcW w:w="742" w:type="pct"/>
            <w:noWrap w:val="0"/>
            <w:vAlign w:val="center"/>
          </w:tcPr>
          <w:p>
            <w:pPr>
              <w:widowControl w:val="0"/>
              <w:jc w:val="center"/>
              <w:rPr>
                <w:rFonts w:ascii="Times New Roman" w:hAnsi="Times New Roman" w:eastAsia="宋体" w:cs="Times New Roman"/>
                <w:b/>
                <w:bCs/>
                <w:color w:val="auto"/>
                <w:kern w:val="2"/>
                <w:sz w:val="20"/>
                <w:lang w:val="en-US" w:eastAsia="zh-CN" w:bidi="ar-SA"/>
              </w:rPr>
            </w:pPr>
            <w:r>
              <w:rPr>
                <w:rFonts w:hint="eastAsia"/>
                <w:b/>
                <w:bCs/>
                <w:color w:val="auto"/>
                <w:sz w:val="20"/>
                <w:lang w:val="en-US" w:eastAsia="zh-CN"/>
              </w:rPr>
              <w:t>12月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砖窑</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41.45</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41.11</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40.77</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39.21</w:t>
            </w:r>
          </w:p>
        </w:tc>
        <w:tc>
          <w:tcPr>
            <w:tcW w:w="743"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39.87</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34.96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46"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马家店</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41.46</w:t>
            </w:r>
          </w:p>
        </w:tc>
        <w:tc>
          <w:tcPr>
            <w:tcW w:w="742" w:type="pct"/>
            <w:noWrap w:val="0"/>
            <w:vAlign w:val="center"/>
          </w:tcPr>
          <w:p>
            <w:pPr>
              <w:widowControl w:val="0"/>
              <w:jc w:val="center"/>
              <w:rPr>
                <w:rFonts w:hint="default" w:eastAsia="宋体"/>
                <w:color w:val="auto"/>
                <w:lang w:val="en-US" w:eastAsia="zh-CN"/>
              </w:rPr>
            </w:pPr>
            <w:r>
              <w:rPr>
                <w:rFonts w:hint="eastAsia"/>
                <w:color w:val="auto"/>
                <w:lang w:val="en-US" w:eastAsia="zh-CN"/>
              </w:rPr>
              <w:t>40.57</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40.39</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38.84</w:t>
            </w:r>
          </w:p>
        </w:tc>
        <w:tc>
          <w:tcPr>
            <w:tcW w:w="743"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35.57</w:t>
            </w:r>
          </w:p>
        </w:tc>
        <w:tc>
          <w:tcPr>
            <w:tcW w:w="742"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33.98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7"/>
            <w:noWrap w:val="0"/>
            <w:vAlign w:val="center"/>
          </w:tcPr>
          <w:p>
            <w:pPr>
              <w:widowControl w:val="0"/>
              <w:jc w:val="left"/>
              <w:rPr>
                <w:rFonts w:hint="eastAsia" w:eastAsia="宋体"/>
                <w:color w:val="auto"/>
                <w:sz w:val="20"/>
                <w:lang w:val="en-US" w:eastAsia="zh-CN"/>
              </w:rPr>
            </w:pPr>
            <w:r>
              <w:rPr>
                <w:rFonts w:hint="eastAsia" w:eastAsia="宋体"/>
                <w:color w:val="auto"/>
                <w:sz w:val="20"/>
                <w:lang w:val="en-US" w:eastAsia="zh-CN"/>
              </w:rPr>
              <w:t>备注:砖窑站统计年份为1952年～1981年，砖窑站1982年移到马家店，马家店统计年份为1982年～2002年</w:t>
            </w:r>
          </w:p>
        </w:tc>
      </w:tr>
    </w:tbl>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下荆江裁弯和葛洲坝运行后，本河段普遍发生冲刷，河床逐年下切，同流量水位下降。砖窑、马家店站同流量下水位下降值表见</w:t>
      </w:r>
      <w:r>
        <w:rPr>
          <w:rFonts w:hint="eastAsia" w:eastAsia="仿宋_GB2312" w:cs="Times New Roman"/>
          <w:color w:val="auto"/>
          <w:sz w:val="24"/>
          <w:lang w:val="en-US" w:eastAsia="zh-CN"/>
        </w:rPr>
        <w:t>下</w:t>
      </w:r>
      <w:r>
        <w:rPr>
          <w:rFonts w:hint="eastAsia" w:ascii="Times New Roman" w:hAnsi="Times New Roman" w:eastAsia="仿宋_GB2312" w:cs="Times New Roman"/>
          <w:color w:val="auto"/>
          <w:sz w:val="24"/>
          <w:lang w:val="en-US" w:eastAsia="zh-CN"/>
        </w:rPr>
        <w:t>表</w:t>
      </w:r>
      <w:r>
        <w:rPr>
          <w:rFonts w:hint="eastAsia" w:eastAsia="仿宋_GB2312" w:cs="Times New Roman"/>
          <w:color w:val="auto"/>
          <w:sz w:val="24"/>
          <w:lang w:val="en-US" w:eastAsia="zh-CN"/>
        </w:rPr>
        <w:t>。</w:t>
      </w:r>
    </w:p>
    <w:p>
      <w:pPr>
        <w:widowControl w:val="0"/>
        <w:spacing w:line="360" w:lineRule="auto"/>
        <w:jc w:val="center"/>
        <w:rPr>
          <w:rFonts w:eastAsia="黑体"/>
          <w:b/>
          <w:color w:val="auto"/>
          <w:szCs w:val="21"/>
        </w:rPr>
      </w:pP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砖窑、马家店站多年月平均水位</w:t>
      </w:r>
      <w:r>
        <w:rPr>
          <w:rFonts w:eastAsia="黑体"/>
          <w:b/>
          <w:color w:val="auto"/>
          <w:szCs w:val="21"/>
        </w:rPr>
        <w:t>表</w:t>
      </w:r>
      <w:r>
        <w:rPr>
          <w:rFonts w:hint="eastAsia" w:eastAsia="黑体"/>
          <w:b/>
          <w:color w:val="auto"/>
          <w:szCs w:val="21"/>
          <w:lang w:val="en-US" w:eastAsia="zh-CN"/>
        </w:rPr>
        <w:t xml:space="preserve">  单位：m</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8"/>
        <w:gridCol w:w="1418"/>
        <w:gridCol w:w="1418"/>
        <w:gridCol w:w="1418"/>
        <w:gridCol w:w="1420"/>
        <w:gridCol w:w="14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33"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测站</w:t>
            </w:r>
          </w:p>
        </w:tc>
        <w:tc>
          <w:tcPr>
            <w:tcW w:w="833"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起止年份</w:t>
            </w:r>
          </w:p>
        </w:tc>
        <w:tc>
          <w:tcPr>
            <w:tcW w:w="833"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3500m</w:t>
            </w:r>
            <w:r>
              <w:rPr>
                <w:rFonts w:hint="eastAsia"/>
                <w:b w:val="0"/>
                <w:bCs w:val="0"/>
                <w:color w:val="auto"/>
                <w:sz w:val="20"/>
                <w:vertAlign w:val="superscript"/>
                <w:lang w:val="en-US" w:eastAsia="zh-CN"/>
              </w:rPr>
              <w:t>3</w:t>
            </w:r>
            <w:r>
              <w:rPr>
                <w:rFonts w:hint="eastAsia"/>
                <w:b w:val="0"/>
                <w:bCs w:val="0"/>
                <w:color w:val="auto"/>
                <w:sz w:val="20"/>
                <w:lang w:val="en-US" w:eastAsia="zh-CN"/>
              </w:rPr>
              <w:t>/s</w:t>
            </w:r>
          </w:p>
        </w:tc>
        <w:tc>
          <w:tcPr>
            <w:tcW w:w="833"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5000m</w:t>
            </w:r>
            <w:r>
              <w:rPr>
                <w:rFonts w:hint="eastAsia"/>
                <w:b w:val="0"/>
                <w:bCs w:val="0"/>
                <w:color w:val="auto"/>
                <w:sz w:val="20"/>
                <w:vertAlign w:val="superscript"/>
                <w:lang w:val="en-US" w:eastAsia="zh-CN"/>
              </w:rPr>
              <w:t>3</w:t>
            </w:r>
            <w:r>
              <w:rPr>
                <w:rFonts w:hint="eastAsia"/>
                <w:b w:val="0"/>
                <w:bCs w:val="0"/>
                <w:color w:val="auto"/>
                <w:sz w:val="20"/>
                <w:lang w:val="en-US" w:eastAsia="zh-CN"/>
              </w:rPr>
              <w:t>/s</w:t>
            </w:r>
          </w:p>
        </w:tc>
        <w:tc>
          <w:tcPr>
            <w:tcW w:w="834"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7000m</w:t>
            </w:r>
            <w:r>
              <w:rPr>
                <w:rFonts w:hint="eastAsia"/>
                <w:b w:val="0"/>
                <w:bCs w:val="0"/>
                <w:color w:val="auto"/>
                <w:sz w:val="20"/>
                <w:vertAlign w:val="superscript"/>
                <w:lang w:val="en-US" w:eastAsia="zh-CN"/>
              </w:rPr>
              <w:t>3</w:t>
            </w:r>
            <w:r>
              <w:rPr>
                <w:rFonts w:hint="eastAsia"/>
                <w:b w:val="0"/>
                <w:bCs w:val="0"/>
                <w:color w:val="auto"/>
                <w:sz w:val="20"/>
                <w:lang w:val="en-US" w:eastAsia="zh-CN"/>
              </w:rPr>
              <w:t>/s</w:t>
            </w:r>
          </w:p>
        </w:tc>
        <w:tc>
          <w:tcPr>
            <w:tcW w:w="833"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10000m</w:t>
            </w:r>
            <w:r>
              <w:rPr>
                <w:rFonts w:hint="eastAsia"/>
                <w:b w:val="0"/>
                <w:bCs w:val="0"/>
                <w:color w:val="auto"/>
                <w:sz w:val="20"/>
                <w:vertAlign w:val="superscript"/>
                <w:lang w:val="en-US" w:eastAsia="zh-CN"/>
              </w:rPr>
              <w:t>3</w:t>
            </w:r>
            <w:r>
              <w:rPr>
                <w:rFonts w:hint="eastAsia"/>
                <w:b w:val="0"/>
                <w:bCs w:val="0"/>
                <w:color w:val="auto"/>
                <w:sz w:val="20"/>
                <w:lang w:val="en-US" w:eastAsia="zh-CN"/>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33"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砖窑</w:t>
            </w:r>
          </w:p>
        </w:tc>
        <w:tc>
          <w:tcPr>
            <w:tcW w:w="833"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1966~1981</w:t>
            </w:r>
          </w:p>
        </w:tc>
        <w:tc>
          <w:tcPr>
            <w:tcW w:w="833"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0.89m</w:t>
            </w:r>
          </w:p>
        </w:tc>
        <w:tc>
          <w:tcPr>
            <w:tcW w:w="833"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0.62m</w:t>
            </w:r>
          </w:p>
        </w:tc>
        <w:tc>
          <w:tcPr>
            <w:tcW w:w="834"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0.57m</w:t>
            </w:r>
          </w:p>
        </w:tc>
        <w:tc>
          <w:tcPr>
            <w:tcW w:w="833" w:type="pct"/>
            <w:tcBorders>
              <w:top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0.29m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33" w:type="pct"/>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马家店</w:t>
            </w:r>
          </w:p>
        </w:tc>
        <w:tc>
          <w:tcPr>
            <w:tcW w:w="833" w:type="pct"/>
            <w:noWrap w:val="0"/>
            <w:vAlign w:val="center"/>
          </w:tcPr>
          <w:p>
            <w:pPr>
              <w:widowControl w:val="0"/>
              <w:jc w:val="center"/>
              <w:rPr>
                <w:rFonts w:hint="default" w:eastAsia="宋体"/>
                <w:b w:val="0"/>
                <w:bCs w:val="0"/>
                <w:color w:val="auto"/>
                <w:lang w:val="en-US" w:eastAsia="zh-CN"/>
              </w:rPr>
            </w:pPr>
            <w:r>
              <w:rPr>
                <w:rFonts w:hint="eastAsia"/>
                <w:b w:val="0"/>
                <w:bCs w:val="0"/>
                <w:color w:val="auto"/>
                <w:lang w:val="en-US" w:eastAsia="zh-CN"/>
              </w:rPr>
              <w:t>1982~2003</w:t>
            </w:r>
          </w:p>
        </w:tc>
        <w:tc>
          <w:tcPr>
            <w:tcW w:w="833" w:type="pct"/>
            <w:noWrap w:val="0"/>
            <w:vAlign w:val="center"/>
          </w:tcPr>
          <w:p>
            <w:pPr>
              <w:widowControl w:val="0"/>
              <w:jc w:val="center"/>
              <w:rPr>
                <w:rFonts w:hint="default" w:eastAsia="宋体"/>
                <w:b w:val="0"/>
                <w:bCs w:val="0"/>
                <w:color w:val="auto"/>
                <w:lang w:val="en-US" w:eastAsia="zh-CN"/>
              </w:rPr>
            </w:pPr>
            <w:r>
              <w:rPr>
                <w:rFonts w:hint="eastAsia"/>
                <w:b w:val="0"/>
                <w:bCs w:val="0"/>
                <w:color w:val="auto"/>
                <w:lang w:val="en-US" w:eastAsia="zh-CN"/>
              </w:rPr>
              <w:t>0.68</w:t>
            </w:r>
            <w:r>
              <w:rPr>
                <w:rFonts w:hint="eastAsia"/>
                <w:b w:val="0"/>
                <w:bCs w:val="0"/>
                <w:color w:val="auto"/>
                <w:sz w:val="20"/>
                <w:lang w:val="en-US" w:eastAsia="zh-CN"/>
              </w:rPr>
              <w:t>m</w:t>
            </w:r>
          </w:p>
        </w:tc>
        <w:tc>
          <w:tcPr>
            <w:tcW w:w="833" w:type="pct"/>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1.10m</w:t>
            </w:r>
          </w:p>
        </w:tc>
        <w:tc>
          <w:tcPr>
            <w:tcW w:w="834" w:type="pct"/>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1.13m</w:t>
            </w:r>
          </w:p>
        </w:tc>
        <w:tc>
          <w:tcPr>
            <w:tcW w:w="833" w:type="pct"/>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0.95m</w:t>
            </w:r>
          </w:p>
        </w:tc>
      </w:tr>
    </w:tbl>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eastAsia" w:ascii="宋体" w:hAnsi="宋体" w:eastAsia="宋体" w:cs="宋体"/>
          <w:color w:val="auto"/>
          <w:sz w:val="24"/>
          <w:lang w:val="en-US" w:eastAsia="zh-CN"/>
        </w:rPr>
        <w:t>②</w:t>
      </w:r>
      <w:r>
        <w:rPr>
          <w:rFonts w:hint="eastAsia" w:eastAsia="仿宋_GB2312" w:cs="Times New Roman"/>
          <w:color w:val="auto"/>
          <w:sz w:val="24"/>
          <w:lang w:val="en-US" w:eastAsia="zh-CN"/>
        </w:rPr>
        <w:t>流量及泥沙</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宜昌站在葛洲坝建坝前后年内的水量、沙量分配详见表4.1-3～表4.1-4，枝城站水量、沙量分配详见表</w:t>
      </w:r>
      <w:r>
        <w:rPr>
          <w:rFonts w:hint="eastAsia" w:eastAsia="仿宋_GB2312" w:cs="Times New Roman"/>
          <w:color w:val="auto"/>
          <w:sz w:val="24"/>
          <w:lang w:val="en-US" w:eastAsia="zh-CN"/>
        </w:rPr>
        <w:t>4.1</w:t>
      </w:r>
      <w:r>
        <w:rPr>
          <w:rFonts w:hint="eastAsia" w:ascii="Times New Roman" w:hAnsi="Times New Roman" w:eastAsia="仿宋_GB2312" w:cs="Times New Roman"/>
          <w:color w:val="auto"/>
          <w:sz w:val="24"/>
          <w:lang w:val="en-US" w:eastAsia="zh-CN"/>
        </w:rPr>
        <w:t>-5。由表可以看出，葛洲坝建坝前后宜昌站和枝城站（1992年以来）水沙的年内分配基本一致，都极不均匀。汛期5～10月份来水量约占全年来水量的79%，7月份来水量最大，分别占18%～20%；来水量最小的是2月份。汛期5～10月份悬沙来沙量约占全年的95%～98%，相比水量来说更集中在汛期。最大来沙量与来水量相应，都出现在7月份。建坝后卵石推移质主要集中在7、8月份，占全年的88.1%；沙质推移质主要集中在7、8、9三个月，其推移量占全年的76.7%</w:t>
      </w:r>
      <w:r>
        <w:rPr>
          <w:rFonts w:hint="eastAsia" w:eastAsia="仿宋_GB2312" w:cs="Times New Roman"/>
          <w:color w:val="auto"/>
          <w:sz w:val="24"/>
          <w:lang w:val="en-US"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3</w:t>
      </w:r>
      <w:r>
        <w:rPr>
          <w:rFonts w:eastAsia="黑体"/>
          <w:b/>
          <w:color w:val="auto"/>
          <w:szCs w:val="21"/>
        </w:rPr>
        <w:t xml:space="preserve">  </w:t>
      </w:r>
      <w:r>
        <w:rPr>
          <w:rFonts w:hint="eastAsia" w:eastAsia="黑体"/>
          <w:b/>
          <w:color w:val="auto"/>
          <w:szCs w:val="21"/>
          <w:lang w:val="en-US" w:eastAsia="zh-CN"/>
        </w:rPr>
        <w:t>1950年~1980年宜昌站水文泥沙特征逐月平均统计表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22"/>
        <w:gridCol w:w="988"/>
        <w:gridCol w:w="990"/>
        <w:gridCol w:w="944"/>
        <w:gridCol w:w="911"/>
        <w:gridCol w:w="928"/>
        <w:gridCol w:w="884"/>
        <w:gridCol w:w="8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项目</w:t>
            </w:r>
          </w:p>
        </w:tc>
        <w:tc>
          <w:tcPr>
            <w:tcW w:w="580"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1月</w:t>
            </w:r>
          </w:p>
        </w:tc>
        <w:tc>
          <w:tcPr>
            <w:tcW w:w="581"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2月</w:t>
            </w:r>
          </w:p>
        </w:tc>
        <w:tc>
          <w:tcPr>
            <w:tcW w:w="554"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3月</w:t>
            </w:r>
          </w:p>
        </w:tc>
        <w:tc>
          <w:tcPr>
            <w:tcW w:w="53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4月</w:t>
            </w:r>
          </w:p>
        </w:tc>
        <w:tc>
          <w:tcPr>
            <w:tcW w:w="54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5月</w:t>
            </w:r>
          </w:p>
        </w:tc>
        <w:tc>
          <w:tcPr>
            <w:tcW w:w="519"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6月</w:t>
            </w:r>
          </w:p>
        </w:tc>
        <w:tc>
          <w:tcPr>
            <w:tcW w:w="495" w:type="pct"/>
            <w:tcBorders>
              <w:top w:val="single" w:color="auto" w:sz="12" w:space="0"/>
              <w:bottom w:val="single" w:color="auto" w:sz="12" w:space="0"/>
            </w:tcBorders>
            <w:noWrap w:val="0"/>
            <w:vAlign w:val="center"/>
          </w:tcPr>
          <w:p>
            <w:pPr>
              <w:widowControl w:val="0"/>
              <w:jc w:val="center"/>
              <w:rPr>
                <w:rFonts w:hint="eastAsia"/>
                <w:b/>
                <w:bCs/>
                <w:color w:val="auto"/>
                <w:sz w:val="20"/>
                <w:lang w:val="en-US" w:eastAsia="zh-CN"/>
              </w:rPr>
            </w:pPr>
            <w:r>
              <w:rPr>
                <w:rFonts w:hint="eastAsia"/>
                <w:b/>
                <w:bCs/>
                <w:color w:val="auto"/>
                <w:sz w:val="20"/>
                <w:lang w:val="en-US" w:eastAsia="zh-CN"/>
              </w:rPr>
              <w:t>7月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流量（m</w:t>
            </w:r>
            <w:r>
              <w:rPr>
                <w:rFonts w:hint="eastAsia"/>
                <w:color w:val="auto"/>
                <w:sz w:val="20"/>
                <w:vertAlign w:val="superscript"/>
                <w:lang w:val="en-US" w:eastAsia="zh-CN"/>
              </w:rPr>
              <w:t>3</w:t>
            </w:r>
            <w:r>
              <w:rPr>
                <w:rFonts w:hint="eastAsia"/>
                <w:color w:val="auto"/>
                <w:sz w:val="20"/>
                <w:lang w:val="en-US" w:eastAsia="zh-CN"/>
              </w:rPr>
              <w:t>/s）</w:t>
            </w:r>
          </w:p>
        </w:tc>
        <w:tc>
          <w:tcPr>
            <w:tcW w:w="580"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4180</w:t>
            </w:r>
          </w:p>
        </w:tc>
        <w:tc>
          <w:tcPr>
            <w:tcW w:w="581"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3720</w:t>
            </w:r>
          </w:p>
        </w:tc>
        <w:tc>
          <w:tcPr>
            <w:tcW w:w="554"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4140</w:t>
            </w:r>
          </w:p>
        </w:tc>
        <w:tc>
          <w:tcPr>
            <w:tcW w:w="535"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6470</w:t>
            </w:r>
          </w:p>
        </w:tc>
        <w:tc>
          <w:tcPr>
            <w:tcW w:w="545"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11900</w:t>
            </w:r>
          </w:p>
        </w:tc>
        <w:tc>
          <w:tcPr>
            <w:tcW w:w="519"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17800</w:t>
            </w:r>
          </w:p>
        </w:tc>
        <w:tc>
          <w:tcPr>
            <w:tcW w:w="495"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29100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径流量（10</w:t>
            </w:r>
            <w:r>
              <w:rPr>
                <w:rFonts w:hint="eastAsia"/>
                <w:color w:val="auto"/>
                <w:sz w:val="20"/>
                <w:vertAlign w:val="superscript"/>
                <w:lang w:val="en-US" w:eastAsia="zh-CN"/>
              </w:rPr>
              <w:t>8</w:t>
            </w:r>
            <w:r>
              <w:rPr>
                <w:rFonts w:hint="eastAsia"/>
                <w:color w:val="auto"/>
                <w:sz w:val="20"/>
                <w:lang w:val="en-US" w:eastAsia="zh-CN"/>
              </w:rPr>
              <w:t>m</w:t>
            </w:r>
            <w:r>
              <w:rPr>
                <w:rFonts w:hint="eastAsia"/>
                <w:color w:val="auto"/>
                <w:sz w:val="20"/>
                <w:vertAlign w:val="superscript"/>
                <w:lang w:val="en-US" w:eastAsia="zh-CN"/>
              </w:rPr>
              <w:t>3</w:t>
            </w:r>
            <w:r>
              <w:rPr>
                <w:rFonts w:hint="eastAsia"/>
                <w:color w:val="auto"/>
                <w:sz w:val="20"/>
                <w:lang w:val="en-US" w:eastAsia="zh-CN"/>
              </w:rPr>
              <w:t>）</w:t>
            </w:r>
          </w:p>
        </w:tc>
        <w:tc>
          <w:tcPr>
            <w:tcW w:w="580" w:type="pct"/>
            <w:noWrap w:val="0"/>
            <w:vAlign w:val="center"/>
          </w:tcPr>
          <w:p>
            <w:pPr>
              <w:widowControl w:val="0"/>
              <w:jc w:val="center"/>
              <w:rPr>
                <w:rFonts w:hint="default" w:eastAsia="宋体"/>
                <w:color w:val="auto"/>
                <w:lang w:val="en-US" w:eastAsia="zh-CN"/>
              </w:rPr>
            </w:pPr>
            <w:r>
              <w:rPr>
                <w:rFonts w:hint="eastAsia"/>
                <w:color w:val="auto"/>
                <w:lang w:val="en-US" w:eastAsia="zh-CN"/>
              </w:rPr>
              <w:t>112.0</w:t>
            </w:r>
          </w:p>
        </w:tc>
        <w:tc>
          <w:tcPr>
            <w:tcW w:w="581" w:type="pct"/>
            <w:noWrap w:val="0"/>
            <w:vAlign w:val="center"/>
          </w:tcPr>
          <w:p>
            <w:pPr>
              <w:widowControl w:val="0"/>
              <w:jc w:val="center"/>
              <w:rPr>
                <w:rFonts w:hint="default" w:eastAsia="宋体"/>
                <w:color w:val="auto"/>
                <w:lang w:val="en-US" w:eastAsia="zh-CN"/>
              </w:rPr>
            </w:pPr>
            <w:r>
              <w:rPr>
                <w:rFonts w:hint="eastAsia"/>
                <w:color w:val="auto"/>
                <w:lang w:val="en-US" w:eastAsia="zh-CN"/>
              </w:rPr>
              <w:t>90.8</w:t>
            </w:r>
          </w:p>
        </w:tc>
        <w:tc>
          <w:tcPr>
            <w:tcW w:w="554"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111</w:t>
            </w:r>
          </w:p>
        </w:tc>
        <w:tc>
          <w:tcPr>
            <w:tcW w:w="53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168</w:t>
            </w:r>
          </w:p>
        </w:tc>
        <w:tc>
          <w:tcPr>
            <w:tcW w:w="54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319</w:t>
            </w:r>
          </w:p>
        </w:tc>
        <w:tc>
          <w:tcPr>
            <w:tcW w:w="519"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461</w:t>
            </w:r>
          </w:p>
        </w:tc>
        <w:tc>
          <w:tcPr>
            <w:tcW w:w="49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779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80" w:type="pct"/>
            <w:noWrap w:val="0"/>
            <w:vAlign w:val="center"/>
          </w:tcPr>
          <w:p>
            <w:pPr>
              <w:widowControl w:val="0"/>
              <w:jc w:val="center"/>
              <w:rPr>
                <w:rFonts w:hint="default"/>
                <w:color w:val="auto"/>
                <w:lang w:val="en-US" w:eastAsia="zh-CN"/>
              </w:rPr>
            </w:pPr>
            <w:r>
              <w:rPr>
                <w:rFonts w:hint="eastAsia"/>
                <w:color w:val="auto"/>
                <w:lang w:val="en-US" w:eastAsia="zh-CN"/>
              </w:rPr>
              <w:t>2.6</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2.1</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2.5</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3.8</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7.3</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10.6</w:t>
            </w:r>
          </w:p>
        </w:tc>
        <w:tc>
          <w:tcPr>
            <w:tcW w:w="495" w:type="pct"/>
            <w:noWrap w:val="0"/>
            <w:vAlign w:val="center"/>
          </w:tcPr>
          <w:p>
            <w:pPr>
              <w:widowControl w:val="0"/>
              <w:jc w:val="center"/>
              <w:rPr>
                <w:rFonts w:hint="default"/>
                <w:color w:val="auto"/>
                <w:sz w:val="20"/>
                <w:lang w:val="en-US" w:eastAsia="zh-CN"/>
              </w:rPr>
            </w:pPr>
            <w:r>
              <w:rPr>
                <w:rFonts w:hint="eastAsia"/>
                <w:color w:val="auto"/>
                <w:sz w:val="20"/>
                <w:lang w:val="en-US" w:eastAsia="zh-CN"/>
              </w:rPr>
              <w:t>17.8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default"/>
                <w:color w:val="auto"/>
                <w:sz w:val="20"/>
                <w:lang w:val="en-US" w:eastAsia="zh-CN"/>
              </w:rPr>
            </w:pPr>
            <w:r>
              <w:rPr>
                <w:rFonts w:hint="eastAsia"/>
                <w:color w:val="auto"/>
                <w:sz w:val="20"/>
                <w:lang w:val="en-US" w:eastAsia="zh-CN"/>
              </w:rPr>
              <w:t>悬沙输沙量（10</w:t>
            </w:r>
            <w:r>
              <w:rPr>
                <w:rFonts w:hint="eastAsia"/>
                <w:color w:val="auto"/>
                <w:sz w:val="20"/>
                <w:vertAlign w:val="superscript"/>
                <w:lang w:val="en-US" w:eastAsia="zh-CN"/>
              </w:rPr>
              <w:t>4</w:t>
            </w:r>
            <w:r>
              <w:rPr>
                <w:rFonts w:hint="eastAsia"/>
                <w:color w:val="auto"/>
                <w:sz w:val="20"/>
                <w:lang w:val="en-US" w:eastAsia="zh-CN"/>
              </w:rPr>
              <w:t>t）</w:t>
            </w:r>
          </w:p>
        </w:tc>
        <w:tc>
          <w:tcPr>
            <w:tcW w:w="580" w:type="pct"/>
            <w:noWrap w:val="0"/>
            <w:vAlign w:val="center"/>
          </w:tcPr>
          <w:p>
            <w:pPr>
              <w:widowControl w:val="0"/>
              <w:jc w:val="center"/>
              <w:rPr>
                <w:rFonts w:hint="default"/>
                <w:color w:val="auto"/>
                <w:lang w:val="en-US" w:eastAsia="zh-CN"/>
              </w:rPr>
            </w:pPr>
            <w:r>
              <w:rPr>
                <w:rFonts w:hint="eastAsia"/>
                <w:color w:val="auto"/>
                <w:lang w:val="en-US" w:eastAsia="zh-CN"/>
              </w:rPr>
              <w:t>75.5</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37.8</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121</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609</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2760</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5470</w:t>
            </w:r>
          </w:p>
        </w:tc>
        <w:tc>
          <w:tcPr>
            <w:tcW w:w="495" w:type="pct"/>
            <w:noWrap w:val="0"/>
            <w:vAlign w:val="center"/>
          </w:tcPr>
          <w:p>
            <w:pPr>
              <w:widowControl w:val="0"/>
              <w:jc w:val="center"/>
              <w:rPr>
                <w:rFonts w:hint="default"/>
                <w:color w:val="auto"/>
                <w:sz w:val="20"/>
                <w:lang w:val="en-US" w:eastAsia="zh-CN"/>
              </w:rPr>
            </w:pPr>
            <w:r>
              <w:rPr>
                <w:rFonts w:hint="eastAsia"/>
                <w:color w:val="auto"/>
                <w:sz w:val="20"/>
                <w:lang w:val="en-US" w:eastAsia="zh-CN"/>
              </w:rPr>
              <w:t>14800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80" w:type="pct"/>
            <w:noWrap w:val="0"/>
            <w:vAlign w:val="center"/>
          </w:tcPr>
          <w:p>
            <w:pPr>
              <w:widowControl w:val="0"/>
              <w:jc w:val="center"/>
              <w:rPr>
                <w:rFonts w:hint="default"/>
                <w:color w:val="auto"/>
                <w:sz w:val="20"/>
                <w:lang w:val="en-US" w:eastAsia="zh-CN"/>
              </w:rPr>
            </w:pPr>
            <w:r>
              <w:rPr>
                <w:rFonts w:hint="eastAsia"/>
                <w:color w:val="auto"/>
                <w:sz w:val="20"/>
                <w:lang w:val="en-US" w:eastAsia="zh-CN"/>
              </w:rPr>
              <w:t>0.2</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0.1</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0.2</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1.2</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5.3</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10.6</w:t>
            </w:r>
          </w:p>
        </w:tc>
        <w:tc>
          <w:tcPr>
            <w:tcW w:w="495" w:type="pct"/>
            <w:noWrap w:val="0"/>
            <w:vAlign w:val="center"/>
          </w:tcPr>
          <w:p>
            <w:pPr>
              <w:widowControl w:val="0"/>
              <w:jc w:val="center"/>
              <w:rPr>
                <w:rFonts w:hint="default"/>
                <w:color w:val="auto"/>
                <w:sz w:val="20"/>
                <w:lang w:val="en-US" w:eastAsia="zh-CN"/>
              </w:rPr>
            </w:pPr>
            <w:r>
              <w:rPr>
                <w:rFonts w:hint="eastAsia"/>
                <w:color w:val="auto"/>
                <w:sz w:val="20"/>
                <w:lang w:val="en-US" w:eastAsia="zh-CN"/>
              </w:rPr>
              <w:t>28.8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eastAsia" w:ascii="Times New Roman" w:hAnsi="Times New Roman" w:eastAsia="宋体" w:cs="Times New Roman"/>
                <w:b/>
                <w:bCs/>
                <w:color w:val="auto"/>
                <w:kern w:val="2"/>
                <w:sz w:val="20"/>
                <w:lang w:val="en-US" w:eastAsia="zh-CN" w:bidi="ar-SA"/>
              </w:rPr>
            </w:pPr>
            <w:r>
              <w:rPr>
                <w:rFonts w:hint="eastAsia"/>
                <w:b/>
                <w:bCs/>
                <w:color w:val="auto"/>
                <w:sz w:val="20"/>
                <w:lang w:val="en-US" w:eastAsia="zh-CN"/>
              </w:rPr>
              <w:t>项目</w:t>
            </w:r>
          </w:p>
        </w:tc>
        <w:tc>
          <w:tcPr>
            <w:tcW w:w="580"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8月</w:t>
            </w:r>
          </w:p>
        </w:tc>
        <w:tc>
          <w:tcPr>
            <w:tcW w:w="581"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9月</w:t>
            </w:r>
          </w:p>
        </w:tc>
        <w:tc>
          <w:tcPr>
            <w:tcW w:w="554"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10月</w:t>
            </w:r>
          </w:p>
        </w:tc>
        <w:tc>
          <w:tcPr>
            <w:tcW w:w="53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11月</w:t>
            </w:r>
          </w:p>
        </w:tc>
        <w:tc>
          <w:tcPr>
            <w:tcW w:w="54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12月</w:t>
            </w:r>
          </w:p>
        </w:tc>
        <w:tc>
          <w:tcPr>
            <w:tcW w:w="519"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cs="Times New Roman"/>
                <w:b/>
                <w:bCs/>
                <w:color w:val="auto"/>
                <w:kern w:val="2"/>
                <w:sz w:val="20"/>
                <w:lang w:val="en-US" w:eastAsia="zh-CN" w:bidi="ar-SA"/>
              </w:rPr>
              <w:t>年平均</w:t>
            </w:r>
          </w:p>
        </w:tc>
        <w:tc>
          <w:tcPr>
            <w:tcW w:w="495" w:type="pct"/>
            <w:noWrap w:val="0"/>
            <w:vAlign w:val="center"/>
          </w:tcPr>
          <w:p>
            <w:pPr>
              <w:widowControl w:val="0"/>
              <w:jc w:val="center"/>
              <w:rPr>
                <w:rFonts w:hint="eastAsia"/>
                <w:b/>
                <w:bCs/>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流量（m</w:t>
            </w:r>
            <w:r>
              <w:rPr>
                <w:rFonts w:hint="eastAsia"/>
                <w:color w:val="auto"/>
                <w:sz w:val="20"/>
                <w:vertAlign w:val="superscript"/>
                <w:lang w:val="en-US" w:eastAsia="zh-CN"/>
              </w:rPr>
              <w:t>3</w:t>
            </w:r>
            <w:r>
              <w:rPr>
                <w:rFonts w:hint="eastAsia"/>
                <w:color w:val="auto"/>
                <w:sz w:val="20"/>
                <w:lang w:val="en-US" w:eastAsia="zh-CN"/>
              </w:rPr>
              <w:t>/s）</w:t>
            </w:r>
          </w:p>
        </w:tc>
        <w:tc>
          <w:tcPr>
            <w:tcW w:w="580" w:type="pct"/>
            <w:noWrap w:val="0"/>
            <w:vAlign w:val="center"/>
          </w:tcPr>
          <w:p>
            <w:pPr>
              <w:widowControl w:val="0"/>
              <w:jc w:val="center"/>
              <w:rPr>
                <w:rFonts w:hint="default" w:eastAsia="宋体"/>
                <w:color w:val="auto"/>
                <w:lang w:val="en-US" w:eastAsia="zh-CN"/>
              </w:rPr>
            </w:pPr>
            <w:r>
              <w:rPr>
                <w:rFonts w:hint="eastAsia"/>
                <w:color w:val="auto"/>
                <w:lang w:val="en-US" w:eastAsia="zh-CN"/>
              </w:rPr>
              <w:t>27800</w:t>
            </w:r>
          </w:p>
        </w:tc>
        <w:tc>
          <w:tcPr>
            <w:tcW w:w="581" w:type="pct"/>
            <w:noWrap w:val="0"/>
            <w:vAlign w:val="center"/>
          </w:tcPr>
          <w:p>
            <w:pPr>
              <w:widowControl w:val="0"/>
              <w:jc w:val="center"/>
              <w:rPr>
                <w:rFonts w:hint="default" w:eastAsia="宋体"/>
                <w:color w:val="auto"/>
                <w:lang w:val="en-US" w:eastAsia="zh-CN"/>
              </w:rPr>
            </w:pPr>
            <w:r>
              <w:rPr>
                <w:rFonts w:hint="eastAsia"/>
                <w:color w:val="auto"/>
                <w:lang w:val="en-US" w:eastAsia="zh-CN"/>
              </w:rPr>
              <w:t>25900</w:t>
            </w:r>
          </w:p>
        </w:tc>
        <w:tc>
          <w:tcPr>
            <w:tcW w:w="554"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18600</w:t>
            </w:r>
          </w:p>
        </w:tc>
        <w:tc>
          <w:tcPr>
            <w:tcW w:w="53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10300</w:t>
            </w:r>
          </w:p>
        </w:tc>
        <w:tc>
          <w:tcPr>
            <w:tcW w:w="54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5870</w:t>
            </w:r>
          </w:p>
        </w:tc>
        <w:tc>
          <w:tcPr>
            <w:tcW w:w="519"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13900</w:t>
            </w:r>
          </w:p>
        </w:tc>
        <w:tc>
          <w:tcPr>
            <w:tcW w:w="495" w:type="pct"/>
            <w:noWrap w:val="0"/>
            <w:vAlign w:val="center"/>
          </w:tcPr>
          <w:p>
            <w:pPr>
              <w:widowControl w:val="0"/>
              <w:jc w:val="center"/>
              <w:rPr>
                <w:rFonts w:hint="default" w:eastAsia="宋体"/>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径流量（10</w:t>
            </w:r>
            <w:r>
              <w:rPr>
                <w:rFonts w:hint="eastAsia"/>
                <w:color w:val="auto"/>
                <w:sz w:val="20"/>
                <w:vertAlign w:val="superscript"/>
                <w:lang w:val="en-US" w:eastAsia="zh-CN"/>
              </w:rPr>
              <w:t>8</w:t>
            </w:r>
            <w:r>
              <w:rPr>
                <w:rFonts w:hint="eastAsia"/>
                <w:color w:val="auto"/>
                <w:sz w:val="20"/>
                <w:lang w:val="en-US" w:eastAsia="zh-CN"/>
              </w:rPr>
              <w:t>m</w:t>
            </w:r>
            <w:r>
              <w:rPr>
                <w:rFonts w:hint="eastAsia"/>
                <w:color w:val="auto"/>
                <w:sz w:val="20"/>
                <w:vertAlign w:val="superscript"/>
                <w:lang w:val="en-US" w:eastAsia="zh-CN"/>
              </w:rPr>
              <w:t>3</w:t>
            </w:r>
            <w:r>
              <w:rPr>
                <w:rFonts w:hint="eastAsia"/>
                <w:color w:val="auto"/>
                <w:sz w:val="20"/>
                <w:lang w:val="en-US" w:eastAsia="zh-CN"/>
              </w:rPr>
              <w:t>）</w:t>
            </w:r>
          </w:p>
        </w:tc>
        <w:tc>
          <w:tcPr>
            <w:tcW w:w="580" w:type="pct"/>
            <w:noWrap w:val="0"/>
            <w:vAlign w:val="center"/>
          </w:tcPr>
          <w:p>
            <w:pPr>
              <w:widowControl w:val="0"/>
              <w:jc w:val="center"/>
              <w:rPr>
                <w:rFonts w:hint="default" w:eastAsia="宋体"/>
                <w:color w:val="auto"/>
                <w:lang w:val="en-US" w:eastAsia="zh-CN"/>
              </w:rPr>
            </w:pPr>
            <w:r>
              <w:rPr>
                <w:rFonts w:hint="eastAsia"/>
                <w:color w:val="auto"/>
                <w:lang w:val="en-US" w:eastAsia="zh-CN"/>
              </w:rPr>
              <w:t>745</w:t>
            </w:r>
          </w:p>
        </w:tc>
        <w:tc>
          <w:tcPr>
            <w:tcW w:w="581" w:type="pct"/>
            <w:noWrap w:val="0"/>
            <w:vAlign w:val="center"/>
          </w:tcPr>
          <w:p>
            <w:pPr>
              <w:widowControl w:val="0"/>
              <w:jc w:val="center"/>
              <w:rPr>
                <w:rFonts w:hint="default" w:eastAsia="宋体"/>
                <w:color w:val="auto"/>
                <w:lang w:val="en-US" w:eastAsia="zh-CN"/>
              </w:rPr>
            </w:pPr>
            <w:r>
              <w:rPr>
                <w:rFonts w:hint="eastAsia"/>
                <w:color w:val="auto"/>
                <w:lang w:val="en-US" w:eastAsia="zh-CN"/>
              </w:rPr>
              <w:t>671</w:t>
            </w:r>
          </w:p>
        </w:tc>
        <w:tc>
          <w:tcPr>
            <w:tcW w:w="554"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498</w:t>
            </w:r>
          </w:p>
        </w:tc>
        <w:tc>
          <w:tcPr>
            <w:tcW w:w="53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267</w:t>
            </w:r>
          </w:p>
        </w:tc>
        <w:tc>
          <w:tcPr>
            <w:tcW w:w="54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157</w:t>
            </w:r>
          </w:p>
        </w:tc>
        <w:tc>
          <w:tcPr>
            <w:tcW w:w="519"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4379</w:t>
            </w:r>
          </w:p>
        </w:tc>
        <w:tc>
          <w:tcPr>
            <w:tcW w:w="495" w:type="pct"/>
            <w:noWrap w:val="0"/>
            <w:vAlign w:val="center"/>
          </w:tcPr>
          <w:p>
            <w:pPr>
              <w:widowControl w:val="0"/>
              <w:jc w:val="center"/>
              <w:rPr>
                <w:rFonts w:hint="default" w:eastAsia="宋体"/>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占全年百分比（%）</w:t>
            </w:r>
          </w:p>
        </w:tc>
        <w:tc>
          <w:tcPr>
            <w:tcW w:w="580" w:type="pct"/>
            <w:noWrap w:val="0"/>
            <w:vAlign w:val="center"/>
          </w:tcPr>
          <w:p>
            <w:pPr>
              <w:widowControl w:val="0"/>
              <w:jc w:val="center"/>
              <w:rPr>
                <w:rFonts w:hint="default"/>
                <w:color w:val="auto"/>
                <w:lang w:val="en-US" w:eastAsia="zh-CN"/>
              </w:rPr>
            </w:pPr>
            <w:r>
              <w:rPr>
                <w:rFonts w:hint="eastAsia"/>
                <w:color w:val="auto"/>
                <w:lang w:val="en-US" w:eastAsia="zh-CN"/>
              </w:rPr>
              <w:t>17.0</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15.4</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11.4</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6.1</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3.6</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100</w:t>
            </w:r>
          </w:p>
        </w:tc>
        <w:tc>
          <w:tcPr>
            <w:tcW w:w="495" w:type="pct"/>
            <w:noWrap w:val="0"/>
            <w:vAlign w:val="center"/>
          </w:tcPr>
          <w:p>
            <w:pPr>
              <w:widowControl w:val="0"/>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7"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悬沙输沙量（10</w:t>
            </w:r>
            <w:r>
              <w:rPr>
                <w:rFonts w:hint="eastAsia"/>
                <w:color w:val="auto"/>
                <w:sz w:val="20"/>
                <w:vertAlign w:val="superscript"/>
                <w:lang w:val="en-US" w:eastAsia="zh-CN"/>
              </w:rPr>
              <w:t>4</w:t>
            </w:r>
            <w:r>
              <w:rPr>
                <w:rFonts w:hint="eastAsia"/>
                <w:color w:val="auto"/>
                <w:sz w:val="20"/>
                <w:lang w:val="en-US" w:eastAsia="zh-CN"/>
              </w:rPr>
              <w:t>t）</w:t>
            </w:r>
          </w:p>
        </w:tc>
        <w:tc>
          <w:tcPr>
            <w:tcW w:w="580" w:type="pct"/>
            <w:noWrap w:val="0"/>
            <w:vAlign w:val="center"/>
          </w:tcPr>
          <w:p>
            <w:pPr>
              <w:widowControl w:val="0"/>
              <w:jc w:val="center"/>
              <w:rPr>
                <w:rFonts w:hint="default"/>
                <w:color w:val="auto"/>
                <w:lang w:val="en-US" w:eastAsia="zh-CN"/>
              </w:rPr>
            </w:pPr>
            <w:r>
              <w:rPr>
                <w:rFonts w:hint="eastAsia"/>
                <w:color w:val="auto"/>
                <w:lang w:val="en-US" w:eastAsia="zh-CN"/>
              </w:rPr>
              <w:t>13000</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9300</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3780</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1220</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297</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51500</w:t>
            </w:r>
          </w:p>
        </w:tc>
        <w:tc>
          <w:tcPr>
            <w:tcW w:w="495" w:type="pct"/>
            <w:noWrap w:val="0"/>
            <w:vAlign w:val="center"/>
          </w:tcPr>
          <w:p>
            <w:pPr>
              <w:widowControl w:val="0"/>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0" w:type="auto"/>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占全年百分比（%）</w:t>
            </w:r>
          </w:p>
        </w:tc>
        <w:tc>
          <w:tcPr>
            <w:tcW w:w="0" w:type="auto"/>
          </w:tcPr>
          <w:p>
            <w:pPr>
              <w:widowControl w:val="0"/>
              <w:jc w:val="center"/>
              <w:rPr>
                <w:rFonts w:hint="default"/>
                <w:color w:val="auto"/>
                <w:lang w:val="en-US" w:eastAsia="zh-CN"/>
              </w:rPr>
            </w:pPr>
            <w:r>
              <w:rPr>
                <w:rFonts w:hint="eastAsia"/>
                <w:color w:val="auto"/>
                <w:lang w:val="en-US" w:eastAsia="zh-CN"/>
              </w:rPr>
              <w:t>25.3</w:t>
            </w:r>
          </w:p>
        </w:tc>
        <w:tc>
          <w:tcPr>
            <w:tcW w:w="0" w:type="auto"/>
          </w:tcPr>
          <w:p>
            <w:pPr>
              <w:widowControl w:val="0"/>
              <w:jc w:val="center"/>
              <w:rPr>
                <w:rFonts w:hint="default"/>
                <w:color w:val="auto"/>
                <w:lang w:val="en-US" w:eastAsia="zh-CN"/>
              </w:rPr>
            </w:pPr>
            <w:r>
              <w:rPr>
                <w:rFonts w:hint="eastAsia"/>
                <w:color w:val="auto"/>
                <w:lang w:val="en-US" w:eastAsia="zh-CN"/>
              </w:rPr>
              <w:t>18.1</w:t>
            </w:r>
          </w:p>
        </w:tc>
        <w:tc>
          <w:tcPr>
            <w:tcW w:w="0" w:type="auto"/>
          </w:tcPr>
          <w:p>
            <w:pPr>
              <w:widowControl w:val="0"/>
              <w:jc w:val="center"/>
              <w:rPr>
                <w:rFonts w:hint="default"/>
                <w:color w:val="auto"/>
                <w:sz w:val="20"/>
                <w:lang w:val="en-US" w:eastAsia="zh-CN"/>
              </w:rPr>
            </w:pPr>
            <w:r>
              <w:rPr>
                <w:rFonts w:hint="eastAsia"/>
                <w:color w:val="auto"/>
                <w:sz w:val="20"/>
                <w:lang w:val="en-US" w:eastAsia="zh-CN"/>
              </w:rPr>
              <w:t>7.3</w:t>
            </w:r>
          </w:p>
        </w:tc>
        <w:tc>
          <w:tcPr>
            <w:tcW w:w="0" w:type="auto"/>
          </w:tcPr>
          <w:p>
            <w:pPr>
              <w:widowControl w:val="0"/>
              <w:jc w:val="center"/>
              <w:rPr>
                <w:rFonts w:hint="default"/>
                <w:color w:val="auto"/>
                <w:sz w:val="20"/>
                <w:lang w:val="en-US" w:eastAsia="zh-CN"/>
              </w:rPr>
            </w:pPr>
            <w:r>
              <w:rPr>
                <w:rFonts w:hint="eastAsia"/>
                <w:color w:val="auto"/>
                <w:sz w:val="20"/>
                <w:lang w:val="en-US" w:eastAsia="zh-CN"/>
              </w:rPr>
              <w:t>2.4</w:t>
            </w:r>
          </w:p>
        </w:tc>
        <w:tc>
          <w:tcPr>
            <w:tcW w:w="0" w:type="auto"/>
          </w:tcPr>
          <w:p>
            <w:pPr>
              <w:widowControl w:val="0"/>
              <w:jc w:val="center"/>
              <w:rPr>
                <w:rFonts w:hint="default"/>
                <w:color w:val="auto"/>
                <w:sz w:val="20"/>
                <w:lang w:val="en-US" w:eastAsia="zh-CN"/>
              </w:rPr>
            </w:pPr>
            <w:r>
              <w:rPr>
                <w:rFonts w:hint="eastAsia"/>
                <w:color w:val="auto"/>
                <w:sz w:val="20"/>
                <w:lang w:val="en-US" w:eastAsia="zh-CN"/>
              </w:rPr>
              <w:t>0.6</w:t>
            </w:r>
          </w:p>
        </w:tc>
        <w:tc>
          <w:tcPr>
            <w:tcW w:w="0" w:type="auto"/>
          </w:tcPr>
          <w:p>
            <w:pPr>
              <w:widowControl w:val="0"/>
              <w:jc w:val="center"/>
              <w:rPr>
                <w:rFonts w:hint="default"/>
                <w:color w:val="auto"/>
                <w:sz w:val="20"/>
                <w:lang w:val="en-US" w:eastAsia="zh-CN"/>
              </w:rPr>
            </w:pPr>
            <w:r>
              <w:rPr>
                <w:rFonts w:hint="eastAsia"/>
                <w:color w:val="auto"/>
                <w:sz w:val="20"/>
                <w:lang w:val="en-US" w:eastAsia="zh-CN"/>
              </w:rPr>
              <w:t>100</w:t>
            </w:r>
          </w:p>
        </w:tc>
        <w:tc>
          <w:tcPr>
            <w:tcW w:w="0" w:type="auto"/>
          </w:tcPr>
          <w:p>
            <w:pPr>
              <w:widowControl w:val="0"/>
              <w:jc w:val="center"/>
              <w:rPr>
                <w:rFonts w:hint="eastAsia"/>
                <w:color w:val="auto"/>
                <w:sz w:val="20"/>
                <w:lang w:val="en-US" w:eastAsia="zh-CN"/>
              </w:rPr>
            </w:pPr>
          </w:p>
        </w:tc>
      </w:tr>
    </w:tbl>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  </w:t>
      </w:r>
      <w:r>
        <w:rPr>
          <w:rFonts w:hint="eastAsia" w:eastAsia="黑体"/>
          <w:b/>
          <w:color w:val="auto"/>
          <w:szCs w:val="21"/>
          <w:lang w:val="en-US" w:eastAsia="zh-CN"/>
        </w:rPr>
        <w:t>1981年~2002年宜昌站水文泥沙特征逐月平均统计表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25"/>
        <w:gridCol w:w="986"/>
        <w:gridCol w:w="990"/>
        <w:gridCol w:w="944"/>
        <w:gridCol w:w="911"/>
        <w:gridCol w:w="928"/>
        <w:gridCol w:w="884"/>
        <w:gridCol w:w="8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项目</w:t>
            </w:r>
          </w:p>
        </w:tc>
        <w:tc>
          <w:tcPr>
            <w:tcW w:w="579"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1月</w:t>
            </w:r>
          </w:p>
        </w:tc>
        <w:tc>
          <w:tcPr>
            <w:tcW w:w="581"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2月</w:t>
            </w:r>
          </w:p>
        </w:tc>
        <w:tc>
          <w:tcPr>
            <w:tcW w:w="554"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3月</w:t>
            </w:r>
          </w:p>
        </w:tc>
        <w:tc>
          <w:tcPr>
            <w:tcW w:w="53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4月</w:t>
            </w:r>
          </w:p>
        </w:tc>
        <w:tc>
          <w:tcPr>
            <w:tcW w:w="54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5月</w:t>
            </w:r>
          </w:p>
        </w:tc>
        <w:tc>
          <w:tcPr>
            <w:tcW w:w="519"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6月</w:t>
            </w:r>
          </w:p>
        </w:tc>
        <w:tc>
          <w:tcPr>
            <w:tcW w:w="495" w:type="pct"/>
            <w:tcBorders>
              <w:top w:val="single" w:color="auto" w:sz="12" w:space="0"/>
              <w:bottom w:val="single" w:color="auto" w:sz="12" w:space="0"/>
            </w:tcBorders>
            <w:noWrap w:val="0"/>
            <w:vAlign w:val="center"/>
          </w:tcPr>
          <w:p>
            <w:pPr>
              <w:widowControl w:val="0"/>
              <w:jc w:val="center"/>
              <w:rPr>
                <w:rFonts w:hint="eastAsia"/>
                <w:b/>
                <w:bCs/>
                <w:color w:val="auto"/>
                <w:sz w:val="20"/>
                <w:lang w:val="en-US" w:eastAsia="zh-CN"/>
              </w:rPr>
            </w:pPr>
            <w:r>
              <w:rPr>
                <w:rFonts w:hint="eastAsia"/>
                <w:b/>
                <w:bCs/>
                <w:color w:val="auto"/>
                <w:sz w:val="20"/>
                <w:lang w:val="en-US" w:eastAsia="zh-CN"/>
              </w:rPr>
              <w:t>7月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流量（m</w:t>
            </w:r>
            <w:r>
              <w:rPr>
                <w:rFonts w:hint="eastAsia"/>
                <w:color w:val="auto"/>
                <w:sz w:val="20"/>
                <w:vertAlign w:val="superscript"/>
                <w:lang w:val="en-US" w:eastAsia="zh-CN"/>
              </w:rPr>
              <w:t>3</w:t>
            </w:r>
            <w:r>
              <w:rPr>
                <w:rFonts w:hint="eastAsia"/>
                <w:color w:val="auto"/>
                <w:sz w:val="20"/>
                <w:lang w:val="en-US" w:eastAsia="zh-CN"/>
              </w:rPr>
              <w:t>/s）</w:t>
            </w:r>
          </w:p>
        </w:tc>
        <w:tc>
          <w:tcPr>
            <w:tcW w:w="579"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4340</w:t>
            </w:r>
          </w:p>
        </w:tc>
        <w:tc>
          <w:tcPr>
            <w:tcW w:w="581"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3930</w:t>
            </w:r>
          </w:p>
        </w:tc>
        <w:tc>
          <w:tcPr>
            <w:tcW w:w="554"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4450</w:t>
            </w:r>
          </w:p>
        </w:tc>
        <w:tc>
          <w:tcPr>
            <w:tcW w:w="535"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6800</w:t>
            </w:r>
          </w:p>
        </w:tc>
        <w:tc>
          <w:tcPr>
            <w:tcW w:w="545"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11200</w:t>
            </w:r>
          </w:p>
        </w:tc>
        <w:tc>
          <w:tcPr>
            <w:tcW w:w="519"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17800</w:t>
            </w:r>
          </w:p>
        </w:tc>
        <w:tc>
          <w:tcPr>
            <w:tcW w:w="495" w:type="pct"/>
            <w:tcBorders>
              <w:top w:val="single" w:color="auto" w:sz="12" w:space="0"/>
            </w:tcBorders>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17800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径流量（10</w:t>
            </w:r>
            <w:r>
              <w:rPr>
                <w:rFonts w:hint="eastAsia"/>
                <w:color w:val="auto"/>
                <w:sz w:val="20"/>
                <w:vertAlign w:val="superscript"/>
                <w:lang w:val="en-US" w:eastAsia="zh-CN"/>
              </w:rPr>
              <w:t>8</w:t>
            </w:r>
            <w:r>
              <w:rPr>
                <w:rFonts w:hint="eastAsia"/>
                <w:color w:val="auto"/>
                <w:sz w:val="20"/>
                <w:lang w:val="en-US" w:eastAsia="zh-CN"/>
              </w:rPr>
              <w:t>m</w:t>
            </w:r>
            <w:r>
              <w:rPr>
                <w:rFonts w:hint="eastAsia"/>
                <w:color w:val="auto"/>
                <w:sz w:val="20"/>
                <w:vertAlign w:val="superscript"/>
                <w:lang w:val="en-US" w:eastAsia="zh-CN"/>
              </w:rPr>
              <w:t>3</w:t>
            </w:r>
            <w:r>
              <w:rPr>
                <w:rFonts w:hint="eastAsia"/>
                <w:color w:val="auto"/>
                <w:sz w:val="20"/>
                <w:lang w:val="en-US" w:eastAsia="zh-CN"/>
              </w:rPr>
              <w:t>）</w:t>
            </w:r>
          </w:p>
        </w:tc>
        <w:tc>
          <w:tcPr>
            <w:tcW w:w="579" w:type="pct"/>
            <w:noWrap w:val="0"/>
            <w:vAlign w:val="center"/>
          </w:tcPr>
          <w:p>
            <w:pPr>
              <w:widowControl w:val="0"/>
              <w:jc w:val="center"/>
              <w:rPr>
                <w:rFonts w:hint="default" w:eastAsia="宋体"/>
                <w:color w:val="auto"/>
                <w:lang w:val="en-US" w:eastAsia="zh-CN"/>
              </w:rPr>
            </w:pPr>
            <w:r>
              <w:rPr>
                <w:rFonts w:hint="eastAsia"/>
                <w:color w:val="auto"/>
                <w:lang w:val="en-US" w:eastAsia="zh-CN"/>
              </w:rPr>
              <w:t>116</w:t>
            </w:r>
          </w:p>
        </w:tc>
        <w:tc>
          <w:tcPr>
            <w:tcW w:w="581" w:type="pct"/>
            <w:noWrap w:val="0"/>
            <w:vAlign w:val="center"/>
          </w:tcPr>
          <w:p>
            <w:pPr>
              <w:widowControl w:val="0"/>
              <w:jc w:val="center"/>
              <w:rPr>
                <w:rFonts w:hint="default" w:eastAsia="宋体"/>
                <w:color w:val="auto"/>
                <w:lang w:val="en-US" w:eastAsia="zh-CN"/>
              </w:rPr>
            </w:pPr>
            <w:r>
              <w:rPr>
                <w:rFonts w:hint="eastAsia"/>
                <w:color w:val="auto"/>
                <w:lang w:val="en-US" w:eastAsia="zh-CN"/>
              </w:rPr>
              <w:t>95.9</w:t>
            </w:r>
          </w:p>
        </w:tc>
        <w:tc>
          <w:tcPr>
            <w:tcW w:w="554"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119</w:t>
            </w:r>
          </w:p>
        </w:tc>
        <w:tc>
          <w:tcPr>
            <w:tcW w:w="535"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176</w:t>
            </w:r>
          </w:p>
        </w:tc>
        <w:tc>
          <w:tcPr>
            <w:tcW w:w="545"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300</w:t>
            </w:r>
          </w:p>
        </w:tc>
        <w:tc>
          <w:tcPr>
            <w:tcW w:w="519"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461</w:t>
            </w:r>
          </w:p>
        </w:tc>
        <w:tc>
          <w:tcPr>
            <w:tcW w:w="495"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862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lang w:val="en-US" w:eastAsia="zh-CN"/>
              </w:rPr>
            </w:pPr>
            <w:r>
              <w:rPr>
                <w:rFonts w:hint="eastAsia"/>
                <w:color w:val="auto"/>
                <w:lang w:val="en-US" w:eastAsia="zh-CN"/>
              </w:rPr>
              <w:t>2.7</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2.2</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2.7</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4.0</w:t>
            </w:r>
          </w:p>
        </w:tc>
        <w:tc>
          <w:tcPr>
            <w:tcW w:w="545"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6.9</w:t>
            </w:r>
          </w:p>
        </w:tc>
        <w:tc>
          <w:tcPr>
            <w:tcW w:w="519" w:type="pct"/>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10.6</w:t>
            </w:r>
          </w:p>
        </w:tc>
        <w:tc>
          <w:tcPr>
            <w:tcW w:w="495"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19.8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悬沙输沙量（10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color w:val="auto"/>
                <w:lang w:val="en-US" w:eastAsia="zh-CN"/>
              </w:rPr>
            </w:pPr>
            <w:r>
              <w:rPr>
                <w:rFonts w:hint="eastAsia"/>
                <w:color w:val="auto"/>
                <w:lang w:val="en-US" w:eastAsia="zh-CN"/>
              </w:rPr>
              <w:t>28.1</w:t>
            </w:r>
          </w:p>
        </w:tc>
        <w:tc>
          <w:tcPr>
            <w:tcW w:w="581" w:type="pct"/>
            <w:noWrap w:val="0"/>
            <w:vAlign w:val="center"/>
          </w:tcPr>
          <w:p>
            <w:pPr>
              <w:widowControl w:val="0"/>
              <w:jc w:val="center"/>
              <w:rPr>
                <w:rFonts w:hint="default"/>
                <w:color w:val="auto"/>
                <w:lang w:val="en-US" w:eastAsia="zh-CN"/>
              </w:rPr>
            </w:pPr>
            <w:r>
              <w:rPr>
                <w:rFonts w:hint="eastAsia"/>
                <w:color w:val="auto"/>
                <w:lang w:val="en-US" w:eastAsia="zh-CN"/>
              </w:rPr>
              <w:t>17.6</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22.6</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230</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1250</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4900</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17600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sz w:val="20"/>
                <w:lang w:val="en-US" w:eastAsia="zh-CN"/>
              </w:rPr>
            </w:pPr>
            <w:r>
              <w:rPr>
                <w:rFonts w:hint="eastAsia"/>
                <w:color w:val="auto"/>
                <w:sz w:val="20"/>
                <w:lang w:val="en-US" w:eastAsia="zh-CN"/>
              </w:rPr>
              <w:t>0.06</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0.04</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0.05</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0.5</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2.6</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10.2</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沙推输沙量（10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color w:val="auto"/>
                <w:sz w:val="20"/>
                <w:lang w:val="en-US" w:eastAsia="zh-CN"/>
              </w:rPr>
            </w:pPr>
            <w:r>
              <w:rPr>
                <w:rFonts w:hint="eastAsia"/>
                <w:color w:val="auto"/>
                <w:sz w:val="20"/>
                <w:lang w:val="en-US" w:eastAsia="zh-CN"/>
              </w:rPr>
              <w:t>0.38</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0.27</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0.29</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0.91</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3.54</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8.43</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30.9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sz w:val="20"/>
                <w:lang w:val="en-US" w:eastAsia="zh-CN"/>
              </w:rPr>
            </w:pPr>
            <w:r>
              <w:rPr>
                <w:rFonts w:hint="eastAsia"/>
                <w:color w:val="auto"/>
                <w:sz w:val="20"/>
                <w:lang w:val="en-US" w:eastAsia="zh-CN"/>
              </w:rPr>
              <w:t>0.3</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0.2</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0.2</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0.8</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3.0</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7.2</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26.5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color w:val="auto"/>
                <w:sz w:val="20"/>
                <w:lang w:val="en-US" w:eastAsia="zh-CN"/>
              </w:rPr>
            </w:pPr>
            <w:r>
              <w:rPr>
                <w:rFonts w:hint="eastAsia"/>
                <w:color w:val="auto"/>
                <w:sz w:val="20"/>
                <w:lang w:val="en-US" w:eastAsia="zh-CN"/>
              </w:rPr>
              <w:t>卵推输沙量（10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0.08</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0.74</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8.11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81"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54"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35" w:type="pct"/>
            <w:noWrap w:val="0"/>
            <w:vAlign w:val="center"/>
          </w:tcPr>
          <w:p>
            <w:pPr>
              <w:widowControl w:val="0"/>
              <w:jc w:val="center"/>
              <w:rPr>
                <w:rFonts w:hint="default"/>
                <w:color w:val="auto"/>
                <w:sz w:val="20"/>
                <w:lang w:val="en-US" w:eastAsia="zh-CN"/>
              </w:rPr>
            </w:pPr>
            <w:r>
              <w:rPr>
                <w:rFonts w:hint="eastAsia"/>
                <w:color w:val="auto"/>
                <w:sz w:val="20"/>
                <w:lang w:val="en-US" w:eastAsia="zh-CN"/>
              </w:rPr>
              <w:t>0</w:t>
            </w:r>
          </w:p>
        </w:tc>
        <w:tc>
          <w:tcPr>
            <w:tcW w:w="545" w:type="pct"/>
            <w:noWrap w:val="0"/>
            <w:vAlign w:val="center"/>
          </w:tcPr>
          <w:p>
            <w:pPr>
              <w:widowControl w:val="0"/>
              <w:jc w:val="center"/>
              <w:rPr>
                <w:rFonts w:hint="default"/>
                <w:color w:val="auto"/>
                <w:sz w:val="20"/>
                <w:lang w:val="en-US" w:eastAsia="zh-CN"/>
              </w:rPr>
            </w:pPr>
            <w:r>
              <w:rPr>
                <w:rFonts w:hint="eastAsia"/>
                <w:color w:val="auto"/>
                <w:sz w:val="20"/>
                <w:lang w:val="en-US" w:eastAsia="zh-CN"/>
              </w:rPr>
              <w:t>0.4</w:t>
            </w:r>
          </w:p>
        </w:tc>
        <w:tc>
          <w:tcPr>
            <w:tcW w:w="519" w:type="pct"/>
            <w:noWrap w:val="0"/>
            <w:vAlign w:val="center"/>
          </w:tcPr>
          <w:p>
            <w:pPr>
              <w:widowControl w:val="0"/>
              <w:jc w:val="center"/>
              <w:rPr>
                <w:rFonts w:hint="default"/>
                <w:color w:val="auto"/>
                <w:sz w:val="20"/>
                <w:lang w:val="en-US" w:eastAsia="zh-CN"/>
              </w:rPr>
            </w:pPr>
            <w:r>
              <w:rPr>
                <w:rFonts w:hint="eastAsia"/>
                <w:color w:val="auto"/>
                <w:sz w:val="20"/>
                <w:lang w:val="en-US" w:eastAsia="zh-CN"/>
              </w:rPr>
              <w:t>3.7</w:t>
            </w:r>
          </w:p>
        </w:tc>
        <w:tc>
          <w:tcPr>
            <w:tcW w:w="495" w:type="pct"/>
            <w:noWrap w:val="0"/>
            <w:vAlign w:val="center"/>
          </w:tcPr>
          <w:p>
            <w:pPr>
              <w:widowControl w:val="0"/>
              <w:jc w:val="center"/>
              <w:rPr>
                <w:rFonts w:hint="eastAsia"/>
                <w:color w:val="auto"/>
                <w:sz w:val="20"/>
                <w:lang w:val="en-US" w:eastAsia="zh-CN"/>
              </w:rPr>
            </w:pPr>
            <w:r>
              <w:rPr>
                <w:rFonts w:hint="eastAsia"/>
                <w:color w:val="auto"/>
                <w:sz w:val="20"/>
                <w:lang w:val="en-US" w:eastAsia="zh-CN"/>
              </w:rPr>
              <w:t>40.3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bCs/>
                <w:color w:val="auto"/>
                <w:kern w:val="2"/>
                <w:sz w:val="20"/>
                <w:lang w:val="en-US" w:eastAsia="zh-CN" w:bidi="ar-SA"/>
              </w:rPr>
            </w:pPr>
            <w:r>
              <w:rPr>
                <w:rFonts w:hint="eastAsia"/>
                <w:b/>
                <w:bCs/>
                <w:color w:val="auto"/>
                <w:sz w:val="20"/>
                <w:lang w:val="en-US" w:eastAsia="zh-CN"/>
              </w:rPr>
              <w:t>项目</w:t>
            </w:r>
          </w:p>
        </w:tc>
        <w:tc>
          <w:tcPr>
            <w:tcW w:w="579"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8月</w:t>
            </w:r>
          </w:p>
        </w:tc>
        <w:tc>
          <w:tcPr>
            <w:tcW w:w="581"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9月</w:t>
            </w:r>
          </w:p>
        </w:tc>
        <w:tc>
          <w:tcPr>
            <w:tcW w:w="554"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10月</w:t>
            </w:r>
          </w:p>
        </w:tc>
        <w:tc>
          <w:tcPr>
            <w:tcW w:w="53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11月</w:t>
            </w:r>
          </w:p>
        </w:tc>
        <w:tc>
          <w:tcPr>
            <w:tcW w:w="54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12月</w:t>
            </w:r>
          </w:p>
        </w:tc>
        <w:tc>
          <w:tcPr>
            <w:tcW w:w="519"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cs="Times New Roman"/>
                <w:b/>
                <w:bCs/>
                <w:color w:val="auto"/>
                <w:kern w:val="2"/>
                <w:sz w:val="20"/>
                <w:lang w:val="en-US" w:eastAsia="zh-CN" w:bidi="ar-SA"/>
              </w:rPr>
              <w:t>年平均</w:t>
            </w:r>
          </w:p>
        </w:tc>
        <w:tc>
          <w:tcPr>
            <w:tcW w:w="495" w:type="pct"/>
            <w:noWrap w:val="0"/>
            <w:vAlign w:val="center"/>
          </w:tcPr>
          <w:p>
            <w:pPr>
              <w:widowControl w:val="0"/>
              <w:jc w:val="center"/>
              <w:rPr>
                <w:rFonts w:hint="eastAsia"/>
                <w:b/>
                <w:bCs/>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流量（m</w:t>
            </w:r>
            <w:r>
              <w:rPr>
                <w:rFonts w:hint="eastAsia"/>
                <w:b w:val="0"/>
                <w:bCs w:val="0"/>
                <w:color w:val="auto"/>
                <w:sz w:val="20"/>
                <w:szCs w:val="20"/>
                <w:vertAlign w:val="superscript"/>
                <w:lang w:val="en-US" w:eastAsia="zh-CN"/>
              </w:rPr>
              <w:t>3</w:t>
            </w:r>
            <w:r>
              <w:rPr>
                <w:rFonts w:hint="eastAsia"/>
                <w:b w:val="0"/>
                <w:bCs w:val="0"/>
                <w:color w:val="auto"/>
                <w:sz w:val="20"/>
                <w:szCs w:val="20"/>
                <w:lang w:val="en-US" w:eastAsia="zh-CN"/>
              </w:rPr>
              <w:t>/s）</w:t>
            </w:r>
          </w:p>
        </w:tc>
        <w:tc>
          <w:tcPr>
            <w:tcW w:w="57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26900</w:t>
            </w:r>
          </w:p>
        </w:tc>
        <w:tc>
          <w:tcPr>
            <w:tcW w:w="581"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24800</w:t>
            </w:r>
          </w:p>
        </w:tc>
        <w:tc>
          <w:tcPr>
            <w:tcW w:w="554"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17300</w:t>
            </w:r>
          </w:p>
        </w:tc>
        <w:tc>
          <w:tcPr>
            <w:tcW w:w="53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9690</w:t>
            </w:r>
          </w:p>
        </w:tc>
        <w:tc>
          <w:tcPr>
            <w:tcW w:w="54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5840</w:t>
            </w:r>
          </w:p>
        </w:tc>
        <w:tc>
          <w:tcPr>
            <w:tcW w:w="51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13800</w:t>
            </w:r>
          </w:p>
        </w:tc>
        <w:tc>
          <w:tcPr>
            <w:tcW w:w="495" w:type="pct"/>
            <w:noWrap w:val="0"/>
            <w:vAlign w:val="center"/>
          </w:tcPr>
          <w:p>
            <w:pPr>
              <w:widowControl w:val="0"/>
              <w:jc w:val="center"/>
              <w:rPr>
                <w:rFonts w:hint="default" w:eastAsia="宋体"/>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径流量（10</w:t>
            </w:r>
            <w:r>
              <w:rPr>
                <w:rFonts w:hint="eastAsia"/>
                <w:b w:val="0"/>
                <w:bCs w:val="0"/>
                <w:color w:val="auto"/>
                <w:sz w:val="20"/>
                <w:szCs w:val="20"/>
                <w:vertAlign w:val="superscript"/>
                <w:lang w:val="en-US" w:eastAsia="zh-CN"/>
              </w:rPr>
              <w:t>8</w:t>
            </w:r>
            <w:r>
              <w:rPr>
                <w:rFonts w:hint="eastAsia"/>
                <w:b w:val="0"/>
                <w:bCs w:val="0"/>
                <w:color w:val="auto"/>
                <w:sz w:val="20"/>
                <w:szCs w:val="20"/>
                <w:lang w:val="en-US" w:eastAsia="zh-CN"/>
              </w:rPr>
              <w:t>m</w:t>
            </w:r>
            <w:r>
              <w:rPr>
                <w:rFonts w:hint="eastAsia"/>
                <w:b w:val="0"/>
                <w:bCs w:val="0"/>
                <w:color w:val="auto"/>
                <w:sz w:val="20"/>
                <w:szCs w:val="20"/>
                <w:vertAlign w:val="superscript"/>
                <w:lang w:val="en-US" w:eastAsia="zh-CN"/>
              </w:rPr>
              <w:t>3</w:t>
            </w:r>
            <w:r>
              <w:rPr>
                <w:rFonts w:hint="eastAsia"/>
                <w:b w:val="0"/>
                <w:bCs w:val="0"/>
                <w:color w:val="auto"/>
                <w:sz w:val="20"/>
                <w:szCs w:val="20"/>
                <w:lang w:val="en-US" w:eastAsia="zh-CN"/>
              </w:rPr>
              <w:t>）</w:t>
            </w:r>
          </w:p>
        </w:tc>
        <w:tc>
          <w:tcPr>
            <w:tcW w:w="57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720</w:t>
            </w:r>
          </w:p>
        </w:tc>
        <w:tc>
          <w:tcPr>
            <w:tcW w:w="581"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643</w:t>
            </w:r>
          </w:p>
        </w:tc>
        <w:tc>
          <w:tcPr>
            <w:tcW w:w="554"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463</w:t>
            </w:r>
          </w:p>
        </w:tc>
        <w:tc>
          <w:tcPr>
            <w:tcW w:w="53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251</w:t>
            </w:r>
          </w:p>
        </w:tc>
        <w:tc>
          <w:tcPr>
            <w:tcW w:w="54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156</w:t>
            </w:r>
          </w:p>
        </w:tc>
        <w:tc>
          <w:tcPr>
            <w:tcW w:w="51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4363</w:t>
            </w:r>
          </w:p>
        </w:tc>
        <w:tc>
          <w:tcPr>
            <w:tcW w:w="495" w:type="pct"/>
            <w:noWrap w:val="0"/>
            <w:vAlign w:val="center"/>
          </w:tcPr>
          <w:p>
            <w:pPr>
              <w:widowControl w:val="0"/>
              <w:jc w:val="center"/>
              <w:rPr>
                <w:rFonts w:hint="default" w:eastAsia="宋体"/>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占全年百分比（%）</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16.5</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14.7</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10.6</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5.7</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3.6</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悬沙输沙量</w:t>
            </w:r>
            <w:r>
              <w:rPr>
                <w:rFonts w:hint="eastAsia"/>
                <w:color w:val="auto"/>
                <w:sz w:val="20"/>
                <w:lang w:val="en-US" w:eastAsia="zh-CN"/>
              </w:rPr>
              <w:t>（10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12200</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8400</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3080</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643</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61.6</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48400</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占全年百分比（%）</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25.2</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17.4</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6.4</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1.3</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0.1</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沙推输沙量</w:t>
            </w:r>
            <w:r>
              <w:rPr>
                <w:rFonts w:hint="eastAsia"/>
                <w:color w:val="auto"/>
                <w:sz w:val="20"/>
                <w:lang w:val="en-US" w:eastAsia="zh-CN"/>
              </w:rPr>
              <w:t>（10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31.8</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26.9</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9.57</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3.18</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0.74</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117</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占全年百分比（%）</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27.2</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23.0</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8.2</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2.7</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0.6</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卵推输沙量</w:t>
            </w:r>
            <w:r>
              <w:rPr>
                <w:rFonts w:hint="eastAsia"/>
                <w:color w:val="auto"/>
                <w:sz w:val="20"/>
                <w:lang w:val="en-US" w:eastAsia="zh-CN"/>
              </w:rPr>
              <w:t>（10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9.61</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1.33</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0.24</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20.1</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vAlign w:val="center"/>
          </w:tcPr>
          <w:p>
            <w:pPr>
              <w:widowControl w:val="0"/>
              <w:jc w:val="center"/>
              <w:rPr>
                <w:rFonts w:hint="eastAsia" w:ascii="Times New Roman" w:hAnsi="Times New Roman" w:eastAsia="宋体" w:cs="Times New Roman"/>
                <w:b w:val="0"/>
                <w:bCs w:val="0"/>
                <w:color w:val="auto"/>
                <w:kern w:val="2"/>
                <w:sz w:val="20"/>
                <w:szCs w:val="20"/>
                <w:lang w:val="en-US" w:eastAsia="zh-CN" w:bidi="ar-SA"/>
              </w:rPr>
            </w:pPr>
            <w:r>
              <w:rPr>
                <w:rFonts w:hint="eastAsia"/>
                <w:b w:val="0"/>
                <w:bCs w:val="0"/>
                <w:color w:val="auto"/>
                <w:sz w:val="20"/>
                <w:szCs w:val="20"/>
                <w:lang w:val="en-US" w:eastAsia="zh-CN"/>
              </w:rPr>
              <w:t>占全年百分比（%）</w:t>
            </w:r>
          </w:p>
        </w:tc>
        <w:tc>
          <w:tcPr>
            <w:tcW w:w="579"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147.8</w:t>
            </w:r>
          </w:p>
        </w:tc>
        <w:tc>
          <w:tcPr>
            <w:tcW w:w="581"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6.6</w:t>
            </w:r>
          </w:p>
        </w:tc>
        <w:tc>
          <w:tcPr>
            <w:tcW w:w="554"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1.2</w:t>
            </w:r>
          </w:p>
        </w:tc>
        <w:tc>
          <w:tcPr>
            <w:tcW w:w="535"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w:t>
            </w:r>
          </w:p>
        </w:tc>
        <w:tc>
          <w:tcPr>
            <w:tcW w:w="545"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w:t>
            </w:r>
          </w:p>
        </w:tc>
        <w:tc>
          <w:tcPr>
            <w:tcW w:w="519"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tcPr>
          <w:p>
            <w:pPr>
              <w:widowControl w:val="0"/>
              <w:jc w:val="center"/>
              <w:rPr>
                <w:rFonts w:hint="eastAsia"/>
                <w:b w:val="0"/>
                <w:bCs w:val="0"/>
                <w:color w:val="auto"/>
                <w:sz w:val="20"/>
                <w:szCs w:val="20"/>
                <w:lang w:val="en-US" w:eastAsia="zh-CN"/>
              </w:rPr>
            </w:pPr>
          </w:p>
        </w:tc>
      </w:tr>
    </w:tbl>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5</w:t>
      </w:r>
      <w:r>
        <w:rPr>
          <w:rFonts w:eastAsia="黑体"/>
          <w:b/>
          <w:color w:val="auto"/>
          <w:szCs w:val="21"/>
        </w:rPr>
        <w:t xml:space="preserve">  </w:t>
      </w:r>
      <w:r>
        <w:rPr>
          <w:rFonts w:hint="eastAsia" w:eastAsia="黑体"/>
          <w:b/>
          <w:color w:val="auto"/>
          <w:szCs w:val="21"/>
          <w:lang w:val="en-US" w:eastAsia="zh-CN"/>
        </w:rPr>
        <w:t>1992年~2002年枝城站水文泥沙特征逐月平均统计表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25"/>
        <w:gridCol w:w="986"/>
        <w:gridCol w:w="990"/>
        <w:gridCol w:w="944"/>
        <w:gridCol w:w="911"/>
        <w:gridCol w:w="928"/>
        <w:gridCol w:w="884"/>
        <w:gridCol w:w="8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项目</w:t>
            </w:r>
          </w:p>
        </w:tc>
        <w:tc>
          <w:tcPr>
            <w:tcW w:w="579" w:type="pct"/>
            <w:tcBorders>
              <w:top w:val="single" w:color="auto" w:sz="12" w:space="0"/>
              <w:bottom w:val="single" w:color="auto" w:sz="12" w:space="0"/>
            </w:tcBorders>
            <w:noWrap w:val="0"/>
            <w:vAlign w:val="center"/>
          </w:tcPr>
          <w:p>
            <w:pPr>
              <w:widowControl w:val="0"/>
              <w:jc w:val="center"/>
              <w:rPr>
                <w:rFonts w:hint="default" w:eastAsia="宋体"/>
                <w:b/>
                <w:bCs/>
                <w:color w:val="auto"/>
                <w:sz w:val="20"/>
                <w:lang w:val="en-US" w:eastAsia="zh-CN"/>
              </w:rPr>
            </w:pPr>
            <w:r>
              <w:rPr>
                <w:rFonts w:hint="eastAsia"/>
                <w:b/>
                <w:bCs/>
                <w:color w:val="auto"/>
                <w:sz w:val="20"/>
                <w:lang w:val="en-US" w:eastAsia="zh-CN"/>
              </w:rPr>
              <w:t>1月</w:t>
            </w:r>
          </w:p>
        </w:tc>
        <w:tc>
          <w:tcPr>
            <w:tcW w:w="581"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2月</w:t>
            </w:r>
          </w:p>
        </w:tc>
        <w:tc>
          <w:tcPr>
            <w:tcW w:w="554"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3月</w:t>
            </w:r>
          </w:p>
        </w:tc>
        <w:tc>
          <w:tcPr>
            <w:tcW w:w="53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4月</w:t>
            </w:r>
          </w:p>
        </w:tc>
        <w:tc>
          <w:tcPr>
            <w:tcW w:w="545"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5月</w:t>
            </w:r>
          </w:p>
        </w:tc>
        <w:tc>
          <w:tcPr>
            <w:tcW w:w="519" w:type="pct"/>
            <w:tcBorders>
              <w:top w:val="single" w:color="auto" w:sz="12" w:space="0"/>
              <w:bottom w:val="single" w:color="auto" w:sz="12" w:space="0"/>
            </w:tcBorders>
            <w:noWrap w:val="0"/>
            <w:vAlign w:val="center"/>
          </w:tcPr>
          <w:p>
            <w:pPr>
              <w:widowControl w:val="0"/>
              <w:jc w:val="center"/>
              <w:rPr>
                <w:b/>
                <w:bCs/>
                <w:color w:val="auto"/>
                <w:sz w:val="20"/>
              </w:rPr>
            </w:pPr>
            <w:r>
              <w:rPr>
                <w:rFonts w:hint="eastAsia"/>
                <w:b/>
                <w:bCs/>
                <w:color w:val="auto"/>
                <w:sz w:val="20"/>
                <w:lang w:val="en-US" w:eastAsia="zh-CN"/>
              </w:rPr>
              <w:t>6月</w:t>
            </w:r>
          </w:p>
        </w:tc>
        <w:tc>
          <w:tcPr>
            <w:tcW w:w="495" w:type="pct"/>
            <w:tcBorders>
              <w:top w:val="single" w:color="auto" w:sz="12" w:space="0"/>
              <w:bottom w:val="single" w:color="auto" w:sz="12" w:space="0"/>
            </w:tcBorders>
            <w:noWrap w:val="0"/>
            <w:vAlign w:val="center"/>
          </w:tcPr>
          <w:p>
            <w:pPr>
              <w:widowControl w:val="0"/>
              <w:jc w:val="center"/>
              <w:rPr>
                <w:rFonts w:hint="eastAsia"/>
                <w:b/>
                <w:bCs/>
                <w:color w:val="auto"/>
                <w:sz w:val="20"/>
                <w:lang w:val="en-US" w:eastAsia="zh-CN"/>
              </w:rPr>
            </w:pPr>
            <w:r>
              <w:rPr>
                <w:rFonts w:hint="eastAsia"/>
                <w:b/>
                <w:bCs/>
                <w:color w:val="auto"/>
                <w:sz w:val="20"/>
                <w:lang w:val="en-US" w:eastAsia="zh-CN"/>
              </w:rPr>
              <w:t>7月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流量（m</w:t>
            </w:r>
            <w:r>
              <w:rPr>
                <w:rFonts w:hint="eastAsia"/>
                <w:color w:val="auto"/>
                <w:sz w:val="20"/>
                <w:vertAlign w:val="superscript"/>
                <w:lang w:val="en-US" w:eastAsia="zh-CN"/>
              </w:rPr>
              <w:t>3</w:t>
            </w:r>
            <w:r>
              <w:rPr>
                <w:rFonts w:hint="eastAsia"/>
                <w:color w:val="auto"/>
                <w:sz w:val="20"/>
                <w:lang w:val="en-US" w:eastAsia="zh-CN"/>
              </w:rPr>
              <w:t>/s）</w:t>
            </w:r>
          </w:p>
        </w:tc>
        <w:tc>
          <w:tcPr>
            <w:tcW w:w="579"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4554</w:t>
            </w:r>
          </w:p>
        </w:tc>
        <w:tc>
          <w:tcPr>
            <w:tcW w:w="581"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4213</w:t>
            </w:r>
          </w:p>
        </w:tc>
        <w:tc>
          <w:tcPr>
            <w:tcW w:w="554"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4883</w:t>
            </w:r>
          </w:p>
        </w:tc>
        <w:tc>
          <w:tcPr>
            <w:tcW w:w="535"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7105</w:t>
            </w:r>
          </w:p>
        </w:tc>
        <w:tc>
          <w:tcPr>
            <w:tcW w:w="545"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11789</w:t>
            </w:r>
          </w:p>
        </w:tc>
        <w:tc>
          <w:tcPr>
            <w:tcW w:w="519"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19034</w:t>
            </w:r>
          </w:p>
        </w:tc>
        <w:tc>
          <w:tcPr>
            <w:tcW w:w="495"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32310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2.8</w:t>
            </w:r>
          </w:p>
        </w:tc>
        <w:tc>
          <w:tcPr>
            <w:tcW w:w="581"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2.6</w:t>
            </w:r>
          </w:p>
        </w:tc>
        <w:tc>
          <w:tcPr>
            <w:tcW w:w="554"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3.0</w:t>
            </w:r>
          </w:p>
        </w:tc>
        <w:tc>
          <w:tcPr>
            <w:tcW w:w="53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4.4</w:t>
            </w:r>
          </w:p>
        </w:tc>
        <w:tc>
          <w:tcPr>
            <w:tcW w:w="54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7.3</w:t>
            </w:r>
          </w:p>
        </w:tc>
        <w:tc>
          <w:tcPr>
            <w:tcW w:w="51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11.8</w:t>
            </w:r>
          </w:p>
        </w:tc>
        <w:tc>
          <w:tcPr>
            <w:tcW w:w="49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悬沙输沙量（10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39.1</w:t>
            </w:r>
          </w:p>
        </w:tc>
        <w:tc>
          <w:tcPr>
            <w:tcW w:w="581"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39.4</w:t>
            </w:r>
          </w:p>
        </w:tc>
        <w:tc>
          <w:tcPr>
            <w:tcW w:w="554"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66.6</w:t>
            </w:r>
          </w:p>
        </w:tc>
        <w:tc>
          <w:tcPr>
            <w:tcW w:w="53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294.0</w:t>
            </w:r>
          </w:p>
        </w:tc>
        <w:tc>
          <w:tcPr>
            <w:tcW w:w="54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1245</w:t>
            </w:r>
          </w:p>
        </w:tc>
        <w:tc>
          <w:tcPr>
            <w:tcW w:w="51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4139</w:t>
            </w:r>
          </w:p>
        </w:tc>
        <w:tc>
          <w:tcPr>
            <w:tcW w:w="49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12226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default"/>
                <w:color w:val="auto"/>
                <w:sz w:val="20"/>
                <w:lang w:val="en-US" w:eastAsia="zh-CN"/>
              </w:rPr>
            </w:pPr>
            <w:r>
              <w:rPr>
                <w:rFonts w:hint="eastAsia"/>
                <w:color w:val="auto"/>
                <w:sz w:val="20"/>
                <w:lang w:val="en-US" w:eastAsia="zh-CN"/>
              </w:rPr>
              <w:t>占全年百分比（%）</w:t>
            </w:r>
          </w:p>
        </w:tc>
        <w:tc>
          <w:tcPr>
            <w:tcW w:w="57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0.1</w:t>
            </w:r>
          </w:p>
        </w:tc>
        <w:tc>
          <w:tcPr>
            <w:tcW w:w="581"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0.1</w:t>
            </w:r>
          </w:p>
        </w:tc>
        <w:tc>
          <w:tcPr>
            <w:tcW w:w="554"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0.2</w:t>
            </w:r>
          </w:p>
        </w:tc>
        <w:tc>
          <w:tcPr>
            <w:tcW w:w="53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0.8</w:t>
            </w:r>
          </w:p>
        </w:tc>
        <w:tc>
          <w:tcPr>
            <w:tcW w:w="54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3.3</w:t>
            </w:r>
          </w:p>
        </w:tc>
        <w:tc>
          <w:tcPr>
            <w:tcW w:w="519"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11.1</w:t>
            </w:r>
          </w:p>
        </w:tc>
        <w:tc>
          <w:tcPr>
            <w:tcW w:w="495" w:type="pct"/>
            <w:noWrap w:val="0"/>
            <w:vAlign w:val="center"/>
          </w:tcPr>
          <w:p>
            <w:pPr>
              <w:widowControl w:val="0"/>
              <w:jc w:val="center"/>
              <w:rPr>
                <w:rFonts w:hint="default"/>
                <w:color w:val="auto"/>
                <w:sz w:val="20"/>
                <w:szCs w:val="18"/>
                <w:lang w:val="en-US" w:eastAsia="zh-CN"/>
              </w:rPr>
            </w:pPr>
            <w:r>
              <w:rPr>
                <w:rFonts w:hint="eastAsia"/>
                <w:color w:val="auto"/>
                <w:sz w:val="20"/>
                <w:szCs w:val="18"/>
                <w:lang w:val="en-US" w:eastAsia="zh-CN"/>
              </w:rPr>
              <w:t>32.8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b/>
                <w:bCs/>
                <w:color w:val="auto"/>
                <w:kern w:val="2"/>
                <w:sz w:val="20"/>
                <w:lang w:val="en-US" w:eastAsia="zh-CN" w:bidi="ar-SA"/>
              </w:rPr>
            </w:pPr>
            <w:r>
              <w:rPr>
                <w:rFonts w:hint="eastAsia"/>
                <w:b/>
                <w:bCs/>
                <w:color w:val="auto"/>
                <w:sz w:val="20"/>
                <w:lang w:val="en-US" w:eastAsia="zh-CN"/>
              </w:rPr>
              <w:t>项目</w:t>
            </w:r>
          </w:p>
        </w:tc>
        <w:tc>
          <w:tcPr>
            <w:tcW w:w="579"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8月</w:t>
            </w:r>
          </w:p>
        </w:tc>
        <w:tc>
          <w:tcPr>
            <w:tcW w:w="581"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9月</w:t>
            </w:r>
          </w:p>
        </w:tc>
        <w:tc>
          <w:tcPr>
            <w:tcW w:w="554"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10月</w:t>
            </w:r>
          </w:p>
        </w:tc>
        <w:tc>
          <w:tcPr>
            <w:tcW w:w="53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11月</w:t>
            </w:r>
          </w:p>
        </w:tc>
        <w:tc>
          <w:tcPr>
            <w:tcW w:w="545"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b/>
                <w:bCs/>
                <w:color w:val="auto"/>
                <w:sz w:val="20"/>
                <w:lang w:val="en-US" w:eastAsia="zh-CN"/>
              </w:rPr>
              <w:t>12月</w:t>
            </w:r>
          </w:p>
        </w:tc>
        <w:tc>
          <w:tcPr>
            <w:tcW w:w="519" w:type="pct"/>
            <w:noWrap w:val="0"/>
            <w:vAlign w:val="center"/>
          </w:tcPr>
          <w:p>
            <w:pPr>
              <w:widowControl w:val="0"/>
              <w:jc w:val="center"/>
              <w:rPr>
                <w:rFonts w:hint="default" w:ascii="Times New Roman" w:hAnsi="Times New Roman" w:eastAsia="宋体" w:cs="Times New Roman"/>
                <w:b/>
                <w:bCs/>
                <w:color w:val="auto"/>
                <w:kern w:val="2"/>
                <w:sz w:val="20"/>
                <w:lang w:val="en-US" w:eastAsia="zh-CN" w:bidi="ar-SA"/>
              </w:rPr>
            </w:pPr>
            <w:r>
              <w:rPr>
                <w:rFonts w:hint="eastAsia" w:cs="Times New Roman"/>
                <w:b/>
                <w:bCs/>
                <w:color w:val="auto"/>
                <w:kern w:val="2"/>
                <w:sz w:val="20"/>
                <w:lang w:val="en-US" w:eastAsia="zh-CN" w:bidi="ar-SA"/>
              </w:rPr>
              <w:t>年平均</w:t>
            </w:r>
          </w:p>
        </w:tc>
        <w:tc>
          <w:tcPr>
            <w:tcW w:w="495" w:type="pct"/>
            <w:noWrap w:val="0"/>
            <w:vAlign w:val="center"/>
          </w:tcPr>
          <w:p>
            <w:pPr>
              <w:widowControl w:val="0"/>
              <w:jc w:val="center"/>
              <w:rPr>
                <w:rFonts w:hint="eastAsia"/>
                <w:b/>
                <w:bCs/>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流量（m</w:t>
            </w:r>
            <w:r>
              <w:rPr>
                <w:rFonts w:hint="eastAsia"/>
                <w:color w:val="auto"/>
                <w:sz w:val="20"/>
                <w:vertAlign w:val="superscript"/>
                <w:lang w:val="en-US" w:eastAsia="zh-CN"/>
              </w:rPr>
              <w:t>3</w:t>
            </w:r>
            <w:r>
              <w:rPr>
                <w:rFonts w:hint="eastAsia"/>
                <w:color w:val="auto"/>
                <w:sz w:val="20"/>
                <w:lang w:val="en-US" w:eastAsia="zh-CN"/>
              </w:rPr>
              <w:t>/s）</w:t>
            </w:r>
          </w:p>
        </w:tc>
        <w:tc>
          <w:tcPr>
            <w:tcW w:w="57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28020</w:t>
            </w:r>
          </w:p>
        </w:tc>
        <w:tc>
          <w:tcPr>
            <w:tcW w:w="581"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18194</w:t>
            </w:r>
          </w:p>
        </w:tc>
        <w:tc>
          <w:tcPr>
            <w:tcW w:w="554"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15938</w:t>
            </w:r>
          </w:p>
        </w:tc>
        <w:tc>
          <w:tcPr>
            <w:tcW w:w="53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9426</w:t>
            </w:r>
          </w:p>
        </w:tc>
        <w:tc>
          <w:tcPr>
            <w:tcW w:w="545"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5786</w:t>
            </w:r>
          </w:p>
        </w:tc>
        <w:tc>
          <w:tcPr>
            <w:tcW w:w="51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13744</w:t>
            </w:r>
          </w:p>
        </w:tc>
        <w:tc>
          <w:tcPr>
            <w:tcW w:w="495" w:type="pct"/>
            <w:noWrap w:val="0"/>
            <w:vAlign w:val="center"/>
          </w:tcPr>
          <w:p>
            <w:pPr>
              <w:widowControl w:val="0"/>
              <w:jc w:val="center"/>
              <w:rPr>
                <w:rFonts w:hint="default" w:eastAsia="宋体"/>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占全年百分比（%）</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17.4</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11.3</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9.9</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5.8</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3.6</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悬沙输沙量（10</w:t>
            </w:r>
            <w:r>
              <w:rPr>
                <w:rFonts w:hint="eastAsia"/>
                <w:color w:val="auto"/>
                <w:sz w:val="20"/>
                <w:vertAlign w:val="superscript"/>
                <w:lang w:val="en-US" w:eastAsia="zh-CN"/>
              </w:rPr>
              <w:t>4</w:t>
            </w:r>
            <w:r>
              <w:rPr>
                <w:rFonts w:hint="eastAsia"/>
                <w:color w:val="auto"/>
                <w:sz w:val="20"/>
                <w:lang w:val="en-US" w:eastAsia="zh-CN"/>
              </w:rPr>
              <w:t>t）</w:t>
            </w:r>
          </w:p>
        </w:tc>
        <w:tc>
          <w:tcPr>
            <w:tcW w:w="57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10717</w:t>
            </w:r>
          </w:p>
        </w:tc>
        <w:tc>
          <w:tcPr>
            <w:tcW w:w="581"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5303</w:t>
            </w:r>
          </w:p>
        </w:tc>
        <w:tc>
          <w:tcPr>
            <w:tcW w:w="554"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2480</w:t>
            </w:r>
          </w:p>
        </w:tc>
        <w:tc>
          <w:tcPr>
            <w:tcW w:w="5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510.7</w:t>
            </w:r>
          </w:p>
        </w:tc>
        <w:tc>
          <w:tcPr>
            <w:tcW w:w="54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155.7</w:t>
            </w:r>
          </w:p>
        </w:tc>
        <w:tc>
          <w:tcPr>
            <w:tcW w:w="51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37219</w:t>
            </w:r>
          </w:p>
        </w:tc>
        <w:tc>
          <w:tcPr>
            <w:tcW w:w="49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9" w:type="pct"/>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占全年百分比（%）</w:t>
            </w:r>
          </w:p>
        </w:tc>
        <w:tc>
          <w:tcPr>
            <w:tcW w:w="579"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28.8</w:t>
            </w:r>
          </w:p>
        </w:tc>
        <w:tc>
          <w:tcPr>
            <w:tcW w:w="581"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14.2</w:t>
            </w:r>
          </w:p>
        </w:tc>
        <w:tc>
          <w:tcPr>
            <w:tcW w:w="554"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6.7</w:t>
            </w:r>
          </w:p>
        </w:tc>
        <w:tc>
          <w:tcPr>
            <w:tcW w:w="535"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1.4</w:t>
            </w:r>
          </w:p>
        </w:tc>
        <w:tc>
          <w:tcPr>
            <w:tcW w:w="545"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0.4</w:t>
            </w:r>
          </w:p>
        </w:tc>
        <w:tc>
          <w:tcPr>
            <w:tcW w:w="519" w:type="pct"/>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100</w:t>
            </w:r>
          </w:p>
        </w:tc>
        <w:tc>
          <w:tcPr>
            <w:tcW w:w="495" w:type="pct"/>
          </w:tcPr>
          <w:p>
            <w:pPr>
              <w:widowControl w:val="0"/>
              <w:jc w:val="center"/>
              <w:rPr>
                <w:rFonts w:hint="eastAsia"/>
                <w:b w:val="0"/>
                <w:bCs w:val="0"/>
                <w:color w:val="auto"/>
                <w:sz w:val="20"/>
                <w:szCs w:val="20"/>
                <w:lang w:val="en-US" w:eastAsia="zh-CN"/>
              </w:rPr>
            </w:pPr>
          </w:p>
        </w:tc>
      </w:tr>
    </w:tbl>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葛洲坝蓄水前宜昌站多年平均卵石推移质输移量为75.8×10</w:t>
      </w:r>
      <w:r>
        <w:rPr>
          <w:rFonts w:hint="eastAsia" w:ascii="Times New Roman" w:hAnsi="Times New Roman" w:eastAsia="仿宋_GB2312" w:cs="Times New Roman"/>
          <w:color w:val="auto"/>
          <w:sz w:val="24"/>
          <w:vertAlign w:val="superscript"/>
          <w:lang w:val="en-US" w:eastAsia="zh-CN"/>
        </w:rPr>
        <w:t>4</w:t>
      </w:r>
      <w:r>
        <w:rPr>
          <w:rFonts w:hint="eastAsia" w:ascii="Times New Roman" w:hAnsi="Times New Roman" w:eastAsia="仿宋_GB2312" w:cs="Times New Roman"/>
          <w:color w:val="auto"/>
          <w:sz w:val="24"/>
          <w:lang w:val="en-US" w:eastAsia="zh-CN"/>
        </w:rPr>
        <w:t>t，沙质推移质输移量为878×10</w:t>
      </w:r>
      <w:r>
        <w:rPr>
          <w:rFonts w:hint="eastAsia" w:ascii="Times New Roman" w:hAnsi="Times New Roman" w:eastAsia="仿宋_GB2312" w:cs="Times New Roman"/>
          <w:color w:val="auto"/>
          <w:sz w:val="24"/>
          <w:vertAlign w:val="superscript"/>
          <w:lang w:val="en-US" w:eastAsia="zh-CN"/>
        </w:rPr>
        <w:t>4</w:t>
      </w:r>
      <w:r>
        <w:rPr>
          <w:rFonts w:hint="eastAsia" w:ascii="Times New Roman" w:hAnsi="Times New Roman" w:eastAsia="仿宋_GB2312" w:cs="Times New Roman"/>
          <w:color w:val="auto"/>
          <w:sz w:val="24"/>
          <w:lang w:val="en-US" w:eastAsia="zh-CN"/>
        </w:rPr>
        <w:t>t；蓄水后推移质随蓄水位的抬高逐步减少，1987～2002年卵石推移质仅为天然时期的2%～5%，沙质推移质仅为天然时期的10%～30%左右。</w:t>
      </w:r>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eastAsia" w:eastAsia="仿宋_GB2312" w:cs="Times New Roman"/>
          <w:color w:val="auto"/>
          <w:sz w:val="24"/>
          <w:lang w:val="en-US" w:eastAsia="zh-CN"/>
        </w:rPr>
        <w:t>（2）三峡水库蓄水后的水沙条件</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三峡水库于2003年5月25日开始初次预蓄水，6月10日蓄至135m。自</w:t>
      </w:r>
      <w:r>
        <w:rPr>
          <w:rFonts w:hint="eastAsia" w:eastAsia="仿宋_GB2312" w:cs="Times New Roman"/>
          <w:color w:val="auto"/>
          <w:sz w:val="24"/>
          <w:lang w:val="en-US" w:eastAsia="zh-CN"/>
        </w:rPr>
        <w:t>1</w:t>
      </w:r>
      <w:r>
        <w:rPr>
          <w:rFonts w:hint="eastAsia" w:ascii="Times New Roman" w:hAnsi="Times New Roman" w:eastAsia="仿宋_GB2312" w:cs="Times New Roman"/>
          <w:color w:val="auto"/>
          <w:sz w:val="24"/>
          <w:lang w:val="en-US" w:eastAsia="zh-CN"/>
        </w:rPr>
        <w:t>1月6日起抬高至139m。2006年9月22日开始，至10月28日蓄至156m，按156m、144m方案运行。三峡水库2008年启动175m试验性蓄水工作，当年蓄至172.8m；2009年蓄至171.43m，2010～2016年三峡水库连续七年成功实现175m蓄水目标。</w:t>
      </w:r>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①来水情况</w:t>
      </w:r>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三峡水库蓄水后，汛期基本不改变下泄流量过程，来水量与天然情况相差不大，从蓄水几年来流量过程线看，汛期流量过程基本相似，汛末水库开始蓄水，当蓄水位为175m时，造成10月份流量约减少40%，枯水期的1～5月份流量比建库前有所增大。</w:t>
      </w:r>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default" w:ascii="Times New Roman" w:hAnsi="Times New Roman" w:eastAsia="仿宋_GB2312" w:cs="Times New Roman"/>
          <w:color w:val="auto"/>
          <w:sz w:val="24"/>
          <w:lang w:val="en-US" w:eastAsia="zh-CN"/>
        </w:rPr>
        <w:t>②来沙情况</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6</w:t>
      </w:r>
      <w:r>
        <w:rPr>
          <w:rFonts w:eastAsia="黑体"/>
          <w:b/>
          <w:color w:val="auto"/>
          <w:szCs w:val="21"/>
        </w:rPr>
        <w:t xml:space="preserve">  </w:t>
      </w:r>
      <w:r>
        <w:rPr>
          <w:rFonts w:hint="eastAsia" w:eastAsia="黑体"/>
          <w:b/>
          <w:color w:val="auto"/>
          <w:szCs w:val="21"/>
          <w:lang w:val="en-US" w:eastAsia="zh-CN"/>
        </w:rPr>
        <w:t>1992年~2002年枝城站水文泥沙特征逐月平均统计表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9"/>
        <w:gridCol w:w="2670"/>
        <w:gridCol w:w="1151"/>
        <w:gridCol w:w="1139"/>
        <w:gridCol w:w="1127"/>
        <w:gridCol w:w="14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项目</w:t>
            </w:r>
          </w:p>
        </w:tc>
        <w:tc>
          <w:tcPr>
            <w:tcW w:w="1568" w:type="pct"/>
            <w:tcBorders>
              <w:top w:val="single" w:color="auto" w:sz="12" w:space="0"/>
              <w:bottom w:val="single" w:color="auto" w:sz="12" w:space="0"/>
            </w:tcBorders>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时段</w:t>
            </w:r>
          </w:p>
        </w:tc>
        <w:tc>
          <w:tcPr>
            <w:tcW w:w="676" w:type="pct"/>
            <w:tcBorders>
              <w:top w:val="single" w:color="auto" w:sz="12" w:space="0"/>
              <w:bottom w:val="single" w:color="auto" w:sz="12" w:space="0"/>
            </w:tcBorders>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宜昌</w:t>
            </w:r>
          </w:p>
        </w:tc>
        <w:tc>
          <w:tcPr>
            <w:tcW w:w="669" w:type="pct"/>
            <w:tcBorders>
              <w:top w:val="single" w:color="auto" w:sz="12" w:space="0"/>
              <w:bottom w:val="single" w:color="auto" w:sz="12" w:space="0"/>
            </w:tcBorders>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枝城</w:t>
            </w:r>
          </w:p>
        </w:tc>
        <w:tc>
          <w:tcPr>
            <w:tcW w:w="662" w:type="pct"/>
            <w:tcBorders>
              <w:top w:val="single" w:color="auto" w:sz="12" w:space="0"/>
              <w:bottom w:val="single" w:color="auto" w:sz="12" w:space="0"/>
            </w:tcBorders>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沙市</w:t>
            </w:r>
          </w:p>
        </w:tc>
        <w:tc>
          <w:tcPr>
            <w:tcW w:w="835" w:type="pct"/>
            <w:tcBorders>
              <w:top w:val="single" w:color="auto" w:sz="12" w:space="0"/>
              <w:bottom w:val="single" w:color="auto" w:sz="12" w:space="0"/>
            </w:tcBorders>
            <w:noWrap w:val="0"/>
            <w:vAlign w:val="center"/>
          </w:tcPr>
          <w:p>
            <w:pPr>
              <w:widowControl w:val="0"/>
              <w:jc w:val="center"/>
              <w:rPr>
                <w:rFonts w:hint="default"/>
                <w:b w:val="0"/>
                <w:bCs w:val="0"/>
                <w:color w:val="auto"/>
                <w:sz w:val="20"/>
                <w:lang w:val="en-US" w:eastAsia="zh-CN"/>
              </w:rPr>
            </w:pPr>
            <w:r>
              <w:rPr>
                <w:rFonts w:hint="eastAsia"/>
                <w:b w:val="0"/>
                <w:bCs w:val="0"/>
                <w:color w:val="auto"/>
                <w:sz w:val="20"/>
                <w:lang w:val="en-US" w:eastAsia="zh-CN"/>
              </w:rPr>
              <w:t>统计年份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restart"/>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输沙量（10</w:t>
            </w:r>
            <w:r>
              <w:rPr>
                <w:rFonts w:hint="eastAsia"/>
                <w:color w:val="auto"/>
                <w:sz w:val="20"/>
                <w:vertAlign w:val="superscript"/>
                <w:lang w:val="en-US" w:eastAsia="zh-CN"/>
              </w:rPr>
              <w:t>8</w:t>
            </w:r>
            <w:r>
              <w:rPr>
                <w:rFonts w:hint="eastAsia"/>
                <w:color w:val="auto"/>
                <w:sz w:val="20"/>
                <w:lang w:val="en-US" w:eastAsia="zh-CN"/>
              </w:rPr>
              <w:t>t）</w:t>
            </w:r>
          </w:p>
        </w:tc>
        <w:tc>
          <w:tcPr>
            <w:tcW w:w="1568" w:type="pct"/>
            <w:tcBorders>
              <w:top w:val="single" w:color="auto" w:sz="12" w:space="0"/>
            </w:tcBorders>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多年平均（三峡水库蓄水前）</w:t>
            </w:r>
          </w:p>
        </w:tc>
        <w:tc>
          <w:tcPr>
            <w:tcW w:w="676" w:type="pct"/>
            <w:tcBorders>
              <w:top w:val="single" w:color="auto" w:sz="12" w:space="0"/>
            </w:tcBorders>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4.92</w:t>
            </w:r>
          </w:p>
        </w:tc>
        <w:tc>
          <w:tcPr>
            <w:tcW w:w="669" w:type="pct"/>
            <w:tcBorders>
              <w:top w:val="single" w:color="auto" w:sz="12" w:space="0"/>
            </w:tcBorders>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5.00</w:t>
            </w:r>
          </w:p>
        </w:tc>
        <w:tc>
          <w:tcPr>
            <w:tcW w:w="662" w:type="pct"/>
            <w:tcBorders>
              <w:top w:val="single" w:color="auto" w:sz="12" w:space="0"/>
            </w:tcBorders>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4.34</w:t>
            </w:r>
          </w:p>
        </w:tc>
        <w:tc>
          <w:tcPr>
            <w:tcW w:w="835" w:type="pct"/>
            <w:tcBorders>
              <w:top w:val="single" w:color="auto" w:sz="12" w:space="0"/>
            </w:tcBorders>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1950~2002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default"/>
                <w:color w:val="auto"/>
                <w:sz w:val="20"/>
                <w:lang w:val="en-US" w:eastAsia="zh-CN"/>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2003年</w:t>
            </w:r>
          </w:p>
        </w:tc>
        <w:tc>
          <w:tcPr>
            <w:tcW w:w="676"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0.976</w:t>
            </w:r>
          </w:p>
        </w:tc>
        <w:tc>
          <w:tcPr>
            <w:tcW w:w="669"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1.31</w:t>
            </w:r>
          </w:p>
        </w:tc>
        <w:tc>
          <w:tcPr>
            <w:tcW w:w="662"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1.38</w:t>
            </w:r>
          </w:p>
        </w:tc>
        <w:tc>
          <w:tcPr>
            <w:tcW w:w="835" w:type="pct"/>
            <w:noWrap w:val="0"/>
            <w:vAlign w:val="center"/>
          </w:tcPr>
          <w:p>
            <w:pPr>
              <w:widowControl w:val="0"/>
              <w:jc w:val="center"/>
              <w:rPr>
                <w:rFonts w:hint="default"/>
                <w:b w:val="0"/>
                <w:bCs w:val="0"/>
                <w:color w:val="auto"/>
                <w:sz w:val="20"/>
                <w:szCs w:val="18"/>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default"/>
                <w:color w:val="auto"/>
                <w:sz w:val="20"/>
                <w:lang w:val="en-US" w:eastAsia="zh-CN"/>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-81</w:t>
            </w:r>
          </w:p>
        </w:tc>
        <w:tc>
          <w:tcPr>
            <w:tcW w:w="669"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-74</w:t>
            </w:r>
          </w:p>
        </w:tc>
        <w:tc>
          <w:tcPr>
            <w:tcW w:w="662"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-69</w:t>
            </w:r>
          </w:p>
        </w:tc>
        <w:tc>
          <w:tcPr>
            <w:tcW w:w="835" w:type="pct"/>
            <w:noWrap w:val="0"/>
            <w:vAlign w:val="center"/>
          </w:tcPr>
          <w:p>
            <w:pPr>
              <w:widowControl w:val="0"/>
              <w:jc w:val="center"/>
              <w:rPr>
                <w:rFonts w:hint="default"/>
                <w:b w:val="0"/>
                <w:bCs w:val="0"/>
                <w:color w:val="auto"/>
                <w:sz w:val="20"/>
                <w:szCs w:val="18"/>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default"/>
                <w:color w:val="auto"/>
                <w:sz w:val="20"/>
                <w:lang w:val="en-US" w:eastAsia="zh-CN"/>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2004年</w:t>
            </w:r>
          </w:p>
        </w:tc>
        <w:tc>
          <w:tcPr>
            <w:tcW w:w="676"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0.640</w:t>
            </w:r>
          </w:p>
        </w:tc>
        <w:tc>
          <w:tcPr>
            <w:tcW w:w="669"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0.804</w:t>
            </w:r>
          </w:p>
        </w:tc>
        <w:tc>
          <w:tcPr>
            <w:tcW w:w="662" w:type="pct"/>
            <w:noWrap w:val="0"/>
            <w:vAlign w:val="center"/>
          </w:tcPr>
          <w:p>
            <w:pPr>
              <w:widowControl w:val="0"/>
              <w:jc w:val="center"/>
              <w:rPr>
                <w:rFonts w:hint="default"/>
                <w:b w:val="0"/>
                <w:bCs w:val="0"/>
                <w:color w:val="auto"/>
                <w:sz w:val="20"/>
                <w:szCs w:val="18"/>
                <w:lang w:val="en-US" w:eastAsia="zh-CN"/>
              </w:rPr>
            </w:pPr>
            <w:r>
              <w:rPr>
                <w:rFonts w:hint="eastAsia"/>
                <w:b w:val="0"/>
                <w:bCs w:val="0"/>
                <w:color w:val="auto"/>
                <w:sz w:val="20"/>
                <w:szCs w:val="18"/>
                <w:lang w:val="en-US" w:eastAsia="zh-CN"/>
              </w:rPr>
              <w:t>0.956</w:t>
            </w:r>
          </w:p>
        </w:tc>
        <w:tc>
          <w:tcPr>
            <w:tcW w:w="835" w:type="pct"/>
            <w:noWrap w:val="0"/>
            <w:vAlign w:val="center"/>
          </w:tcPr>
          <w:p>
            <w:pPr>
              <w:widowControl w:val="0"/>
              <w:jc w:val="center"/>
              <w:rPr>
                <w:rFonts w:hint="default"/>
                <w:b w:val="0"/>
                <w:bCs w:val="0"/>
                <w:color w:val="auto"/>
                <w:sz w:val="20"/>
                <w:szCs w:val="18"/>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b/>
                <w:bCs/>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ascii="Times New Roman" w:hAnsi="Times New Roman" w:eastAsia="宋体" w:cs="Times New Roman"/>
                <w:b w:val="0"/>
                <w:bCs w:val="0"/>
                <w:color w:val="auto"/>
                <w:kern w:val="2"/>
                <w:sz w:val="20"/>
                <w:lang w:val="en-US" w:eastAsia="zh-CN" w:bidi="ar-SA"/>
              </w:rPr>
            </w:pPr>
            <w:r>
              <w:rPr>
                <w:rFonts w:hint="eastAsia" w:cs="Times New Roman"/>
                <w:b w:val="0"/>
                <w:bCs w:val="0"/>
                <w:color w:val="auto"/>
                <w:kern w:val="2"/>
                <w:sz w:val="20"/>
                <w:lang w:val="en-US" w:eastAsia="zh-CN" w:bidi="ar-SA"/>
              </w:rPr>
              <w:t>-87</w:t>
            </w:r>
          </w:p>
        </w:tc>
        <w:tc>
          <w:tcPr>
            <w:tcW w:w="669" w:type="pct"/>
            <w:noWrap w:val="0"/>
            <w:vAlign w:val="center"/>
          </w:tcPr>
          <w:p>
            <w:pPr>
              <w:widowControl w:val="0"/>
              <w:jc w:val="center"/>
              <w:rPr>
                <w:rFonts w:hint="default" w:ascii="Times New Roman" w:hAnsi="Times New Roman" w:eastAsia="宋体" w:cs="Times New Roman"/>
                <w:b w:val="0"/>
                <w:bCs w:val="0"/>
                <w:color w:val="auto"/>
                <w:kern w:val="2"/>
                <w:sz w:val="20"/>
                <w:lang w:val="en-US" w:eastAsia="zh-CN" w:bidi="ar-SA"/>
              </w:rPr>
            </w:pPr>
            <w:r>
              <w:rPr>
                <w:rFonts w:hint="eastAsia" w:cs="Times New Roman"/>
                <w:b w:val="0"/>
                <w:bCs w:val="0"/>
                <w:color w:val="auto"/>
                <w:kern w:val="2"/>
                <w:sz w:val="20"/>
                <w:lang w:val="en-US" w:eastAsia="zh-CN" w:bidi="ar-SA"/>
              </w:rPr>
              <w:t>-84</w:t>
            </w:r>
          </w:p>
        </w:tc>
        <w:tc>
          <w:tcPr>
            <w:tcW w:w="662" w:type="pct"/>
            <w:noWrap w:val="0"/>
            <w:vAlign w:val="center"/>
          </w:tcPr>
          <w:p>
            <w:pPr>
              <w:widowControl w:val="0"/>
              <w:jc w:val="center"/>
              <w:rPr>
                <w:rFonts w:hint="default" w:ascii="Times New Roman" w:hAnsi="Times New Roman" w:eastAsia="宋体" w:cs="Times New Roman"/>
                <w:b w:val="0"/>
                <w:bCs w:val="0"/>
                <w:color w:val="auto"/>
                <w:kern w:val="2"/>
                <w:sz w:val="20"/>
                <w:lang w:val="en-US" w:eastAsia="zh-CN" w:bidi="ar-SA"/>
              </w:rPr>
            </w:pPr>
            <w:r>
              <w:rPr>
                <w:rFonts w:hint="eastAsia" w:cs="Times New Roman"/>
                <w:b w:val="0"/>
                <w:bCs w:val="0"/>
                <w:color w:val="auto"/>
                <w:kern w:val="2"/>
                <w:sz w:val="20"/>
                <w:lang w:val="en-US" w:eastAsia="zh-CN" w:bidi="ar-SA"/>
              </w:rPr>
              <w:t>-79</w:t>
            </w:r>
          </w:p>
        </w:tc>
        <w:tc>
          <w:tcPr>
            <w:tcW w:w="835" w:type="pct"/>
            <w:noWrap w:val="0"/>
            <w:vAlign w:val="center"/>
          </w:tcPr>
          <w:p>
            <w:pPr>
              <w:widowControl w:val="0"/>
              <w:jc w:val="center"/>
              <w:rPr>
                <w:rFonts w:hint="eastAsia"/>
                <w:b w:val="0"/>
                <w:bCs w:val="0"/>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200</w:t>
            </w:r>
            <w:r>
              <w:rPr>
                <w:rFonts w:hint="eastAsia"/>
                <w:color w:val="auto"/>
                <w:sz w:val="20"/>
                <w:szCs w:val="18"/>
                <w:lang w:val="en-US" w:eastAsia="zh-CN"/>
              </w:rPr>
              <w:t>5</w:t>
            </w:r>
            <w:r>
              <w:rPr>
                <w:rFonts w:hint="default"/>
                <w:color w:val="auto"/>
                <w:sz w:val="20"/>
                <w:szCs w:val="18"/>
                <w:lang w:val="en-US" w:eastAsia="zh-CN"/>
              </w:rPr>
              <w:t>年</w:t>
            </w:r>
          </w:p>
        </w:tc>
        <w:tc>
          <w:tcPr>
            <w:tcW w:w="676"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1.10</w:t>
            </w:r>
          </w:p>
        </w:tc>
        <w:tc>
          <w:tcPr>
            <w:tcW w:w="669"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1.17</w:t>
            </w:r>
          </w:p>
        </w:tc>
        <w:tc>
          <w:tcPr>
            <w:tcW w:w="662" w:type="pct"/>
            <w:noWrap w:val="0"/>
            <w:vAlign w:val="center"/>
          </w:tcPr>
          <w:p>
            <w:pPr>
              <w:widowControl w:val="0"/>
              <w:jc w:val="center"/>
              <w:rPr>
                <w:rFonts w:hint="default" w:eastAsia="宋体"/>
                <w:b w:val="0"/>
                <w:bCs w:val="0"/>
                <w:color w:val="auto"/>
                <w:sz w:val="20"/>
                <w:szCs w:val="20"/>
                <w:lang w:val="en-US" w:eastAsia="zh-CN"/>
              </w:rPr>
            </w:pPr>
            <w:r>
              <w:rPr>
                <w:rFonts w:hint="eastAsia"/>
                <w:b w:val="0"/>
                <w:bCs w:val="0"/>
                <w:color w:val="auto"/>
                <w:sz w:val="20"/>
                <w:szCs w:val="20"/>
                <w:lang w:val="en-US" w:eastAsia="zh-CN"/>
              </w:rPr>
              <w:t>1.32</w:t>
            </w:r>
          </w:p>
        </w:tc>
        <w:tc>
          <w:tcPr>
            <w:tcW w:w="835" w:type="pct"/>
            <w:noWrap w:val="0"/>
            <w:vAlign w:val="center"/>
          </w:tcPr>
          <w:p>
            <w:pPr>
              <w:widowControl w:val="0"/>
              <w:jc w:val="center"/>
              <w:rPr>
                <w:rFonts w:hint="default" w:eastAsia="宋体"/>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-78</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-77</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-70</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200</w:t>
            </w:r>
            <w:r>
              <w:rPr>
                <w:rFonts w:hint="eastAsia"/>
                <w:color w:val="auto"/>
                <w:sz w:val="20"/>
                <w:szCs w:val="18"/>
                <w:lang w:val="en-US" w:eastAsia="zh-CN"/>
              </w:rPr>
              <w:t>6</w:t>
            </w:r>
            <w:r>
              <w:rPr>
                <w:rFonts w:hint="default"/>
                <w:color w:val="auto"/>
                <w:sz w:val="20"/>
                <w:szCs w:val="18"/>
                <w:lang w:val="en-US" w:eastAsia="zh-CN"/>
              </w:rPr>
              <w:t>年</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0.0909</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0.12</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0.245</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-98</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-98</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-94</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200</w:t>
            </w:r>
            <w:r>
              <w:rPr>
                <w:rFonts w:hint="eastAsia"/>
                <w:color w:val="auto"/>
                <w:sz w:val="20"/>
                <w:szCs w:val="18"/>
                <w:lang w:val="en-US" w:eastAsia="zh-CN"/>
              </w:rPr>
              <w:t>7</w:t>
            </w:r>
            <w:r>
              <w:rPr>
                <w:rFonts w:hint="default"/>
                <w:color w:val="auto"/>
                <w:sz w:val="20"/>
                <w:szCs w:val="18"/>
                <w:lang w:val="en-US" w:eastAsia="zh-CN"/>
              </w:rPr>
              <w:t>年</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0.527</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0.68</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0.751</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-89</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-86</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-83</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ascii="Times New Roman" w:hAnsi="Times New Roman" w:eastAsia="宋体" w:cs="Times New Roman"/>
                <w:color w:val="auto"/>
                <w:kern w:val="2"/>
                <w:sz w:val="20"/>
                <w:szCs w:val="18"/>
                <w:lang w:val="en-US" w:eastAsia="zh-CN" w:bidi="ar-SA"/>
              </w:rPr>
            </w:pPr>
            <w:r>
              <w:rPr>
                <w:rFonts w:hint="default"/>
                <w:color w:val="auto"/>
                <w:sz w:val="20"/>
                <w:szCs w:val="18"/>
                <w:lang w:val="en-US" w:eastAsia="zh-CN"/>
              </w:rPr>
              <w:t>200</w:t>
            </w:r>
            <w:r>
              <w:rPr>
                <w:rFonts w:hint="eastAsia"/>
                <w:color w:val="auto"/>
                <w:sz w:val="20"/>
                <w:szCs w:val="18"/>
                <w:lang w:val="en-US" w:eastAsia="zh-CN"/>
              </w:rPr>
              <w:t>8</w:t>
            </w:r>
            <w:r>
              <w:rPr>
                <w:rFonts w:hint="default"/>
                <w:color w:val="auto"/>
                <w:sz w:val="20"/>
                <w:szCs w:val="18"/>
                <w:lang w:val="en-US" w:eastAsia="zh-CN"/>
              </w:rPr>
              <w:t>年</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0.320</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0.390</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0.490</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-93</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-92</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-89</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年平均（</w:t>
            </w:r>
            <w:r>
              <w:rPr>
                <w:rFonts w:hint="eastAsia"/>
                <w:color w:val="auto"/>
                <w:sz w:val="20"/>
                <w:szCs w:val="18"/>
                <w:lang w:val="en-US" w:eastAsia="zh-CN"/>
              </w:rPr>
              <w:t>三峡水库蓄水后</w:t>
            </w:r>
            <w:r>
              <w:rPr>
                <w:rFonts w:hint="default"/>
                <w:color w:val="auto"/>
                <w:sz w:val="20"/>
                <w:szCs w:val="18"/>
                <w:lang w:val="en-US" w:eastAsia="zh-CN"/>
              </w:rPr>
              <w:t>）</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0.609</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0.746</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0.857</w:t>
            </w:r>
          </w:p>
        </w:tc>
        <w:tc>
          <w:tcPr>
            <w:tcW w:w="835"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2003~2008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Merge w:val="continue"/>
            <w:noWrap w:val="0"/>
            <w:vAlign w:val="center"/>
          </w:tcPr>
          <w:p>
            <w:pPr>
              <w:widowControl w:val="0"/>
              <w:jc w:val="center"/>
              <w:rPr>
                <w:rFonts w:hint="eastAsia" w:ascii="Times New Roman" w:hAnsi="Times New Roman" w:eastAsia="宋体" w:cs="Times New Roman"/>
                <w:color w:val="auto"/>
                <w:kern w:val="2"/>
                <w:sz w:val="20"/>
                <w:lang w:val="en-US" w:eastAsia="zh-CN" w:bidi="ar-SA"/>
              </w:rPr>
            </w:pPr>
          </w:p>
        </w:tc>
        <w:tc>
          <w:tcPr>
            <w:tcW w:w="1568" w:type="pct"/>
            <w:noWrap w:val="0"/>
            <w:vAlign w:val="center"/>
          </w:tcPr>
          <w:p>
            <w:pPr>
              <w:widowControl w:val="0"/>
              <w:jc w:val="center"/>
              <w:rPr>
                <w:rFonts w:hint="default"/>
                <w:color w:val="auto"/>
                <w:sz w:val="20"/>
                <w:szCs w:val="18"/>
                <w:lang w:val="en-US" w:eastAsia="zh-CN"/>
              </w:rPr>
            </w:pPr>
            <w:r>
              <w:rPr>
                <w:rFonts w:hint="default"/>
                <w:color w:val="auto"/>
                <w:sz w:val="20"/>
                <w:szCs w:val="18"/>
                <w:lang w:val="en-US" w:eastAsia="zh-CN"/>
              </w:rPr>
              <w:t>与多年平均相比（%）</w:t>
            </w:r>
          </w:p>
        </w:tc>
        <w:tc>
          <w:tcPr>
            <w:tcW w:w="676"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-87</w:t>
            </w:r>
          </w:p>
        </w:tc>
        <w:tc>
          <w:tcPr>
            <w:tcW w:w="669"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-85</w:t>
            </w:r>
          </w:p>
        </w:tc>
        <w:tc>
          <w:tcPr>
            <w:tcW w:w="662" w:type="pct"/>
            <w:noWrap w:val="0"/>
            <w:vAlign w:val="center"/>
          </w:tcPr>
          <w:p>
            <w:pPr>
              <w:widowControl w:val="0"/>
              <w:jc w:val="center"/>
              <w:rPr>
                <w:rFonts w:hint="default"/>
                <w:b w:val="0"/>
                <w:bCs w:val="0"/>
                <w:color w:val="auto"/>
                <w:sz w:val="20"/>
                <w:szCs w:val="20"/>
                <w:lang w:val="en-US" w:eastAsia="zh-CN"/>
              </w:rPr>
            </w:pPr>
            <w:r>
              <w:rPr>
                <w:rFonts w:hint="eastAsia"/>
                <w:b w:val="0"/>
                <w:bCs w:val="0"/>
                <w:color w:val="auto"/>
                <w:sz w:val="20"/>
                <w:szCs w:val="20"/>
                <w:lang w:val="en-US" w:eastAsia="zh-CN"/>
              </w:rPr>
              <w:t>-80</w:t>
            </w:r>
          </w:p>
        </w:tc>
        <w:tc>
          <w:tcPr>
            <w:tcW w:w="835" w:type="pct"/>
            <w:noWrap w:val="0"/>
            <w:vAlign w:val="center"/>
          </w:tcPr>
          <w:p>
            <w:pPr>
              <w:widowControl w:val="0"/>
              <w:jc w:val="center"/>
              <w:rPr>
                <w:rFonts w:hint="eastAsia"/>
                <w:b w:val="0"/>
                <w:bCs w:val="0"/>
                <w:color w:val="auto"/>
                <w:sz w:val="20"/>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7" w:type="pct"/>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备注</w:t>
            </w:r>
          </w:p>
        </w:tc>
        <w:tc>
          <w:tcPr>
            <w:tcW w:w="4412" w:type="pct"/>
            <w:gridSpan w:val="5"/>
            <w:vAlign w:val="center"/>
          </w:tcPr>
          <w:p>
            <w:pPr>
              <w:widowControl w:val="0"/>
              <w:jc w:val="left"/>
              <w:rPr>
                <w:rFonts w:hint="eastAsia"/>
                <w:b w:val="0"/>
                <w:bCs w:val="0"/>
                <w:color w:val="auto"/>
                <w:sz w:val="20"/>
                <w:szCs w:val="20"/>
                <w:lang w:val="en-US" w:eastAsia="zh-CN"/>
              </w:rPr>
            </w:pPr>
          </w:p>
        </w:tc>
      </w:tr>
    </w:tbl>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三峡水库蓄水后，上游来沙的60%被拦蓄在库内。荆江干流径流量变化不大，含沙量却大幅减小。根据芦家河断面监测资料，2003年汛期比2002年汛期实测含沙量明显减小，上游来沙被拦蓄在库内，出库及坝下游水流含沙量大幅度减小，最大减小幅度接近90%，水流明显变清（见</w:t>
      </w:r>
      <w:r>
        <w:rPr>
          <w:rFonts w:hint="eastAsia" w:eastAsia="仿宋_GB2312" w:cs="Times New Roman"/>
          <w:color w:val="auto"/>
          <w:sz w:val="24"/>
          <w:lang w:val="en-US" w:eastAsia="zh-CN"/>
        </w:rPr>
        <w:t>上</w:t>
      </w:r>
      <w:r>
        <w:rPr>
          <w:rFonts w:hint="eastAsia" w:ascii="Times New Roman" w:hAnsi="Times New Roman" w:eastAsia="仿宋_GB2312" w:cs="Times New Roman"/>
          <w:color w:val="auto"/>
          <w:sz w:val="24"/>
          <w:lang w:val="en-US" w:eastAsia="zh-CN"/>
        </w:rPr>
        <w:t>表）</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lang w:val="en-US" w:eastAsia="zh-CN"/>
        </w:rPr>
        <w:t>含沙量减少的幅度超出了原来的预料。</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枝城站临近本河段进口，从</w:t>
      </w:r>
      <w:r>
        <w:rPr>
          <w:rFonts w:hint="eastAsia" w:eastAsia="仿宋_GB2312" w:cs="Times New Roman"/>
          <w:color w:val="auto"/>
          <w:sz w:val="24"/>
          <w:lang w:val="en-US" w:eastAsia="zh-CN"/>
        </w:rPr>
        <w:t>上</w:t>
      </w:r>
      <w:r>
        <w:rPr>
          <w:rFonts w:hint="eastAsia" w:ascii="Times New Roman" w:hAnsi="Times New Roman" w:eastAsia="仿宋_GB2312" w:cs="Times New Roman"/>
          <w:color w:val="auto"/>
          <w:sz w:val="24"/>
          <w:lang w:val="en-US" w:eastAsia="zh-CN"/>
        </w:rPr>
        <w:t>表可以看出，三峡水库蓄水运用前，该站悬移质多年平均输沙量约为5亿t，宜昌至枝城河段区间几乎不对悬移质进行补给。但在三峡水库蓄水运用后的2003年～2016年，进入该站的悬移质年平均输沙量仅有0.746亿t，比建库前减少了85%，这直接导致了下游近坝段的大幅冲刷。鉴于蓄水几年来来沙大幅减小的实际情况已经超出原来的预料，175m运用后，由于清水下泄，加之宜昌至大埠街河段多处为沙卵石段，冲刷补充量已经很小，本河段的来沙将较原来预测的还要少。</w:t>
      </w:r>
    </w:p>
    <w:p>
      <w:pPr>
        <w:keepNext/>
        <w:keepLines/>
        <w:widowControl w:val="0"/>
        <w:spacing w:before="156" w:beforeLines="50" w:after="156" w:afterLines="50" w:line="360" w:lineRule="auto"/>
        <w:jc w:val="both"/>
        <w:outlineLvl w:val="2"/>
        <w:rPr>
          <w:rFonts w:hint="default" w:eastAsia="黑体"/>
          <w:color w:val="auto"/>
          <w:sz w:val="24"/>
          <w:lang w:val="en-US" w:eastAsia="zh-CN"/>
        </w:rPr>
      </w:pPr>
      <w:bookmarkStart w:id="348" w:name="_Toc14971271"/>
      <w:bookmarkStart w:id="349" w:name="_Toc212172799"/>
      <w:bookmarkStart w:id="350" w:name="_Toc232171942"/>
      <w:bookmarkStart w:id="351" w:name="_Toc446961469"/>
      <w:bookmarkStart w:id="352" w:name="_Toc22654"/>
      <w:r>
        <w:rPr>
          <w:rFonts w:hint="eastAsia" w:eastAsia="黑体"/>
          <w:color w:val="auto"/>
          <w:sz w:val="24"/>
        </w:rPr>
        <w:t>4.1.</w:t>
      </w:r>
      <w:bookmarkEnd w:id="347"/>
      <w:bookmarkEnd w:id="348"/>
      <w:bookmarkEnd w:id="349"/>
      <w:bookmarkEnd w:id="350"/>
      <w:bookmarkEnd w:id="351"/>
      <w:r>
        <w:rPr>
          <w:rFonts w:hint="eastAsia" w:eastAsia="黑体"/>
          <w:color w:val="auto"/>
          <w:sz w:val="24"/>
          <w:lang w:val="en-US" w:eastAsia="zh-CN"/>
        </w:rPr>
        <w:t>5工程地质</w:t>
      </w:r>
      <w:bookmarkEnd w:id="352"/>
    </w:p>
    <w:p>
      <w:pPr>
        <w:widowControl w:val="0"/>
        <w:spacing w:line="360" w:lineRule="auto"/>
        <w:ind w:firstLine="480" w:firstLineChars="200"/>
        <w:jc w:val="both"/>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eastAsia="zh-CN"/>
        </w:rPr>
        <w:t>根据</w:t>
      </w:r>
      <w:r>
        <w:rPr>
          <w:rFonts w:hint="eastAsia" w:eastAsia="仿宋_GB2312" w:cs="Times New Roman"/>
          <w:color w:val="auto"/>
          <w:sz w:val="24"/>
          <w:lang w:val="en-US" w:eastAsia="zh-CN"/>
        </w:rPr>
        <w:t>2023</w:t>
      </w:r>
      <w:r>
        <w:rPr>
          <w:rFonts w:hint="eastAsia" w:ascii="Times New Roman" w:hAnsi="Times New Roman" w:eastAsia="仿宋_GB2312" w:cs="Times New Roman"/>
          <w:color w:val="auto"/>
          <w:sz w:val="24"/>
          <w:lang w:eastAsia="zh-CN"/>
        </w:rPr>
        <w:t>年3月江苏翔凯岩土工程有限公司所编制《宜昌港宜都港区飞强物流码头技改工程岩土工程勘察报告》，工程区域自上而下各单元土体的埋藏分布及岩性特性如</w:t>
      </w:r>
      <w:r>
        <w:rPr>
          <w:rFonts w:hint="eastAsia" w:eastAsia="仿宋_GB2312" w:cs="Times New Roman"/>
          <w:color w:val="auto"/>
          <w:sz w:val="24"/>
          <w:lang w:val="en-US" w:eastAsia="zh-CN"/>
        </w:rPr>
        <w:t>下。</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地层结构与特征</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在本次勘察钻探揭露深度内，地层由第四系全新统人工填土层</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Q</w:t>
      </w:r>
      <w:r>
        <w:rPr>
          <w:rFonts w:hint="eastAsia" w:ascii="Times New Roman" w:hAnsi="Times New Roman" w:eastAsia="仿宋_GB2312" w:cs="Times New Roman"/>
          <w:color w:val="auto"/>
          <w:sz w:val="24"/>
          <w:vertAlign w:val="subscript"/>
        </w:rPr>
        <w:t>4</w:t>
      </w:r>
      <w:r>
        <w:rPr>
          <w:rFonts w:hint="eastAsia" w:ascii="Times New Roman" w:hAnsi="Times New Roman" w:eastAsia="仿宋_GB2312" w:cs="Times New Roman"/>
          <w:color w:val="auto"/>
          <w:sz w:val="24"/>
          <w:vertAlign w:val="superscript"/>
        </w:rPr>
        <w:t>ml</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、第四系全新统冲积层（Q</w:t>
      </w:r>
      <w:r>
        <w:rPr>
          <w:rFonts w:hint="eastAsia" w:ascii="Times New Roman" w:hAnsi="Times New Roman" w:eastAsia="仿宋_GB2312" w:cs="Times New Roman"/>
          <w:color w:val="auto"/>
          <w:sz w:val="24"/>
          <w:vertAlign w:val="subscript"/>
        </w:rPr>
        <w:t>4</w:t>
      </w:r>
      <w:r>
        <w:rPr>
          <w:rFonts w:hint="eastAsia" w:ascii="Times New Roman" w:hAnsi="Times New Roman" w:eastAsia="仿宋_GB2312" w:cs="Times New Roman"/>
          <w:color w:val="auto"/>
          <w:sz w:val="24"/>
          <w:vertAlign w:val="superscript"/>
        </w:rPr>
        <w:t>al</w:t>
      </w:r>
      <w:r>
        <w:rPr>
          <w:rFonts w:hint="eastAsia" w:ascii="Times New Roman" w:hAnsi="Times New Roman" w:eastAsia="仿宋_GB2312" w:cs="Times New Roman"/>
          <w:color w:val="auto"/>
          <w:sz w:val="24"/>
        </w:rPr>
        <w:t>）及</w:t>
      </w:r>
      <w:r>
        <w:rPr>
          <w:rFonts w:hint="eastAsia" w:eastAsia="仿宋_GB2312" w:cs="Times New Roman"/>
          <w:color w:val="auto"/>
          <w:sz w:val="24"/>
          <w:lang w:val="en-US" w:eastAsia="zh-CN"/>
        </w:rPr>
        <w:t>风化</w:t>
      </w:r>
      <w:r>
        <w:rPr>
          <w:rFonts w:hint="eastAsia" w:ascii="Times New Roman" w:hAnsi="Times New Roman" w:eastAsia="仿宋_GB2312" w:cs="Times New Roman"/>
          <w:color w:val="auto"/>
          <w:sz w:val="24"/>
        </w:rPr>
        <w:t>基岩（</w:t>
      </w:r>
      <w:r>
        <w:rPr>
          <w:rFonts w:hint="eastAsia" w:eastAsia="仿宋_GB2312" w:cs="Times New Roman"/>
          <w:color w:val="auto"/>
          <w:sz w:val="24"/>
          <w:lang w:val="en-US" w:eastAsia="zh-CN"/>
        </w:rPr>
        <w:tab/>
      </w:r>
      <w:r>
        <w:rPr>
          <w:rFonts w:hint="eastAsia" w:eastAsia="仿宋_GB2312" w:cs="Times New Roman"/>
          <w:color w:val="auto"/>
          <w:sz w:val="24"/>
          <w:lang w:val="en-US" w:eastAsia="zh-CN"/>
        </w:rPr>
        <w:t>K</w:t>
      </w:r>
      <w:r>
        <w:rPr>
          <w:rFonts w:hint="eastAsia" w:ascii="Times New Roman" w:hAnsi="Times New Roman" w:eastAsia="仿宋_GB2312" w:cs="Times New Roman"/>
          <w:color w:val="auto"/>
          <w:sz w:val="24"/>
        </w:rPr>
        <w:t>）组成，地层结构自上而下为：</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①杂填土</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Q</w:t>
      </w:r>
      <w:r>
        <w:rPr>
          <w:rFonts w:hint="eastAsia" w:ascii="Times New Roman" w:hAnsi="Times New Roman" w:eastAsia="仿宋_GB2312" w:cs="Times New Roman"/>
          <w:color w:val="auto"/>
          <w:sz w:val="24"/>
          <w:vertAlign w:val="subscript"/>
        </w:rPr>
        <w:t>4</w:t>
      </w:r>
      <w:r>
        <w:rPr>
          <w:rFonts w:hint="eastAsia" w:ascii="Times New Roman" w:hAnsi="Times New Roman" w:eastAsia="仿宋_GB2312" w:cs="Times New Roman"/>
          <w:color w:val="auto"/>
          <w:sz w:val="24"/>
          <w:vertAlign w:val="superscript"/>
        </w:rPr>
        <w:t>ml</w:t>
      </w:r>
      <w:r>
        <w:rPr>
          <w:rFonts w:hint="eastAsia" w:eastAsia="仿宋_GB2312" w:cs="Times New Roman"/>
          <w:color w:val="auto"/>
          <w:sz w:val="24"/>
          <w:lang w:eastAsia="zh-CN"/>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杂色，由建筑垃圾、碎石、少量生活垃圾混杂黏性土、淤泥组成，夹杂植物根须等，稍密为主，不均匀，由上到下粗颗粒逐渐减少，普遍分布。</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②</w:t>
      </w:r>
      <w:r>
        <w:rPr>
          <w:rFonts w:hint="eastAsia" w:eastAsia="仿宋_GB2312" w:cs="Times New Roman"/>
          <w:color w:val="auto"/>
          <w:sz w:val="24"/>
          <w:lang w:val="en-US" w:eastAsia="zh-CN"/>
        </w:rPr>
        <w:t>-1</w:t>
      </w:r>
      <w:r>
        <w:rPr>
          <w:rFonts w:hint="eastAsia" w:ascii="Times New Roman" w:hAnsi="Times New Roman" w:eastAsia="仿宋_GB2312" w:cs="Times New Roman"/>
          <w:color w:val="auto"/>
          <w:sz w:val="24"/>
        </w:rPr>
        <w:t>粉质粘土（Q</w:t>
      </w:r>
      <w:r>
        <w:rPr>
          <w:rFonts w:hint="eastAsia" w:ascii="Times New Roman" w:hAnsi="Times New Roman" w:eastAsia="仿宋_GB2312" w:cs="Times New Roman"/>
          <w:color w:val="auto"/>
          <w:sz w:val="24"/>
          <w:vertAlign w:val="subscript"/>
        </w:rPr>
        <w:t>4</w:t>
      </w:r>
      <w:r>
        <w:rPr>
          <w:rFonts w:hint="eastAsia" w:ascii="Times New Roman" w:hAnsi="Times New Roman" w:eastAsia="仿宋_GB2312" w:cs="Times New Roman"/>
          <w:color w:val="auto"/>
          <w:sz w:val="24"/>
          <w:vertAlign w:val="superscript"/>
        </w:rPr>
        <w:t>al</w:t>
      </w:r>
      <w:r>
        <w:rPr>
          <w:rFonts w:hint="eastAsia" w:ascii="Times New Roman" w:hAnsi="Times New Roman" w:eastAsia="仿宋_GB2312" w:cs="Times New Roman"/>
          <w:color w:val="auto"/>
          <w:sz w:val="24"/>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黄褐色，干强度中等，韧性中等，切面稍有光泽，含铁锰质结核，局部层底夹少量碎石，岸边分布。</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②</w:t>
      </w:r>
      <w:r>
        <w:rPr>
          <w:rFonts w:hint="eastAsia" w:eastAsia="仿宋_GB2312" w:cs="Times New Roman"/>
          <w:color w:val="auto"/>
          <w:sz w:val="24"/>
          <w:lang w:val="en-US" w:eastAsia="zh-CN"/>
        </w:rPr>
        <w:t>-2粉砂</w:t>
      </w:r>
      <w:r>
        <w:rPr>
          <w:rFonts w:hint="eastAsia" w:ascii="Times New Roman" w:hAnsi="Times New Roman" w:eastAsia="仿宋_GB2312" w:cs="Times New Roman"/>
          <w:color w:val="auto"/>
          <w:sz w:val="24"/>
        </w:rPr>
        <w:t>（Q</w:t>
      </w:r>
      <w:r>
        <w:rPr>
          <w:rFonts w:hint="eastAsia" w:ascii="Times New Roman" w:hAnsi="Times New Roman" w:eastAsia="仿宋_GB2312" w:cs="Times New Roman"/>
          <w:color w:val="auto"/>
          <w:sz w:val="24"/>
          <w:vertAlign w:val="subscript"/>
        </w:rPr>
        <w:t>4</w:t>
      </w:r>
      <w:r>
        <w:rPr>
          <w:rFonts w:hint="eastAsia" w:ascii="Times New Roman" w:hAnsi="Times New Roman" w:eastAsia="仿宋_GB2312" w:cs="Times New Roman"/>
          <w:color w:val="auto"/>
          <w:sz w:val="24"/>
          <w:vertAlign w:val="superscript"/>
        </w:rPr>
        <w:t>al</w:t>
      </w:r>
      <w:r>
        <w:rPr>
          <w:rFonts w:hint="eastAsia" w:ascii="Times New Roman" w:hAnsi="Times New Roman" w:eastAsia="仿宋_GB2312" w:cs="Times New Roman"/>
          <w:color w:val="auto"/>
          <w:sz w:val="24"/>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灰黄色、饱和，稍密~中密，主要成分为石英长石、含云母碎片，除云母外，颗粒磨圆度较好，呈圆形及次圆形，岸边分布。</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③</w:t>
      </w:r>
      <w:r>
        <w:rPr>
          <w:rFonts w:hint="eastAsia" w:eastAsia="仿宋_GB2312" w:cs="Times New Roman"/>
          <w:color w:val="auto"/>
          <w:sz w:val="24"/>
          <w:lang w:val="en-US" w:eastAsia="zh-CN"/>
        </w:rPr>
        <w:t>-1强风化泥质砂岩夹泥岩</w:t>
      </w: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K</w:t>
      </w:r>
      <w:r>
        <w:rPr>
          <w:rFonts w:hint="eastAsia" w:ascii="Times New Roman" w:hAnsi="Times New Roman" w:eastAsia="仿宋_GB2312" w:cs="Times New Roman"/>
          <w:color w:val="auto"/>
          <w:sz w:val="24"/>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紫红色，风化强烈，组织结构大部分破坏，岩芯多呈硬土状、密实砂土状，局部夹少量碎块，手掰易断，遇水易软化崩解，属极软岩，岩体基本质量等级分类为V级。</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③-2中等风化泥质砂岩夹泥岩（</w:t>
      </w:r>
      <w:r>
        <w:rPr>
          <w:rFonts w:hint="eastAsia" w:eastAsia="仿宋_GB2312" w:cs="Times New Roman"/>
          <w:color w:val="auto"/>
          <w:sz w:val="24"/>
          <w:lang w:val="en-US" w:eastAsia="zh-CN"/>
        </w:rPr>
        <w:t>K</w:t>
      </w:r>
      <w:r>
        <w:rPr>
          <w:rFonts w:hint="eastAsia" w:ascii="Times New Roman" w:hAnsi="Times New Roman" w:eastAsia="仿宋_GB2312" w:cs="Times New Roman"/>
          <w:color w:val="auto"/>
          <w:sz w:val="24"/>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灰色，青灰色，浅红色，碎屑结构，厚层状构造,岩心多呈块状，短柱状，强-中风化，硅质、钙质胶结多呈灰色，青灰色，泥质胶结多呈浅红色，裂隙发育，溶蚀现象发育，部分地段钻进偶有3cm左右轻微掉钻现象。灰岩饱和单轴抗压强度frk为23.1MPa，在19.8-52.2MPa之间，全场地均有分布，本层顶部强风化层厚约1.0米左右。揭露厚度为2.2m（GK11）～12.1m（GK8），层顶标高为13.6m（GK2）～35.4m（GK14）。</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③-</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rPr>
        <w:t>中等风化石灰岩（</w:t>
      </w:r>
      <w:r>
        <w:rPr>
          <w:rFonts w:hint="eastAsia" w:eastAsia="仿宋_GB2312" w:cs="Times New Roman"/>
          <w:color w:val="auto"/>
          <w:sz w:val="24"/>
          <w:lang w:val="en-US" w:eastAsia="zh-CN"/>
        </w:rPr>
        <w:t>K</w:t>
      </w:r>
      <w:r>
        <w:rPr>
          <w:rFonts w:hint="eastAsia" w:ascii="Times New Roman" w:hAnsi="Times New Roman" w:eastAsia="仿宋_GB2312" w:cs="Times New Roman"/>
          <w:color w:val="auto"/>
          <w:sz w:val="24"/>
        </w:rPr>
        <w:t>）</w:t>
      </w:r>
    </w:p>
    <w:p>
      <w:pPr>
        <w:widowControl w:val="0"/>
        <w:spacing w:line="360" w:lineRule="auto"/>
        <w:ind w:firstLine="480" w:firstLineChars="200"/>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灰色，岩芯较完整，岩芯呈长短柱状夹块状，有溶蚀痕迹，锤击声清脆，局部风化裂隙较发育，裂隙中由方解石充填，取芯率80~85%，RQD约60%~70%，属较硬岩。岩体基本质量等级分类为Ⅲ级</w:t>
      </w:r>
      <w:r>
        <w:rPr>
          <w:rFonts w:hint="eastAsia" w:eastAsia="仿宋_GB2312" w:cs="Times New Roman"/>
          <w:color w:val="auto"/>
          <w:sz w:val="24"/>
          <w:lang w:eastAsia="zh-CN"/>
        </w:rPr>
        <w:t>。</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岩土工程分析与评价</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①</w:t>
      </w:r>
      <w:r>
        <w:rPr>
          <w:rFonts w:hint="eastAsia" w:ascii="Times New Roman" w:hAnsi="Times New Roman" w:eastAsia="仿宋_GB2312" w:cs="Times New Roman"/>
          <w:color w:val="auto"/>
          <w:sz w:val="24"/>
        </w:rPr>
        <w:t>不良地质作用及特殊性岩土</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拟建场地内无滑坡、崩塌、泥石流、采空区、地面沉降、岩溶等不良工程地质作用和地质灾害，也没有对工程有不利影响的人类工程活动。勘探期间未发现暗埋的河道、沟浜、墓穴、防空洞、孤石等对工程不利的埋藏物。</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②</w:t>
      </w:r>
      <w:r>
        <w:rPr>
          <w:rFonts w:hint="eastAsia" w:ascii="Times New Roman" w:hAnsi="Times New Roman" w:eastAsia="仿宋_GB2312" w:cs="Times New Roman"/>
          <w:color w:val="auto"/>
          <w:sz w:val="24"/>
        </w:rPr>
        <w:t>场地稳定性</w:t>
      </w:r>
      <w:r>
        <w:rPr>
          <w:rFonts w:hint="eastAsia" w:eastAsia="仿宋_GB2312" w:cs="Times New Roman"/>
          <w:color w:val="auto"/>
          <w:sz w:val="24"/>
          <w:lang w:val="en-US" w:eastAsia="zh-CN"/>
        </w:rPr>
        <w:t>和</w:t>
      </w:r>
      <w:r>
        <w:rPr>
          <w:rFonts w:hint="eastAsia" w:ascii="Times New Roman" w:hAnsi="Times New Roman" w:eastAsia="仿宋_GB2312" w:cs="Times New Roman"/>
          <w:color w:val="auto"/>
          <w:sz w:val="24"/>
        </w:rPr>
        <w:t>适宜性评价</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根据调查，场地较大构造活动记载。场区无全新活动断裂通过，未发现影响稳定性的断裂破碎带，在地质构造上属相对稳定场地。</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根据区域地质资料，结合地区地震水平，无论从强度和频度上来看，地震活动水平属中等偏下，属地壳活动稳定区。</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根据区域构造、地震历史分析，场区区域稳定性较好，适宜进行工程建设。</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拟建场地及周边地形平坦，无陡坡、地面沉降、采空区和潜在滑坡等不良地质作用，场地可不考虑软土震陷影响。</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场地位于河岸边缘，处于抗震不利地段，属地基稳定性较差的场地。如不采取措施会导致地基强度不满足、地基沉降和不均匀沉降过大等影响岸坡稳定性的岩土工程问题。故本工程建设时，应采用桩基础穿越上部软弱土层、以下部基岩为持力层的地基基础措施，满足地基强度和沉降变形要求，必要时对岸坡采取一定的加固措施，以确保地基的稳定性。</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从场地地基稳定性分析，本项目如采取相应的地基基础后，可确保地基的稳定性，适宜进行工程建设。</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③</w:t>
      </w:r>
      <w:r>
        <w:rPr>
          <w:rFonts w:hint="eastAsia" w:ascii="Times New Roman" w:hAnsi="Times New Roman" w:eastAsia="仿宋_GB2312" w:cs="Times New Roman"/>
          <w:color w:val="auto"/>
          <w:sz w:val="24"/>
        </w:rPr>
        <w:t>地基均匀性评价</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根据场地岩土层分布和工程性质，浅部土层除工程性质较差外，层面起伏较大，各土层分布不均匀，基底以下地层强度、压缩性差异较大，分布不均匀，综合判定为不均匀地基。</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④</w:t>
      </w:r>
      <w:r>
        <w:rPr>
          <w:rFonts w:hint="eastAsia" w:ascii="Times New Roman" w:hAnsi="Times New Roman" w:eastAsia="仿宋_GB2312" w:cs="Times New Roman"/>
          <w:color w:val="auto"/>
          <w:sz w:val="24"/>
        </w:rPr>
        <w:t>地基</w:t>
      </w:r>
      <w:r>
        <w:rPr>
          <w:rFonts w:hint="eastAsia" w:eastAsia="仿宋_GB2312" w:cs="Times New Roman"/>
          <w:color w:val="auto"/>
          <w:sz w:val="24"/>
          <w:lang w:val="en-US" w:eastAsia="zh-CN"/>
        </w:rPr>
        <w:t>稳定</w:t>
      </w:r>
      <w:r>
        <w:rPr>
          <w:rFonts w:hint="eastAsia" w:ascii="Times New Roman" w:hAnsi="Times New Roman" w:eastAsia="仿宋_GB2312" w:cs="Times New Roman"/>
          <w:color w:val="auto"/>
          <w:sz w:val="24"/>
        </w:rPr>
        <w:t>性评价</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场地地形起伏较大，地基土分布不均匀，岩土交界面为软弱结构面，呈外倾，在外力作用下地基土体易发生滑移。由于场地上部土层工程地质条件差，地基稳定性较差。采用天然地基时，地基强度难以满足建筑物荷载要求，同时地基沉降变形很大，还会产生不均匀沉降，不能满足天然地基的地基稳定性要求，应采取采用桩基础或对地基进行加固处理。</w:t>
      </w:r>
    </w:p>
    <w:p>
      <w:pPr>
        <w:widowControl w:val="0"/>
        <w:spacing w:line="360" w:lineRule="auto"/>
        <w:ind w:firstLine="480" w:firstLineChars="200"/>
        <w:jc w:val="both"/>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⑤地基稳定性评价</w:t>
      </w:r>
    </w:p>
    <w:p>
      <w:pPr>
        <w:widowControl w:val="0"/>
        <w:spacing w:line="360" w:lineRule="auto"/>
        <w:ind w:firstLine="480" w:firstLineChars="200"/>
        <w:jc w:val="both"/>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val="en-US" w:eastAsia="zh-CN"/>
        </w:rPr>
        <w:t>本工程周边</w:t>
      </w:r>
      <w:r>
        <w:rPr>
          <w:rFonts w:hint="eastAsia" w:ascii="Times New Roman" w:hAnsi="Times New Roman" w:eastAsia="仿宋_GB2312" w:cs="Times New Roman"/>
          <w:color w:val="auto"/>
          <w:sz w:val="24"/>
        </w:rPr>
        <w:t>环境相对简单，码头场及引桥地上部地基土强度与均匀性较差，且土层较薄，部分地段填土直接覆盖于基岩之上，预制桩穿透力差，且有效桩长过短时无法保证桩基稳定性及承载力的发挥，本场地不适宜。因此本项目建议采用钻孔灌注桩，以③-2、③-3层中等风化基岩为持力层</w:t>
      </w:r>
      <w:r>
        <w:rPr>
          <w:rFonts w:hint="eastAsia" w:eastAsia="仿宋_GB2312" w:cs="Times New Roman"/>
          <w:color w:val="auto"/>
          <w:sz w:val="24"/>
          <w:lang w:eastAsia="zh-CN"/>
        </w:rPr>
        <w:t>。</w:t>
      </w:r>
    </w:p>
    <w:p>
      <w:pPr>
        <w:keepNext/>
        <w:keepLines/>
        <w:widowControl w:val="0"/>
        <w:spacing w:before="156" w:beforeLines="50" w:after="156" w:afterLines="50" w:line="360" w:lineRule="auto"/>
        <w:jc w:val="both"/>
        <w:outlineLvl w:val="2"/>
        <w:rPr>
          <w:rFonts w:hint="default" w:eastAsia="黑体"/>
          <w:color w:val="auto"/>
          <w:sz w:val="24"/>
          <w:lang w:val="en-US" w:eastAsia="zh-CN"/>
        </w:rPr>
      </w:pPr>
      <w:bookmarkStart w:id="353" w:name="_Toc16507"/>
      <w:r>
        <w:rPr>
          <w:rFonts w:hint="eastAsia" w:eastAsia="黑体"/>
          <w:color w:val="auto"/>
          <w:sz w:val="24"/>
        </w:rPr>
        <w:t>4.1.</w:t>
      </w:r>
      <w:r>
        <w:rPr>
          <w:rFonts w:hint="eastAsia" w:eastAsia="黑体"/>
          <w:color w:val="auto"/>
          <w:sz w:val="24"/>
          <w:lang w:val="en-US" w:eastAsia="zh-CN"/>
        </w:rPr>
        <w:t>6地震</w:t>
      </w:r>
      <w:bookmarkEnd w:id="353"/>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中国地震动参数区划图》（GB18306-2015），该区地震峰值加速度为0.05g，地震动反应谱特征周期为0.35s。根据该标准附录G“场地地震动峰值加速度与地震烈度对照表”，本工程区域地震动参数对应的地震基本烈度为Ⅵ度。</w:t>
      </w:r>
    </w:p>
    <w:p>
      <w:pPr>
        <w:keepNext/>
        <w:keepLines/>
        <w:widowControl w:val="0"/>
        <w:spacing w:before="156" w:beforeLines="50" w:after="156" w:afterLines="50" w:line="360" w:lineRule="auto"/>
        <w:jc w:val="both"/>
        <w:outlineLvl w:val="2"/>
        <w:rPr>
          <w:rFonts w:hint="eastAsia" w:ascii="Times New Roman" w:hAnsi="Times New Roman" w:eastAsia="黑体" w:cs="Times New Roman"/>
          <w:color w:val="auto"/>
          <w:sz w:val="24"/>
        </w:rPr>
      </w:pPr>
      <w:bookmarkStart w:id="354" w:name="_Toc19012"/>
      <w:r>
        <w:rPr>
          <w:rFonts w:hint="eastAsia" w:ascii="Times New Roman" w:hAnsi="Times New Roman" w:eastAsia="黑体" w:cs="Times New Roman"/>
          <w:color w:val="auto"/>
          <w:sz w:val="24"/>
          <w:lang w:val="en-US" w:eastAsia="zh-CN"/>
        </w:rPr>
        <w:t>4.1.7</w:t>
      </w:r>
      <w:r>
        <w:rPr>
          <w:rFonts w:hint="eastAsia" w:ascii="Times New Roman" w:hAnsi="Times New Roman" w:eastAsia="黑体" w:cs="Times New Roman"/>
          <w:color w:val="auto"/>
          <w:sz w:val="24"/>
        </w:rPr>
        <w:t>港口作业天数</w:t>
      </w:r>
      <w:bookmarkEnd w:id="354"/>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本港区地处长江中游，影响码头作业的主要因素分别为风、雨、雾、雪等自然条件。当风大于6级、雾水平能见度小于1km、降雨强度≥中雨时均不装卸作业。按此要求，对影响码头作业天数的自然因素进行综合分析，扣除有关因素相互重叠的影响，确定本工程码头年作业天数为330天。</w:t>
      </w:r>
    </w:p>
    <w:bookmarkEnd w:id="332"/>
    <w:p>
      <w:pPr>
        <w:pStyle w:val="8"/>
        <w:keepNext w:val="0"/>
        <w:keepLines w:val="0"/>
        <w:widowControl w:val="0"/>
        <w:spacing w:before="120" w:after="120" w:line="360" w:lineRule="auto"/>
        <w:rPr>
          <w:rFonts w:ascii="Times New Roman" w:hAnsi="Times New Roman"/>
          <w:b w:val="0"/>
          <w:color w:val="auto"/>
          <w:szCs w:val="32"/>
        </w:rPr>
      </w:pPr>
      <w:bookmarkStart w:id="355" w:name="_Toc26522"/>
      <w:r>
        <w:rPr>
          <w:rFonts w:ascii="Times New Roman" w:hAnsi="Times New Roman"/>
          <w:b w:val="0"/>
          <w:color w:val="auto"/>
          <w:szCs w:val="32"/>
        </w:rPr>
        <w:t>4.</w:t>
      </w:r>
      <w:r>
        <w:rPr>
          <w:rFonts w:hint="eastAsia" w:ascii="Times New Roman" w:hAnsi="Times New Roman"/>
          <w:b w:val="0"/>
          <w:color w:val="auto"/>
          <w:szCs w:val="32"/>
          <w:lang w:val="en-US" w:eastAsia="zh-CN"/>
        </w:rPr>
        <w:t>2</w:t>
      </w:r>
      <w:r>
        <w:rPr>
          <w:rFonts w:ascii="Times New Roman" w:hAnsi="Times New Roman"/>
          <w:b w:val="0"/>
          <w:color w:val="auto"/>
          <w:szCs w:val="32"/>
        </w:rPr>
        <w:t>环境空气质量现状监测与评价</w:t>
      </w:r>
      <w:bookmarkEnd w:id="355"/>
    </w:p>
    <w:p>
      <w:pPr>
        <w:keepNext/>
        <w:keepLines/>
        <w:widowControl w:val="0"/>
        <w:spacing w:before="156" w:beforeLines="50" w:after="156" w:afterLines="50" w:line="360" w:lineRule="auto"/>
        <w:jc w:val="both"/>
        <w:outlineLvl w:val="2"/>
        <w:rPr>
          <w:rFonts w:hint="eastAsia" w:ascii="Times New Roman" w:hAnsi="Times New Roman" w:eastAsia="黑体" w:cs="Times New Roman"/>
          <w:color w:val="auto"/>
          <w:sz w:val="24"/>
          <w:lang w:val="en-US" w:eastAsia="zh-CN"/>
        </w:rPr>
      </w:pPr>
      <w:bookmarkStart w:id="356" w:name="_Toc8114"/>
      <w:r>
        <w:rPr>
          <w:rFonts w:hint="eastAsia" w:ascii="Times New Roman" w:hAnsi="Times New Roman" w:eastAsia="黑体" w:cs="Times New Roman"/>
          <w:color w:val="auto"/>
          <w:sz w:val="24"/>
          <w:lang w:val="en-US" w:eastAsia="zh-CN"/>
        </w:rPr>
        <w:t>4.2.1基本污染物环境质量现状</w:t>
      </w:r>
      <w:bookmarkEnd w:id="356"/>
    </w:p>
    <w:p>
      <w:pPr>
        <w:widowControl w:val="0"/>
        <w:spacing w:line="360" w:lineRule="auto"/>
        <w:ind w:firstLine="480" w:firstLineChars="200"/>
        <w:rPr>
          <w:rFonts w:eastAsia="仿宋_GB2312"/>
          <w:color w:val="auto"/>
          <w:sz w:val="24"/>
        </w:rPr>
      </w:pPr>
      <w:r>
        <w:rPr>
          <w:rFonts w:eastAsia="仿宋_GB2312"/>
          <w:color w:val="auto"/>
          <w:sz w:val="24"/>
        </w:rPr>
        <w:t>根据《环境影响评价技术导则  大气环境》（HJ2.2-2018），项目所在区域达标情况判定优先采用国家或地方生态环境主管部门公开发布的环境质量公告或环境质量报告中的数据或结论。</w:t>
      </w:r>
    </w:p>
    <w:p>
      <w:pPr>
        <w:widowControl w:val="0"/>
        <w:spacing w:line="360" w:lineRule="auto"/>
        <w:ind w:firstLine="480" w:firstLineChars="200"/>
        <w:rPr>
          <w:rFonts w:eastAsia="仿宋_GB2312"/>
          <w:color w:val="auto"/>
          <w:sz w:val="24"/>
        </w:rPr>
      </w:pPr>
      <w:r>
        <w:rPr>
          <w:rFonts w:eastAsia="仿宋_GB2312"/>
          <w:color w:val="auto"/>
          <w:sz w:val="24"/>
        </w:rPr>
        <w:t>本项目评价基准年为20</w:t>
      </w:r>
      <w:r>
        <w:rPr>
          <w:rFonts w:hint="eastAsia" w:eastAsia="仿宋_GB2312"/>
          <w:color w:val="auto"/>
          <w:sz w:val="24"/>
          <w:lang w:val="en-US" w:eastAsia="zh-CN"/>
        </w:rPr>
        <w:t>22</w:t>
      </w:r>
      <w:r>
        <w:rPr>
          <w:rFonts w:eastAsia="仿宋_GB2312"/>
          <w:color w:val="auto"/>
          <w:sz w:val="24"/>
        </w:rPr>
        <w:t>年，本次评价选用</w:t>
      </w:r>
      <w:r>
        <w:rPr>
          <w:rFonts w:hint="eastAsia" w:eastAsia="仿宋_GB2312"/>
          <w:color w:val="auto"/>
          <w:sz w:val="24"/>
          <w:lang w:eastAsia="zh-CN"/>
        </w:rPr>
        <w:t>宜昌市</w:t>
      </w:r>
      <w:r>
        <w:rPr>
          <w:rFonts w:eastAsia="仿宋_GB2312"/>
          <w:color w:val="auto"/>
          <w:sz w:val="24"/>
        </w:rPr>
        <w:t>生态环境</w:t>
      </w:r>
      <w:r>
        <w:rPr>
          <w:rFonts w:hint="eastAsia" w:eastAsia="仿宋_GB2312"/>
          <w:color w:val="auto"/>
          <w:sz w:val="24"/>
        </w:rPr>
        <w:t>局</w:t>
      </w:r>
      <w:r>
        <w:rPr>
          <w:rFonts w:eastAsia="仿宋_GB2312"/>
          <w:color w:val="auto"/>
          <w:sz w:val="24"/>
        </w:rPr>
        <w:t>发布的《</w:t>
      </w:r>
      <w:r>
        <w:rPr>
          <w:rFonts w:hint="eastAsia" w:eastAsia="仿宋_GB2312"/>
          <w:color w:val="auto"/>
          <w:sz w:val="24"/>
          <w:lang w:val="en-US" w:eastAsia="zh-CN"/>
        </w:rPr>
        <w:t>2022年宜昌市环境质量年报</w:t>
      </w:r>
      <w:r>
        <w:rPr>
          <w:rFonts w:eastAsia="仿宋_GB2312"/>
          <w:color w:val="auto"/>
          <w:sz w:val="24"/>
        </w:rPr>
        <w:t>》中</w:t>
      </w:r>
      <w:r>
        <w:rPr>
          <w:rFonts w:hint="eastAsia" w:eastAsia="仿宋_GB2312"/>
          <w:color w:val="auto"/>
          <w:sz w:val="24"/>
          <w:lang w:val="en-US" w:eastAsia="zh-CN"/>
        </w:rPr>
        <w:t>宜都市</w:t>
      </w:r>
      <w:r>
        <w:rPr>
          <w:rFonts w:eastAsia="仿宋_GB2312"/>
          <w:color w:val="auto"/>
          <w:sz w:val="24"/>
        </w:rPr>
        <w:t>的自动监测数据进行区域达标评价，项目区域各评价因于现状见表</w:t>
      </w:r>
      <w:r>
        <w:rPr>
          <w:rFonts w:hint="eastAsia" w:eastAsia="仿宋_GB2312"/>
          <w:color w:val="auto"/>
          <w:sz w:val="24"/>
        </w:rPr>
        <w:t>4</w:t>
      </w:r>
      <w:r>
        <w:rPr>
          <w:rFonts w:eastAsia="仿宋_GB2312"/>
          <w:color w:val="auto"/>
          <w:sz w:val="24"/>
        </w:rPr>
        <w:t>.</w:t>
      </w:r>
      <w:r>
        <w:rPr>
          <w:rFonts w:hint="eastAsia" w:eastAsia="仿宋_GB2312"/>
          <w:color w:val="auto"/>
          <w:sz w:val="24"/>
          <w:lang w:val="en-US" w:eastAsia="zh-CN"/>
        </w:rPr>
        <w:t>2</w:t>
      </w:r>
      <w:r>
        <w:rPr>
          <w:rFonts w:eastAsia="仿宋_GB2312"/>
          <w:color w:val="auto"/>
          <w:sz w:val="24"/>
        </w:rPr>
        <w:t>-1。</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2</w:t>
      </w:r>
      <w:r>
        <w:rPr>
          <w:rFonts w:eastAsia="黑体"/>
          <w:b/>
          <w:color w:val="auto"/>
          <w:szCs w:val="21"/>
        </w:rPr>
        <w:t>-1  区域空气质量现状评价表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31"/>
        <w:gridCol w:w="1695"/>
        <w:gridCol w:w="1035"/>
        <w:gridCol w:w="974"/>
        <w:gridCol w:w="1233"/>
        <w:gridCol w:w="1121"/>
        <w:gridCol w:w="11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污染物</w:t>
            </w:r>
          </w:p>
        </w:tc>
        <w:tc>
          <w:tcPr>
            <w:tcW w:w="995"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年评价指标</w:t>
            </w:r>
          </w:p>
        </w:tc>
        <w:tc>
          <w:tcPr>
            <w:tcW w:w="608"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现状浓度</w:t>
            </w:r>
          </w:p>
        </w:tc>
        <w:tc>
          <w:tcPr>
            <w:tcW w:w="572"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标准值</w:t>
            </w:r>
          </w:p>
        </w:tc>
        <w:tc>
          <w:tcPr>
            <w:tcW w:w="724"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占标率（%）</w:t>
            </w:r>
          </w:p>
        </w:tc>
        <w:tc>
          <w:tcPr>
            <w:tcW w:w="658"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达标情况</w:t>
            </w:r>
          </w:p>
        </w:tc>
        <w:tc>
          <w:tcPr>
            <w:tcW w:w="659" w:type="pct"/>
            <w:tcBorders>
              <w:top w:val="single" w:color="auto" w:sz="12" w:space="0"/>
              <w:bottom w:val="single" w:color="auto" w:sz="12" w:space="0"/>
            </w:tcBorders>
            <w:noWrap w:val="0"/>
            <w:vAlign w:val="center"/>
          </w:tcPr>
          <w:p>
            <w:pPr>
              <w:widowControl w:val="0"/>
              <w:jc w:val="center"/>
              <w:rPr>
                <w:color w:val="auto"/>
                <w:sz w:val="20"/>
                <w:szCs w:val="20"/>
              </w:rPr>
            </w:pPr>
            <w:r>
              <w:rPr>
                <w:color w:val="auto"/>
                <w:sz w:val="20"/>
                <w:szCs w:val="20"/>
              </w:rPr>
              <w:t>超标倍数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tcBorders>
              <w:top w:val="single" w:color="auto" w:sz="12" w:space="0"/>
            </w:tcBorders>
            <w:noWrap w:val="0"/>
            <w:vAlign w:val="center"/>
          </w:tcPr>
          <w:p>
            <w:pPr>
              <w:widowControl w:val="0"/>
              <w:jc w:val="center"/>
              <w:rPr>
                <w:color w:val="auto"/>
                <w:sz w:val="20"/>
                <w:szCs w:val="20"/>
              </w:rPr>
            </w:pPr>
            <w:r>
              <w:rPr>
                <w:color w:val="auto"/>
                <w:sz w:val="20"/>
                <w:szCs w:val="20"/>
              </w:rPr>
              <w:t>SO</w:t>
            </w:r>
            <w:r>
              <w:rPr>
                <w:color w:val="auto"/>
                <w:sz w:val="20"/>
                <w:szCs w:val="20"/>
                <w:vertAlign w:val="subscript"/>
              </w:rPr>
              <w:t>2</w:t>
            </w:r>
            <w:r>
              <w:rPr>
                <w:color w:val="auto"/>
                <w:sz w:val="20"/>
                <w:szCs w:val="20"/>
              </w:rPr>
              <w:t>(μg/m</w:t>
            </w:r>
            <w:r>
              <w:rPr>
                <w:color w:val="auto"/>
                <w:sz w:val="20"/>
                <w:szCs w:val="20"/>
                <w:vertAlign w:val="superscript"/>
              </w:rPr>
              <w:t>3</w:t>
            </w:r>
            <w:r>
              <w:rPr>
                <w:color w:val="auto"/>
                <w:sz w:val="20"/>
                <w:szCs w:val="20"/>
              </w:rPr>
              <w:t>)</w:t>
            </w:r>
          </w:p>
        </w:tc>
        <w:tc>
          <w:tcPr>
            <w:tcW w:w="995" w:type="pct"/>
            <w:tcBorders>
              <w:top w:val="single" w:color="auto" w:sz="12" w:space="0"/>
            </w:tcBorders>
            <w:noWrap w:val="0"/>
            <w:vAlign w:val="center"/>
          </w:tcPr>
          <w:p>
            <w:pPr>
              <w:widowControl w:val="0"/>
              <w:jc w:val="center"/>
              <w:rPr>
                <w:color w:val="auto"/>
                <w:sz w:val="20"/>
                <w:szCs w:val="20"/>
              </w:rPr>
            </w:pPr>
            <w:r>
              <w:rPr>
                <w:color w:val="auto"/>
                <w:sz w:val="20"/>
                <w:szCs w:val="20"/>
              </w:rPr>
              <w:t>年平均浓度</w:t>
            </w:r>
          </w:p>
        </w:tc>
        <w:tc>
          <w:tcPr>
            <w:tcW w:w="608" w:type="pct"/>
            <w:tcBorders>
              <w:top w:val="single" w:color="auto" w:sz="12" w:space="0"/>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9</w:t>
            </w:r>
          </w:p>
        </w:tc>
        <w:tc>
          <w:tcPr>
            <w:tcW w:w="572" w:type="pct"/>
            <w:tcBorders>
              <w:top w:val="single" w:color="auto" w:sz="12" w:space="0"/>
            </w:tcBorders>
            <w:noWrap w:val="0"/>
            <w:vAlign w:val="center"/>
          </w:tcPr>
          <w:p>
            <w:pPr>
              <w:widowControl w:val="0"/>
              <w:jc w:val="center"/>
              <w:rPr>
                <w:color w:val="auto"/>
                <w:sz w:val="20"/>
                <w:szCs w:val="20"/>
              </w:rPr>
            </w:pPr>
            <w:r>
              <w:rPr>
                <w:color w:val="auto"/>
                <w:sz w:val="20"/>
                <w:szCs w:val="20"/>
              </w:rPr>
              <w:t>60</w:t>
            </w:r>
          </w:p>
        </w:tc>
        <w:tc>
          <w:tcPr>
            <w:tcW w:w="724" w:type="pct"/>
            <w:tcBorders>
              <w:top w:val="single" w:color="auto" w:sz="12" w:space="0"/>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15</w:t>
            </w:r>
          </w:p>
        </w:tc>
        <w:tc>
          <w:tcPr>
            <w:tcW w:w="658" w:type="pct"/>
            <w:tcBorders>
              <w:top w:val="single" w:color="auto" w:sz="12" w:space="0"/>
            </w:tcBorders>
            <w:noWrap w:val="0"/>
            <w:vAlign w:val="center"/>
          </w:tcPr>
          <w:p>
            <w:pPr>
              <w:widowControl w:val="0"/>
              <w:jc w:val="center"/>
              <w:rPr>
                <w:color w:val="auto"/>
                <w:sz w:val="20"/>
                <w:szCs w:val="20"/>
              </w:rPr>
            </w:pPr>
            <w:r>
              <w:rPr>
                <w:color w:val="auto"/>
                <w:sz w:val="20"/>
                <w:szCs w:val="20"/>
              </w:rPr>
              <w:t>达标</w:t>
            </w:r>
          </w:p>
        </w:tc>
        <w:tc>
          <w:tcPr>
            <w:tcW w:w="659" w:type="pct"/>
            <w:tcBorders>
              <w:top w:val="single" w:color="auto" w:sz="12" w:space="0"/>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noWrap w:val="0"/>
            <w:vAlign w:val="center"/>
          </w:tcPr>
          <w:p>
            <w:pPr>
              <w:widowControl w:val="0"/>
              <w:jc w:val="center"/>
              <w:rPr>
                <w:color w:val="auto"/>
                <w:sz w:val="20"/>
                <w:szCs w:val="20"/>
              </w:rPr>
            </w:pPr>
            <w:r>
              <w:rPr>
                <w:color w:val="auto"/>
                <w:sz w:val="20"/>
                <w:szCs w:val="20"/>
              </w:rPr>
              <w:t>NO</w:t>
            </w:r>
            <w:r>
              <w:rPr>
                <w:color w:val="auto"/>
                <w:sz w:val="20"/>
                <w:szCs w:val="20"/>
                <w:vertAlign w:val="subscript"/>
              </w:rPr>
              <w:t>2</w:t>
            </w:r>
            <w:r>
              <w:rPr>
                <w:color w:val="auto"/>
                <w:sz w:val="20"/>
                <w:szCs w:val="20"/>
              </w:rPr>
              <w:t>(μg/m</w:t>
            </w:r>
            <w:r>
              <w:rPr>
                <w:color w:val="auto"/>
                <w:sz w:val="20"/>
                <w:szCs w:val="20"/>
                <w:vertAlign w:val="superscript"/>
              </w:rPr>
              <w:t>3</w:t>
            </w:r>
            <w:r>
              <w:rPr>
                <w:color w:val="auto"/>
                <w:sz w:val="20"/>
                <w:szCs w:val="20"/>
              </w:rPr>
              <w:t>)</w:t>
            </w:r>
          </w:p>
        </w:tc>
        <w:tc>
          <w:tcPr>
            <w:tcW w:w="995" w:type="pct"/>
            <w:noWrap w:val="0"/>
            <w:vAlign w:val="center"/>
          </w:tcPr>
          <w:p>
            <w:pPr>
              <w:widowControl w:val="0"/>
              <w:jc w:val="center"/>
              <w:rPr>
                <w:color w:val="auto"/>
                <w:sz w:val="20"/>
                <w:szCs w:val="20"/>
              </w:rPr>
            </w:pPr>
            <w:r>
              <w:rPr>
                <w:color w:val="auto"/>
                <w:sz w:val="20"/>
                <w:szCs w:val="20"/>
              </w:rPr>
              <w:t>年平均浓度</w:t>
            </w:r>
          </w:p>
        </w:tc>
        <w:tc>
          <w:tcPr>
            <w:tcW w:w="608"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15</w:t>
            </w:r>
          </w:p>
        </w:tc>
        <w:tc>
          <w:tcPr>
            <w:tcW w:w="572" w:type="pct"/>
            <w:noWrap w:val="0"/>
            <w:vAlign w:val="center"/>
          </w:tcPr>
          <w:p>
            <w:pPr>
              <w:widowControl w:val="0"/>
              <w:jc w:val="center"/>
              <w:rPr>
                <w:color w:val="auto"/>
                <w:sz w:val="20"/>
                <w:szCs w:val="20"/>
              </w:rPr>
            </w:pPr>
            <w:r>
              <w:rPr>
                <w:color w:val="auto"/>
                <w:sz w:val="20"/>
                <w:szCs w:val="20"/>
              </w:rPr>
              <w:t>40</w:t>
            </w:r>
          </w:p>
        </w:tc>
        <w:tc>
          <w:tcPr>
            <w:tcW w:w="72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37.5</w:t>
            </w:r>
          </w:p>
        </w:tc>
        <w:tc>
          <w:tcPr>
            <w:tcW w:w="658" w:type="pct"/>
            <w:noWrap w:val="0"/>
            <w:vAlign w:val="center"/>
          </w:tcPr>
          <w:p>
            <w:pPr>
              <w:widowControl w:val="0"/>
              <w:jc w:val="center"/>
              <w:rPr>
                <w:color w:val="auto"/>
                <w:sz w:val="20"/>
                <w:szCs w:val="20"/>
              </w:rPr>
            </w:pPr>
            <w:r>
              <w:rPr>
                <w:color w:val="auto"/>
                <w:sz w:val="20"/>
                <w:szCs w:val="20"/>
              </w:rPr>
              <w:t>达标</w:t>
            </w:r>
          </w:p>
        </w:tc>
        <w:tc>
          <w:tcPr>
            <w:tcW w:w="659" w:type="pct"/>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noWrap w:val="0"/>
            <w:vAlign w:val="center"/>
          </w:tcPr>
          <w:p>
            <w:pPr>
              <w:widowControl w:val="0"/>
              <w:jc w:val="center"/>
              <w:rPr>
                <w:color w:val="auto"/>
                <w:sz w:val="20"/>
                <w:szCs w:val="20"/>
              </w:rPr>
            </w:pPr>
            <w:r>
              <w:rPr>
                <w:color w:val="auto"/>
                <w:sz w:val="20"/>
                <w:szCs w:val="20"/>
              </w:rPr>
              <w:t>PM</w:t>
            </w:r>
            <w:r>
              <w:rPr>
                <w:color w:val="auto"/>
                <w:sz w:val="20"/>
                <w:szCs w:val="20"/>
                <w:vertAlign w:val="subscript"/>
              </w:rPr>
              <w:t>10</w:t>
            </w:r>
            <w:r>
              <w:rPr>
                <w:color w:val="auto"/>
                <w:sz w:val="20"/>
                <w:szCs w:val="20"/>
              </w:rPr>
              <w:t>(μg/m</w:t>
            </w:r>
            <w:r>
              <w:rPr>
                <w:color w:val="auto"/>
                <w:sz w:val="20"/>
                <w:szCs w:val="20"/>
                <w:vertAlign w:val="superscript"/>
              </w:rPr>
              <w:t>3</w:t>
            </w:r>
            <w:r>
              <w:rPr>
                <w:color w:val="auto"/>
                <w:sz w:val="20"/>
                <w:szCs w:val="20"/>
              </w:rPr>
              <w:t>)</w:t>
            </w:r>
          </w:p>
        </w:tc>
        <w:tc>
          <w:tcPr>
            <w:tcW w:w="995" w:type="pct"/>
            <w:noWrap w:val="0"/>
            <w:vAlign w:val="center"/>
          </w:tcPr>
          <w:p>
            <w:pPr>
              <w:widowControl w:val="0"/>
              <w:jc w:val="center"/>
              <w:rPr>
                <w:color w:val="auto"/>
                <w:sz w:val="20"/>
                <w:szCs w:val="20"/>
              </w:rPr>
            </w:pPr>
            <w:r>
              <w:rPr>
                <w:color w:val="auto"/>
                <w:sz w:val="20"/>
                <w:szCs w:val="20"/>
              </w:rPr>
              <w:t>年平均浓度</w:t>
            </w:r>
          </w:p>
        </w:tc>
        <w:tc>
          <w:tcPr>
            <w:tcW w:w="608"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54</w:t>
            </w:r>
          </w:p>
        </w:tc>
        <w:tc>
          <w:tcPr>
            <w:tcW w:w="572" w:type="pct"/>
            <w:noWrap w:val="0"/>
            <w:vAlign w:val="center"/>
          </w:tcPr>
          <w:p>
            <w:pPr>
              <w:widowControl w:val="0"/>
              <w:jc w:val="center"/>
              <w:rPr>
                <w:color w:val="auto"/>
                <w:sz w:val="20"/>
                <w:szCs w:val="20"/>
              </w:rPr>
            </w:pPr>
            <w:r>
              <w:rPr>
                <w:color w:val="auto"/>
                <w:sz w:val="20"/>
                <w:szCs w:val="20"/>
              </w:rPr>
              <w:t>70</w:t>
            </w:r>
          </w:p>
        </w:tc>
        <w:tc>
          <w:tcPr>
            <w:tcW w:w="72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77.1</w:t>
            </w:r>
          </w:p>
        </w:tc>
        <w:tc>
          <w:tcPr>
            <w:tcW w:w="658" w:type="pct"/>
            <w:noWrap w:val="0"/>
            <w:vAlign w:val="center"/>
          </w:tcPr>
          <w:p>
            <w:pPr>
              <w:widowControl w:val="0"/>
              <w:jc w:val="center"/>
              <w:rPr>
                <w:color w:val="auto"/>
                <w:sz w:val="20"/>
                <w:szCs w:val="20"/>
              </w:rPr>
            </w:pPr>
            <w:r>
              <w:rPr>
                <w:color w:val="auto"/>
                <w:sz w:val="20"/>
                <w:szCs w:val="20"/>
              </w:rPr>
              <w:t>达标</w:t>
            </w:r>
          </w:p>
        </w:tc>
        <w:tc>
          <w:tcPr>
            <w:tcW w:w="659" w:type="pct"/>
            <w:noWrap w:val="0"/>
            <w:vAlign w:val="center"/>
          </w:tcPr>
          <w:p>
            <w:pPr>
              <w:widowControl w:val="0"/>
              <w:jc w:val="center"/>
              <w:rPr>
                <w:color w:val="auto"/>
                <w:sz w:val="20"/>
                <w:szCs w:val="20"/>
              </w:rPr>
            </w:pPr>
            <w:r>
              <w:rPr>
                <w:rFonts w:hint="eastAsia"/>
                <w:color w:val="auto"/>
                <w:sz w:val="20"/>
                <w:szCs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noWrap w:val="0"/>
            <w:vAlign w:val="center"/>
          </w:tcPr>
          <w:p>
            <w:pPr>
              <w:widowControl w:val="0"/>
              <w:jc w:val="center"/>
              <w:rPr>
                <w:color w:val="auto"/>
                <w:sz w:val="20"/>
                <w:szCs w:val="20"/>
                <w:vertAlign w:val="subscript"/>
              </w:rPr>
            </w:pPr>
            <w:r>
              <w:rPr>
                <w:color w:val="auto"/>
                <w:sz w:val="20"/>
                <w:szCs w:val="20"/>
              </w:rPr>
              <w:t>PM</w:t>
            </w:r>
            <w:r>
              <w:rPr>
                <w:color w:val="auto"/>
                <w:sz w:val="20"/>
                <w:szCs w:val="20"/>
                <w:vertAlign w:val="subscript"/>
              </w:rPr>
              <w:t>2.5</w:t>
            </w:r>
            <w:r>
              <w:rPr>
                <w:color w:val="auto"/>
                <w:sz w:val="20"/>
                <w:szCs w:val="20"/>
              </w:rPr>
              <w:t>(μg/m</w:t>
            </w:r>
            <w:r>
              <w:rPr>
                <w:color w:val="auto"/>
                <w:sz w:val="20"/>
                <w:szCs w:val="20"/>
                <w:vertAlign w:val="superscript"/>
              </w:rPr>
              <w:t>3</w:t>
            </w:r>
            <w:r>
              <w:rPr>
                <w:color w:val="auto"/>
                <w:sz w:val="20"/>
                <w:szCs w:val="20"/>
              </w:rPr>
              <w:t>)</w:t>
            </w:r>
          </w:p>
        </w:tc>
        <w:tc>
          <w:tcPr>
            <w:tcW w:w="995" w:type="pct"/>
            <w:noWrap w:val="0"/>
            <w:vAlign w:val="center"/>
          </w:tcPr>
          <w:p>
            <w:pPr>
              <w:widowControl w:val="0"/>
              <w:jc w:val="center"/>
              <w:rPr>
                <w:color w:val="auto"/>
                <w:sz w:val="20"/>
                <w:szCs w:val="20"/>
              </w:rPr>
            </w:pPr>
            <w:r>
              <w:rPr>
                <w:color w:val="auto"/>
                <w:sz w:val="20"/>
                <w:szCs w:val="20"/>
              </w:rPr>
              <w:t>年平均浓度</w:t>
            </w:r>
          </w:p>
        </w:tc>
        <w:tc>
          <w:tcPr>
            <w:tcW w:w="608"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38</w:t>
            </w:r>
          </w:p>
        </w:tc>
        <w:tc>
          <w:tcPr>
            <w:tcW w:w="572" w:type="pct"/>
            <w:noWrap w:val="0"/>
            <w:vAlign w:val="center"/>
          </w:tcPr>
          <w:p>
            <w:pPr>
              <w:widowControl w:val="0"/>
              <w:jc w:val="center"/>
              <w:rPr>
                <w:color w:val="auto"/>
                <w:sz w:val="20"/>
                <w:szCs w:val="20"/>
              </w:rPr>
            </w:pPr>
            <w:r>
              <w:rPr>
                <w:color w:val="auto"/>
                <w:sz w:val="20"/>
                <w:szCs w:val="20"/>
              </w:rPr>
              <w:t>35</w:t>
            </w:r>
          </w:p>
        </w:tc>
        <w:tc>
          <w:tcPr>
            <w:tcW w:w="72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108.6</w:t>
            </w:r>
          </w:p>
        </w:tc>
        <w:tc>
          <w:tcPr>
            <w:tcW w:w="658" w:type="pct"/>
            <w:noWrap w:val="0"/>
            <w:vAlign w:val="center"/>
          </w:tcPr>
          <w:p>
            <w:pPr>
              <w:widowControl w:val="0"/>
              <w:jc w:val="center"/>
              <w:rPr>
                <w:color w:val="auto"/>
                <w:sz w:val="20"/>
                <w:szCs w:val="20"/>
              </w:rPr>
            </w:pPr>
            <w:r>
              <w:rPr>
                <w:rFonts w:hint="eastAsia"/>
                <w:color w:val="auto"/>
                <w:sz w:val="20"/>
                <w:szCs w:val="20"/>
                <w:lang w:val="en-US" w:eastAsia="zh-CN"/>
              </w:rPr>
              <w:t>超</w:t>
            </w:r>
            <w:r>
              <w:rPr>
                <w:color w:val="auto"/>
                <w:sz w:val="20"/>
                <w:szCs w:val="20"/>
              </w:rPr>
              <w:t>标</w:t>
            </w:r>
          </w:p>
        </w:tc>
        <w:tc>
          <w:tcPr>
            <w:tcW w:w="659" w:type="pct"/>
            <w:noWrap w:val="0"/>
            <w:vAlign w:val="center"/>
          </w:tcPr>
          <w:p>
            <w:pPr>
              <w:widowControl w:val="0"/>
              <w:jc w:val="center"/>
              <w:rPr>
                <w:rFonts w:hint="default"/>
                <w:color w:val="auto"/>
                <w:sz w:val="20"/>
                <w:szCs w:val="20"/>
                <w:lang w:val="en-US"/>
              </w:rPr>
            </w:pPr>
            <w:r>
              <w:rPr>
                <w:rFonts w:hint="eastAsia"/>
                <w:color w:val="auto"/>
                <w:sz w:val="20"/>
                <w:szCs w:val="20"/>
                <w:lang w:val="en-US" w:eastAsia="zh-CN"/>
              </w:rPr>
              <w:t>0.086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noWrap w:val="0"/>
            <w:vAlign w:val="center"/>
          </w:tcPr>
          <w:p>
            <w:pPr>
              <w:widowControl w:val="0"/>
              <w:jc w:val="center"/>
              <w:rPr>
                <w:color w:val="auto"/>
                <w:sz w:val="20"/>
                <w:szCs w:val="20"/>
              </w:rPr>
            </w:pPr>
            <w:r>
              <w:rPr>
                <w:color w:val="auto"/>
                <w:sz w:val="20"/>
                <w:szCs w:val="20"/>
              </w:rPr>
              <w:t>CO(mg/m</w:t>
            </w:r>
            <w:r>
              <w:rPr>
                <w:color w:val="auto"/>
                <w:sz w:val="20"/>
                <w:szCs w:val="20"/>
                <w:vertAlign w:val="superscript"/>
              </w:rPr>
              <w:t>3</w:t>
            </w:r>
            <w:r>
              <w:rPr>
                <w:color w:val="auto"/>
                <w:sz w:val="20"/>
                <w:szCs w:val="20"/>
              </w:rPr>
              <w:t>)</w:t>
            </w:r>
          </w:p>
        </w:tc>
        <w:tc>
          <w:tcPr>
            <w:tcW w:w="995" w:type="pct"/>
            <w:noWrap w:val="0"/>
            <w:vAlign w:val="center"/>
          </w:tcPr>
          <w:p>
            <w:pPr>
              <w:widowControl w:val="0"/>
              <w:jc w:val="center"/>
              <w:rPr>
                <w:color w:val="auto"/>
                <w:sz w:val="20"/>
                <w:szCs w:val="20"/>
              </w:rPr>
            </w:pPr>
            <w:r>
              <w:rPr>
                <w:rFonts w:hint="eastAsia"/>
                <w:color w:val="auto"/>
                <w:sz w:val="20"/>
                <w:szCs w:val="20"/>
              </w:rPr>
              <w:t>日均浓度的第95百分位数</w:t>
            </w:r>
          </w:p>
        </w:tc>
        <w:tc>
          <w:tcPr>
            <w:tcW w:w="608"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1.2</w:t>
            </w:r>
          </w:p>
        </w:tc>
        <w:tc>
          <w:tcPr>
            <w:tcW w:w="572" w:type="pct"/>
            <w:noWrap w:val="0"/>
            <w:vAlign w:val="center"/>
          </w:tcPr>
          <w:p>
            <w:pPr>
              <w:widowControl w:val="0"/>
              <w:jc w:val="center"/>
              <w:rPr>
                <w:color w:val="auto"/>
                <w:sz w:val="20"/>
                <w:szCs w:val="20"/>
              </w:rPr>
            </w:pPr>
            <w:r>
              <w:rPr>
                <w:color w:val="auto"/>
                <w:sz w:val="20"/>
                <w:szCs w:val="20"/>
              </w:rPr>
              <w:t>4</w:t>
            </w:r>
          </w:p>
        </w:tc>
        <w:tc>
          <w:tcPr>
            <w:tcW w:w="72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30</w:t>
            </w:r>
          </w:p>
        </w:tc>
        <w:tc>
          <w:tcPr>
            <w:tcW w:w="658" w:type="pct"/>
            <w:noWrap w:val="0"/>
            <w:vAlign w:val="center"/>
          </w:tcPr>
          <w:p>
            <w:pPr>
              <w:widowControl w:val="0"/>
              <w:jc w:val="center"/>
              <w:rPr>
                <w:color w:val="auto"/>
                <w:sz w:val="20"/>
                <w:szCs w:val="20"/>
              </w:rPr>
            </w:pPr>
            <w:r>
              <w:rPr>
                <w:color w:val="auto"/>
                <w:sz w:val="20"/>
                <w:szCs w:val="20"/>
              </w:rPr>
              <w:t>达标</w:t>
            </w:r>
          </w:p>
        </w:tc>
        <w:tc>
          <w:tcPr>
            <w:tcW w:w="659" w:type="pct"/>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81" w:type="pct"/>
            <w:noWrap w:val="0"/>
            <w:vAlign w:val="center"/>
          </w:tcPr>
          <w:p>
            <w:pPr>
              <w:widowControl w:val="0"/>
              <w:jc w:val="center"/>
              <w:rPr>
                <w:color w:val="auto"/>
                <w:sz w:val="20"/>
                <w:szCs w:val="20"/>
              </w:rPr>
            </w:pPr>
            <w:r>
              <w:rPr>
                <w:color w:val="auto"/>
                <w:sz w:val="20"/>
                <w:szCs w:val="20"/>
              </w:rPr>
              <w:t>O</w:t>
            </w:r>
            <w:r>
              <w:rPr>
                <w:color w:val="auto"/>
                <w:sz w:val="20"/>
                <w:szCs w:val="20"/>
                <w:vertAlign w:val="subscript"/>
              </w:rPr>
              <w:t>3</w:t>
            </w:r>
            <w:r>
              <w:rPr>
                <w:color w:val="auto"/>
                <w:sz w:val="20"/>
                <w:szCs w:val="20"/>
              </w:rPr>
              <w:t>(μg/m</w:t>
            </w:r>
            <w:r>
              <w:rPr>
                <w:color w:val="auto"/>
                <w:sz w:val="20"/>
                <w:szCs w:val="20"/>
                <w:vertAlign w:val="superscript"/>
              </w:rPr>
              <w:t>3</w:t>
            </w:r>
            <w:r>
              <w:rPr>
                <w:color w:val="auto"/>
                <w:sz w:val="20"/>
                <w:szCs w:val="20"/>
              </w:rPr>
              <w:t>)</w:t>
            </w:r>
          </w:p>
        </w:tc>
        <w:tc>
          <w:tcPr>
            <w:tcW w:w="995" w:type="pct"/>
            <w:noWrap w:val="0"/>
            <w:vAlign w:val="center"/>
          </w:tcPr>
          <w:p>
            <w:pPr>
              <w:widowControl w:val="0"/>
              <w:jc w:val="center"/>
              <w:rPr>
                <w:color w:val="auto"/>
                <w:sz w:val="20"/>
                <w:szCs w:val="20"/>
              </w:rPr>
            </w:pPr>
            <w:r>
              <w:rPr>
                <w:color w:val="auto"/>
                <w:sz w:val="20"/>
                <w:szCs w:val="20"/>
              </w:rPr>
              <w:t>日最大8小时平均值第90百分位</w:t>
            </w:r>
          </w:p>
        </w:tc>
        <w:tc>
          <w:tcPr>
            <w:tcW w:w="608"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140</w:t>
            </w:r>
          </w:p>
        </w:tc>
        <w:tc>
          <w:tcPr>
            <w:tcW w:w="572" w:type="pct"/>
            <w:noWrap w:val="0"/>
            <w:vAlign w:val="center"/>
          </w:tcPr>
          <w:p>
            <w:pPr>
              <w:widowControl w:val="0"/>
              <w:jc w:val="center"/>
              <w:rPr>
                <w:color w:val="auto"/>
                <w:sz w:val="20"/>
                <w:szCs w:val="20"/>
              </w:rPr>
            </w:pPr>
            <w:r>
              <w:rPr>
                <w:color w:val="auto"/>
                <w:sz w:val="20"/>
                <w:szCs w:val="20"/>
              </w:rPr>
              <w:t>160</w:t>
            </w:r>
          </w:p>
        </w:tc>
        <w:tc>
          <w:tcPr>
            <w:tcW w:w="72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87.5</w:t>
            </w:r>
          </w:p>
        </w:tc>
        <w:tc>
          <w:tcPr>
            <w:tcW w:w="658" w:type="pct"/>
            <w:noWrap w:val="0"/>
            <w:vAlign w:val="center"/>
          </w:tcPr>
          <w:p>
            <w:pPr>
              <w:widowControl w:val="0"/>
              <w:jc w:val="center"/>
              <w:rPr>
                <w:color w:val="auto"/>
                <w:sz w:val="20"/>
                <w:szCs w:val="20"/>
              </w:rPr>
            </w:pPr>
            <w:r>
              <w:rPr>
                <w:color w:val="auto"/>
                <w:sz w:val="20"/>
                <w:szCs w:val="20"/>
              </w:rPr>
              <w:t>达标</w:t>
            </w:r>
          </w:p>
        </w:tc>
        <w:tc>
          <w:tcPr>
            <w:tcW w:w="659" w:type="pct"/>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r>
    </w:tbl>
    <w:p>
      <w:pPr>
        <w:widowControl w:val="0"/>
        <w:spacing w:line="360" w:lineRule="auto"/>
        <w:ind w:firstLine="480" w:firstLineChars="200"/>
        <w:jc w:val="both"/>
        <w:rPr>
          <w:rFonts w:eastAsia="仿宋_GB2312"/>
          <w:color w:val="auto"/>
          <w:sz w:val="24"/>
        </w:rPr>
      </w:pPr>
      <w:r>
        <w:rPr>
          <w:rFonts w:eastAsia="仿宋_GB2312"/>
          <w:color w:val="auto"/>
          <w:sz w:val="24"/>
        </w:rPr>
        <w:t>20</w:t>
      </w:r>
      <w:r>
        <w:rPr>
          <w:rFonts w:hint="eastAsia" w:eastAsia="仿宋_GB2312"/>
          <w:color w:val="auto"/>
          <w:sz w:val="24"/>
          <w:lang w:val="en-US" w:eastAsia="zh-CN"/>
        </w:rPr>
        <w:t>22</w:t>
      </w:r>
      <w:r>
        <w:rPr>
          <w:rFonts w:eastAsia="仿宋_GB2312"/>
          <w:color w:val="auto"/>
          <w:sz w:val="24"/>
        </w:rPr>
        <w:t>年长期监测数据表明</w:t>
      </w:r>
      <w:r>
        <w:rPr>
          <w:rFonts w:hint="eastAsia" w:eastAsia="仿宋_GB2312"/>
          <w:color w:val="auto"/>
          <w:sz w:val="24"/>
        </w:rPr>
        <w:t>：</w:t>
      </w:r>
      <w:r>
        <w:rPr>
          <w:rFonts w:eastAsia="仿宋_GB2312"/>
          <w:color w:val="auto"/>
          <w:sz w:val="24"/>
        </w:rPr>
        <w:t>PM</w:t>
      </w:r>
      <w:r>
        <w:rPr>
          <w:rFonts w:eastAsia="仿宋_GB2312"/>
          <w:color w:val="auto"/>
          <w:sz w:val="24"/>
          <w:vertAlign w:val="subscript"/>
        </w:rPr>
        <w:t>10</w:t>
      </w:r>
      <w:r>
        <w:rPr>
          <w:rFonts w:eastAsia="仿宋_GB2312"/>
          <w:color w:val="auto"/>
          <w:sz w:val="24"/>
        </w:rPr>
        <w:t>年均浓度、SO</w:t>
      </w:r>
      <w:r>
        <w:rPr>
          <w:rFonts w:eastAsia="仿宋_GB2312"/>
          <w:color w:val="auto"/>
          <w:sz w:val="24"/>
          <w:vertAlign w:val="subscript"/>
        </w:rPr>
        <w:t>2</w:t>
      </w:r>
      <w:r>
        <w:rPr>
          <w:rFonts w:eastAsia="仿宋_GB2312"/>
          <w:color w:val="auto"/>
          <w:sz w:val="24"/>
        </w:rPr>
        <w:t>年均浓度、NO</w:t>
      </w:r>
      <w:r>
        <w:rPr>
          <w:rFonts w:eastAsia="仿宋_GB2312"/>
          <w:color w:val="auto"/>
          <w:sz w:val="24"/>
          <w:vertAlign w:val="subscript"/>
        </w:rPr>
        <w:t>2</w:t>
      </w:r>
      <w:r>
        <w:rPr>
          <w:rFonts w:eastAsia="仿宋_GB2312"/>
          <w:color w:val="auto"/>
          <w:sz w:val="24"/>
        </w:rPr>
        <w:t>年均浓度、CO 24小时平均第95百分位数浓度、O</w:t>
      </w:r>
      <w:r>
        <w:rPr>
          <w:rFonts w:eastAsia="仿宋_GB2312"/>
          <w:color w:val="auto"/>
          <w:sz w:val="24"/>
          <w:vertAlign w:val="subscript"/>
        </w:rPr>
        <w:t>3</w:t>
      </w:r>
      <w:r>
        <w:rPr>
          <w:rFonts w:eastAsia="仿宋_GB2312"/>
          <w:color w:val="auto"/>
          <w:sz w:val="24"/>
        </w:rPr>
        <w:t>日最大8小时平均值第90百分位浓度能满足《环境空气质量标准》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w:t>
      </w:r>
      <w:r>
        <w:rPr>
          <w:rFonts w:hint="eastAsia" w:eastAsia="仿宋_GB2312"/>
          <w:color w:val="auto"/>
          <w:sz w:val="24"/>
          <w:lang w:eastAsia="zh-CN"/>
        </w:rPr>
        <w:t>；</w:t>
      </w:r>
      <w:r>
        <w:rPr>
          <w:rFonts w:eastAsia="仿宋_GB2312"/>
          <w:color w:val="auto"/>
          <w:sz w:val="24"/>
        </w:rPr>
        <w:t>PM</w:t>
      </w:r>
      <w:r>
        <w:rPr>
          <w:rFonts w:eastAsia="仿宋_GB2312"/>
          <w:color w:val="auto"/>
          <w:sz w:val="24"/>
          <w:vertAlign w:val="subscript"/>
        </w:rPr>
        <w:t>2.5</w:t>
      </w:r>
      <w:r>
        <w:rPr>
          <w:rFonts w:eastAsia="仿宋_GB2312"/>
          <w:color w:val="auto"/>
          <w:sz w:val="24"/>
        </w:rPr>
        <w:t>年均浓度</w:t>
      </w:r>
      <w:r>
        <w:rPr>
          <w:rFonts w:hint="eastAsia" w:eastAsia="仿宋_GB2312"/>
          <w:color w:val="auto"/>
          <w:sz w:val="24"/>
          <w:lang w:val="en-US" w:eastAsia="zh-CN"/>
        </w:rPr>
        <w:t>不</w:t>
      </w:r>
      <w:r>
        <w:rPr>
          <w:rFonts w:eastAsia="仿宋_GB2312"/>
          <w:color w:val="auto"/>
          <w:sz w:val="24"/>
        </w:rPr>
        <w:t>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二级标准。经判定，项目所在区为环境空气质量</w:t>
      </w:r>
      <w:r>
        <w:rPr>
          <w:rFonts w:hint="eastAsia" w:eastAsia="仿宋_GB2312"/>
          <w:color w:val="auto"/>
          <w:sz w:val="24"/>
          <w:lang w:val="en-US" w:eastAsia="zh-CN"/>
        </w:rPr>
        <w:t>不</w:t>
      </w:r>
      <w:r>
        <w:rPr>
          <w:rFonts w:eastAsia="仿宋_GB2312"/>
          <w:color w:val="auto"/>
          <w:sz w:val="24"/>
        </w:rPr>
        <w:t>达标区域。</w:t>
      </w:r>
    </w:p>
    <w:p>
      <w:pPr>
        <w:widowControl w:val="0"/>
        <w:spacing w:line="360" w:lineRule="auto"/>
        <w:ind w:firstLine="482" w:firstLineChars="200"/>
        <w:jc w:val="both"/>
        <w:rPr>
          <w:rFonts w:hint="eastAsia" w:eastAsia="仿宋_GB2312"/>
          <w:b/>
          <w:bCs/>
          <w:color w:val="auto"/>
          <w:sz w:val="24"/>
        </w:rPr>
      </w:pPr>
      <w:r>
        <w:rPr>
          <w:rFonts w:hint="eastAsia" w:eastAsia="仿宋_GB2312"/>
          <w:b/>
          <w:bCs/>
          <w:color w:val="auto"/>
          <w:sz w:val="24"/>
        </w:rPr>
        <w:t>区域大气环境综合治理规划：</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为改善宜昌市环境空气质量，宜昌市人民代表大会常务委员会根据《中华人民共和国环境保护法》、《中华人民共和国大气污染防治法》、《湖北省大气污染防治条例》等法律法规，结合本市实际制定了《宜昌市扬尘污染防治条例》，通过制定9条防治措施有效防治扬尘污染，改善大气环境质量，主要城区环境空气质量重污染天气大幅减少。2023年3月10日，宜昌市生态环境保护委员会办公室发布了《宜昌市2023年大气污染防治及应对气候变化工作实施方案》，深入推进面源污染治理，制定空气质量改善目标，各县市环境空气持续改善。</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宜昌市环境空气质量改善规划目标见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rPr>
        <w:t>4</w:t>
      </w:r>
      <w:r>
        <w:rPr>
          <w:rFonts w:eastAsia="黑体"/>
          <w:b/>
          <w:color w:val="auto"/>
          <w:szCs w:val="21"/>
        </w:rPr>
        <w:t>.</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宜昌市环境空气质量改善规划目标表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61"/>
        <w:gridCol w:w="2098"/>
        <w:gridCol w:w="1934"/>
        <w:gridCol w:w="19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tcBorders>
              <w:top w:val="single" w:color="auto" w:sz="12" w:space="0"/>
              <w:bottom w:val="single" w:color="auto" w:sz="12" w:space="0"/>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规划指标</w:t>
            </w:r>
          </w:p>
        </w:tc>
        <w:tc>
          <w:tcPr>
            <w:tcW w:w="1232" w:type="pct"/>
            <w:tcBorders>
              <w:top w:val="single" w:color="auto" w:sz="12" w:space="0"/>
              <w:bottom w:val="single" w:color="auto" w:sz="12" w:space="0"/>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基准年（2012年）</w:t>
            </w:r>
          </w:p>
        </w:tc>
        <w:tc>
          <w:tcPr>
            <w:tcW w:w="1136" w:type="pct"/>
            <w:tcBorders>
              <w:top w:val="single" w:color="auto" w:sz="12" w:space="0"/>
              <w:bottom w:val="single" w:color="auto" w:sz="12" w:space="0"/>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近期（2022年）</w:t>
            </w:r>
          </w:p>
        </w:tc>
        <w:tc>
          <w:tcPr>
            <w:tcW w:w="1126" w:type="pct"/>
            <w:tcBorders>
              <w:top w:val="single" w:color="auto" w:sz="12" w:space="0"/>
              <w:bottom w:val="single" w:color="auto" w:sz="12" w:space="0"/>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中远期（2030年）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tcBorders>
              <w:top w:val="single" w:color="auto" w:sz="12" w:space="0"/>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空气质量指数（AQI）全年优良天数</w:t>
            </w:r>
          </w:p>
        </w:tc>
        <w:tc>
          <w:tcPr>
            <w:tcW w:w="1232" w:type="pct"/>
            <w:tcBorders>
              <w:top w:val="single" w:color="auto" w:sz="12" w:space="0"/>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w:t>
            </w:r>
          </w:p>
        </w:tc>
        <w:tc>
          <w:tcPr>
            <w:tcW w:w="1136" w:type="pct"/>
            <w:tcBorders>
              <w:top w:val="single" w:color="auto" w:sz="12" w:space="0"/>
            </w:tcBorders>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256天（70%）</w:t>
            </w:r>
          </w:p>
        </w:tc>
        <w:tc>
          <w:tcPr>
            <w:tcW w:w="1126" w:type="pct"/>
            <w:tcBorders>
              <w:top w:val="single" w:color="auto" w:sz="12" w:space="0"/>
            </w:tcBorders>
            <w:noWrap w:val="0"/>
            <w:vAlign w:val="center"/>
          </w:tcPr>
          <w:p>
            <w:pPr>
              <w:widowControl w:val="0"/>
              <w:jc w:val="center"/>
              <w:rPr>
                <w:rFonts w:hint="eastAsia"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310天（85%）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rFonts w:hint="default"/>
                <w:color w:val="auto"/>
                <w:sz w:val="20"/>
                <w:szCs w:val="20"/>
                <w:lang w:val="en-US"/>
              </w:rPr>
            </w:pPr>
            <w:r>
              <w:rPr>
                <w:rFonts w:hint="eastAsia"/>
                <w:color w:val="auto"/>
                <w:sz w:val="20"/>
                <w:szCs w:val="20"/>
                <w:lang w:val="en-US" w:eastAsia="zh-CN"/>
              </w:rPr>
              <w:t>AQI全年重度及以上污染天数</w:t>
            </w:r>
          </w:p>
        </w:tc>
        <w:tc>
          <w:tcPr>
            <w:tcW w:w="1232" w:type="pct"/>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w:t>
            </w:r>
          </w:p>
        </w:tc>
        <w:tc>
          <w:tcPr>
            <w:tcW w:w="113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30（8%）</w:t>
            </w:r>
          </w:p>
        </w:tc>
        <w:tc>
          <w:tcPr>
            <w:tcW w:w="1126" w:type="pct"/>
            <w:noWrap w:val="0"/>
            <w:vAlign w:val="center"/>
          </w:tcPr>
          <w:p>
            <w:pPr>
              <w:widowControl w:val="0"/>
              <w:jc w:val="center"/>
              <w:rPr>
                <w:rFonts w:hint="eastAsia" w:ascii="Times New Roman" w:hAnsi="Times New Roman" w:eastAsia="宋体" w:cs="Times New Roman"/>
                <w:color w:val="auto"/>
                <w:sz w:val="20"/>
                <w:szCs w:val="20"/>
                <w:lang w:val="en-US" w:eastAsia="zh-CN"/>
              </w:rPr>
            </w:pPr>
            <w:r>
              <w:rPr>
                <w:rFonts w:hint="eastAsia" w:ascii="Times New Roman" w:hAnsi="Times New Roman" w:eastAsia="宋体" w:cs="Times New Roman"/>
                <w:color w:val="auto"/>
                <w:sz w:val="20"/>
                <w:szCs w:val="20"/>
                <w:lang w:val="en-US" w:eastAsia="zh-CN"/>
              </w:rPr>
              <w:t>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SO</w:t>
            </w:r>
            <w:r>
              <w:rPr>
                <w:rFonts w:hint="eastAsia"/>
                <w:color w:val="auto"/>
                <w:sz w:val="20"/>
                <w:szCs w:val="20"/>
                <w:vertAlign w:val="subscript"/>
                <w:lang w:val="en-US" w:eastAsia="zh-CN"/>
              </w:rPr>
              <w:t>2</w:t>
            </w:r>
            <w:r>
              <w:rPr>
                <w:rFonts w:hint="eastAsia"/>
                <w:color w:val="auto"/>
                <w:sz w:val="20"/>
                <w:szCs w:val="20"/>
                <w:lang w:val="en-US" w:eastAsia="zh-CN"/>
              </w:rPr>
              <w:t>全年达标天数</w:t>
            </w:r>
          </w:p>
        </w:tc>
        <w:tc>
          <w:tcPr>
            <w:tcW w:w="1232"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365</w:t>
            </w:r>
          </w:p>
        </w:tc>
        <w:tc>
          <w:tcPr>
            <w:tcW w:w="113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364天</w:t>
            </w:r>
          </w:p>
        </w:tc>
        <w:tc>
          <w:tcPr>
            <w:tcW w:w="112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365天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color w:val="auto"/>
                <w:sz w:val="20"/>
                <w:szCs w:val="20"/>
                <w:vertAlign w:val="subscript"/>
              </w:rPr>
            </w:pPr>
            <w:r>
              <w:rPr>
                <w:rFonts w:hint="eastAsia"/>
                <w:color w:val="auto"/>
                <w:sz w:val="20"/>
                <w:szCs w:val="20"/>
                <w:lang w:val="en-US" w:eastAsia="zh-CN"/>
              </w:rPr>
              <w:t>NO</w:t>
            </w:r>
            <w:r>
              <w:rPr>
                <w:rFonts w:hint="eastAsia"/>
                <w:color w:val="auto"/>
                <w:sz w:val="20"/>
                <w:szCs w:val="20"/>
                <w:vertAlign w:val="subscript"/>
                <w:lang w:val="en-US" w:eastAsia="zh-CN"/>
              </w:rPr>
              <w:t>x</w:t>
            </w:r>
            <w:r>
              <w:rPr>
                <w:rFonts w:hint="eastAsia"/>
                <w:color w:val="auto"/>
                <w:sz w:val="20"/>
                <w:szCs w:val="20"/>
                <w:lang w:val="en-US" w:eastAsia="zh-CN"/>
              </w:rPr>
              <w:t>全年达标天数</w:t>
            </w:r>
          </w:p>
        </w:tc>
        <w:tc>
          <w:tcPr>
            <w:tcW w:w="1232"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366</w:t>
            </w:r>
          </w:p>
        </w:tc>
        <w:tc>
          <w:tcPr>
            <w:tcW w:w="113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364天</w:t>
            </w:r>
          </w:p>
        </w:tc>
        <w:tc>
          <w:tcPr>
            <w:tcW w:w="112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365天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PM</w:t>
            </w:r>
            <w:r>
              <w:rPr>
                <w:rFonts w:hint="eastAsia"/>
                <w:color w:val="auto"/>
                <w:sz w:val="20"/>
                <w:szCs w:val="20"/>
                <w:vertAlign w:val="subscript"/>
                <w:lang w:val="en-US" w:eastAsia="zh-CN"/>
              </w:rPr>
              <w:t>10</w:t>
            </w:r>
            <w:r>
              <w:rPr>
                <w:rFonts w:hint="eastAsia"/>
                <w:color w:val="auto"/>
                <w:sz w:val="20"/>
                <w:szCs w:val="20"/>
                <w:lang w:val="en-US" w:eastAsia="zh-CN"/>
              </w:rPr>
              <w:t>全年达标天数</w:t>
            </w:r>
          </w:p>
        </w:tc>
        <w:tc>
          <w:tcPr>
            <w:tcW w:w="1232"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348</w:t>
            </w:r>
          </w:p>
        </w:tc>
        <w:tc>
          <w:tcPr>
            <w:tcW w:w="113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350天</w:t>
            </w:r>
          </w:p>
        </w:tc>
        <w:tc>
          <w:tcPr>
            <w:tcW w:w="1126" w:type="pct"/>
            <w:noWrap w:val="0"/>
            <w:vAlign w:val="center"/>
          </w:tcPr>
          <w:p>
            <w:pPr>
              <w:widowControl w:val="0"/>
              <w:jc w:val="center"/>
              <w:rPr>
                <w:rFonts w:hint="eastAsia"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r>
              <w:rPr>
                <w:rFonts w:hint="eastAsia" w:ascii="Times New Roman" w:hAnsi="Times New Roman" w:eastAsia="宋体" w:cs="Times New Roman"/>
                <w:color w:val="auto"/>
                <w:sz w:val="20"/>
                <w:szCs w:val="20"/>
                <w:lang w:val="en-US" w:eastAsia="zh-CN"/>
              </w:rPr>
              <w:t>360天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rFonts w:hint="default"/>
                <w:color w:val="auto"/>
                <w:sz w:val="20"/>
                <w:szCs w:val="20"/>
                <w:lang w:val="en-US"/>
              </w:rPr>
            </w:pPr>
            <w:r>
              <w:rPr>
                <w:rFonts w:hint="eastAsia"/>
                <w:color w:val="auto"/>
                <w:sz w:val="20"/>
                <w:szCs w:val="20"/>
                <w:lang w:val="en-US" w:eastAsia="zh-CN"/>
              </w:rPr>
              <w:t>PM</w:t>
            </w:r>
            <w:r>
              <w:rPr>
                <w:rFonts w:hint="eastAsia"/>
                <w:color w:val="auto"/>
                <w:sz w:val="20"/>
                <w:szCs w:val="20"/>
                <w:vertAlign w:val="subscript"/>
                <w:lang w:val="en-US" w:eastAsia="zh-CN"/>
              </w:rPr>
              <w:t>10</w:t>
            </w:r>
            <w:r>
              <w:rPr>
                <w:rFonts w:hint="eastAsia"/>
                <w:color w:val="auto"/>
                <w:sz w:val="20"/>
                <w:szCs w:val="20"/>
                <w:lang w:val="en-US" w:eastAsia="zh-CN"/>
              </w:rPr>
              <w:t>年均浓度下降率</w:t>
            </w:r>
          </w:p>
        </w:tc>
        <w:tc>
          <w:tcPr>
            <w:tcW w:w="1232" w:type="pct"/>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年均浓度为91</w:t>
            </w:r>
            <w:r>
              <w:rPr>
                <w:color w:val="auto"/>
                <w:sz w:val="20"/>
                <w:szCs w:val="20"/>
              </w:rPr>
              <w:t>μg/m</w:t>
            </w:r>
            <w:r>
              <w:rPr>
                <w:color w:val="auto"/>
                <w:sz w:val="20"/>
                <w:szCs w:val="20"/>
                <w:vertAlign w:val="superscript"/>
              </w:rPr>
              <w:t>3</w:t>
            </w:r>
          </w:p>
        </w:tc>
        <w:tc>
          <w:tcPr>
            <w:tcW w:w="1136" w:type="pct"/>
            <w:noWrap w:val="0"/>
            <w:vAlign w:val="center"/>
          </w:tcPr>
          <w:p>
            <w:pPr>
              <w:widowControl w:val="0"/>
              <w:jc w:val="center"/>
              <w:rPr>
                <w:rFonts w:hint="default" w:ascii="Times New Roman" w:hAnsi="Times New Roman" w:eastAsia="宋体" w:cs="Times New Roman"/>
                <w:color w:val="auto"/>
                <w:sz w:val="20"/>
                <w:szCs w:val="20"/>
                <w:lang w:val="en-US" w:eastAsia="zh-CN"/>
              </w:rPr>
            </w:pPr>
            <w:r>
              <w:rPr>
                <w:rFonts w:hint="eastAsia" w:ascii="Times New Roman" w:hAnsi="Times New Roman" w:eastAsia="宋体" w:cs="Times New Roman"/>
                <w:color w:val="auto"/>
                <w:sz w:val="20"/>
                <w:szCs w:val="20"/>
                <w:lang w:val="en-US" w:eastAsia="zh-CN"/>
              </w:rPr>
              <w:t>较2012年下降25%</w:t>
            </w:r>
          </w:p>
        </w:tc>
        <w:tc>
          <w:tcPr>
            <w:tcW w:w="1126" w:type="pct"/>
            <w:noWrap w:val="0"/>
            <w:vAlign w:val="center"/>
          </w:tcPr>
          <w:p>
            <w:pPr>
              <w:widowControl w:val="0"/>
              <w:jc w:val="center"/>
              <w:rPr>
                <w:rFonts w:hint="eastAsia" w:ascii="Times New Roman" w:hAnsi="Times New Roman" w:eastAsia="宋体" w:cs="Times New Roman"/>
                <w:color w:val="auto"/>
                <w:sz w:val="20"/>
                <w:szCs w:val="20"/>
                <w:lang w:val="en-US" w:eastAsia="zh-CN"/>
              </w:rPr>
            </w:pPr>
            <w:r>
              <w:rPr>
                <w:rFonts w:hint="eastAsia" w:ascii="Times New Roman" w:hAnsi="Times New Roman" w:eastAsia="宋体" w:cs="Times New Roman"/>
                <w:color w:val="auto"/>
                <w:sz w:val="20"/>
                <w:szCs w:val="20"/>
                <w:lang w:val="en-US" w:eastAsia="zh-CN"/>
              </w:rPr>
              <w:t>较2012年下降35%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504" w:type="pct"/>
            <w:noWrap w:val="0"/>
            <w:vAlign w:val="center"/>
          </w:tcPr>
          <w:p>
            <w:pPr>
              <w:widowControl w:val="0"/>
              <w:jc w:val="center"/>
              <w:rPr>
                <w:color w:val="auto"/>
                <w:sz w:val="20"/>
                <w:szCs w:val="20"/>
              </w:rPr>
            </w:pPr>
            <w:r>
              <w:rPr>
                <w:rFonts w:hint="eastAsia"/>
                <w:color w:val="auto"/>
                <w:sz w:val="20"/>
                <w:szCs w:val="20"/>
                <w:lang w:val="en-US" w:eastAsia="zh-CN"/>
              </w:rPr>
              <w:t>PM</w:t>
            </w:r>
            <w:r>
              <w:rPr>
                <w:rFonts w:hint="eastAsia"/>
                <w:color w:val="auto"/>
                <w:sz w:val="20"/>
                <w:szCs w:val="20"/>
                <w:vertAlign w:val="subscript"/>
                <w:lang w:val="en-US" w:eastAsia="zh-CN"/>
              </w:rPr>
              <w:t>2.5</w:t>
            </w:r>
            <w:r>
              <w:rPr>
                <w:rFonts w:hint="eastAsia"/>
                <w:color w:val="auto"/>
                <w:sz w:val="20"/>
                <w:szCs w:val="20"/>
                <w:lang w:val="en-US" w:eastAsia="zh-CN"/>
              </w:rPr>
              <w:t>年均浓度下降率</w:t>
            </w:r>
          </w:p>
        </w:tc>
        <w:tc>
          <w:tcPr>
            <w:tcW w:w="1232" w:type="pct"/>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w:t>
            </w:r>
          </w:p>
        </w:tc>
        <w:tc>
          <w:tcPr>
            <w:tcW w:w="1136" w:type="pct"/>
            <w:noWrap w:val="0"/>
            <w:vAlign w:val="center"/>
          </w:tcPr>
          <w:p>
            <w:pPr>
              <w:widowControl w:val="0"/>
              <w:jc w:val="center"/>
              <w:rPr>
                <w:rFonts w:hint="default" w:eastAsia="宋体"/>
                <w:color w:val="auto"/>
                <w:sz w:val="20"/>
                <w:szCs w:val="20"/>
                <w:lang w:val="en-US" w:eastAsia="zh-CN"/>
              </w:rPr>
            </w:pPr>
            <w:r>
              <w:rPr>
                <w:rFonts w:hint="eastAsia" w:eastAsia="宋体"/>
                <w:color w:val="auto"/>
                <w:sz w:val="20"/>
                <w:szCs w:val="20"/>
                <w:lang w:val="en-US" w:eastAsia="zh-CN"/>
              </w:rPr>
              <w:t>较2014年下降40%</w:t>
            </w:r>
          </w:p>
        </w:tc>
        <w:tc>
          <w:tcPr>
            <w:tcW w:w="1126" w:type="pct"/>
            <w:noWrap w:val="0"/>
            <w:vAlign w:val="center"/>
          </w:tcPr>
          <w:p>
            <w:pPr>
              <w:widowControl w:val="0"/>
              <w:jc w:val="center"/>
              <w:rPr>
                <w:rFonts w:hint="eastAsia" w:eastAsia="宋体"/>
                <w:color w:val="auto"/>
                <w:sz w:val="20"/>
                <w:szCs w:val="20"/>
                <w:lang w:val="en-US" w:eastAsia="zh-CN"/>
              </w:rPr>
            </w:pPr>
            <w:r>
              <w:rPr>
                <w:rFonts w:hint="eastAsia" w:eastAsia="宋体"/>
                <w:color w:val="auto"/>
                <w:sz w:val="20"/>
                <w:szCs w:val="20"/>
                <w:lang w:val="en-US" w:eastAsia="zh-CN"/>
              </w:rPr>
              <w:t>较2014年下降65%</w:t>
            </w:r>
          </w:p>
        </w:tc>
      </w:tr>
    </w:tbl>
    <w:p>
      <w:pPr>
        <w:keepNext/>
        <w:keepLines/>
        <w:widowControl w:val="0"/>
        <w:spacing w:before="156" w:beforeLines="50" w:after="156" w:afterLines="50" w:line="360" w:lineRule="auto"/>
        <w:jc w:val="both"/>
        <w:outlineLvl w:val="2"/>
        <w:rPr>
          <w:rFonts w:hint="eastAsia" w:ascii="Times New Roman" w:hAnsi="Times New Roman" w:eastAsia="黑体" w:cs="Times New Roman"/>
          <w:color w:val="auto"/>
          <w:sz w:val="24"/>
          <w:lang w:val="en-US" w:eastAsia="zh-CN"/>
        </w:rPr>
      </w:pPr>
      <w:bookmarkStart w:id="357" w:name="_Toc18062"/>
      <w:r>
        <w:rPr>
          <w:rFonts w:hint="eastAsia" w:ascii="Times New Roman" w:hAnsi="Times New Roman" w:eastAsia="黑体" w:cs="Times New Roman"/>
          <w:color w:val="auto"/>
          <w:sz w:val="24"/>
          <w:lang w:val="en-US" w:eastAsia="zh-CN"/>
        </w:rPr>
        <w:t>4.2.2其他污染物环境质量现状</w:t>
      </w:r>
      <w:bookmarkEnd w:id="357"/>
    </w:p>
    <w:p>
      <w:pPr>
        <w:pStyle w:val="26"/>
        <w:widowControl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（1）</w:t>
      </w:r>
      <w:r>
        <w:rPr>
          <w:rFonts w:ascii="Times New Roman" w:hAnsi="Times New Roman" w:eastAsia="仿宋_GB2312"/>
          <w:color w:val="auto"/>
        </w:rPr>
        <w:t>监测点位布设</w:t>
      </w:r>
    </w:p>
    <w:p>
      <w:pPr>
        <w:widowControl w:val="0"/>
        <w:spacing w:line="360" w:lineRule="auto"/>
        <w:ind w:firstLine="480" w:firstLineChars="200"/>
        <w:rPr>
          <w:rFonts w:eastAsia="仿宋_GB2312"/>
          <w:color w:val="auto"/>
          <w:sz w:val="24"/>
        </w:rPr>
      </w:pPr>
      <w:r>
        <w:rPr>
          <w:rFonts w:eastAsia="仿宋_GB2312"/>
          <w:color w:val="auto"/>
          <w:sz w:val="24"/>
        </w:rPr>
        <w:t>采样点布设见表4.</w:t>
      </w:r>
      <w:r>
        <w:rPr>
          <w:rFonts w:hint="eastAsia" w:eastAsia="仿宋_GB2312"/>
          <w:color w:val="auto"/>
          <w:sz w:val="24"/>
          <w:lang w:val="en-US" w:eastAsia="zh-CN"/>
        </w:rPr>
        <w:t>2</w:t>
      </w:r>
      <w:r>
        <w:rPr>
          <w:rFonts w:eastAsia="仿宋_GB2312"/>
          <w:color w:val="auto"/>
          <w:sz w:val="24"/>
        </w:rPr>
        <w:t>-</w:t>
      </w:r>
      <w:r>
        <w:rPr>
          <w:rFonts w:hint="eastAsia" w:eastAsia="仿宋_GB2312"/>
          <w:color w:val="auto"/>
          <w:sz w:val="24"/>
          <w:lang w:val="en-US" w:eastAsia="zh-CN"/>
        </w:rPr>
        <w:t>3</w:t>
      </w:r>
      <w:r>
        <w:rPr>
          <w:rFonts w:eastAsia="仿宋_GB2312"/>
          <w:color w:val="auto"/>
          <w:sz w:val="24"/>
        </w:rPr>
        <w:t>。</w:t>
      </w:r>
    </w:p>
    <w:p>
      <w:pPr>
        <w:widowControl w:val="0"/>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3</w:t>
      </w:r>
      <w:r>
        <w:rPr>
          <w:rFonts w:eastAsia="黑体"/>
          <w:b/>
          <w:color w:val="auto"/>
          <w:szCs w:val="21"/>
        </w:rPr>
        <w:t xml:space="preserve">  环境空气质量监测采样点说明</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491"/>
        <w:gridCol w:w="3162"/>
        <w:gridCol w:w="1528"/>
        <w:gridCol w:w="133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2" w:type="pct"/>
            <w:tcBorders>
              <w:top w:val="single" w:color="auto" w:sz="12" w:space="0"/>
              <w:bottom w:val="single" w:color="auto" w:sz="12" w:space="0"/>
            </w:tcBorders>
            <w:noWrap w:val="0"/>
            <w:vAlign w:val="center"/>
          </w:tcPr>
          <w:p>
            <w:pPr>
              <w:pStyle w:val="53"/>
              <w:widowControl w:val="0"/>
              <w:jc w:val="center"/>
              <w:rPr>
                <w:rFonts w:ascii="Times New Roman" w:hAnsi="Times New Roman"/>
                <w:color w:val="auto"/>
                <w:sz w:val="20"/>
                <w:szCs w:val="20"/>
              </w:rPr>
            </w:pPr>
            <w:r>
              <w:rPr>
                <w:rFonts w:ascii="Times New Roman" w:hAnsi="Times New Roman"/>
                <w:color w:val="auto"/>
                <w:sz w:val="20"/>
                <w:szCs w:val="20"/>
              </w:rPr>
              <w:t>采样点号</w:t>
            </w:r>
          </w:p>
        </w:tc>
        <w:tc>
          <w:tcPr>
            <w:tcW w:w="1856" w:type="pct"/>
            <w:tcBorders>
              <w:top w:val="single" w:color="auto" w:sz="12" w:space="0"/>
              <w:bottom w:val="single" w:color="auto" w:sz="12" w:space="0"/>
            </w:tcBorders>
            <w:noWrap w:val="0"/>
            <w:vAlign w:val="center"/>
          </w:tcPr>
          <w:p>
            <w:pPr>
              <w:pStyle w:val="53"/>
              <w:widowControl w:val="0"/>
              <w:jc w:val="center"/>
              <w:rPr>
                <w:rFonts w:hint="default" w:ascii="Times New Roman" w:hAnsi="Times New Roman" w:eastAsia="宋体"/>
                <w:color w:val="auto"/>
                <w:sz w:val="20"/>
                <w:szCs w:val="20"/>
                <w:lang w:val="en-US" w:eastAsia="zh-CN"/>
              </w:rPr>
            </w:pPr>
            <w:r>
              <w:rPr>
                <w:rFonts w:hint="eastAsia" w:ascii="Times New Roman" w:hAnsi="Times New Roman"/>
                <w:color w:val="auto"/>
                <w:sz w:val="20"/>
                <w:szCs w:val="20"/>
                <w:lang w:val="en-US" w:eastAsia="zh-CN"/>
              </w:rPr>
              <w:t>地理坐标</w:t>
            </w:r>
          </w:p>
        </w:tc>
        <w:tc>
          <w:tcPr>
            <w:tcW w:w="897" w:type="pct"/>
            <w:tcBorders>
              <w:top w:val="single" w:color="auto" w:sz="12" w:space="0"/>
              <w:bottom w:val="single" w:color="auto" w:sz="12" w:space="0"/>
            </w:tcBorders>
            <w:noWrap w:val="0"/>
            <w:vAlign w:val="center"/>
          </w:tcPr>
          <w:p>
            <w:pPr>
              <w:pStyle w:val="53"/>
              <w:widowControl w:val="0"/>
              <w:jc w:val="center"/>
              <w:rPr>
                <w:rFonts w:hint="default" w:ascii="Times New Roman" w:hAnsi="Times New Roman" w:eastAsia="宋体"/>
                <w:color w:val="auto"/>
                <w:sz w:val="20"/>
                <w:szCs w:val="20"/>
                <w:lang w:val="en-US" w:eastAsia="zh-CN"/>
              </w:rPr>
            </w:pPr>
            <w:r>
              <w:rPr>
                <w:rFonts w:hint="eastAsia" w:ascii="Times New Roman" w:hAnsi="Times New Roman"/>
                <w:color w:val="auto"/>
                <w:sz w:val="20"/>
                <w:szCs w:val="20"/>
                <w:lang w:val="en-US" w:eastAsia="zh-CN"/>
              </w:rPr>
              <w:t>监测项目</w:t>
            </w:r>
          </w:p>
        </w:tc>
        <w:tc>
          <w:tcPr>
            <w:tcW w:w="782" w:type="pct"/>
            <w:tcBorders>
              <w:top w:val="single" w:color="auto" w:sz="12" w:space="0"/>
              <w:bottom w:val="single" w:color="auto" w:sz="12" w:space="0"/>
            </w:tcBorders>
            <w:noWrap w:val="0"/>
            <w:vAlign w:val="center"/>
          </w:tcPr>
          <w:p>
            <w:pPr>
              <w:pStyle w:val="53"/>
              <w:widowControl w:val="0"/>
              <w:jc w:val="center"/>
              <w:rPr>
                <w:rFonts w:ascii="Times New Roman" w:hAnsi="Times New Roman"/>
                <w:color w:val="auto"/>
                <w:sz w:val="20"/>
                <w:szCs w:val="20"/>
              </w:rPr>
            </w:pPr>
            <w:r>
              <w:rPr>
                <w:rFonts w:ascii="Times New Roman" w:hAnsi="Times New Roman"/>
                <w:color w:val="auto"/>
                <w:sz w:val="20"/>
                <w:szCs w:val="20"/>
              </w:rPr>
              <w:t>说明</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462" w:type="pct"/>
            <w:tcBorders>
              <w:top w:val="single" w:color="auto" w:sz="12" w:space="0"/>
            </w:tcBorders>
            <w:noWrap w:val="0"/>
            <w:vAlign w:val="center"/>
          </w:tcPr>
          <w:p>
            <w:pPr>
              <w:widowControl w:val="0"/>
              <w:jc w:val="center"/>
              <w:rPr>
                <w:rFonts w:hint="default" w:eastAsia="宋体"/>
                <w:color w:val="auto"/>
                <w:sz w:val="20"/>
                <w:szCs w:val="20"/>
                <w:lang w:val="en-US" w:eastAsia="zh-CN"/>
              </w:rPr>
            </w:pPr>
            <w:r>
              <w:rPr>
                <w:color w:val="auto"/>
                <w:sz w:val="20"/>
                <w:szCs w:val="20"/>
              </w:rPr>
              <w:t>1</w:t>
            </w:r>
            <w:r>
              <w:rPr>
                <w:color w:val="auto"/>
                <w:sz w:val="20"/>
                <w:szCs w:val="20"/>
                <w:vertAlign w:val="baseline"/>
              </w:rPr>
              <w:t>#</w:t>
            </w:r>
            <w:r>
              <w:rPr>
                <w:rFonts w:hint="eastAsia"/>
                <w:color w:val="auto"/>
                <w:sz w:val="20"/>
                <w:szCs w:val="20"/>
                <w:vertAlign w:val="baseline"/>
                <w:lang w:val="en-US" w:eastAsia="zh-CN"/>
              </w:rPr>
              <w:t>厂区东南侧150m处</w:t>
            </w:r>
          </w:p>
        </w:tc>
        <w:tc>
          <w:tcPr>
            <w:tcW w:w="1856" w:type="pct"/>
            <w:tcBorders>
              <w:top w:val="single" w:color="auto" w:sz="12" w:space="0"/>
            </w:tcBorders>
            <w:noWrap w:val="0"/>
            <w:vAlign w:val="center"/>
          </w:tcPr>
          <w:p>
            <w:pPr>
              <w:pStyle w:val="53"/>
              <w:widowControl w:val="0"/>
              <w:jc w:val="center"/>
              <w:rPr>
                <w:rFonts w:hint="eastAsia" w:ascii="Times New Roman" w:hAnsi="Times New Roman" w:eastAsia="宋体" w:cs="Times New Roman"/>
                <w:color w:val="auto"/>
                <w:kern w:val="2"/>
                <w:sz w:val="20"/>
                <w:szCs w:val="20"/>
                <w:vertAlign w:val="baseline"/>
                <w:lang w:val="en-US" w:eastAsia="zh-CN" w:bidi="ar-SA"/>
              </w:rPr>
            </w:pPr>
            <w:r>
              <w:rPr>
                <w:rFonts w:hint="default" w:ascii="Times New Roman" w:hAnsi="Times New Roman" w:eastAsia="宋体" w:cs="Times New Roman"/>
                <w:color w:val="auto"/>
                <w:kern w:val="2"/>
                <w:sz w:val="20"/>
                <w:szCs w:val="20"/>
                <w:vertAlign w:val="baseline"/>
                <w:lang w:val="en-US" w:eastAsia="zh-CN" w:bidi="ar-SA"/>
              </w:rPr>
              <w:t>111.65680468°、30.37941457°</w:t>
            </w:r>
          </w:p>
        </w:tc>
        <w:tc>
          <w:tcPr>
            <w:tcW w:w="897" w:type="pct"/>
            <w:tcBorders>
              <w:top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szCs w:val="20"/>
                <w:vertAlign w:val="baseline"/>
                <w:lang w:val="en-US" w:eastAsia="zh-CN" w:bidi="ar-SA"/>
              </w:rPr>
            </w:pPr>
            <w:r>
              <w:rPr>
                <w:rFonts w:hint="eastAsia" w:ascii="Times New Roman" w:hAnsi="Times New Roman" w:eastAsia="宋体" w:cs="Times New Roman"/>
                <w:color w:val="auto"/>
                <w:kern w:val="2"/>
                <w:sz w:val="20"/>
                <w:szCs w:val="20"/>
                <w:vertAlign w:val="baseline"/>
                <w:lang w:val="en-US" w:eastAsia="zh-CN" w:bidi="ar-SA"/>
              </w:rPr>
              <w:t>TSP</w:t>
            </w:r>
          </w:p>
        </w:tc>
        <w:tc>
          <w:tcPr>
            <w:tcW w:w="782" w:type="pct"/>
            <w:tcBorders>
              <w:top w:val="single" w:color="auto" w:sz="12" w:space="0"/>
            </w:tcBorders>
            <w:noWrap w:val="0"/>
            <w:vAlign w:val="center"/>
          </w:tcPr>
          <w:p>
            <w:pPr>
              <w:widowControl w:val="0"/>
              <w:spacing w:line="240" w:lineRule="atLeast"/>
              <w:jc w:val="center"/>
              <w:rPr>
                <w:rFonts w:hint="default" w:eastAsia="宋体"/>
                <w:color w:val="auto"/>
                <w:sz w:val="20"/>
                <w:szCs w:val="20"/>
                <w:lang w:val="en-US" w:eastAsia="zh-CN"/>
              </w:rPr>
            </w:pPr>
            <w:r>
              <w:rPr>
                <w:rFonts w:hint="eastAsia"/>
                <w:color w:val="auto"/>
                <w:sz w:val="20"/>
                <w:szCs w:val="20"/>
                <w:lang w:val="en-US" w:eastAsia="zh-CN"/>
              </w:rPr>
              <w:t>背景点</w:t>
            </w:r>
          </w:p>
        </w:tc>
      </w:tr>
    </w:tbl>
    <w:p>
      <w:pPr>
        <w:pStyle w:val="26"/>
        <w:widowControl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（2）</w:t>
      </w:r>
      <w:r>
        <w:rPr>
          <w:rFonts w:ascii="Times New Roman" w:hAnsi="Times New Roman" w:eastAsia="仿宋_GB2312"/>
          <w:color w:val="auto"/>
        </w:rPr>
        <w:t>监测因子与监测分析方法</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监测因子：</w:t>
      </w:r>
      <w:r>
        <w:rPr>
          <w:rFonts w:hint="eastAsia" w:ascii="Times New Roman" w:hAnsi="Times New Roman" w:eastAsia="仿宋_GB2312"/>
          <w:color w:val="auto"/>
          <w:lang w:val="en-US" w:eastAsia="zh-CN"/>
        </w:rPr>
        <w:t>TSP</w:t>
      </w:r>
      <w:r>
        <w:rPr>
          <w:rFonts w:ascii="Times New Roman" w:hAnsi="Times New Roman" w:eastAsia="仿宋_GB2312"/>
          <w:color w:val="auto"/>
        </w:rPr>
        <w:t>。</w:t>
      </w:r>
    </w:p>
    <w:p>
      <w:pPr>
        <w:pStyle w:val="26"/>
        <w:widowControl w:val="0"/>
        <w:spacing w:line="360" w:lineRule="auto"/>
        <w:ind w:firstLine="480" w:firstLineChars="200"/>
        <w:rPr>
          <w:rFonts w:ascii="Times New Roman" w:hAnsi="Times New Roman" w:eastAsia="仿宋_GB2312"/>
          <w:color w:val="auto"/>
        </w:rPr>
      </w:pPr>
      <w:r>
        <w:rPr>
          <w:rFonts w:eastAsia="仿宋_GB2312"/>
          <w:color w:val="auto"/>
          <w:sz w:val="24"/>
        </w:rPr>
        <w:t>采样和分析方法、监测频率按照国家环保局颁布的《环境监测技术规范》和《空气和废气监测分析方法》的有关要求和规定进行</w:t>
      </w:r>
      <w:r>
        <w:rPr>
          <w:rFonts w:ascii="Times New Roman" w:hAnsi="Times New Roman" w:eastAsia="仿宋_GB2312"/>
          <w:color w:val="auto"/>
        </w:rPr>
        <w:t>，详见表4.</w:t>
      </w:r>
      <w:r>
        <w:rPr>
          <w:rFonts w:hint="eastAsia" w:ascii="Times New Roman" w:hAnsi="Times New Roman" w:eastAsia="仿宋_GB2312"/>
          <w:color w:val="auto"/>
          <w:lang w:val="en-US" w:eastAsia="zh-CN"/>
        </w:rPr>
        <w:t>2</w:t>
      </w:r>
      <w:r>
        <w:rPr>
          <w:rFonts w:ascii="Times New Roman" w:hAnsi="Times New Roman" w:eastAsia="仿宋_GB2312"/>
          <w:color w:val="auto"/>
        </w:rPr>
        <w:t>-</w:t>
      </w:r>
      <w:r>
        <w:rPr>
          <w:rFonts w:hint="eastAsia" w:ascii="Times New Roman" w:hAnsi="Times New Roman" w:eastAsia="仿宋_GB2312"/>
          <w:color w:val="auto"/>
          <w:lang w:val="en-US" w:eastAsia="zh-CN"/>
        </w:rPr>
        <w:t>4</w:t>
      </w:r>
      <w:r>
        <w:rPr>
          <w:rFonts w:ascii="Times New Roman" w:hAnsi="Times New Roman" w:eastAsia="仿宋_GB2312"/>
          <w:color w:val="auto"/>
        </w:rPr>
        <w:t>。</w:t>
      </w:r>
    </w:p>
    <w:p>
      <w:pPr>
        <w:widowControl w:val="0"/>
        <w:spacing w:line="360" w:lineRule="auto"/>
        <w:jc w:val="center"/>
        <w:rPr>
          <w:rFonts w:hint="eastAsia" w:eastAsia="黑体"/>
          <w:b/>
          <w:color w:val="auto"/>
          <w:szCs w:val="21"/>
        </w:rPr>
      </w:pPr>
      <w:r>
        <w:rPr>
          <w:rFonts w:eastAsia="黑体"/>
          <w:b/>
          <w:color w:val="auto"/>
          <w:szCs w:val="21"/>
        </w:rPr>
        <w:t>表4.</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  空气环境污染物监测分析方法</w:t>
      </w:r>
    </w:p>
    <w:tbl>
      <w:tblPr>
        <w:tblStyle w:val="92"/>
        <w:tblW w:w="5103" w:type="pct"/>
        <w:tblInd w:w="-7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 w:type="dxa"/>
          <w:bottom w:w="0" w:type="dxa"/>
          <w:right w:w="10" w:type="dxa"/>
        </w:tblCellMar>
      </w:tblPr>
      <w:tblGrid>
        <w:gridCol w:w="1150"/>
        <w:gridCol w:w="3111"/>
        <w:gridCol w:w="2745"/>
        <w:gridCol w:w="14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677"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color w:val="auto"/>
                <w:kern w:val="0"/>
                <w:sz w:val="20"/>
                <w:lang w:val="zh-CN"/>
              </w:rPr>
              <w:t>监测项目</w:t>
            </w:r>
          </w:p>
        </w:tc>
        <w:tc>
          <w:tcPr>
            <w:tcW w:w="1831"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color w:val="auto"/>
                <w:kern w:val="0"/>
                <w:sz w:val="20"/>
                <w:lang w:val="zh-CN"/>
              </w:rPr>
              <w:t>监测方法及依据</w:t>
            </w:r>
          </w:p>
        </w:tc>
        <w:tc>
          <w:tcPr>
            <w:tcW w:w="1616"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color w:val="auto"/>
                <w:kern w:val="0"/>
                <w:sz w:val="20"/>
                <w:lang w:val="zh-CN"/>
              </w:rPr>
              <w:t>分析仪器设备型号、编号</w:t>
            </w:r>
          </w:p>
        </w:tc>
        <w:tc>
          <w:tcPr>
            <w:tcW w:w="874"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color w:val="auto"/>
                <w:kern w:val="0"/>
                <w:sz w:val="20"/>
                <w:lang w:val="zh-CN"/>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677" w:type="pct"/>
            <w:tcBorders>
              <w:top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TSP</w:t>
            </w:r>
          </w:p>
        </w:tc>
        <w:tc>
          <w:tcPr>
            <w:tcW w:w="1831" w:type="pct"/>
            <w:tcBorders>
              <w:top w:val="single" w:color="auto" w:sz="12" w:space="0"/>
            </w:tcBorders>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zh-CN" w:eastAsia="zh-CN"/>
              </w:rPr>
              <w:t xml:space="preserve">环境空气 总悬浮颗粒物的测定重量法 </w:t>
            </w:r>
            <w:r>
              <w:rPr>
                <w:rFonts w:hint="eastAsia"/>
                <w:color w:val="auto"/>
                <w:kern w:val="0"/>
                <w:sz w:val="20"/>
                <w:lang w:val="en-US" w:eastAsia="zh-CN"/>
              </w:rPr>
              <w:t>HJ1263-2022</w:t>
            </w:r>
          </w:p>
        </w:tc>
        <w:tc>
          <w:tcPr>
            <w:tcW w:w="1616" w:type="pct"/>
            <w:tcBorders>
              <w:top w:val="single" w:color="auto" w:sz="12" w:space="0"/>
            </w:tcBorders>
            <w:noWrap w:val="0"/>
            <w:vAlign w:val="center"/>
          </w:tcPr>
          <w:p>
            <w:pPr>
              <w:widowControl w:val="0"/>
              <w:autoSpaceDE w:val="0"/>
              <w:autoSpaceDN w:val="0"/>
              <w:adjustRightInd w:val="0"/>
              <w:jc w:val="center"/>
              <w:rPr>
                <w:rFonts w:hint="eastAsia"/>
                <w:color w:val="auto"/>
                <w:kern w:val="0"/>
                <w:sz w:val="20"/>
                <w:lang w:val="zh-CN" w:eastAsia="zh-CN"/>
              </w:rPr>
            </w:pPr>
            <w:r>
              <w:rPr>
                <w:rFonts w:hint="eastAsia"/>
                <w:color w:val="auto"/>
                <w:kern w:val="0"/>
                <w:sz w:val="20"/>
                <w:lang w:val="en-US" w:eastAsia="zh-CN"/>
              </w:rPr>
              <w:t>ES2055B</w:t>
            </w:r>
            <w:r>
              <w:rPr>
                <w:rFonts w:hint="eastAsia"/>
                <w:color w:val="auto"/>
                <w:kern w:val="0"/>
                <w:sz w:val="20"/>
                <w:lang w:val="zh-CN" w:eastAsia="zh-CN"/>
              </w:rPr>
              <w:t>电子天平（</w:t>
            </w:r>
            <w:r>
              <w:rPr>
                <w:rFonts w:hint="eastAsia"/>
                <w:color w:val="auto"/>
                <w:kern w:val="0"/>
                <w:sz w:val="20"/>
                <w:lang w:val="en-US" w:eastAsia="zh-CN"/>
              </w:rPr>
              <w:t>JTTS-021</w:t>
            </w:r>
            <w:r>
              <w:rPr>
                <w:rFonts w:hint="eastAsia"/>
                <w:color w:val="auto"/>
                <w:kern w:val="0"/>
                <w:sz w:val="20"/>
                <w:lang w:val="zh-CN" w:eastAsia="zh-CN"/>
              </w:rPr>
              <w:t>）</w:t>
            </w:r>
          </w:p>
        </w:tc>
        <w:tc>
          <w:tcPr>
            <w:tcW w:w="874" w:type="pct"/>
            <w:tcBorders>
              <w:top w:val="single" w:color="auto" w:sz="12"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zh-CN"/>
              </w:rPr>
              <w:t>0.001mg/m</w:t>
            </w:r>
            <w:r>
              <w:rPr>
                <w:rFonts w:hint="eastAsia"/>
                <w:color w:val="auto"/>
                <w:kern w:val="0"/>
                <w:sz w:val="20"/>
                <w:vertAlign w:val="superscript"/>
                <w:lang w:val="zh-CN"/>
              </w:rPr>
              <w:t>3</w:t>
            </w:r>
          </w:p>
        </w:tc>
      </w:tr>
    </w:tbl>
    <w:p>
      <w:pPr>
        <w:pStyle w:val="26"/>
        <w:widowControl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（3）</w:t>
      </w:r>
      <w:r>
        <w:rPr>
          <w:rFonts w:ascii="Times New Roman" w:hAnsi="Times New Roman" w:eastAsia="仿宋_GB2312"/>
          <w:color w:val="auto"/>
        </w:rPr>
        <w:t>监测</w:t>
      </w:r>
      <w:r>
        <w:rPr>
          <w:rFonts w:hint="eastAsia" w:ascii="Times New Roman" w:hAnsi="Times New Roman" w:eastAsia="仿宋_GB2312"/>
          <w:color w:val="auto"/>
          <w:lang w:val="en-US" w:eastAsia="zh-CN"/>
        </w:rPr>
        <w:t>时间与监测</w:t>
      </w:r>
      <w:r>
        <w:rPr>
          <w:rFonts w:ascii="Times New Roman" w:hAnsi="Times New Roman" w:eastAsia="仿宋_GB2312"/>
          <w:color w:val="auto"/>
        </w:rPr>
        <w:t>频次</w:t>
      </w:r>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TSP</w:t>
      </w:r>
      <w:r>
        <w:rPr>
          <w:rFonts w:hint="eastAsia" w:eastAsia="仿宋_GB2312"/>
          <w:color w:val="auto"/>
          <w:sz w:val="24"/>
        </w:rPr>
        <w:t>监测</w:t>
      </w:r>
      <w:r>
        <w:rPr>
          <w:rFonts w:hint="eastAsia" w:eastAsia="仿宋_GB2312"/>
          <w:color w:val="auto"/>
          <w:sz w:val="24"/>
          <w:lang w:val="en-US" w:eastAsia="zh-CN"/>
        </w:rPr>
        <w:t>日均浓度，应有24小时采样时间</w:t>
      </w:r>
      <w:r>
        <w:rPr>
          <w:rFonts w:eastAsia="仿宋_GB2312"/>
          <w:color w:val="auto"/>
          <w:sz w:val="24"/>
        </w:rPr>
        <w:t>。</w:t>
      </w:r>
    </w:p>
    <w:p>
      <w:pPr>
        <w:pStyle w:val="26"/>
        <w:widowControl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（4）</w:t>
      </w:r>
      <w:r>
        <w:rPr>
          <w:rFonts w:ascii="Times New Roman" w:hAnsi="Times New Roman" w:eastAsia="仿宋_GB2312"/>
          <w:color w:val="auto"/>
        </w:rPr>
        <w:t>评价方法与标准</w:t>
      </w:r>
    </w:p>
    <w:p>
      <w:pPr>
        <w:pStyle w:val="53"/>
        <w:widowControl w:val="0"/>
        <w:spacing w:line="360" w:lineRule="auto"/>
        <w:ind w:firstLine="480" w:firstLineChars="200"/>
        <w:rPr>
          <w:rFonts w:hint="default" w:ascii="Times New Roman" w:hAnsi="Times New Roman" w:eastAsia="仿宋_GB2312"/>
          <w:color w:val="auto"/>
          <w:sz w:val="24"/>
        </w:rPr>
      </w:pPr>
      <w:r>
        <w:rPr>
          <w:rFonts w:hint="default" w:ascii="Times New Roman" w:hAnsi="Times New Roman" w:eastAsia="仿宋_GB2312"/>
          <w:color w:val="auto"/>
          <w:sz w:val="24"/>
        </w:rPr>
        <w:t>采用最大浓度占标率和超标率评价工程区域环境空气质量现状。</w:t>
      </w:r>
    </w:p>
    <w:p>
      <w:pPr>
        <w:pStyle w:val="53"/>
        <w:widowControl w:val="0"/>
        <w:spacing w:line="360" w:lineRule="auto"/>
        <w:ind w:firstLine="480" w:firstLineChars="200"/>
        <w:rPr>
          <w:rFonts w:hint="default" w:ascii="Times New Roman" w:hAnsi="Times New Roman" w:eastAsia="仿宋_GB2312"/>
          <w:color w:val="auto"/>
          <w:sz w:val="24"/>
        </w:rPr>
      </w:pPr>
      <w:r>
        <w:rPr>
          <w:rFonts w:hint="default" w:ascii="Times New Roman" w:hAnsi="Times New Roman" w:eastAsia="仿宋_GB2312"/>
          <w:color w:val="auto"/>
          <w:sz w:val="24"/>
        </w:rPr>
        <w:t>最大浓度占标率计算公式如下：</w:t>
      </w:r>
    </w:p>
    <w:p>
      <w:pPr>
        <w:pStyle w:val="53"/>
        <w:widowControl w:val="0"/>
        <w:spacing w:line="360" w:lineRule="auto"/>
        <w:jc w:val="center"/>
        <w:rPr>
          <w:rFonts w:hint="default" w:ascii="Times New Roman" w:hAnsi="Times New Roman" w:eastAsia="仿宋_GB2312"/>
          <w:color w:val="auto"/>
          <w:sz w:val="24"/>
        </w:rPr>
      </w:pPr>
      <w:r>
        <w:rPr>
          <w:rFonts w:hint="default" w:ascii="Times New Roman" w:hAnsi="Times New Roman" w:eastAsia="仿宋_GB2312"/>
          <w:color w:val="auto"/>
          <w:sz w:val="24"/>
        </w:rPr>
        <w:object>
          <v:shape id="_x0000_i1036" o:spt="75" type="#_x0000_t75" style="height:33.75pt;width:89.25pt;" o:ole="t" filled="f" o:preferrelative="t" stroked="f" coordsize="21600,21600">
            <v:path/>
            <v:fill on="f" focussize="0,0"/>
            <v:stroke on="f"/>
            <v:imagedata r:id="rId55" o:title=""/>
            <o:lock v:ext="edit" aspectratio="t"/>
            <w10:wrap type="none"/>
            <w10:anchorlock/>
          </v:shape>
          <o:OLEObject Type="Embed" ProgID="Equation.3" ShapeID="_x0000_i1036" DrawAspect="Content" ObjectID="_1468075736" r:id="rId54">
            <o:LockedField>false</o:LockedField>
          </o:OLEObject>
        </w:object>
      </w:r>
    </w:p>
    <w:p>
      <w:pPr>
        <w:pStyle w:val="53"/>
        <w:widowControl w:val="0"/>
        <w:spacing w:line="360" w:lineRule="auto"/>
        <w:ind w:firstLine="480" w:firstLineChars="200"/>
        <w:rPr>
          <w:rFonts w:hint="default" w:ascii="Times New Roman" w:hAnsi="Times New Roman" w:eastAsia="仿宋_GB2312"/>
          <w:color w:val="auto"/>
          <w:sz w:val="24"/>
        </w:rPr>
      </w:pPr>
      <w:r>
        <w:rPr>
          <w:rFonts w:hint="default" w:ascii="Times New Roman" w:hAnsi="Times New Roman" w:eastAsia="仿宋_GB2312"/>
          <w:color w:val="auto"/>
          <w:sz w:val="24"/>
        </w:rPr>
        <w:t>式中：P</w:t>
      </w:r>
      <w:r>
        <w:rPr>
          <w:rFonts w:hint="default" w:ascii="Times New Roman" w:hAnsi="Times New Roman" w:eastAsia="仿宋_GB2312"/>
          <w:color w:val="auto"/>
          <w:sz w:val="24"/>
          <w:vertAlign w:val="subscript"/>
        </w:rPr>
        <w:t>i</w:t>
      </w:r>
      <w:r>
        <w:rPr>
          <w:rFonts w:hint="default" w:ascii="Times New Roman" w:hAnsi="Times New Roman" w:eastAsia="仿宋_GB2312"/>
          <w:color w:val="auto"/>
          <w:sz w:val="24"/>
        </w:rPr>
        <w:t>——污染因子i的最大地面质量浓度占标率，%；</w:t>
      </w:r>
    </w:p>
    <w:p>
      <w:pPr>
        <w:pStyle w:val="53"/>
        <w:widowControl w:val="0"/>
        <w:spacing w:line="360" w:lineRule="auto"/>
        <w:ind w:firstLine="960" w:firstLineChars="400"/>
        <w:rPr>
          <w:rFonts w:hint="default" w:ascii="Times New Roman" w:hAnsi="Times New Roman" w:eastAsia="仿宋_GB2312"/>
          <w:color w:val="auto"/>
          <w:sz w:val="24"/>
        </w:rPr>
      </w:pPr>
      <w:r>
        <w:rPr>
          <w:rFonts w:hint="default" w:ascii="Times New Roman" w:hAnsi="Times New Roman" w:eastAsia="仿宋_GB2312"/>
          <w:color w:val="auto"/>
          <w:sz w:val="24"/>
        </w:rPr>
        <w:t>C</w:t>
      </w:r>
      <w:r>
        <w:rPr>
          <w:rFonts w:hint="default" w:ascii="Times New Roman" w:hAnsi="Times New Roman" w:eastAsia="仿宋_GB2312"/>
          <w:color w:val="auto"/>
          <w:sz w:val="24"/>
          <w:vertAlign w:val="subscript"/>
        </w:rPr>
        <w:t>imax</w:t>
      </w:r>
      <w:r>
        <w:rPr>
          <w:rFonts w:hint="default" w:ascii="Times New Roman" w:hAnsi="Times New Roman" w:eastAsia="仿宋_GB2312"/>
          <w:color w:val="auto"/>
          <w:sz w:val="24"/>
        </w:rPr>
        <w:t>——污染因子i的现状监测值的最大值，mg/m</w:t>
      </w:r>
      <w:r>
        <w:rPr>
          <w:rFonts w:hint="default" w:ascii="Times New Roman" w:hAnsi="Times New Roman" w:eastAsia="仿宋_GB2312"/>
          <w:color w:val="auto"/>
          <w:sz w:val="24"/>
          <w:vertAlign w:val="superscript"/>
        </w:rPr>
        <w:t>3</w:t>
      </w:r>
      <w:r>
        <w:rPr>
          <w:rFonts w:hint="default" w:ascii="Times New Roman" w:hAnsi="Times New Roman" w:eastAsia="仿宋_GB2312"/>
          <w:color w:val="auto"/>
          <w:sz w:val="24"/>
        </w:rPr>
        <w:t>；</w:t>
      </w:r>
    </w:p>
    <w:p>
      <w:pPr>
        <w:pStyle w:val="53"/>
        <w:widowControl w:val="0"/>
        <w:spacing w:line="360" w:lineRule="auto"/>
        <w:ind w:firstLine="1200" w:firstLineChars="500"/>
        <w:rPr>
          <w:rFonts w:hint="default" w:ascii="Times New Roman" w:hAnsi="Times New Roman" w:eastAsia="仿宋_GB2312"/>
          <w:color w:val="auto"/>
          <w:sz w:val="24"/>
        </w:rPr>
      </w:pPr>
      <w:r>
        <w:rPr>
          <w:rFonts w:hint="default" w:ascii="Times New Roman" w:hAnsi="Times New Roman" w:eastAsia="仿宋_GB2312"/>
          <w:color w:val="auto"/>
          <w:sz w:val="24"/>
        </w:rPr>
        <w:t>C</w:t>
      </w:r>
      <w:r>
        <w:rPr>
          <w:rFonts w:hint="default" w:ascii="Times New Roman" w:hAnsi="Times New Roman" w:eastAsia="仿宋_GB2312"/>
          <w:color w:val="auto"/>
          <w:sz w:val="24"/>
          <w:vertAlign w:val="subscript"/>
        </w:rPr>
        <w:t>0i</w:t>
      </w:r>
      <w:r>
        <w:rPr>
          <w:rFonts w:hint="default" w:ascii="Times New Roman" w:hAnsi="Times New Roman" w:eastAsia="仿宋_GB2312"/>
          <w:color w:val="auto"/>
          <w:sz w:val="24"/>
        </w:rPr>
        <w:t>——污染因子i的大气环境质量标准值，mg/m</w:t>
      </w:r>
      <w:r>
        <w:rPr>
          <w:rFonts w:hint="default" w:ascii="Times New Roman" w:hAnsi="Times New Roman" w:eastAsia="仿宋_GB2312"/>
          <w:color w:val="auto"/>
          <w:sz w:val="24"/>
          <w:vertAlign w:val="superscript"/>
        </w:rPr>
        <w:t>3</w:t>
      </w:r>
      <w:r>
        <w:rPr>
          <w:rFonts w:hint="default" w:ascii="Times New Roman" w:hAnsi="Times New Roman" w:eastAsia="仿宋_GB2312"/>
          <w:color w:val="auto"/>
          <w:sz w:val="24"/>
        </w:rPr>
        <w:t>。</w:t>
      </w:r>
    </w:p>
    <w:p>
      <w:pPr>
        <w:pStyle w:val="53"/>
        <w:widowControl w:val="0"/>
        <w:spacing w:line="360" w:lineRule="auto"/>
        <w:ind w:firstLine="480" w:firstLineChars="200"/>
        <w:rPr>
          <w:rFonts w:hint="default" w:ascii="Times New Roman" w:hAnsi="Times New Roman" w:eastAsia="仿宋_GB2312"/>
          <w:color w:val="auto"/>
          <w:sz w:val="24"/>
        </w:rPr>
      </w:pPr>
      <w:r>
        <w:rPr>
          <w:rFonts w:hint="default" w:ascii="Times New Roman" w:hAnsi="Times New Roman" w:eastAsia="仿宋_GB2312"/>
          <w:color w:val="auto"/>
          <w:sz w:val="24"/>
        </w:rPr>
        <w:t>超标率η计算式如下：</w:t>
      </w:r>
    </w:p>
    <w:p>
      <w:pPr>
        <w:pStyle w:val="53"/>
        <w:widowControl w:val="0"/>
        <w:spacing w:line="360" w:lineRule="auto"/>
        <w:jc w:val="center"/>
        <w:rPr>
          <w:rFonts w:hint="default" w:ascii="Times New Roman" w:hAnsi="Times New Roman" w:eastAsia="仿宋_GB2312"/>
          <w:color w:val="auto"/>
          <w:sz w:val="24"/>
        </w:rPr>
      </w:pPr>
      <w:r>
        <w:rPr>
          <w:rFonts w:hint="default" w:ascii="Times New Roman" w:hAnsi="Times New Roman" w:eastAsia="仿宋_GB2312"/>
          <w:color w:val="auto"/>
          <w:position w:val="-26"/>
          <w:sz w:val="24"/>
        </w:rPr>
        <w:object>
          <v:shape id="_x0000_i1037" o:spt="75" type="#_x0000_t75" style="height:29.3pt;width:105.7pt;" o:ole="t" filled="f" o:preferrelative="t" stroked="f" coordsize="21600,21600">
            <v:path/>
            <v:fill on="f" focussize="0,0"/>
            <v:stroke on="f"/>
            <v:imagedata r:id="rId57" o:title=""/>
            <o:lock v:ext="edit" aspectratio="t"/>
            <w10:wrap type="none"/>
            <w10:anchorlock/>
          </v:shape>
          <o:OLEObject Type="Embed" ProgID="Equation.3" ShapeID="_x0000_i1037" DrawAspect="Content" ObjectID="_1468075737" r:id="rId56">
            <o:LockedField>false</o:LockedField>
          </o:OLEObject>
        </w:object>
      </w:r>
    </w:p>
    <w:p>
      <w:pPr>
        <w:pStyle w:val="53"/>
        <w:widowControl w:val="0"/>
        <w:spacing w:line="360" w:lineRule="auto"/>
        <w:ind w:firstLine="480" w:firstLineChars="200"/>
        <w:rPr>
          <w:rFonts w:ascii="Times New Roman" w:hAnsi="Times New Roman" w:eastAsia="仿宋_GB2312"/>
          <w:color w:val="auto"/>
          <w:sz w:val="24"/>
        </w:rPr>
      </w:pPr>
      <w:r>
        <w:rPr>
          <w:rFonts w:hint="eastAsia" w:ascii="Times New Roman" w:hAnsi="Times New Roman" w:eastAsia="仿宋_GB2312"/>
          <w:color w:val="auto"/>
          <w:sz w:val="24"/>
        </w:rPr>
        <w:t>环境空气现状评价执行《环境空气质量标准》(GB3095-2012)二级标准</w:t>
      </w:r>
      <w:r>
        <w:rPr>
          <w:rFonts w:ascii="Times New Roman" w:hAnsi="Times New Roman" w:eastAsia="仿宋_GB2312"/>
          <w:color w:val="auto"/>
          <w:sz w:val="24"/>
        </w:rPr>
        <w:t>。</w:t>
      </w:r>
    </w:p>
    <w:p>
      <w:pPr>
        <w:pStyle w:val="26"/>
        <w:widowControl w:val="0"/>
        <w:spacing w:line="360" w:lineRule="auto"/>
        <w:ind w:firstLine="480" w:firstLineChars="200"/>
        <w:rPr>
          <w:rFonts w:ascii="Times New Roman" w:hAnsi="Times New Roman" w:eastAsia="仿宋_GB2312"/>
          <w:color w:val="auto"/>
        </w:rPr>
      </w:pPr>
      <w:r>
        <w:rPr>
          <w:rFonts w:hint="eastAsia" w:ascii="Times New Roman" w:hAnsi="Times New Roman" w:eastAsia="仿宋_GB2312"/>
          <w:color w:val="auto"/>
        </w:rPr>
        <w:t>（5）</w:t>
      </w:r>
      <w:r>
        <w:rPr>
          <w:rFonts w:ascii="Times New Roman" w:hAnsi="Times New Roman" w:eastAsia="仿宋_GB2312"/>
          <w:color w:val="auto"/>
        </w:rPr>
        <w:t>监测结果与评价</w:t>
      </w:r>
    </w:p>
    <w:p>
      <w:pPr>
        <w:pStyle w:val="316"/>
        <w:widowControl w:val="0"/>
        <w:ind w:firstLine="456"/>
        <w:rPr>
          <w:rFonts w:eastAsia="仿宋_GB2312"/>
          <w:color w:val="auto"/>
          <w:spacing w:val="-6"/>
        </w:rPr>
      </w:pPr>
      <w:r>
        <w:rPr>
          <w:rFonts w:eastAsia="仿宋_GB2312"/>
          <w:color w:val="auto"/>
          <w:spacing w:val="-6"/>
        </w:rPr>
        <w:t>拟建项目周围大气环境质量监测结果及评价见表4.</w:t>
      </w:r>
      <w:r>
        <w:rPr>
          <w:rFonts w:hint="eastAsia" w:eastAsia="仿宋_GB2312"/>
          <w:color w:val="auto"/>
          <w:spacing w:val="-6"/>
          <w:lang w:val="en-US" w:eastAsia="zh-CN"/>
        </w:rPr>
        <w:t>2-5及表4.2-6</w:t>
      </w:r>
      <w:r>
        <w:rPr>
          <w:rFonts w:eastAsia="仿宋_GB2312"/>
          <w:color w:val="auto"/>
          <w:spacing w:val="-6"/>
        </w:rPr>
        <w:t>。</w:t>
      </w:r>
    </w:p>
    <w:p>
      <w:pPr>
        <w:widowControl w:val="0"/>
        <w:spacing w:line="360" w:lineRule="auto"/>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5</w:t>
      </w:r>
      <w:r>
        <w:rPr>
          <w:rFonts w:eastAsia="黑体"/>
          <w:b/>
          <w:color w:val="auto"/>
          <w:szCs w:val="21"/>
        </w:rPr>
        <w:t xml:space="preserve">  </w:t>
      </w:r>
      <w:r>
        <w:rPr>
          <w:rFonts w:hint="eastAsia" w:eastAsia="黑体"/>
          <w:b/>
          <w:color w:val="auto"/>
          <w:szCs w:val="21"/>
          <w:lang w:val="en-US" w:eastAsia="zh-CN"/>
        </w:rPr>
        <w:t>监测期间气象条件一览表</w:t>
      </w:r>
    </w:p>
    <w:tbl>
      <w:tblPr>
        <w:tblStyle w:val="92"/>
        <w:tblW w:w="5121" w:type="pct"/>
        <w:tblInd w:w="-9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 w:type="dxa"/>
          <w:bottom w:w="0" w:type="dxa"/>
          <w:right w:w="10" w:type="dxa"/>
        </w:tblCellMar>
      </w:tblPr>
      <w:tblGrid>
        <w:gridCol w:w="1270"/>
        <w:gridCol w:w="1297"/>
        <w:gridCol w:w="1148"/>
        <w:gridCol w:w="949"/>
        <w:gridCol w:w="1012"/>
        <w:gridCol w:w="1012"/>
        <w:gridCol w:w="873"/>
        <w:gridCol w:w="9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9" w:hRule="atLeast"/>
        </w:trPr>
        <w:tc>
          <w:tcPr>
            <w:tcW w:w="745"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监测点位</w:t>
            </w:r>
          </w:p>
        </w:tc>
        <w:tc>
          <w:tcPr>
            <w:tcW w:w="760"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监测日期</w:t>
            </w:r>
          </w:p>
        </w:tc>
        <w:tc>
          <w:tcPr>
            <w:tcW w:w="673"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天气状况</w:t>
            </w:r>
          </w:p>
        </w:tc>
        <w:tc>
          <w:tcPr>
            <w:tcW w:w="556" w:type="pct"/>
            <w:tcBorders>
              <w:top w:val="single" w:color="auto" w:sz="12" w:space="0"/>
              <w:bottom w:val="single" w:color="auto" w:sz="12"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气压kPa</w:t>
            </w:r>
          </w:p>
        </w:tc>
        <w:tc>
          <w:tcPr>
            <w:tcW w:w="593"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气温</w:t>
            </w:r>
            <w:r>
              <w:rPr>
                <w:rFonts w:hint="default"/>
                <w:color w:val="auto"/>
                <w:sz w:val="20"/>
                <w:szCs w:val="20"/>
                <w:lang w:val="en-US" w:eastAsia="zh-CN"/>
              </w:rPr>
              <w:t>℃</w:t>
            </w:r>
          </w:p>
        </w:tc>
        <w:tc>
          <w:tcPr>
            <w:tcW w:w="593"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color w:val="auto"/>
                <w:lang w:val="en-US" w:eastAsia="zh-CN"/>
              </w:rPr>
            </w:pPr>
            <w:r>
              <w:rPr>
                <w:rFonts w:hint="eastAsia"/>
                <w:color w:val="auto"/>
                <w:lang w:val="en-US" w:eastAsia="zh-CN"/>
              </w:rPr>
              <w:t>湿度%RH</w:t>
            </w:r>
          </w:p>
        </w:tc>
        <w:tc>
          <w:tcPr>
            <w:tcW w:w="512" w:type="pct"/>
            <w:tcBorders>
              <w:top w:val="single" w:color="auto" w:sz="12" w:space="0"/>
              <w:bottom w:val="single" w:color="auto" w:sz="12"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风向</w:t>
            </w:r>
          </w:p>
        </w:tc>
        <w:tc>
          <w:tcPr>
            <w:tcW w:w="563" w:type="pct"/>
            <w:tcBorders>
              <w:top w:val="single" w:color="auto" w:sz="12" w:space="0"/>
              <w:bottom w:val="single" w:color="auto" w:sz="12"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风速</w:t>
            </w:r>
            <w:r>
              <w:rPr>
                <w:rFonts w:hint="default"/>
                <w:color w:val="auto"/>
                <w:sz w:val="21"/>
                <w:szCs w:val="21"/>
                <w:lang w:val="en-US" w:eastAsia="zh-CN"/>
              </w:rPr>
              <w:t>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restart"/>
            <w:tcBorders>
              <w:top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color w:val="auto"/>
                <w:sz w:val="20"/>
                <w:szCs w:val="20"/>
              </w:rPr>
              <w:t>1</w:t>
            </w:r>
            <w:r>
              <w:rPr>
                <w:color w:val="auto"/>
                <w:sz w:val="20"/>
                <w:szCs w:val="20"/>
                <w:vertAlign w:val="baseline"/>
              </w:rPr>
              <w:t>#</w:t>
            </w:r>
            <w:r>
              <w:rPr>
                <w:rFonts w:hint="eastAsia"/>
                <w:color w:val="auto"/>
                <w:sz w:val="20"/>
                <w:szCs w:val="20"/>
                <w:vertAlign w:val="baseline"/>
                <w:lang w:val="en-US" w:eastAsia="zh-CN"/>
              </w:rPr>
              <w:t>厂区东南侧150m处</w:t>
            </w:r>
          </w:p>
        </w:tc>
        <w:tc>
          <w:tcPr>
            <w:tcW w:w="760" w:type="pct"/>
            <w:tcBorders>
              <w:top w:val="single" w:color="auto" w:sz="12"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2023.4.8</w:t>
            </w:r>
          </w:p>
        </w:tc>
        <w:tc>
          <w:tcPr>
            <w:tcW w:w="673" w:type="pct"/>
            <w:tcBorders>
              <w:top w:val="single" w:color="auto" w:sz="12" w:space="0"/>
              <w:bottom w:val="single" w:color="auto" w:sz="4"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晴</w:t>
            </w:r>
          </w:p>
        </w:tc>
        <w:tc>
          <w:tcPr>
            <w:tcW w:w="556" w:type="pct"/>
            <w:tcBorders>
              <w:top w:val="single" w:color="auto" w:sz="12"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101.1</w:t>
            </w:r>
          </w:p>
        </w:tc>
        <w:tc>
          <w:tcPr>
            <w:tcW w:w="593" w:type="pct"/>
            <w:tcBorders>
              <w:top w:val="single" w:color="auto" w:sz="12"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14.6</w:t>
            </w:r>
          </w:p>
        </w:tc>
        <w:tc>
          <w:tcPr>
            <w:tcW w:w="593" w:type="pct"/>
            <w:tcBorders>
              <w:top w:val="single" w:color="auto" w:sz="12"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54</w:t>
            </w:r>
          </w:p>
        </w:tc>
        <w:tc>
          <w:tcPr>
            <w:tcW w:w="512" w:type="pct"/>
            <w:tcBorders>
              <w:top w:val="single" w:color="auto" w:sz="12" w:space="0"/>
              <w:bottom w:val="single" w:color="auto" w:sz="4"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东北</w:t>
            </w:r>
          </w:p>
        </w:tc>
        <w:tc>
          <w:tcPr>
            <w:tcW w:w="563" w:type="pct"/>
            <w:tcBorders>
              <w:top w:val="single" w:color="auto" w:sz="12"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2023.4.9</w:t>
            </w:r>
          </w:p>
        </w:tc>
        <w:tc>
          <w:tcPr>
            <w:tcW w:w="673"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晴</w:t>
            </w:r>
          </w:p>
        </w:tc>
        <w:tc>
          <w:tcPr>
            <w:tcW w:w="556"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101.0</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15.0</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53</w:t>
            </w:r>
          </w:p>
        </w:tc>
        <w:tc>
          <w:tcPr>
            <w:tcW w:w="512"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2023.4.10</w:t>
            </w:r>
          </w:p>
        </w:tc>
        <w:tc>
          <w:tcPr>
            <w:tcW w:w="673"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晴</w:t>
            </w:r>
          </w:p>
        </w:tc>
        <w:tc>
          <w:tcPr>
            <w:tcW w:w="556"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101.0</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15.1</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52</w:t>
            </w:r>
          </w:p>
        </w:tc>
        <w:tc>
          <w:tcPr>
            <w:tcW w:w="512"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2023.4.11</w:t>
            </w:r>
          </w:p>
        </w:tc>
        <w:tc>
          <w:tcPr>
            <w:tcW w:w="673" w:type="pct"/>
            <w:tcBorders>
              <w:top w:val="single" w:color="auto" w:sz="4" w:space="0"/>
              <w:bottom w:val="single" w:color="auto" w:sz="4"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color w:val="auto"/>
                <w:kern w:val="0"/>
                <w:sz w:val="20"/>
                <w:lang w:val="en-US" w:eastAsia="zh-CN"/>
              </w:rPr>
              <w:t>多云</w:t>
            </w:r>
          </w:p>
        </w:tc>
        <w:tc>
          <w:tcPr>
            <w:tcW w:w="556"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101.1</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14.7</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52</w:t>
            </w:r>
          </w:p>
        </w:tc>
        <w:tc>
          <w:tcPr>
            <w:tcW w:w="512"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2023.4.12</w:t>
            </w:r>
          </w:p>
        </w:tc>
        <w:tc>
          <w:tcPr>
            <w:tcW w:w="673"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晴</w:t>
            </w:r>
          </w:p>
        </w:tc>
        <w:tc>
          <w:tcPr>
            <w:tcW w:w="556"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101.0</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14.9</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53</w:t>
            </w:r>
          </w:p>
        </w:tc>
        <w:tc>
          <w:tcPr>
            <w:tcW w:w="512"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2023.4.13</w:t>
            </w:r>
          </w:p>
        </w:tc>
        <w:tc>
          <w:tcPr>
            <w:tcW w:w="673"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晴</w:t>
            </w:r>
          </w:p>
        </w:tc>
        <w:tc>
          <w:tcPr>
            <w:tcW w:w="556"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101.1</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13.9</w:t>
            </w:r>
          </w:p>
        </w:tc>
        <w:tc>
          <w:tcPr>
            <w:tcW w:w="59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54</w:t>
            </w:r>
          </w:p>
        </w:tc>
        <w:tc>
          <w:tcPr>
            <w:tcW w:w="512" w:type="pct"/>
            <w:tcBorders>
              <w:top w:val="single" w:color="auto" w:sz="4" w:space="0"/>
              <w:bottom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bottom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745" w:type="pct"/>
            <w:vMerge w:val="continue"/>
            <w:noWrap w:val="0"/>
            <w:vAlign w:val="center"/>
          </w:tcPr>
          <w:p>
            <w:pPr>
              <w:widowControl w:val="0"/>
              <w:autoSpaceDE w:val="0"/>
              <w:autoSpaceDN w:val="0"/>
              <w:adjustRightInd w:val="0"/>
              <w:jc w:val="center"/>
              <w:rPr>
                <w:rFonts w:hint="default" w:eastAsia="宋体"/>
                <w:color w:val="auto"/>
                <w:kern w:val="0"/>
                <w:sz w:val="20"/>
                <w:lang w:val="en-US" w:eastAsia="zh-CN"/>
              </w:rPr>
            </w:pPr>
          </w:p>
        </w:tc>
        <w:tc>
          <w:tcPr>
            <w:tcW w:w="760" w:type="pct"/>
            <w:tcBorders>
              <w:top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2023.4.14</w:t>
            </w:r>
          </w:p>
        </w:tc>
        <w:tc>
          <w:tcPr>
            <w:tcW w:w="673" w:type="pct"/>
            <w:tcBorders>
              <w:top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晴</w:t>
            </w:r>
          </w:p>
        </w:tc>
        <w:tc>
          <w:tcPr>
            <w:tcW w:w="556" w:type="pct"/>
            <w:tcBorders>
              <w:top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101.0</w:t>
            </w:r>
          </w:p>
        </w:tc>
        <w:tc>
          <w:tcPr>
            <w:tcW w:w="593" w:type="pct"/>
            <w:tcBorders>
              <w:top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14.5</w:t>
            </w:r>
          </w:p>
        </w:tc>
        <w:tc>
          <w:tcPr>
            <w:tcW w:w="593" w:type="pct"/>
            <w:tcBorders>
              <w:top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53</w:t>
            </w:r>
          </w:p>
        </w:tc>
        <w:tc>
          <w:tcPr>
            <w:tcW w:w="512" w:type="pct"/>
            <w:tcBorders>
              <w:top w:val="single" w:color="auto" w:sz="4"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en-US" w:eastAsia="zh-CN"/>
              </w:rPr>
              <w:t>东北</w:t>
            </w:r>
          </w:p>
        </w:tc>
        <w:tc>
          <w:tcPr>
            <w:tcW w:w="563" w:type="pct"/>
            <w:tcBorders>
              <w:top w:val="single" w:color="auto" w:sz="4"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1.5</w:t>
            </w:r>
          </w:p>
        </w:tc>
      </w:tr>
    </w:tbl>
    <w:p>
      <w:pPr>
        <w:widowControl w:val="0"/>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6</w:t>
      </w:r>
      <w:r>
        <w:rPr>
          <w:rFonts w:eastAsia="黑体"/>
          <w:b/>
          <w:color w:val="auto"/>
          <w:szCs w:val="21"/>
        </w:rPr>
        <w:t xml:space="preserve">  环境空气质量现状监测及评价结果统计表（mg/m</w:t>
      </w:r>
      <w:r>
        <w:rPr>
          <w:rFonts w:eastAsia="黑体"/>
          <w:b/>
          <w:color w:val="auto"/>
          <w:szCs w:val="21"/>
          <w:vertAlign w:val="superscript"/>
        </w:rPr>
        <w:t>3</w:t>
      </w:r>
      <w:r>
        <w:rPr>
          <w:rFonts w:eastAsia="黑体"/>
          <w:b/>
          <w:color w:val="auto"/>
          <w:szCs w:val="21"/>
        </w:rPr>
        <w:t>）</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95"/>
        <w:gridCol w:w="1303"/>
        <w:gridCol w:w="1128"/>
        <w:gridCol w:w="1584"/>
        <w:gridCol w:w="1184"/>
        <w:gridCol w:w="1031"/>
        <w:gridCol w:w="9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tcBorders>
              <w:top w:val="single" w:color="auto" w:sz="12" w:space="0"/>
              <w:bottom w:val="single" w:color="auto" w:sz="12" w:space="0"/>
            </w:tcBorders>
            <w:noWrap w:val="0"/>
            <w:vAlign w:val="center"/>
          </w:tcPr>
          <w:p>
            <w:pPr>
              <w:pStyle w:val="53"/>
              <w:widowControl w:val="0"/>
              <w:contextualSpacing/>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监测点位</w:t>
            </w:r>
          </w:p>
        </w:tc>
        <w:tc>
          <w:tcPr>
            <w:tcW w:w="765" w:type="pct"/>
            <w:tcBorders>
              <w:top w:val="single" w:color="auto" w:sz="12" w:space="0"/>
              <w:bottom w:val="single" w:color="auto" w:sz="12" w:space="0"/>
            </w:tcBorders>
            <w:noWrap w:val="0"/>
            <w:vAlign w:val="center"/>
          </w:tcPr>
          <w:p>
            <w:pPr>
              <w:pStyle w:val="53"/>
              <w:widowControl w:val="0"/>
              <w:contextualSpacing/>
              <w:jc w:val="center"/>
              <w:rPr>
                <w:rFonts w:ascii="Times New Roman" w:hAnsi="Times New Roman"/>
                <w:color w:val="auto"/>
                <w:sz w:val="20"/>
              </w:rPr>
            </w:pPr>
            <w:r>
              <w:rPr>
                <w:rFonts w:hint="eastAsia" w:ascii="Times New Roman" w:hAnsi="Times New Roman"/>
                <w:color w:val="auto"/>
                <w:sz w:val="20"/>
                <w:lang w:val="en-US" w:eastAsia="zh-CN"/>
              </w:rPr>
              <w:t>监测时间</w:t>
            </w:r>
          </w:p>
        </w:tc>
        <w:tc>
          <w:tcPr>
            <w:tcW w:w="662" w:type="pct"/>
            <w:tcBorders>
              <w:top w:val="single" w:color="auto" w:sz="12" w:space="0"/>
              <w:bottom w:val="single" w:color="auto" w:sz="12" w:space="0"/>
            </w:tcBorders>
            <w:noWrap w:val="0"/>
            <w:vAlign w:val="center"/>
          </w:tcPr>
          <w:p>
            <w:pPr>
              <w:pStyle w:val="53"/>
              <w:widowControl w:val="0"/>
              <w:contextualSpacing/>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监测因子</w:t>
            </w:r>
          </w:p>
        </w:tc>
        <w:tc>
          <w:tcPr>
            <w:tcW w:w="930" w:type="pct"/>
            <w:tcBorders>
              <w:top w:val="single" w:color="auto" w:sz="12" w:space="0"/>
              <w:bottom w:val="single" w:color="auto" w:sz="12" w:space="0"/>
            </w:tcBorders>
            <w:noWrap w:val="0"/>
            <w:vAlign w:val="center"/>
          </w:tcPr>
          <w:p>
            <w:pPr>
              <w:pStyle w:val="53"/>
              <w:widowControl w:val="0"/>
              <w:contextualSpacing/>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监测浓度mg/m</w:t>
            </w:r>
            <w:r>
              <w:rPr>
                <w:rFonts w:hint="eastAsia" w:ascii="Times New Roman" w:hAnsi="Times New Roman"/>
                <w:color w:val="auto"/>
                <w:sz w:val="20"/>
                <w:vertAlign w:val="superscript"/>
                <w:lang w:val="en-US" w:eastAsia="zh-CN"/>
              </w:rPr>
              <w:t>3</w:t>
            </w:r>
          </w:p>
        </w:tc>
        <w:tc>
          <w:tcPr>
            <w:tcW w:w="695" w:type="pct"/>
            <w:tcBorders>
              <w:top w:val="single" w:color="auto" w:sz="12" w:space="0"/>
              <w:bottom w:val="single" w:color="auto" w:sz="12" w:space="0"/>
            </w:tcBorders>
            <w:noWrap w:val="0"/>
            <w:vAlign w:val="center"/>
          </w:tcPr>
          <w:p>
            <w:pPr>
              <w:pStyle w:val="53"/>
              <w:widowControl w:val="0"/>
              <w:contextualSpacing/>
              <w:jc w:val="center"/>
              <w:rPr>
                <w:rFonts w:ascii="Times New Roman" w:hAnsi="Times New Roman"/>
                <w:color w:val="auto"/>
                <w:sz w:val="20"/>
              </w:rPr>
            </w:pPr>
            <w:r>
              <w:rPr>
                <w:rFonts w:ascii="Times New Roman" w:hAnsi="Times New Roman"/>
                <w:color w:val="auto"/>
                <w:sz w:val="20"/>
              </w:rPr>
              <w:t>占标率（%）</w:t>
            </w:r>
          </w:p>
        </w:tc>
        <w:tc>
          <w:tcPr>
            <w:tcW w:w="605" w:type="pct"/>
            <w:tcBorders>
              <w:top w:val="single" w:color="auto" w:sz="12" w:space="0"/>
              <w:bottom w:val="single" w:color="auto" w:sz="12" w:space="0"/>
            </w:tcBorders>
            <w:noWrap w:val="0"/>
            <w:vAlign w:val="center"/>
          </w:tcPr>
          <w:p>
            <w:pPr>
              <w:pStyle w:val="53"/>
              <w:widowControl w:val="0"/>
              <w:contextualSpacing/>
              <w:jc w:val="center"/>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标准值</w:t>
            </w:r>
          </w:p>
        </w:tc>
        <w:tc>
          <w:tcPr>
            <w:tcW w:w="580" w:type="pct"/>
            <w:tcBorders>
              <w:top w:val="single" w:color="auto" w:sz="12" w:space="0"/>
              <w:bottom w:val="single" w:color="auto" w:sz="12" w:space="0"/>
            </w:tcBorders>
            <w:noWrap w:val="0"/>
            <w:vAlign w:val="center"/>
          </w:tcPr>
          <w:p>
            <w:pPr>
              <w:pStyle w:val="53"/>
              <w:widowControl w:val="0"/>
              <w:contextualSpacing/>
              <w:jc w:val="center"/>
              <w:rPr>
                <w:rFonts w:hint="default" w:ascii="Times New Roman" w:hAnsi="Times New Roman"/>
                <w:color w:val="auto"/>
                <w:sz w:val="20"/>
                <w:lang w:val="en-US" w:eastAsia="zh-CN"/>
              </w:rPr>
            </w:pPr>
            <w:r>
              <w:rPr>
                <w:rFonts w:hint="eastAsia" w:ascii="Times New Roman" w:hAnsi="Times New Roman"/>
                <w:color w:val="auto"/>
                <w:sz w:val="20"/>
                <w:lang w:val="en-US" w:eastAsia="zh-CN"/>
              </w:rPr>
              <w:t>超标率%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restart"/>
            <w:tcBorders>
              <w:top w:val="single" w:color="auto" w:sz="12" w:space="0"/>
            </w:tcBorders>
            <w:noWrap w:val="0"/>
            <w:vAlign w:val="center"/>
          </w:tcPr>
          <w:p>
            <w:pPr>
              <w:pStyle w:val="53"/>
              <w:widowControl w:val="0"/>
              <w:contextualSpacing/>
              <w:jc w:val="center"/>
              <w:rPr>
                <w:rFonts w:hint="default" w:ascii="Times New Roman" w:hAnsi="Times New Roman"/>
                <w:color w:val="auto"/>
                <w:sz w:val="20"/>
                <w:lang w:val="en-US" w:eastAsia="zh-CN"/>
              </w:rPr>
            </w:pPr>
            <w:r>
              <w:rPr>
                <w:rFonts w:hint="eastAsia" w:ascii="Times New Roman" w:hAnsi="Times New Roman"/>
                <w:color w:val="auto"/>
                <w:sz w:val="20"/>
                <w:lang w:val="en-US" w:eastAsia="zh-CN"/>
              </w:rPr>
              <w:t>1#</w:t>
            </w:r>
          </w:p>
        </w:tc>
        <w:tc>
          <w:tcPr>
            <w:tcW w:w="765" w:type="pct"/>
            <w:tcBorders>
              <w:top w:val="single" w:color="auto" w:sz="12" w:space="0"/>
            </w:tcBorders>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2023.4.8</w:t>
            </w:r>
          </w:p>
        </w:tc>
        <w:tc>
          <w:tcPr>
            <w:tcW w:w="662" w:type="pct"/>
            <w:vMerge w:val="restart"/>
            <w:tcBorders>
              <w:top w:val="single" w:color="auto" w:sz="12" w:space="0"/>
            </w:tcBorders>
            <w:noWrap w:val="0"/>
            <w:vAlign w:val="center"/>
          </w:tcPr>
          <w:p>
            <w:pPr>
              <w:widowControl w:val="0"/>
              <w:jc w:val="center"/>
              <w:rPr>
                <w:color w:val="auto"/>
                <w:sz w:val="20"/>
              </w:rPr>
            </w:pPr>
            <w:r>
              <w:rPr>
                <w:rFonts w:hint="eastAsia"/>
                <w:color w:val="auto"/>
                <w:sz w:val="20"/>
                <w:lang w:val="en-US" w:eastAsia="zh-CN"/>
              </w:rPr>
              <w:t>TSP</w:t>
            </w:r>
          </w:p>
        </w:tc>
        <w:tc>
          <w:tcPr>
            <w:tcW w:w="930" w:type="pct"/>
            <w:tcBorders>
              <w:top w:val="single" w:color="auto" w:sz="12" w:space="0"/>
            </w:tcBorders>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0.029</w:t>
            </w:r>
          </w:p>
        </w:tc>
        <w:tc>
          <w:tcPr>
            <w:tcW w:w="695" w:type="pct"/>
            <w:tcBorders>
              <w:top w:val="single" w:color="auto" w:sz="12" w:space="0"/>
            </w:tcBorders>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9.67</w:t>
            </w:r>
          </w:p>
        </w:tc>
        <w:tc>
          <w:tcPr>
            <w:tcW w:w="60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hint="default" w:ascii="Times New Roman" w:hAnsi="Times New Roman" w:eastAsia="宋体"/>
                <w:color w:val="auto"/>
                <w:sz w:val="20"/>
                <w:lang w:val="en-US" w:eastAsia="zh-CN"/>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2023.4.9</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0.034</w:t>
            </w:r>
          </w:p>
        </w:tc>
        <w:tc>
          <w:tcPr>
            <w:tcW w:w="69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11.3</w:t>
            </w:r>
          </w:p>
        </w:tc>
        <w:tc>
          <w:tcPr>
            <w:tcW w:w="605"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ascii="Times New Roman" w:hAnsi="Times New Roman"/>
                <w:color w:val="auto"/>
                <w:sz w:val="20"/>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2023.4.10</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0.031</w:t>
            </w:r>
          </w:p>
        </w:tc>
        <w:tc>
          <w:tcPr>
            <w:tcW w:w="69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10.3</w:t>
            </w:r>
          </w:p>
        </w:tc>
        <w:tc>
          <w:tcPr>
            <w:tcW w:w="60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ascii="Times New Roman" w:hAnsi="Times New Roman"/>
                <w:color w:val="auto"/>
                <w:sz w:val="20"/>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2023.4.11</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0.037</w:t>
            </w:r>
          </w:p>
        </w:tc>
        <w:tc>
          <w:tcPr>
            <w:tcW w:w="69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12.3</w:t>
            </w:r>
          </w:p>
        </w:tc>
        <w:tc>
          <w:tcPr>
            <w:tcW w:w="605"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ascii="Times New Roman" w:hAnsi="Times New Roman"/>
                <w:color w:val="auto"/>
                <w:sz w:val="20"/>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2023.4.12</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0.043</w:t>
            </w:r>
          </w:p>
        </w:tc>
        <w:tc>
          <w:tcPr>
            <w:tcW w:w="69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14.3</w:t>
            </w:r>
          </w:p>
        </w:tc>
        <w:tc>
          <w:tcPr>
            <w:tcW w:w="60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ascii="Times New Roman" w:hAnsi="Times New Roman"/>
                <w:color w:val="auto"/>
                <w:sz w:val="20"/>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2023.4.13</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0.041</w:t>
            </w:r>
          </w:p>
        </w:tc>
        <w:tc>
          <w:tcPr>
            <w:tcW w:w="695"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13.7</w:t>
            </w:r>
          </w:p>
        </w:tc>
        <w:tc>
          <w:tcPr>
            <w:tcW w:w="60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760" w:type="pct"/>
            <w:vMerge w:val="continue"/>
            <w:noWrap w:val="0"/>
            <w:vAlign w:val="center"/>
          </w:tcPr>
          <w:p>
            <w:pPr>
              <w:pStyle w:val="53"/>
              <w:widowControl w:val="0"/>
              <w:contextualSpacing/>
              <w:jc w:val="center"/>
              <w:rPr>
                <w:rFonts w:hint="eastAsia" w:ascii="Times New Roman" w:hAnsi="Times New Roman"/>
                <w:color w:val="auto"/>
                <w:sz w:val="20"/>
                <w:lang w:val="en-US" w:eastAsia="zh-CN"/>
              </w:rPr>
            </w:pPr>
          </w:p>
        </w:tc>
        <w:tc>
          <w:tcPr>
            <w:tcW w:w="765" w:type="pct"/>
            <w:noWrap w:val="0"/>
            <w:vAlign w:val="center"/>
          </w:tcPr>
          <w:p>
            <w:pPr>
              <w:widowControl w:val="0"/>
              <w:autoSpaceDE w:val="0"/>
              <w:autoSpaceDN w:val="0"/>
              <w:adjustRightInd w:val="0"/>
              <w:jc w:val="center"/>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2023.4.14</w:t>
            </w:r>
          </w:p>
        </w:tc>
        <w:tc>
          <w:tcPr>
            <w:tcW w:w="662" w:type="pct"/>
            <w:vMerge w:val="continue"/>
            <w:noWrap w:val="0"/>
            <w:vAlign w:val="center"/>
          </w:tcPr>
          <w:p>
            <w:pPr>
              <w:widowControl w:val="0"/>
              <w:jc w:val="center"/>
              <w:rPr>
                <w:color w:val="auto"/>
                <w:sz w:val="20"/>
              </w:rPr>
            </w:pPr>
          </w:p>
        </w:tc>
        <w:tc>
          <w:tcPr>
            <w:tcW w:w="930"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0.039</w:t>
            </w:r>
          </w:p>
        </w:tc>
        <w:tc>
          <w:tcPr>
            <w:tcW w:w="695" w:type="pct"/>
            <w:noWrap w:val="0"/>
            <w:vAlign w:val="center"/>
          </w:tcPr>
          <w:p>
            <w:pPr>
              <w:widowControl w:val="0"/>
              <w:autoSpaceDE w:val="0"/>
              <w:autoSpaceDN w:val="0"/>
              <w:adjustRightInd w:val="0"/>
              <w:jc w:val="center"/>
              <w:rPr>
                <w:rFonts w:hint="default"/>
                <w:color w:val="auto"/>
                <w:kern w:val="0"/>
                <w:sz w:val="20"/>
                <w:lang w:val="en-US" w:eastAsia="zh-CN"/>
              </w:rPr>
            </w:pPr>
            <w:r>
              <w:rPr>
                <w:rFonts w:hint="eastAsia"/>
                <w:color w:val="auto"/>
                <w:kern w:val="0"/>
                <w:sz w:val="20"/>
                <w:lang w:val="en-US" w:eastAsia="zh-CN"/>
              </w:rPr>
              <w:t>13</w:t>
            </w:r>
          </w:p>
        </w:tc>
        <w:tc>
          <w:tcPr>
            <w:tcW w:w="605"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0.30</w:t>
            </w:r>
          </w:p>
        </w:tc>
        <w:tc>
          <w:tcPr>
            <w:tcW w:w="580" w:type="pct"/>
            <w:noWrap w:val="0"/>
            <w:vAlign w:val="center"/>
          </w:tcPr>
          <w:p>
            <w:pPr>
              <w:widowControl w:val="0"/>
              <w:autoSpaceDE w:val="0"/>
              <w:autoSpaceDN w:val="0"/>
              <w:adjustRightInd w:val="0"/>
              <w:jc w:val="center"/>
              <w:rPr>
                <w:rFonts w:hint="eastAsia"/>
                <w:color w:val="auto"/>
                <w:kern w:val="0"/>
                <w:sz w:val="20"/>
                <w:lang w:val="en-US" w:eastAsia="zh-CN"/>
              </w:rPr>
            </w:pPr>
            <w:r>
              <w:rPr>
                <w:rFonts w:hint="eastAsia"/>
                <w:color w:val="auto"/>
                <w:kern w:val="0"/>
                <w:sz w:val="20"/>
                <w:lang w:val="en-US" w:eastAsia="zh-CN"/>
              </w:rPr>
              <w:t>0</w:t>
            </w:r>
          </w:p>
        </w:tc>
      </w:tr>
    </w:tbl>
    <w:p>
      <w:pPr>
        <w:widowControl w:val="0"/>
        <w:spacing w:line="360" w:lineRule="auto"/>
        <w:ind w:firstLine="480" w:firstLineChars="200"/>
        <w:rPr>
          <w:rFonts w:eastAsia="仿宋_GB2312"/>
          <w:color w:val="auto"/>
          <w:sz w:val="24"/>
        </w:rPr>
      </w:pPr>
      <w:r>
        <w:rPr>
          <w:rFonts w:eastAsia="仿宋_GB2312"/>
          <w:color w:val="auto"/>
          <w:sz w:val="24"/>
          <w:szCs w:val="24"/>
        </w:rPr>
        <w:t>从监测结果来看，</w:t>
      </w:r>
      <w:r>
        <w:rPr>
          <w:rFonts w:hint="eastAsia" w:eastAsia="仿宋_GB2312"/>
          <w:color w:val="auto"/>
          <w:sz w:val="24"/>
        </w:rPr>
        <w:t>TSP日均值</w:t>
      </w:r>
      <w:r>
        <w:rPr>
          <w:rFonts w:hint="eastAsia" w:eastAsia="仿宋_GB2312"/>
          <w:color w:val="auto"/>
          <w:sz w:val="24"/>
          <w:lang w:val="en-US" w:eastAsia="zh-CN"/>
        </w:rPr>
        <w:t>浓度可满足</w:t>
      </w:r>
      <w:r>
        <w:rPr>
          <w:rFonts w:hint="eastAsia" w:eastAsia="仿宋_GB2312"/>
          <w:color w:val="auto"/>
          <w:sz w:val="24"/>
        </w:rPr>
        <w:t>《环境空气质量标准》</w:t>
      </w:r>
      <w:r>
        <w:rPr>
          <w:rFonts w:hint="eastAsia" w:eastAsia="仿宋_GB2312"/>
          <w:color w:val="auto"/>
          <w:sz w:val="24"/>
          <w:lang w:eastAsia="zh-CN"/>
        </w:rPr>
        <w:t>（</w:t>
      </w:r>
      <w:r>
        <w:rPr>
          <w:rFonts w:hint="eastAsia" w:eastAsia="仿宋_GB2312"/>
          <w:color w:val="auto"/>
          <w:sz w:val="24"/>
        </w:rPr>
        <w:t>GB3095-1996</w:t>
      </w:r>
      <w:r>
        <w:rPr>
          <w:rFonts w:hint="eastAsia" w:eastAsia="仿宋_GB2312"/>
          <w:color w:val="auto"/>
          <w:sz w:val="24"/>
          <w:lang w:eastAsia="zh-CN"/>
        </w:rPr>
        <w:t>）</w:t>
      </w:r>
      <w:r>
        <w:rPr>
          <w:rFonts w:hint="eastAsia" w:eastAsia="仿宋_GB2312"/>
          <w:color w:val="auto"/>
          <w:sz w:val="24"/>
        </w:rPr>
        <w:t>二级标准要求</w:t>
      </w:r>
      <w:r>
        <w:rPr>
          <w:rFonts w:eastAsia="仿宋_GB2312"/>
          <w:color w:val="auto"/>
          <w:sz w:val="24"/>
        </w:rPr>
        <w:t>。</w:t>
      </w:r>
    </w:p>
    <w:p>
      <w:pPr>
        <w:pStyle w:val="8"/>
        <w:keepNext w:val="0"/>
        <w:keepLines w:val="0"/>
        <w:widowControl w:val="0"/>
        <w:spacing w:before="120" w:after="120" w:line="360" w:lineRule="auto"/>
        <w:rPr>
          <w:rFonts w:hint="eastAsia" w:ascii="Times New Roman" w:hAnsi="Times New Roman"/>
          <w:b w:val="0"/>
          <w:color w:val="auto"/>
          <w:szCs w:val="32"/>
          <w:lang w:val="en-US" w:eastAsia="zh-CN"/>
        </w:rPr>
      </w:pPr>
      <w:bookmarkStart w:id="358" w:name="_Toc14971275"/>
      <w:bookmarkStart w:id="359" w:name="_Toc9789"/>
      <w:r>
        <w:rPr>
          <w:rFonts w:hint="eastAsia" w:ascii="Times New Roman" w:hAnsi="Times New Roman"/>
          <w:b w:val="0"/>
          <w:color w:val="auto"/>
          <w:szCs w:val="32"/>
          <w:lang w:val="en-US" w:eastAsia="zh-CN"/>
        </w:rPr>
        <w:t>4.3地表水环境质量现状监测与评价</w:t>
      </w:r>
      <w:bookmarkEnd w:id="358"/>
      <w:bookmarkEnd w:id="359"/>
    </w:p>
    <w:p>
      <w:pPr>
        <w:keepNext/>
        <w:keepLines/>
        <w:widowControl w:val="0"/>
        <w:spacing w:before="156" w:beforeLines="50" w:after="156" w:afterLines="50" w:line="360" w:lineRule="auto"/>
        <w:jc w:val="both"/>
        <w:outlineLvl w:val="2"/>
        <w:rPr>
          <w:rFonts w:hint="default" w:ascii="Times New Roman" w:hAnsi="Times New Roman" w:eastAsia="黑体" w:cs="Times New Roman"/>
          <w:color w:val="auto"/>
          <w:sz w:val="24"/>
          <w:lang w:val="en-US" w:eastAsia="zh-CN"/>
        </w:rPr>
      </w:pPr>
      <w:bookmarkStart w:id="360" w:name="_Toc1371"/>
      <w:r>
        <w:rPr>
          <w:rFonts w:hint="eastAsia" w:ascii="Times New Roman" w:hAnsi="Times New Roman" w:eastAsia="黑体" w:cs="Times New Roman"/>
          <w:color w:val="auto"/>
          <w:sz w:val="24"/>
          <w:lang w:val="en-US" w:eastAsia="zh-CN"/>
        </w:rPr>
        <w:t>4.</w:t>
      </w:r>
      <w:r>
        <w:rPr>
          <w:rFonts w:hint="eastAsia" w:eastAsia="黑体" w:cs="Times New Roman"/>
          <w:color w:val="auto"/>
          <w:sz w:val="24"/>
          <w:lang w:val="en-US" w:eastAsia="zh-CN"/>
        </w:rPr>
        <w:t>3.1</w:t>
      </w:r>
      <w:r>
        <w:rPr>
          <w:rFonts w:hint="eastAsia" w:ascii="Times New Roman" w:hAnsi="Times New Roman" w:eastAsia="黑体" w:cs="Times New Roman"/>
          <w:color w:val="auto"/>
          <w:sz w:val="24"/>
          <w:lang w:val="en-US" w:eastAsia="zh-CN"/>
        </w:rPr>
        <w:t>区域水资源与开发利用现状调查</w:t>
      </w:r>
      <w:bookmarkEnd w:id="360"/>
    </w:p>
    <w:p>
      <w:pPr>
        <w:pStyle w:val="336"/>
        <w:widowControl w:val="0"/>
        <w:ind w:firstLine="480" w:firstLineChars="200"/>
        <w:jc w:val="both"/>
        <w:rPr>
          <w:rFonts w:hint="eastAsia" w:eastAsia="仿宋_GB2312"/>
          <w:color w:val="auto"/>
        </w:rPr>
      </w:pPr>
      <w:r>
        <w:rPr>
          <w:rFonts w:hint="eastAsia" w:eastAsia="仿宋_GB2312"/>
          <w:color w:val="auto"/>
        </w:rPr>
        <w:t>根据宜昌市水利和湖泊局发布的《宜昌市水资源公报》（2020年）：</w:t>
      </w:r>
    </w:p>
    <w:p>
      <w:pPr>
        <w:pStyle w:val="336"/>
        <w:widowControl w:val="0"/>
        <w:ind w:firstLine="480" w:firstLineChars="200"/>
        <w:jc w:val="both"/>
        <w:rPr>
          <w:rFonts w:hint="eastAsia" w:eastAsia="仿宋_GB2312"/>
          <w:color w:val="auto"/>
        </w:rPr>
      </w:pPr>
      <w:r>
        <w:rPr>
          <w:rFonts w:hint="eastAsia" w:eastAsia="仿宋_GB2312"/>
          <w:color w:val="auto"/>
        </w:rPr>
        <w:t>（1）水资源量</w:t>
      </w:r>
    </w:p>
    <w:p>
      <w:pPr>
        <w:pStyle w:val="336"/>
        <w:widowControl w:val="0"/>
        <w:ind w:firstLine="480" w:firstLineChars="200"/>
        <w:jc w:val="both"/>
        <w:rPr>
          <w:rFonts w:hint="eastAsia" w:eastAsia="仿宋_GB2312"/>
          <w:color w:val="auto"/>
        </w:rPr>
      </w:pPr>
      <w:r>
        <w:rPr>
          <w:rFonts w:hint="eastAsia" w:eastAsia="仿宋_GB2312"/>
          <w:color w:val="auto"/>
        </w:rPr>
        <w:t>水资源总量指评价区内当地降水形成的地表、地下产水总量，由地表水资源量加地下水资源与地表水资源不重复量而得。</w:t>
      </w:r>
    </w:p>
    <w:p>
      <w:pPr>
        <w:pStyle w:val="336"/>
        <w:widowControl w:val="0"/>
        <w:ind w:firstLine="480" w:firstLineChars="200"/>
        <w:jc w:val="both"/>
        <w:rPr>
          <w:rFonts w:hint="eastAsia" w:eastAsia="仿宋_GB2312"/>
          <w:color w:val="auto"/>
        </w:rPr>
      </w:pPr>
      <w:r>
        <w:rPr>
          <w:rFonts w:hint="eastAsia" w:eastAsia="仿宋_GB2312"/>
          <w:color w:val="auto"/>
        </w:rPr>
        <w:t>2020年全市水资源总量203.4477亿立方米，其中，地表水资源量203.1606亿立方米，地下水资源量54.8514亿立方米，地表与地下水资源重复计算量54.5643亿立方米，产水系数0.58，每平方公里产水量为95.3万立方米。水资源总量比上年偏多208%，比常年偏多58.9%。2020年全市人均水资源总量4917立方米，高于2019年的全市人均水资源总量3323立方米；2020年全市亩均水资源总量为3905立方米，高于2019年的全市亩均水资源总量2639立方米。</w:t>
      </w:r>
    </w:p>
    <w:p>
      <w:pPr>
        <w:pStyle w:val="336"/>
        <w:widowControl w:val="0"/>
        <w:ind w:firstLine="480" w:firstLineChars="200"/>
        <w:jc w:val="both"/>
        <w:rPr>
          <w:rFonts w:hint="eastAsia" w:eastAsia="仿宋_GB2312"/>
          <w:color w:val="auto"/>
        </w:rPr>
      </w:pPr>
      <w:r>
        <w:rPr>
          <w:rFonts w:hint="eastAsia" w:eastAsia="仿宋_GB2312"/>
          <w:color w:val="auto"/>
        </w:rPr>
        <w:t>（2）蓄水动态</w:t>
      </w:r>
    </w:p>
    <w:p>
      <w:pPr>
        <w:pStyle w:val="336"/>
        <w:widowControl w:val="0"/>
        <w:ind w:firstLine="480" w:firstLineChars="200"/>
        <w:jc w:val="both"/>
        <w:rPr>
          <w:rFonts w:hint="eastAsia" w:eastAsia="仿宋_GB2312"/>
          <w:color w:val="auto"/>
        </w:rPr>
      </w:pPr>
      <w:r>
        <w:rPr>
          <w:rFonts w:hint="eastAsia" w:eastAsia="仿宋_GB2312"/>
          <w:color w:val="auto"/>
        </w:rPr>
        <w:t>2020年全市共统计大中型水库37座，其中大型水库5座，中型水库32座。全市年末大中型水库蓄水总量39.6011亿立方米，比年初蓄水总量增加4.4453亿立方米。其中大型水库蓄水总量34.8968亿立方米，比年初蓄水总量增加3.7691亿立方米</w:t>
      </w:r>
      <w:r>
        <w:rPr>
          <w:rFonts w:hint="eastAsia" w:eastAsia="仿宋_GB2312"/>
          <w:color w:val="auto"/>
          <w:lang w:eastAsia="zh-CN"/>
        </w:rPr>
        <w:t>：</w:t>
      </w:r>
      <w:r>
        <w:rPr>
          <w:rFonts w:hint="eastAsia" w:eastAsia="仿宋_GB2312"/>
          <w:color w:val="auto"/>
        </w:rPr>
        <w:t>中型水库蓄水总量4.7043亿立方米，比年初蓄水总量增加0.6762亿立方米。</w:t>
      </w:r>
    </w:p>
    <w:p>
      <w:pPr>
        <w:pStyle w:val="336"/>
        <w:widowControl w:val="0"/>
        <w:ind w:firstLine="480" w:firstLineChars="200"/>
        <w:jc w:val="both"/>
        <w:rPr>
          <w:rFonts w:hint="eastAsia" w:eastAsia="仿宋_GB2312"/>
          <w:color w:val="auto"/>
        </w:rPr>
      </w:pPr>
      <w:r>
        <w:rPr>
          <w:rFonts w:hint="eastAsia" w:eastAsia="仿宋_GB2312"/>
          <w:color w:val="auto"/>
        </w:rPr>
        <w:t>（3）水资源开发利用</w:t>
      </w:r>
    </w:p>
    <w:p>
      <w:pPr>
        <w:pStyle w:val="336"/>
        <w:widowControl w:val="0"/>
        <w:ind w:firstLine="480" w:firstLineChars="200"/>
        <w:jc w:val="both"/>
        <w:rPr>
          <w:rFonts w:hint="eastAsia" w:eastAsia="仿宋_GB2312"/>
          <w:color w:val="auto"/>
        </w:rPr>
      </w:pPr>
      <w:r>
        <w:rPr>
          <w:rFonts w:hint="eastAsia" w:eastAsia="仿宋_GB2312"/>
          <w:color w:val="auto"/>
        </w:rPr>
        <w:t>①供用水量</w:t>
      </w:r>
    </w:p>
    <w:p>
      <w:pPr>
        <w:pStyle w:val="336"/>
        <w:widowControl w:val="0"/>
        <w:ind w:firstLine="480" w:firstLineChars="200"/>
        <w:jc w:val="both"/>
        <w:rPr>
          <w:rFonts w:hint="eastAsia" w:eastAsia="仿宋_GB2312"/>
          <w:color w:val="auto"/>
        </w:rPr>
      </w:pPr>
      <w:r>
        <w:rPr>
          <w:rFonts w:hint="eastAsia" w:eastAsia="仿宋_GB2312"/>
          <w:color w:val="auto"/>
        </w:rPr>
        <w:t>供水量指各种水源工程为用户提供的包括输水损失在内的水量。按水源类型分地表水源、地下水源和其它水源统计。</w:t>
      </w:r>
    </w:p>
    <w:p>
      <w:pPr>
        <w:pStyle w:val="336"/>
        <w:widowControl w:val="0"/>
        <w:ind w:firstLine="480" w:firstLineChars="200"/>
        <w:jc w:val="both"/>
        <w:rPr>
          <w:rFonts w:hint="eastAsia" w:eastAsia="仿宋_GB2312"/>
          <w:color w:val="auto"/>
        </w:rPr>
      </w:pPr>
      <w:r>
        <w:rPr>
          <w:rFonts w:hint="eastAsia" w:eastAsia="仿宋_GB2312"/>
          <w:color w:val="auto"/>
        </w:rPr>
        <w:t>2020年全市总供水量14.9091亿立方米（不含河道内水力发电用水)，其中地表水供水量14.2512亿立方米，占总供水量的95.6%;地下供水量0.6384亿立方米，占总供水量的4.3%；其它水源供水量0.0195亿立方米，占总供水量的0.1%。</w:t>
      </w:r>
    </w:p>
    <w:p>
      <w:pPr>
        <w:pStyle w:val="336"/>
        <w:widowControl w:val="0"/>
        <w:ind w:firstLine="480" w:firstLineChars="200"/>
        <w:jc w:val="both"/>
        <w:rPr>
          <w:rFonts w:hint="eastAsia" w:eastAsia="仿宋_GB2312"/>
          <w:color w:val="auto"/>
        </w:rPr>
      </w:pPr>
      <w:r>
        <w:rPr>
          <w:rFonts w:hint="eastAsia" w:eastAsia="仿宋_GB2312"/>
          <w:color w:val="auto"/>
        </w:rPr>
        <w:t>②用水指标</w:t>
      </w:r>
    </w:p>
    <w:p>
      <w:pPr>
        <w:pStyle w:val="336"/>
        <w:widowControl w:val="0"/>
        <w:ind w:firstLine="480" w:firstLineChars="200"/>
        <w:jc w:val="both"/>
        <w:rPr>
          <w:rFonts w:eastAsia="仿宋_GB2312"/>
          <w:color w:val="auto"/>
        </w:rPr>
      </w:pPr>
      <w:r>
        <w:rPr>
          <w:rFonts w:hint="eastAsia" w:eastAsia="仿宋_GB2312"/>
          <w:color w:val="auto"/>
        </w:rPr>
        <w:t>2020年全市人均总用水量360立方米，农田灌溉亩均用水量218立方米，万元国内生产总值（当年价〉用水量32立方米，万元工业增加值（当年价，含火电）用水量为31立方米。</w:t>
      </w:r>
    </w:p>
    <w:p>
      <w:pPr>
        <w:keepNext/>
        <w:keepLines/>
        <w:widowControl w:val="0"/>
        <w:spacing w:before="156" w:beforeLines="50" w:after="156" w:afterLines="50" w:line="360" w:lineRule="auto"/>
        <w:jc w:val="both"/>
        <w:outlineLvl w:val="2"/>
        <w:rPr>
          <w:rFonts w:hint="default" w:ascii="Times New Roman" w:hAnsi="Times New Roman" w:eastAsia="黑体" w:cs="Times New Roman"/>
          <w:color w:val="auto"/>
          <w:sz w:val="24"/>
          <w:lang w:val="en-US" w:eastAsia="zh-CN"/>
        </w:rPr>
      </w:pPr>
      <w:bookmarkStart w:id="361" w:name="_Toc15538"/>
      <w:r>
        <w:rPr>
          <w:rFonts w:hint="eastAsia" w:ascii="Times New Roman" w:hAnsi="Times New Roman" w:eastAsia="黑体" w:cs="Times New Roman"/>
          <w:color w:val="auto"/>
          <w:sz w:val="24"/>
          <w:lang w:val="en-US" w:eastAsia="zh-CN"/>
        </w:rPr>
        <w:t>4.</w:t>
      </w:r>
      <w:r>
        <w:rPr>
          <w:rFonts w:hint="eastAsia" w:eastAsia="黑体" w:cs="Times New Roman"/>
          <w:color w:val="auto"/>
          <w:sz w:val="24"/>
          <w:lang w:val="en-US" w:eastAsia="zh-CN"/>
        </w:rPr>
        <w:t>3</w:t>
      </w:r>
      <w:r>
        <w:rPr>
          <w:rFonts w:hint="eastAsia" w:ascii="Times New Roman" w:hAnsi="Times New Roman" w:eastAsia="黑体" w:cs="Times New Roman"/>
          <w:color w:val="auto"/>
          <w:sz w:val="24"/>
          <w:lang w:val="en-US" w:eastAsia="zh-CN"/>
        </w:rPr>
        <w:t>.2水文情势现状调查</w:t>
      </w:r>
      <w:bookmarkEnd w:id="361"/>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4.3.2.1水文情势</w:t>
      </w:r>
    </w:p>
    <w:p>
      <w:pPr>
        <w:pStyle w:val="336"/>
        <w:widowControl w:val="0"/>
        <w:ind w:firstLine="480" w:firstLineChars="200"/>
        <w:jc w:val="both"/>
        <w:rPr>
          <w:rFonts w:eastAsia="仿宋_GB2312"/>
          <w:color w:val="auto"/>
        </w:rPr>
      </w:pPr>
      <w:r>
        <w:rPr>
          <w:rFonts w:hint="eastAsia" w:eastAsia="仿宋_GB2312"/>
          <w:color w:val="auto"/>
        </w:rPr>
        <w:t>长江干流宜昌至枝城河段水沙主要来自宜昌以上的长江干流，在宜昌至本河段之间有清江入汇。该河段水沙特性，除受上游来水来沙制约外，还受长江上游修建的大型水利枢纽影响。利用河段内宜昌水文站(宜昌站位于葛洲坝枢纽下游约8.9km处)水文资料统计，按葛洲坝、三峡水库蓄水运用时间分段，其水沙特征统计表见下表。</w:t>
      </w:r>
    </w:p>
    <w:p>
      <w:pPr>
        <w:widowControl w:val="0"/>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w:t>
      </w:r>
      <w:r>
        <w:rPr>
          <w:rFonts w:hint="eastAsia" w:eastAsia="黑体"/>
          <w:b/>
          <w:color w:val="auto"/>
          <w:szCs w:val="21"/>
        </w:rPr>
        <w:t>水沙特征统计表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69"/>
        <w:gridCol w:w="1391"/>
        <w:gridCol w:w="1440"/>
        <w:gridCol w:w="1395"/>
        <w:gridCol w:w="1500"/>
        <w:gridCol w:w="12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vMerge w:val="restart"/>
            <w:tcBorders>
              <w:top w:val="single" w:color="auto" w:sz="12" w:space="0"/>
            </w:tcBorders>
            <w:noWrap w:val="0"/>
            <w:vAlign w:val="center"/>
          </w:tcPr>
          <w:p>
            <w:pPr>
              <w:widowControl w:val="0"/>
              <w:autoSpaceDE w:val="0"/>
              <w:autoSpaceDN w:val="0"/>
              <w:jc w:val="center"/>
              <w:textAlignment w:val="baseline"/>
              <w:rPr>
                <w:rFonts w:hint="eastAsia" w:eastAsia="宋体"/>
                <w:color w:val="auto"/>
                <w:kern w:val="0"/>
                <w:sz w:val="20"/>
                <w:lang w:val="en-US" w:eastAsia="zh-CN"/>
              </w:rPr>
            </w:pPr>
            <w:r>
              <w:rPr>
                <w:rFonts w:hint="eastAsia"/>
                <w:color w:val="auto"/>
                <w:kern w:val="0"/>
                <w:sz w:val="20"/>
                <w:lang w:val="en-US" w:eastAsia="zh-CN"/>
              </w:rPr>
              <w:t>项目</w:t>
            </w:r>
          </w:p>
        </w:tc>
        <w:tc>
          <w:tcPr>
            <w:tcW w:w="1662" w:type="pct"/>
            <w:gridSpan w:val="2"/>
            <w:tcBorders>
              <w:top w:val="single" w:color="auto" w:sz="12"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葛洲坝水利枢纽</w:t>
            </w:r>
          </w:p>
        </w:tc>
        <w:tc>
          <w:tcPr>
            <w:tcW w:w="1699" w:type="pct"/>
            <w:gridSpan w:val="2"/>
            <w:tcBorders>
              <w:top w:val="single" w:color="auto" w:sz="12"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三峡水利枢纽</w:t>
            </w:r>
          </w:p>
        </w:tc>
        <w:tc>
          <w:tcPr>
            <w:tcW w:w="716" w:type="pct"/>
            <w:vMerge w:val="restart"/>
            <w:tcBorders>
              <w:top w:val="single" w:color="auto" w:sz="12" w:space="0"/>
            </w:tcBorders>
            <w:noWrap w:val="0"/>
            <w:vAlign w:val="center"/>
          </w:tcPr>
          <w:p>
            <w:pPr>
              <w:widowControl w:val="0"/>
              <w:autoSpaceDE w:val="0"/>
              <w:autoSpaceDN w:val="0"/>
              <w:jc w:val="center"/>
              <w:textAlignment w:val="baseline"/>
              <w:rPr>
                <w:rFonts w:hint="eastAsia" w:eastAsia="宋体"/>
                <w:color w:val="auto"/>
                <w:kern w:val="0"/>
                <w:sz w:val="20"/>
                <w:lang w:val="en-US" w:eastAsia="zh-CN"/>
              </w:rPr>
            </w:pPr>
            <w:r>
              <w:rPr>
                <w:rFonts w:hint="eastAsia"/>
                <w:color w:val="auto"/>
                <w:kern w:val="0"/>
                <w:sz w:val="20"/>
                <w:lang w:val="en-US" w:eastAsia="zh-CN"/>
              </w:rPr>
              <w:t>多年统计值（1950-2015）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lang w:val="en-US" w:eastAsia="zh-CN"/>
              </w:rPr>
            </w:pPr>
          </w:p>
        </w:tc>
        <w:tc>
          <w:tcPr>
            <w:tcW w:w="816"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eastAsia" w:eastAsia="宋体"/>
                <w:color w:val="auto"/>
                <w:kern w:val="0"/>
                <w:sz w:val="20"/>
                <w:lang w:val="en-US" w:eastAsia="zh-CN"/>
              </w:rPr>
            </w:pPr>
            <w:r>
              <w:rPr>
                <w:rFonts w:hint="eastAsia"/>
                <w:color w:val="auto"/>
                <w:kern w:val="0"/>
                <w:sz w:val="20"/>
                <w:lang w:val="en-US" w:eastAsia="zh-CN"/>
              </w:rPr>
              <w:t>蓄水前（1890-1980）</w:t>
            </w:r>
          </w:p>
        </w:tc>
        <w:tc>
          <w:tcPr>
            <w:tcW w:w="845"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蓄水后至三峡蓄水前（1981-2002）</w:t>
            </w:r>
          </w:p>
        </w:tc>
        <w:tc>
          <w:tcPr>
            <w:tcW w:w="819"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175m试验性蓄水期（2008-2015）</w:t>
            </w:r>
          </w:p>
        </w:tc>
        <w:tc>
          <w:tcPr>
            <w:tcW w:w="880"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蓄水以来（2003-2016）</w:t>
            </w:r>
          </w:p>
        </w:tc>
        <w:tc>
          <w:tcPr>
            <w:tcW w:w="716"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年平均径流量（10</w:t>
            </w:r>
            <w:r>
              <w:rPr>
                <w:rFonts w:hint="eastAsia"/>
                <w:color w:val="auto"/>
                <w:kern w:val="0"/>
                <w:sz w:val="20"/>
                <w:vertAlign w:val="superscript"/>
                <w:lang w:val="en-US" w:eastAsia="zh-CN"/>
              </w:rPr>
              <w:t>8</w:t>
            </w:r>
            <w:r>
              <w:rPr>
                <w:rFonts w:hint="eastAsia"/>
                <w:color w:val="auto"/>
                <w:kern w:val="0"/>
                <w:sz w:val="20"/>
                <w:lang w:val="en-US" w:eastAsia="zh-CN"/>
              </w:rPr>
              <w:t>m</w:t>
            </w:r>
            <w:r>
              <w:rPr>
                <w:rFonts w:hint="eastAsia"/>
                <w:color w:val="auto"/>
                <w:kern w:val="0"/>
                <w:sz w:val="20"/>
                <w:vertAlign w:val="superscript"/>
                <w:lang w:val="en-US" w:eastAsia="zh-CN"/>
              </w:rPr>
              <w:t>3</w:t>
            </w:r>
            <w:r>
              <w:rPr>
                <w:rFonts w:hint="eastAsia"/>
                <w:color w:val="auto"/>
                <w:kern w:val="0"/>
                <w:sz w:val="20"/>
                <w:lang w:val="en-US" w:eastAsia="zh-CN"/>
              </w:rPr>
              <w:t>）</w:t>
            </w:r>
          </w:p>
        </w:tc>
        <w:tc>
          <w:tcPr>
            <w:tcW w:w="816"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4518</w:t>
            </w:r>
          </w:p>
        </w:tc>
        <w:tc>
          <w:tcPr>
            <w:tcW w:w="845"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4348</w:t>
            </w:r>
          </w:p>
        </w:tc>
        <w:tc>
          <w:tcPr>
            <w:tcW w:w="819"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4046</w:t>
            </w:r>
          </w:p>
        </w:tc>
        <w:tc>
          <w:tcPr>
            <w:tcW w:w="880"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4004</w:t>
            </w:r>
          </w:p>
        </w:tc>
        <w:tc>
          <w:tcPr>
            <w:tcW w:w="716"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4304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noWrap w:val="0"/>
            <w:vAlign w:val="center"/>
          </w:tcPr>
          <w:p>
            <w:pPr>
              <w:widowControl w:val="0"/>
              <w:autoSpaceDE w:val="0"/>
              <w:autoSpaceDN w:val="0"/>
              <w:jc w:val="center"/>
              <w:textAlignment w:val="baseline"/>
              <w:rPr>
                <w:rFonts w:hint="eastAsia" w:eastAsia="宋体"/>
                <w:color w:val="auto"/>
                <w:kern w:val="0"/>
                <w:sz w:val="20"/>
                <w:lang w:val="en-US" w:eastAsia="zh-CN"/>
              </w:rPr>
            </w:pPr>
            <w:r>
              <w:rPr>
                <w:rFonts w:hint="eastAsia"/>
                <w:color w:val="auto"/>
                <w:kern w:val="0"/>
                <w:sz w:val="20"/>
                <w:lang w:val="en-US" w:eastAsia="zh-CN"/>
              </w:rPr>
              <w:t>最大流量（m</w:t>
            </w:r>
            <w:r>
              <w:rPr>
                <w:rFonts w:hint="eastAsia"/>
                <w:color w:val="auto"/>
                <w:kern w:val="0"/>
                <w:sz w:val="20"/>
                <w:vertAlign w:val="superscript"/>
                <w:lang w:val="en-US" w:eastAsia="zh-CN"/>
              </w:rPr>
              <w:t>3</w:t>
            </w:r>
            <w:r>
              <w:rPr>
                <w:rFonts w:hint="eastAsia"/>
                <w:color w:val="auto"/>
                <w:kern w:val="0"/>
                <w:sz w:val="20"/>
                <w:lang w:val="en-US" w:eastAsia="zh-CN"/>
              </w:rPr>
              <w:t>/s）</w:t>
            </w:r>
          </w:p>
        </w:tc>
        <w:tc>
          <w:tcPr>
            <w:tcW w:w="8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71100</w:t>
            </w:r>
          </w:p>
        </w:tc>
        <w:tc>
          <w:tcPr>
            <w:tcW w:w="845"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70800</w:t>
            </w:r>
          </w:p>
        </w:tc>
        <w:tc>
          <w:tcPr>
            <w:tcW w:w="819"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47200</w:t>
            </w:r>
          </w:p>
        </w:tc>
        <w:tc>
          <w:tcPr>
            <w:tcW w:w="88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61100</w:t>
            </w:r>
          </w:p>
        </w:tc>
        <w:tc>
          <w:tcPr>
            <w:tcW w:w="7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71100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最小流量（m</w:t>
            </w:r>
            <w:r>
              <w:rPr>
                <w:rFonts w:hint="eastAsia"/>
                <w:color w:val="auto"/>
                <w:kern w:val="0"/>
                <w:sz w:val="20"/>
                <w:vertAlign w:val="superscript"/>
                <w:lang w:val="en-US" w:eastAsia="zh-CN"/>
              </w:rPr>
              <w:t>3</w:t>
            </w:r>
            <w:r>
              <w:rPr>
                <w:rFonts w:hint="eastAsia"/>
                <w:color w:val="auto"/>
                <w:kern w:val="0"/>
                <w:sz w:val="20"/>
                <w:lang w:val="en-US" w:eastAsia="zh-CN"/>
              </w:rPr>
              <w:t>/s）</w:t>
            </w:r>
          </w:p>
        </w:tc>
        <w:tc>
          <w:tcPr>
            <w:tcW w:w="8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2770</w:t>
            </w:r>
          </w:p>
        </w:tc>
        <w:tc>
          <w:tcPr>
            <w:tcW w:w="845"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2820</w:t>
            </w:r>
          </w:p>
        </w:tc>
        <w:tc>
          <w:tcPr>
            <w:tcW w:w="819"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4360</w:t>
            </w:r>
          </w:p>
        </w:tc>
        <w:tc>
          <w:tcPr>
            <w:tcW w:w="88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2890</w:t>
            </w:r>
          </w:p>
        </w:tc>
        <w:tc>
          <w:tcPr>
            <w:tcW w:w="7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2770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年平均悬移质输沙量（10</w:t>
            </w:r>
            <w:r>
              <w:rPr>
                <w:rFonts w:hint="eastAsia"/>
                <w:color w:val="auto"/>
                <w:kern w:val="0"/>
                <w:sz w:val="20"/>
                <w:vertAlign w:val="superscript"/>
                <w:lang w:val="en-US" w:eastAsia="zh-CN"/>
              </w:rPr>
              <w:t>8</w:t>
            </w:r>
            <w:r>
              <w:rPr>
                <w:rFonts w:hint="eastAsia"/>
                <w:color w:val="auto"/>
                <w:kern w:val="0"/>
                <w:sz w:val="20"/>
                <w:lang w:val="en-US" w:eastAsia="zh-CN"/>
              </w:rPr>
              <w:t>t）</w:t>
            </w:r>
          </w:p>
        </w:tc>
        <w:tc>
          <w:tcPr>
            <w:tcW w:w="8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5.15</w:t>
            </w:r>
          </w:p>
        </w:tc>
        <w:tc>
          <w:tcPr>
            <w:tcW w:w="845"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4.59</w:t>
            </w:r>
          </w:p>
        </w:tc>
        <w:tc>
          <w:tcPr>
            <w:tcW w:w="819"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0.24</w:t>
            </w:r>
          </w:p>
        </w:tc>
        <w:tc>
          <w:tcPr>
            <w:tcW w:w="88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10.404</w:t>
            </w:r>
          </w:p>
        </w:tc>
        <w:tc>
          <w:tcPr>
            <w:tcW w:w="7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noWrap w:val="0"/>
            <w:vAlign w:val="center"/>
          </w:tcPr>
          <w:p>
            <w:pPr>
              <w:widowControl w:val="0"/>
              <w:autoSpaceDE w:val="0"/>
              <w:autoSpaceDN w:val="0"/>
              <w:jc w:val="center"/>
              <w:textAlignment w:val="baseline"/>
              <w:rPr>
                <w:rFonts w:hint="eastAsia" w:eastAsia="宋体"/>
                <w:color w:val="auto"/>
                <w:kern w:val="0"/>
                <w:sz w:val="20"/>
                <w:lang w:val="en-US" w:eastAsia="zh-CN"/>
              </w:rPr>
            </w:pPr>
            <w:r>
              <w:rPr>
                <w:rFonts w:hint="eastAsia"/>
                <w:color w:val="auto"/>
                <w:kern w:val="0"/>
                <w:sz w:val="20"/>
                <w:lang w:val="en-US" w:eastAsia="zh-CN"/>
              </w:rPr>
              <w:t>年平均含沙量（kg/m</w:t>
            </w:r>
            <w:r>
              <w:rPr>
                <w:rFonts w:hint="eastAsia"/>
                <w:color w:val="auto"/>
                <w:kern w:val="0"/>
                <w:sz w:val="20"/>
                <w:vertAlign w:val="superscript"/>
                <w:lang w:val="en-US" w:eastAsia="zh-CN"/>
              </w:rPr>
              <w:t>3</w:t>
            </w:r>
            <w:r>
              <w:rPr>
                <w:rFonts w:hint="eastAsia"/>
                <w:color w:val="auto"/>
                <w:kern w:val="0"/>
                <w:sz w:val="20"/>
                <w:lang w:val="en-US" w:eastAsia="zh-CN"/>
              </w:rPr>
              <w:t>）</w:t>
            </w:r>
          </w:p>
        </w:tc>
        <w:tc>
          <w:tcPr>
            <w:tcW w:w="8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1.18</w:t>
            </w:r>
          </w:p>
        </w:tc>
        <w:tc>
          <w:tcPr>
            <w:tcW w:w="845"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1.05</w:t>
            </w:r>
          </w:p>
        </w:tc>
        <w:tc>
          <w:tcPr>
            <w:tcW w:w="819"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0.059</w:t>
            </w:r>
          </w:p>
        </w:tc>
        <w:tc>
          <w:tcPr>
            <w:tcW w:w="88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0.101</w:t>
            </w:r>
          </w:p>
        </w:tc>
        <w:tc>
          <w:tcPr>
            <w:tcW w:w="7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0.936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21" w:type="pc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年平均悬移质中值粒径（mm）</w:t>
            </w:r>
          </w:p>
        </w:tc>
        <w:tc>
          <w:tcPr>
            <w:tcW w:w="8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0.021</w:t>
            </w:r>
          </w:p>
        </w:tc>
        <w:tc>
          <w:tcPr>
            <w:tcW w:w="845"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0.012</w:t>
            </w:r>
          </w:p>
        </w:tc>
        <w:tc>
          <w:tcPr>
            <w:tcW w:w="819"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0.007</w:t>
            </w:r>
          </w:p>
        </w:tc>
        <w:tc>
          <w:tcPr>
            <w:tcW w:w="88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0.006</w:t>
            </w:r>
          </w:p>
        </w:tc>
        <w:tc>
          <w:tcPr>
            <w:tcW w:w="71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0.007</w:t>
            </w:r>
          </w:p>
        </w:tc>
      </w:tr>
    </w:tbl>
    <w:p>
      <w:pPr>
        <w:pStyle w:val="336"/>
        <w:widowControl w:val="0"/>
        <w:ind w:firstLine="480" w:firstLineChars="200"/>
        <w:jc w:val="both"/>
        <w:rPr>
          <w:rFonts w:hint="eastAsia" w:eastAsia="仿宋_GB2312"/>
          <w:color w:val="auto"/>
          <w:lang w:eastAsia="zh-CN"/>
        </w:rPr>
      </w:pPr>
      <w:r>
        <w:rPr>
          <w:rFonts w:hint="eastAsia" w:eastAsia="仿宋_GB2312"/>
          <w:color w:val="auto"/>
        </w:rPr>
        <w:t>由上表可知：宜昌站多年平均径流量4304亿m</w:t>
      </w:r>
      <w:r>
        <w:rPr>
          <w:rFonts w:hint="eastAsia" w:eastAsia="仿宋_GB2312"/>
          <w:color w:val="auto"/>
          <w:vertAlign w:val="superscript"/>
          <w:lang w:val="en-US" w:eastAsia="zh-CN"/>
        </w:rPr>
        <w:t>3</w:t>
      </w:r>
      <w:r>
        <w:rPr>
          <w:rFonts w:hint="eastAsia" w:eastAsia="仿宋_GB2312"/>
          <w:color w:val="auto"/>
        </w:rPr>
        <w:t>，多年最大流量为71100m</w:t>
      </w:r>
      <w:r>
        <w:rPr>
          <w:rFonts w:hint="eastAsia" w:eastAsia="仿宋_GB2312"/>
          <w:color w:val="auto"/>
          <w:vertAlign w:val="superscript"/>
          <w:lang w:val="en-US" w:eastAsia="zh-CN"/>
        </w:rPr>
        <w:t>3</w:t>
      </w:r>
      <w:r>
        <w:rPr>
          <w:rFonts w:hint="eastAsia" w:eastAsia="仿宋_GB2312"/>
          <w:color w:val="auto"/>
        </w:rPr>
        <w:t>/s，多年最小流量2770m</w:t>
      </w:r>
      <w:r>
        <w:rPr>
          <w:rFonts w:hint="eastAsia" w:eastAsia="仿宋_GB2312"/>
          <w:color w:val="auto"/>
          <w:vertAlign w:val="superscript"/>
          <w:lang w:val="en-US" w:eastAsia="zh-CN"/>
        </w:rPr>
        <w:t>3</w:t>
      </w:r>
      <w:r>
        <w:rPr>
          <w:rFonts w:hint="eastAsia" w:eastAsia="仿宋_GB2312"/>
          <w:color w:val="auto"/>
        </w:rPr>
        <w:t>/s，多年平均悬移质输沙量4.03亿吨，多年平均含沙量0.936kg/m</w:t>
      </w:r>
      <w:r>
        <w:rPr>
          <w:rFonts w:hint="eastAsia" w:eastAsia="仿宋_GB2312"/>
          <w:color w:val="auto"/>
          <w:vertAlign w:val="superscript"/>
          <w:lang w:val="en-US" w:eastAsia="zh-CN"/>
        </w:rPr>
        <w:t>3</w:t>
      </w:r>
      <w:r>
        <w:rPr>
          <w:rFonts w:hint="eastAsia" w:eastAsia="仿宋_GB2312"/>
          <w:color w:val="auto"/>
          <w:lang w:val="en-US" w:eastAsia="zh-CN"/>
        </w:rPr>
        <w:t>。</w:t>
      </w:r>
    </w:p>
    <w:p>
      <w:pPr>
        <w:pStyle w:val="336"/>
        <w:widowControl w:val="0"/>
        <w:ind w:left="0" w:leftChars="0" w:firstLine="0" w:firstLineChars="0"/>
        <w:jc w:val="center"/>
        <w:rPr>
          <w:rFonts w:eastAsia="仿宋_GB2312"/>
          <w:color w:val="auto"/>
        </w:rPr>
      </w:pPr>
      <w:r>
        <w:rPr>
          <w:rFonts w:hint="default" w:ascii="Times New Roman" w:hAnsi="Times New Roman" w:eastAsia="宋体" w:cs="Times New Roman"/>
          <w:b w:val="0"/>
          <w:bCs w:val="0"/>
          <w:color w:val="auto"/>
          <w:kern w:val="2"/>
          <w:sz w:val="24"/>
          <w:szCs w:val="28"/>
          <w:lang w:val="en-US" w:eastAsia="zh-CN" w:bidi="ar-SA"/>
        </w:rPr>
        <w:drawing>
          <wp:inline distT="0" distB="0" distL="114300" distR="114300">
            <wp:extent cx="4846320" cy="2211705"/>
            <wp:effectExtent l="0" t="0" r="11430" b="17145"/>
            <wp:docPr id="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pic:cNvPicPr>
                      <a:picLocks noChangeAspect="1"/>
                    </pic:cNvPicPr>
                  </pic:nvPicPr>
                  <pic:blipFill>
                    <a:blip r:embed="rId58"/>
                    <a:stretch>
                      <a:fillRect/>
                    </a:stretch>
                  </pic:blipFill>
                  <pic:spPr>
                    <a:xfrm>
                      <a:off x="0" y="0"/>
                      <a:ext cx="4846320" cy="2211705"/>
                    </a:xfrm>
                    <a:prstGeom prst="rect">
                      <a:avLst/>
                    </a:prstGeom>
                    <a:noFill/>
                    <a:ln>
                      <a:noFill/>
                    </a:ln>
                  </pic:spPr>
                </pic:pic>
              </a:graphicData>
            </a:graphic>
          </wp:inline>
        </w:drawing>
      </w:r>
    </w:p>
    <w:p>
      <w:pPr>
        <w:spacing w:line="360" w:lineRule="auto"/>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w:t>
      </w:r>
      <w:r>
        <w:rPr>
          <w:rFonts w:hint="eastAsia" w:eastAsia="黑体"/>
          <w:b/>
          <w:color w:val="auto"/>
          <w:szCs w:val="21"/>
          <w:lang w:val="en-US" w:eastAsia="zh-CN"/>
        </w:rPr>
        <w:t>宜昌站径流量与输沙量年际变化图</w:t>
      </w:r>
    </w:p>
    <w:p>
      <w:pPr>
        <w:pStyle w:val="336"/>
        <w:widowControl w:val="0"/>
        <w:ind w:firstLine="480" w:firstLineChars="200"/>
        <w:jc w:val="both"/>
        <w:rPr>
          <w:rFonts w:hint="eastAsia" w:eastAsia="仿宋_GB2312"/>
          <w:color w:val="auto"/>
        </w:rPr>
      </w:pPr>
      <w:r>
        <w:rPr>
          <w:rFonts w:hint="eastAsia" w:eastAsia="仿宋_GB2312"/>
          <w:color w:val="auto"/>
        </w:rPr>
        <w:t>宜昌站径流量与输沙量的逐年变化情况表明：宜昌站径流量略呈减小趋势，但整体变幅较小，其输沙量则呈较为明显的减少趋势，且主要表现为1990年以来的变化上。具体为，葛洲坝水利枢纽蓄水运用以前</w:t>
      </w:r>
      <w:r>
        <w:rPr>
          <w:rFonts w:hint="eastAsia" w:eastAsia="仿宋_GB2312"/>
          <w:color w:val="auto"/>
          <w:lang w:eastAsia="zh-CN"/>
        </w:rPr>
        <w:t>（</w:t>
      </w:r>
      <w:r>
        <w:rPr>
          <w:rFonts w:hint="eastAsia" w:eastAsia="仿宋_GB2312"/>
          <w:color w:val="auto"/>
        </w:rPr>
        <w:t>1890~1980年</w:t>
      </w:r>
      <w:r>
        <w:rPr>
          <w:rFonts w:hint="eastAsia" w:eastAsia="仿宋_GB2312"/>
          <w:color w:val="auto"/>
          <w:lang w:eastAsia="zh-CN"/>
        </w:rPr>
        <w:t>）</w:t>
      </w:r>
      <w:r>
        <w:rPr>
          <w:rFonts w:hint="eastAsia" w:eastAsia="仿宋_GB2312"/>
          <w:color w:val="auto"/>
        </w:rPr>
        <w:t>，宜昌站多年平均径流量4518亿m</w:t>
      </w:r>
      <w:r>
        <w:rPr>
          <w:rFonts w:hint="eastAsia" w:eastAsia="仿宋_GB2312"/>
          <w:color w:val="auto"/>
          <w:vertAlign w:val="superscript"/>
          <w:lang w:val="en-US" w:eastAsia="zh-CN"/>
        </w:rPr>
        <w:t>3</w:t>
      </w:r>
      <w:r>
        <w:rPr>
          <w:rFonts w:hint="eastAsia" w:eastAsia="仿宋_GB2312"/>
          <w:color w:val="auto"/>
        </w:rPr>
        <w:t>，多年最大流量71100m</w:t>
      </w:r>
      <w:r>
        <w:rPr>
          <w:rFonts w:hint="eastAsia" w:eastAsia="仿宋_GB2312"/>
          <w:color w:val="auto"/>
          <w:vertAlign w:val="superscript"/>
          <w:lang w:val="en-US" w:eastAsia="zh-CN"/>
        </w:rPr>
        <w:t>3</w:t>
      </w:r>
      <w:r>
        <w:rPr>
          <w:rFonts w:hint="eastAsia" w:eastAsia="仿宋_GB2312"/>
          <w:color w:val="auto"/>
        </w:rPr>
        <w:t>/s，多年最小流量2770m</w:t>
      </w:r>
      <w:r>
        <w:rPr>
          <w:rFonts w:hint="eastAsia" w:eastAsia="仿宋_GB2312"/>
          <w:color w:val="auto"/>
          <w:vertAlign w:val="superscript"/>
          <w:lang w:val="en-US" w:eastAsia="zh-CN"/>
        </w:rPr>
        <w:t>3</w:t>
      </w:r>
      <w:r>
        <w:rPr>
          <w:rFonts w:hint="eastAsia" w:eastAsia="仿宋_GB2312"/>
          <w:color w:val="auto"/>
        </w:rPr>
        <w:t>/s，多年平均流量14300m</w:t>
      </w:r>
      <w:r>
        <w:rPr>
          <w:rFonts w:hint="eastAsia" w:eastAsia="仿宋_GB2312"/>
          <w:color w:val="auto"/>
          <w:vertAlign w:val="superscript"/>
          <w:lang w:val="en-US" w:eastAsia="zh-CN"/>
        </w:rPr>
        <w:t>3</w:t>
      </w:r>
      <w:r>
        <w:rPr>
          <w:rFonts w:hint="eastAsia" w:eastAsia="仿宋_GB2312"/>
          <w:color w:val="auto"/>
        </w:rPr>
        <w:t>/s，多年平均悬移质输沙量5.15亿吨，多年平均含沙量1.18kg/m</w:t>
      </w:r>
      <w:r>
        <w:rPr>
          <w:rFonts w:hint="eastAsia" w:eastAsia="仿宋_GB2312"/>
          <w:color w:val="auto"/>
          <w:vertAlign w:val="superscript"/>
          <w:lang w:val="en-US" w:eastAsia="zh-CN"/>
        </w:rPr>
        <w:t>3</w:t>
      </w:r>
      <w:r>
        <w:rPr>
          <w:rFonts w:hint="eastAsia" w:eastAsia="仿宋_GB2312"/>
          <w:color w:val="auto"/>
        </w:rPr>
        <w:t>。葛洲坝水利枢纽为低水头径流式枢纽，蓄水运用后，坝前水位稳定在66m附近</w:t>
      </w:r>
      <w:r>
        <w:rPr>
          <w:rFonts w:hint="eastAsia" w:eastAsia="仿宋_GB2312"/>
          <w:color w:val="auto"/>
          <w:lang w:eastAsia="zh-CN"/>
        </w:rPr>
        <w:t>（</w:t>
      </w:r>
      <w:r>
        <w:rPr>
          <w:rFonts w:hint="eastAsia" w:eastAsia="仿宋_GB2312"/>
          <w:color w:val="auto"/>
        </w:rPr>
        <w:t>吴淞基面</w:t>
      </w:r>
      <w:r>
        <w:rPr>
          <w:rFonts w:hint="eastAsia" w:eastAsia="仿宋_GB2312"/>
          <w:color w:val="auto"/>
          <w:lang w:eastAsia="zh-CN"/>
        </w:rPr>
        <w:t>）</w:t>
      </w:r>
      <w:r>
        <w:rPr>
          <w:rFonts w:hint="eastAsia" w:eastAsia="仿宋_GB2312"/>
          <w:color w:val="auto"/>
        </w:rPr>
        <w:t>，对上游来水不起调节作用，来水过程基本无变化，来沙过程稍有改变，主要表现为：葛洲坝蓄水运用后，中枯水期水库拦蓄了部分泥沙，输沙量有所减小，减小为蓄水运用后</w:t>
      </w:r>
      <w:r>
        <w:rPr>
          <w:rFonts w:hint="eastAsia" w:eastAsia="仿宋_GB2312"/>
          <w:color w:val="auto"/>
          <w:lang w:eastAsia="zh-CN"/>
        </w:rPr>
        <w:t>（</w:t>
      </w:r>
      <w:r>
        <w:rPr>
          <w:rFonts w:hint="eastAsia" w:eastAsia="仿宋_GB2312"/>
          <w:color w:val="auto"/>
        </w:rPr>
        <w:t>1981~2002年</w:t>
      </w:r>
      <w:r>
        <w:rPr>
          <w:rFonts w:hint="eastAsia" w:eastAsia="仿宋_GB2312"/>
          <w:color w:val="auto"/>
          <w:lang w:eastAsia="zh-CN"/>
        </w:rPr>
        <w:t>）</w:t>
      </w:r>
      <w:r>
        <w:rPr>
          <w:rFonts w:hint="eastAsia" w:eastAsia="仿宋_GB2312"/>
          <w:color w:val="auto"/>
        </w:rPr>
        <w:t>的4.59亿吨，减少约11%。在上世纪90年代以后，在径流量变化不大的情况下，由于上游水土保持工程等因素，宜昌站输沙量开始明显减小，尤其在三峡水库蓄水运用以后，其输沙量开始大幅减小，2003~2016</w:t>
      </w:r>
      <w:r>
        <w:rPr>
          <w:rFonts w:hint="eastAsia" w:eastAsia="仿宋_GB2312"/>
          <w:color w:val="auto"/>
          <w:lang w:eastAsia="zh-CN"/>
        </w:rPr>
        <w:t>（</w:t>
      </w:r>
      <w:r>
        <w:rPr>
          <w:rFonts w:hint="eastAsia" w:eastAsia="仿宋_GB2312"/>
          <w:color w:val="auto"/>
        </w:rPr>
        <w:t>以下同</w:t>
      </w:r>
      <w:r>
        <w:rPr>
          <w:rFonts w:hint="eastAsia" w:eastAsia="仿宋_GB2312"/>
          <w:color w:val="auto"/>
          <w:lang w:eastAsia="zh-CN"/>
        </w:rPr>
        <w:t>）</w:t>
      </w:r>
      <w:r>
        <w:rPr>
          <w:rFonts w:hint="eastAsia" w:eastAsia="仿宋_GB2312"/>
          <w:color w:val="auto"/>
        </w:rPr>
        <w:t>年多年平均年输沙量为0.404亿吨，仅为多年平均值的10%，三峡水库175m试验性蓄水运行后，随着上游梯级的逐步建成，宜昌站输沙量进一步减少，2008~2015年仅为0.24亿吨。</w:t>
      </w:r>
    </w:p>
    <w:p>
      <w:pPr>
        <w:pStyle w:val="336"/>
        <w:widowControl w:val="0"/>
        <w:ind w:firstLine="480" w:firstLineChars="200"/>
        <w:jc w:val="both"/>
        <w:rPr>
          <w:rFonts w:hint="eastAsia" w:eastAsia="仿宋_GB2312"/>
          <w:color w:val="auto"/>
          <w:lang w:eastAsia="zh-CN"/>
        </w:rPr>
      </w:pPr>
      <w:r>
        <w:rPr>
          <w:rFonts w:hint="eastAsia" w:eastAsia="仿宋_GB2312"/>
          <w:color w:val="auto"/>
        </w:rPr>
        <w:t>另外，三峡水库蓄水运用后，受水库的调蓄作用，宜昌站洪峰流量有所削减，枯水期流量有所增加，宜昌站最大流量由三峡水库蓄水运用前</w:t>
      </w:r>
      <w:r>
        <w:rPr>
          <w:rFonts w:hint="eastAsia" w:eastAsia="仿宋_GB2312"/>
          <w:color w:val="auto"/>
          <w:lang w:eastAsia="zh-CN"/>
        </w:rPr>
        <w:t>（</w:t>
      </w:r>
      <w:r>
        <w:rPr>
          <w:rFonts w:hint="eastAsia" w:eastAsia="仿宋_GB2312"/>
          <w:color w:val="auto"/>
        </w:rPr>
        <w:t>1981~2002年</w:t>
      </w:r>
      <w:r>
        <w:rPr>
          <w:rFonts w:hint="eastAsia" w:eastAsia="仿宋_GB2312"/>
          <w:color w:val="auto"/>
          <w:lang w:eastAsia="zh-CN"/>
        </w:rPr>
        <w:t>）</w:t>
      </w:r>
      <w:r>
        <w:rPr>
          <w:rFonts w:hint="eastAsia" w:eastAsia="仿宋_GB2312"/>
          <w:color w:val="auto"/>
        </w:rPr>
        <w:t>的70800m</w:t>
      </w:r>
      <w:r>
        <w:rPr>
          <w:rFonts w:hint="eastAsia" w:eastAsia="仿宋_GB2312"/>
          <w:color w:val="auto"/>
          <w:vertAlign w:val="superscript"/>
          <w:lang w:val="en-US" w:eastAsia="zh-CN"/>
        </w:rPr>
        <w:t>3</w:t>
      </w:r>
      <w:r>
        <w:rPr>
          <w:rFonts w:hint="eastAsia" w:eastAsia="仿宋_GB2312"/>
          <w:color w:val="auto"/>
        </w:rPr>
        <w:t>/s，减小为2008~2015年的4720m</w:t>
      </w:r>
      <w:r>
        <w:rPr>
          <w:rFonts w:hint="eastAsia" w:eastAsia="仿宋_GB2312"/>
          <w:color w:val="auto"/>
          <w:vertAlign w:val="superscript"/>
          <w:lang w:val="en-US" w:eastAsia="zh-CN"/>
        </w:rPr>
        <w:t>3</w:t>
      </w:r>
      <w:r>
        <w:rPr>
          <w:rFonts w:hint="eastAsia" w:eastAsia="仿宋_GB2312"/>
          <w:color w:val="auto"/>
        </w:rPr>
        <w:t>/s，枯水流量则增加为5500m</w:t>
      </w:r>
      <w:r>
        <w:rPr>
          <w:rFonts w:hint="eastAsia" w:eastAsia="仿宋_GB2312"/>
          <w:color w:val="auto"/>
          <w:vertAlign w:val="superscript"/>
          <w:lang w:val="en-US" w:eastAsia="zh-CN"/>
        </w:rPr>
        <w:t>3</w:t>
      </w:r>
      <w:r>
        <w:rPr>
          <w:rFonts w:hint="eastAsia" w:eastAsia="仿宋_GB2312"/>
          <w:color w:val="auto"/>
        </w:rPr>
        <w:t>/s以上。葛洲坝枢纽蓄水运用前后</w:t>
      </w:r>
      <w:r>
        <w:rPr>
          <w:rFonts w:hint="eastAsia" w:eastAsia="仿宋_GB2312"/>
          <w:color w:val="auto"/>
          <w:lang w:eastAsia="zh-CN"/>
        </w:rPr>
        <w:t>（</w:t>
      </w:r>
      <w:r>
        <w:rPr>
          <w:rFonts w:hint="eastAsia" w:eastAsia="仿宋_GB2312"/>
          <w:color w:val="auto"/>
        </w:rPr>
        <w:t>1950~2002</w:t>
      </w:r>
      <w:r>
        <w:rPr>
          <w:rFonts w:hint="eastAsia" w:eastAsia="仿宋_GB2312"/>
          <w:color w:val="auto"/>
          <w:lang w:eastAsia="zh-CN"/>
        </w:rPr>
        <w:t>）</w:t>
      </w:r>
      <w:r>
        <w:rPr>
          <w:rFonts w:hint="eastAsia" w:eastAsia="仿宋_GB2312"/>
          <w:color w:val="auto"/>
        </w:rPr>
        <w:t>宜昌站水沙的年内分配基本一致，均集中于汛期，具体</w:t>
      </w:r>
      <w:r>
        <w:rPr>
          <w:rFonts w:hint="eastAsia" w:eastAsia="仿宋_GB2312"/>
          <w:color w:val="auto"/>
          <w:lang w:val="en-US" w:eastAsia="zh-CN"/>
        </w:rPr>
        <w:t>见</w:t>
      </w:r>
      <w:r>
        <w:rPr>
          <w:rFonts w:hint="eastAsia" w:eastAsia="仿宋_GB2312"/>
          <w:color w:val="auto"/>
        </w:rPr>
        <w:t>下表</w:t>
      </w:r>
      <w:r>
        <w:rPr>
          <w:rFonts w:hint="eastAsia" w:eastAsia="仿宋_GB2312"/>
          <w:color w:val="auto"/>
          <w:lang w:eastAsia="zh-CN"/>
        </w:rPr>
        <w:t>。</w:t>
      </w:r>
    </w:p>
    <w:p>
      <w:pPr>
        <w:widowControl w:val="0"/>
        <w:spacing w:line="360" w:lineRule="auto"/>
        <w:jc w:val="center"/>
        <w:rPr>
          <w:rFonts w:eastAsia="黑体"/>
          <w:b/>
          <w:color w:val="auto"/>
          <w:szCs w:val="21"/>
        </w:rPr>
        <w:sectPr>
          <w:headerReference r:id="rId16"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widowControl w:val="0"/>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宜昌站悬移质泥沙年内分配统计表（含沙量：kg/m</w:t>
      </w:r>
      <w:r>
        <w:rPr>
          <w:rFonts w:hint="eastAsia" w:eastAsia="黑体"/>
          <w:b/>
          <w:color w:val="auto"/>
          <w:szCs w:val="21"/>
          <w:vertAlign w:val="superscript"/>
          <w:lang w:val="en-US" w:eastAsia="zh-CN"/>
        </w:rPr>
        <w:t>3</w:t>
      </w:r>
      <w:r>
        <w:rPr>
          <w:rFonts w:hint="eastAsia" w:eastAsia="黑体"/>
          <w:b/>
          <w:color w:val="auto"/>
          <w:szCs w:val="21"/>
          <w:lang w:val="en-US" w:eastAsia="zh-CN"/>
        </w:rPr>
        <w:t>，输沙量：104t）</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2"/>
        <w:gridCol w:w="1845"/>
        <w:gridCol w:w="795"/>
        <w:gridCol w:w="840"/>
        <w:gridCol w:w="765"/>
        <w:gridCol w:w="720"/>
        <w:gridCol w:w="795"/>
        <w:gridCol w:w="795"/>
        <w:gridCol w:w="743"/>
        <w:gridCol w:w="855"/>
        <w:gridCol w:w="765"/>
        <w:gridCol w:w="810"/>
        <w:gridCol w:w="825"/>
        <w:gridCol w:w="765"/>
        <w:gridCol w:w="1050"/>
        <w:gridCol w:w="8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时段</w:t>
            </w:r>
          </w:p>
        </w:tc>
        <w:tc>
          <w:tcPr>
            <w:tcW w:w="656"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项目</w:t>
            </w:r>
          </w:p>
        </w:tc>
        <w:tc>
          <w:tcPr>
            <w:tcW w:w="3370" w:type="pct"/>
            <w:gridSpan w:val="12"/>
            <w:tcBorders>
              <w:top w:val="single" w:color="auto" w:sz="12"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各月平均</w:t>
            </w:r>
          </w:p>
        </w:tc>
        <w:tc>
          <w:tcPr>
            <w:tcW w:w="373"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汛期平均</w:t>
            </w:r>
          </w:p>
        </w:tc>
        <w:tc>
          <w:tcPr>
            <w:tcW w:w="292"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年平均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lang w:val="en-US" w:eastAsia="zh-CN"/>
              </w:rPr>
            </w:pPr>
          </w:p>
        </w:tc>
        <w:tc>
          <w:tcPr>
            <w:tcW w:w="656"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lang w:val="en-US" w:eastAsia="zh-CN"/>
              </w:rPr>
            </w:pPr>
          </w:p>
        </w:tc>
        <w:tc>
          <w:tcPr>
            <w:tcW w:w="28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1月</w:t>
            </w:r>
          </w:p>
        </w:tc>
        <w:tc>
          <w:tcPr>
            <w:tcW w:w="298"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2月</w:t>
            </w:r>
          </w:p>
        </w:tc>
        <w:tc>
          <w:tcPr>
            <w:tcW w:w="27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3月</w:t>
            </w:r>
          </w:p>
        </w:tc>
        <w:tc>
          <w:tcPr>
            <w:tcW w:w="256"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4月</w:t>
            </w:r>
          </w:p>
        </w:tc>
        <w:tc>
          <w:tcPr>
            <w:tcW w:w="28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5月</w:t>
            </w:r>
          </w:p>
        </w:tc>
        <w:tc>
          <w:tcPr>
            <w:tcW w:w="28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6月</w:t>
            </w:r>
          </w:p>
        </w:tc>
        <w:tc>
          <w:tcPr>
            <w:tcW w:w="264"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7月</w:t>
            </w:r>
          </w:p>
        </w:tc>
        <w:tc>
          <w:tcPr>
            <w:tcW w:w="304"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8月</w:t>
            </w:r>
          </w:p>
        </w:tc>
        <w:tc>
          <w:tcPr>
            <w:tcW w:w="27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9月</w:t>
            </w:r>
          </w:p>
        </w:tc>
        <w:tc>
          <w:tcPr>
            <w:tcW w:w="288"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10月</w:t>
            </w:r>
          </w:p>
        </w:tc>
        <w:tc>
          <w:tcPr>
            <w:tcW w:w="293"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11月</w:t>
            </w:r>
          </w:p>
        </w:tc>
        <w:tc>
          <w:tcPr>
            <w:tcW w:w="272"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12月</w:t>
            </w:r>
          </w:p>
        </w:tc>
        <w:tc>
          <w:tcPr>
            <w:tcW w:w="373"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rPr>
            </w:pPr>
          </w:p>
        </w:tc>
        <w:tc>
          <w:tcPr>
            <w:tcW w:w="292" w:type="pct"/>
            <w:vMerge w:val="continue"/>
            <w:tcBorders>
              <w:bottom w:val="single" w:color="auto" w:sz="12" w:space="0"/>
            </w:tcBorders>
            <w:noWrap w:val="0"/>
            <w:vAlign w:val="center"/>
          </w:tcPr>
          <w:p>
            <w:pPr>
              <w:widowControl w:val="0"/>
              <w:autoSpaceDE w:val="0"/>
              <w:autoSpaceDN w:val="0"/>
              <w:jc w:val="center"/>
              <w:textAlignment w:val="baseline"/>
              <w:rPr>
                <w:rFonts w:hint="eastAsia"/>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1950~1980年</w:t>
            </w:r>
          </w:p>
        </w:tc>
        <w:tc>
          <w:tcPr>
            <w:tcW w:w="656" w:type="pc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含沙量</w:t>
            </w:r>
          </w:p>
        </w:tc>
        <w:tc>
          <w:tcPr>
            <w:tcW w:w="28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0.067</w:t>
            </w:r>
          </w:p>
        </w:tc>
        <w:tc>
          <w:tcPr>
            <w:tcW w:w="298"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0.042</w:t>
            </w:r>
          </w:p>
        </w:tc>
        <w:tc>
          <w:tcPr>
            <w:tcW w:w="27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0.109</w:t>
            </w:r>
          </w:p>
        </w:tc>
        <w:tc>
          <w:tcPr>
            <w:tcW w:w="256"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0.363</w:t>
            </w:r>
          </w:p>
        </w:tc>
        <w:tc>
          <w:tcPr>
            <w:tcW w:w="28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0.861</w:t>
            </w:r>
          </w:p>
        </w:tc>
        <w:tc>
          <w:tcPr>
            <w:tcW w:w="28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1.19</w:t>
            </w:r>
          </w:p>
        </w:tc>
        <w:tc>
          <w:tcPr>
            <w:tcW w:w="264"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1.90</w:t>
            </w:r>
          </w:p>
        </w:tc>
        <w:tc>
          <w:tcPr>
            <w:tcW w:w="304"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1.75</w:t>
            </w:r>
          </w:p>
        </w:tc>
        <w:tc>
          <w:tcPr>
            <w:tcW w:w="27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1.39</w:t>
            </w:r>
          </w:p>
        </w:tc>
        <w:tc>
          <w:tcPr>
            <w:tcW w:w="288"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0.756</w:t>
            </w:r>
          </w:p>
        </w:tc>
        <w:tc>
          <w:tcPr>
            <w:tcW w:w="293"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0.459</w:t>
            </w:r>
          </w:p>
        </w:tc>
        <w:tc>
          <w:tcPr>
            <w:tcW w:w="27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0.189</w:t>
            </w:r>
          </w:p>
        </w:tc>
        <w:tc>
          <w:tcPr>
            <w:tcW w:w="373"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1.413</w:t>
            </w:r>
          </w:p>
        </w:tc>
        <w:tc>
          <w:tcPr>
            <w:tcW w:w="292"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输沙量</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75.5</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37.8</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121</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609</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2760</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5470</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14800</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13000</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9300</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3780</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1220</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297</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49100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51500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占全年百分比（%）</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1.2</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5.3</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10.6</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28.8</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25.3</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18.1</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7.3</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2.4</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0.6</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95.3</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restar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1981~2002年</w:t>
            </w:r>
          </w:p>
        </w:tc>
        <w:tc>
          <w:tcPr>
            <w:tcW w:w="656" w:type="pct"/>
            <w:noWrap w:val="0"/>
            <w:vAlign w:val="center"/>
          </w:tcPr>
          <w:p>
            <w:pPr>
              <w:widowControl w:val="0"/>
              <w:autoSpaceDE w:val="0"/>
              <w:autoSpaceDN w:val="0"/>
              <w:jc w:val="center"/>
              <w:textAlignment w:val="baseline"/>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含沙量</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0.023</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0.018</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0.019</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0.119</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0.388</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1.025</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1.942</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1.625</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1.254</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0.649</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0.245</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0.037</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1.310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输沙量</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27.0</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18.9</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22.7</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217</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1160</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5010</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16300</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11700</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8260</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3000</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637</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58.8</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44900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45900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占全年百分比（%）</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0.06</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0.04</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0.05</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0.5</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2.5</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10.9</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35.4</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25.5</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18.0</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6.5</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1.4</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97.8</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restart"/>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2003~2010年</w:t>
            </w:r>
          </w:p>
        </w:tc>
        <w:tc>
          <w:tcPr>
            <w:tcW w:w="656" w:type="pct"/>
            <w:noWrap w:val="0"/>
            <w:vAlign w:val="center"/>
          </w:tcPr>
          <w:p>
            <w:pPr>
              <w:widowControl w:val="0"/>
              <w:autoSpaceDE w:val="0"/>
              <w:autoSpaceDN w:val="0"/>
              <w:jc w:val="center"/>
              <w:textAlignment w:val="baseline"/>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含沙量</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0.005</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0.005</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0.005</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0.009</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0.021</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0.046</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0.227</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0.245</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0.232</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0.033</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0.008</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0.006</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0.160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default" w:ascii="Times New Roman" w:hAnsi="Times New Roman" w:eastAsia="宋体" w:cs="Times New Roman"/>
                <w:color w:val="auto"/>
                <w:kern w:val="0"/>
                <w:sz w:val="20"/>
                <w:lang w:val="en-US" w:eastAsia="zh-CN" w:bidi="ar-SA"/>
              </w:rPr>
            </w:pPr>
            <w:r>
              <w:rPr>
                <w:rFonts w:hint="eastAsia"/>
                <w:color w:val="auto"/>
                <w:kern w:val="0"/>
                <w:sz w:val="20"/>
                <w:lang w:val="en-US" w:eastAsia="zh-CN"/>
              </w:rPr>
              <w:t>输沙量</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5.4</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4.8</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6.7</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7.3</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22.8</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30.3</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685.7</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2523.1</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207.9</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11.5</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3.9</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4.3</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5660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5416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06" w:type="pct"/>
            <w:vMerge w:val="continue"/>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656" w:type="pct"/>
            <w:noWrap w:val="0"/>
            <w:vAlign w:val="center"/>
          </w:tcPr>
          <w:p>
            <w:pPr>
              <w:widowControl w:val="0"/>
              <w:autoSpaceDE w:val="0"/>
              <w:autoSpaceDN w:val="0"/>
              <w:jc w:val="center"/>
              <w:textAlignment w:val="baseline"/>
              <w:rPr>
                <w:rFonts w:hint="eastAsia" w:ascii="Times New Roman" w:hAnsi="Times New Roman" w:eastAsia="宋体" w:cs="Times New Roman"/>
                <w:color w:val="auto"/>
                <w:kern w:val="0"/>
                <w:sz w:val="20"/>
                <w:lang w:val="en-US" w:eastAsia="zh-CN" w:bidi="ar-SA"/>
              </w:rPr>
            </w:pPr>
            <w:r>
              <w:rPr>
                <w:rFonts w:hint="eastAsia"/>
                <w:color w:val="auto"/>
                <w:kern w:val="0"/>
                <w:sz w:val="20"/>
                <w:lang w:val="en-US" w:eastAsia="zh-CN"/>
              </w:rPr>
              <w:t>占全年百分比（%）</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29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25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0.3</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1.3</w:t>
            </w:r>
          </w:p>
        </w:tc>
        <w:tc>
          <w:tcPr>
            <w:tcW w:w="28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3.9</w:t>
            </w:r>
          </w:p>
        </w:tc>
        <w:tc>
          <w:tcPr>
            <w:tcW w:w="26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32.3</w:t>
            </w:r>
          </w:p>
        </w:tc>
        <w:tc>
          <w:tcPr>
            <w:tcW w:w="304"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24.3</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34.3</w:t>
            </w:r>
          </w:p>
        </w:tc>
        <w:tc>
          <w:tcPr>
            <w:tcW w:w="288"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2.9</w:t>
            </w:r>
          </w:p>
        </w:tc>
        <w:tc>
          <w:tcPr>
            <w:tcW w:w="29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0.3</w:t>
            </w:r>
          </w:p>
        </w:tc>
        <w:tc>
          <w:tcPr>
            <w:tcW w:w="27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0.1</w:t>
            </w:r>
          </w:p>
        </w:tc>
        <w:tc>
          <w:tcPr>
            <w:tcW w:w="373"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99.0</w:t>
            </w:r>
          </w:p>
        </w:tc>
        <w:tc>
          <w:tcPr>
            <w:tcW w:w="292"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16"/>
            <w:noWrap w:val="0"/>
            <w:vAlign w:val="center"/>
          </w:tcPr>
          <w:p>
            <w:pPr>
              <w:widowControl w:val="0"/>
              <w:autoSpaceDE w:val="0"/>
              <w:autoSpaceDN w:val="0"/>
              <w:jc w:val="left"/>
              <w:textAlignment w:val="baseline"/>
              <w:rPr>
                <w:rFonts w:hint="default" w:eastAsia="宋体"/>
                <w:bCs/>
                <w:color w:val="auto"/>
                <w:kern w:val="0"/>
                <w:sz w:val="20"/>
                <w:lang w:val="en-US" w:eastAsia="zh-CN"/>
              </w:rPr>
            </w:pPr>
            <w:r>
              <w:rPr>
                <w:rFonts w:hint="eastAsia"/>
                <w:color w:val="auto"/>
                <w:kern w:val="0"/>
                <w:sz w:val="20"/>
                <w:lang w:val="en-US" w:eastAsia="zh-CN"/>
              </w:rPr>
              <w:t>注：汛期系指5~10月</w:t>
            </w:r>
          </w:p>
        </w:tc>
      </w:tr>
    </w:tbl>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pPr>
    </w:p>
    <w:p>
      <w:pPr>
        <w:pStyle w:val="336"/>
        <w:widowControl w:val="0"/>
        <w:ind w:firstLine="480" w:firstLineChars="200"/>
        <w:jc w:val="both"/>
        <w:rPr>
          <w:rFonts w:eastAsia="仿宋_GB2312"/>
          <w:color w:val="auto"/>
        </w:rPr>
        <w:sectPr>
          <w:headerReference r:id="rId17" w:type="default"/>
          <w:pgSz w:w="16838" w:h="11906" w:orient="landscape"/>
          <w:pgMar w:top="1797" w:right="1440" w:bottom="1797" w:left="1559"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336"/>
        <w:widowControl w:val="0"/>
        <w:ind w:firstLine="480" w:firstLineChars="200"/>
        <w:jc w:val="both"/>
        <w:rPr>
          <w:rFonts w:hint="eastAsia" w:eastAsia="仿宋_GB2312"/>
          <w:color w:val="auto"/>
        </w:rPr>
      </w:pPr>
      <w:r>
        <w:rPr>
          <w:rFonts w:hint="eastAsia" w:eastAsia="仿宋_GB2312"/>
          <w:color w:val="auto"/>
        </w:rPr>
        <w:t>葛洲坝枢纽蓄水运用前后，宜昌站汛期5~10月份来水量变化不大，均约占全年来水量的79%，7月份来水量最大，分别占18%、20%；来水量最小的均为2月份；汛期5~10月份悬沙来沙量在葛洲坝枢纽蓄水运用前后分别约占全年的95%与98%，相比来水量来说更集中在汛期。最大来沙量与来水量相应，都出现在7月份，最小来沙量均出现在2月份。葛洲坝蓄水运用后卵石推移质主要集中在7、8月份，占全年的88.1%；沙质推移质主要集中在7、8、9三个月，其推移量占全年的76.7%。2003年6月三峡水库蓄水运行后，对宜昌站悬移质年输沙量影响较大。上游来沙的60%被拦蓄在库内。2003～2010年输沙量变化在0.091～1.1×10</w:t>
      </w:r>
      <w:r>
        <w:rPr>
          <w:rFonts w:hint="eastAsia" w:eastAsia="仿宋_GB2312"/>
          <w:color w:val="auto"/>
          <w:vertAlign w:val="baseline"/>
        </w:rPr>
        <w:t>8</w:t>
      </w:r>
      <w:r>
        <w:rPr>
          <w:rFonts w:hint="eastAsia" w:eastAsia="仿宋_GB2312"/>
          <w:color w:val="auto"/>
        </w:rPr>
        <w:t>t之间，多年平均为0.542×108t，分别仅为天然时期和葛洲坝运用后的10.5%和11.8%。</w:t>
      </w:r>
    </w:p>
    <w:p>
      <w:pPr>
        <w:pStyle w:val="336"/>
        <w:widowControl w:val="0"/>
        <w:ind w:firstLine="480" w:firstLineChars="200"/>
        <w:jc w:val="both"/>
        <w:rPr>
          <w:rFonts w:eastAsia="仿宋_GB2312"/>
          <w:color w:val="auto"/>
        </w:rPr>
      </w:pPr>
      <w:r>
        <w:rPr>
          <w:rFonts w:hint="eastAsia" w:eastAsia="仿宋_GB2312"/>
          <w:color w:val="auto"/>
        </w:rPr>
        <w:t>多年平均含沙量，天然时期和葛洲坝水库运用后分别为1.18kg/m</w:t>
      </w:r>
      <w:r>
        <w:rPr>
          <w:rFonts w:hint="eastAsia" w:eastAsia="仿宋_GB2312"/>
          <w:color w:val="auto"/>
          <w:vertAlign w:val="superscript"/>
          <w:lang w:val="en-US" w:eastAsia="zh-CN"/>
        </w:rPr>
        <w:t>3</w:t>
      </w:r>
      <w:r>
        <w:rPr>
          <w:rFonts w:hint="eastAsia" w:eastAsia="仿宋_GB2312"/>
          <w:color w:val="auto"/>
        </w:rPr>
        <w:t>（1950-1980年）和1.05kg/m</w:t>
      </w:r>
      <w:r>
        <w:rPr>
          <w:rFonts w:hint="eastAsia" w:eastAsia="仿宋_GB2312"/>
          <w:color w:val="auto"/>
          <w:vertAlign w:val="superscript"/>
          <w:lang w:val="en-US" w:eastAsia="zh-CN"/>
        </w:rPr>
        <w:t>3</w:t>
      </w:r>
      <w:r>
        <w:rPr>
          <w:rFonts w:hint="eastAsia" w:eastAsia="仿宋_GB2312"/>
          <w:color w:val="auto"/>
        </w:rPr>
        <w:t>（1981～2002年），运用后约有减少。三峡水库运用初期为0.138kg/m</w:t>
      </w:r>
      <w:r>
        <w:rPr>
          <w:rFonts w:hint="eastAsia" w:eastAsia="仿宋_GB2312"/>
          <w:color w:val="auto"/>
          <w:vertAlign w:val="superscript"/>
          <w:lang w:val="en-US" w:eastAsia="zh-CN"/>
        </w:rPr>
        <w:t>3</w:t>
      </w:r>
      <w:r>
        <w:rPr>
          <w:rFonts w:hint="eastAsia" w:eastAsia="仿宋_GB2312"/>
          <w:color w:val="auto"/>
        </w:rPr>
        <w:t>（2003～2010年），分别仅为天然时期和葛洲坝运用后的11.7%和13.1%。葛洲坝蓄水前悬移质中数粒径为0.021mm，葛洲坝蓄水后～三峡水库蓄水前悬移质中数粒径为0.012mm，三峡水库蓄水后中数粒径为0.005mm，悬沙粒径明显细化</w:t>
      </w:r>
      <w:r>
        <w:rPr>
          <w:rFonts w:eastAsia="仿宋_GB2312"/>
          <w:color w:val="auto"/>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4.3.2.2河势</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（1）</w:t>
      </w:r>
      <w:r>
        <w:rPr>
          <w:rFonts w:hint="eastAsia" w:eastAsia="仿宋_GB2312"/>
          <w:color w:val="auto"/>
        </w:rPr>
        <w:t>岸线变化</w:t>
      </w:r>
    </w:p>
    <w:p>
      <w:pPr>
        <w:pStyle w:val="336"/>
        <w:widowControl w:val="0"/>
        <w:ind w:firstLine="480" w:firstLineChars="200"/>
        <w:jc w:val="both"/>
        <w:rPr>
          <w:rFonts w:hint="eastAsia" w:eastAsia="仿宋_GB2312"/>
          <w:color w:val="auto"/>
        </w:rPr>
      </w:pPr>
      <w:r>
        <w:rPr>
          <w:rFonts w:hint="eastAsia" w:eastAsia="仿宋_GB2312"/>
          <w:color w:val="auto"/>
        </w:rPr>
        <w:t>长江枝城河段在地质构造上地处江汉沉降区次一级坳陷的枝江凹降区。河道两岸地貌类型主要是侵蚀低山丘陵、河流阶地和河漫滩。河段内洪枯水位之间的河床岸坡地质结构主要是硬土质、土石质和基岩质三种类型，抗冲力较好，加上人工护岸控制，岸线多年来总体较稳定，仅局部岸段有所淤长崩退变化。利用的现有码头工程位于枝城河段右岸，近年来35m岸线右岸变化较小，岸线稳定，抗冲性较强。</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（2）</w:t>
      </w:r>
      <w:r>
        <w:rPr>
          <w:rFonts w:hint="eastAsia" w:eastAsia="仿宋_GB2312"/>
          <w:color w:val="auto"/>
        </w:rPr>
        <w:t>深泓线变化</w:t>
      </w:r>
    </w:p>
    <w:p>
      <w:pPr>
        <w:pStyle w:val="336"/>
        <w:widowControl w:val="0"/>
        <w:ind w:firstLine="480" w:firstLineChars="200"/>
        <w:jc w:val="both"/>
        <w:rPr>
          <w:rFonts w:hint="eastAsia" w:eastAsia="仿宋_GB2312"/>
          <w:color w:val="auto"/>
        </w:rPr>
      </w:pPr>
      <w:r>
        <w:rPr>
          <w:rFonts w:hint="eastAsia" w:eastAsia="仿宋_GB2312"/>
          <w:color w:val="auto"/>
        </w:rPr>
        <w:t>长江枝城河段主流仍遵循“高水取直，低水走弯”的规律，深泓在白洋弯道贴左岸下行，过白洋弯道后在梅子溪附近逐渐向右岸过渡，三星垸至枝城长江大桥深泓紧靠右岸，主流由右岸枝城进入洋溪弯道关洲右汊后贴弯道凹岸而下，至松滋河口陈二口附近逐渐由右岸向左岸过渡，进入芦家河浅滩段。田家河下游至枝城长江大桥深泓左右略有摆动，关洲水道深泓基本沿弯道凹岸下行，关洲汊道段在2012年以前走右汊，但是，由于2010年以来，人来采砂活动影响叠加河道冲刷影响，关洲汊道左汊深泓大幅下切，以至于左汊深泓自2012年以来较关洲右汊更深；同时，枝城长江大桥至关洲洲头段深泓亦由贴右岸向河心摆动，出现关洲洲头上游深泓向左摆动的迹象。2015年年初关洲左汊航道控制工程实施后，枝城长江大桥至关洲洲头段深泓向关洲左汊过渡的趋势受到一定限制。由于关洲左汊大幅下切，2008年后，关洲洲尾以下深泓开始外靠，2011年后趋于稳定。依据2002～2016年期间等多年的水道地形资料，分析其深泓线的平面变化主要特点：深泓线平面摆动幅度较大部位主要分布在关洲水道中部放宽段，如关洲左汊；整个梅子溪至陈二口河段深泓线摆动幅度较小。</w:t>
      </w:r>
    </w:p>
    <w:p>
      <w:pPr>
        <w:pStyle w:val="336"/>
        <w:widowControl w:val="0"/>
        <w:ind w:firstLine="480" w:firstLineChars="200"/>
        <w:jc w:val="both"/>
        <w:rPr>
          <w:rFonts w:hint="eastAsia" w:eastAsia="仿宋_GB2312"/>
          <w:color w:val="auto"/>
        </w:rPr>
      </w:pPr>
      <w:r>
        <w:rPr>
          <w:rFonts w:hint="eastAsia" w:eastAsia="仿宋_GB2312"/>
          <w:color w:val="auto"/>
        </w:rPr>
        <w:t>利用的现有码头工程位于河道右岸，本段深泓总体贴近右岸，码头建设区域位置深泓较稳定，对于维持码头工程区两岸岸线的稳固较为有利。</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（3）</w:t>
      </w:r>
      <w:r>
        <w:rPr>
          <w:rFonts w:hint="eastAsia" w:eastAsia="仿宋_GB2312"/>
          <w:color w:val="auto"/>
        </w:rPr>
        <w:t>深槽变化</w:t>
      </w:r>
    </w:p>
    <w:p>
      <w:pPr>
        <w:pStyle w:val="336"/>
        <w:widowControl w:val="0"/>
        <w:ind w:firstLine="480" w:firstLineChars="200"/>
        <w:jc w:val="both"/>
        <w:rPr>
          <w:rFonts w:hint="eastAsia" w:eastAsia="仿宋_GB2312"/>
          <w:color w:val="auto"/>
        </w:rPr>
      </w:pPr>
      <w:r>
        <w:rPr>
          <w:rFonts w:hint="eastAsia" w:eastAsia="仿宋_GB2312"/>
          <w:color w:val="auto"/>
        </w:rPr>
        <w:t>工程河段深槽主要分布在右岸侧，相比岸线的稳定，浅滩冲淤反复，深槽变化总体以冲刷扩大为主，但枝城水道深槽位置基本稳定，25m深槽在枝城长江大桥下游650m一带断开，2002年枝城镇河道深槽位于河床偏右侧，宽仅180m，2006年后，深槽迅速冲刷扩宽，面积扩大近一倍多，宽度沿程增加，工程附近宽度扩展至270m，且深槽上游端持续上延，但幅度不大。</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（4）</w:t>
      </w:r>
      <w:r>
        <w:rPr>
          <w:rFonts w:hint="eastAsia" w:eastAsia="仿宋_GB2312"/>
          <w:color w:val="auto"/>
        </w:rPr>
        <w:t>冲淤变化</w:t>
      </w:r>
    </w:p>
    <w:p>
      <w:pPr>
        <w:pStyle w:val="336"/>
        <w:widowControl w:val="0"/>
        <w:ind w:firstLine="480" w:firstLineChars="200"/>
        <w:jc w:val="both"/>
        <w:rPr>
          <w:rFonts w:hint="eastAsia" w:eastAsia="仿宋_GB2312"/>
          <w:color w:val="auto"/>
        </w:rPr>
      </w:pPr>
      <w:r>
        <w:rPr>
          <w:rFonts w:hint="eastAsia" w:eastAsia="仿宋_GB2312"/>
          <w:color w:val="auto"/>
        </w:rPr>
        <w:t>多年来枝城河段各河槽内河床均表现为冲刷，2002年10月~2013年11月整个河段平滩河槽累积冲刷1.33亿m</w:t>
      </w:r>
      <w:r>
        <w:rPr>
          <w:rFonts w:hint="eastAsia" w:eastAsia="仿宋_GB2312"/>
          <w:color w:val="auto"/>
          <w:vertAlign w:val="superscript"/>
          <w:lang w:val="en-US" w:eastAsia="zh-CN"/>
        </w:rPr>
        <w:t>3</w:t>
      </w:r>
      <w:r>
        <w:rPr>
          <w:rFonts w:hint="eastAsia" w:eastAsia="仿宋_GB2312"/>
          <w:color w:val="auto"/>
        </w:rPr>
        <w:t>，年平均冲刷量为0.12亿m</w:t>
      </w:r>
      <w:r>
        <w:rPr>
          <w:rFonts w:hint="eastAsia" w:eastAsia="仿宋_GB2312"/>
          <w:color w:val="auto"/>
          <w:vertAlign w:val="superscript"/>
          <w:lang w:val="en-US" w:eastAsia="zh-CN"/>
        </w:rPr>
        <w:t>3</w:t>
      </w:r>
      <w:r>
        <w:rPr>
          <w:rFonts w:hint="eastAsia" w:eastAsia="仿宋_GB2312"/>
          <w:color w:val="auto"/>
        </w:rPr>
        <w:t>/a，枯水河槽累积冲深1.85m，并且自2008年10月以来该河段冲刷加剧(含关洲左汊采砂影响)，本时段关洲汊道段冲刷量基本来源于左汊人工采砂形成的冲刷量，关洲右汊略有冲刷；扣除采砂影响，工程河段河道自然冲刷略大于年均冲刷量。2008.10~2011.11与2011.11~2013.11两个时间段内年平均冲刷强度分别为0.19亿m</w:t>
      </w:r>
      <w:r>
        <w:rPr>
          <w:rFonts w:hint="eastAsia" w:eastAsia="仿宋_GB2312"/>
          <w:color w:val="auto"/>
          <w:vertAlign w:val="superscript"/>
          <w:lang w:val="en-US" w:eastAsia="zh-CN"/>
        </w:rPr>
        <w:t>3</w:t>
      </w:r>
      <w:r>
        <w:rPr>
          <w:rFonts w:hint="eastAsia" w:eastAsia="仿宋_GB2312"/>
          <w:color w:val="auto"/>
        </w:rPr>
        <w:t>/a，0.22亿m</w:t>
      </w:r>
      <w:r>
        <w:rPr>
          <w:rFonts w:hint="eastAsia" w:eastAsia="仿宋_GB2312"/>
          <w:color w:val="auto"/>
          <w:vertAlign w:val="superscript"/>
          <w:lang w:val="en-US" w:eastAsia="zh-CN"/>
        </w:rPr>
        <w:t>3</w:t>
      </w:r>
      <w:r>
        <w:rPr>
          <w:rFonts w:hint="eastAsia" w:eastAsia="仿宋_GB2312"/>
          <w:color w:val="auto"/>
        </w:rPr>
        <w:t>/a，2004.11~2006.10时间段内冲刷最弱，年平均冲刷量为0.06亿m</w:t>
      </w:r>
      <w:r>
        <w:rPr>
          <w:rFonts w:hint="eastAsia" w:eastAsia="仿宋_GB2312"/>
          <w:color w:val="auto"/>
          <w:vertAlign w:val="superscript"/>
          <w:lang w:val="en-US" w:eastAsia="zh-CN"/>
        </w:rPr>
        <w:t>3</w:t>
      </w:r>
      <w:r>
        <w:rPr>
          <w:rFonts w:hint="eastAsia" w:eastAsia="仿宋_GB2312"/>
          <w:color w:val="auto"/>
        </w:rPr>
        <w:t>/a。</w:t>
      </w:r>
    </w:p>
    <w:p>
      <w:pPr>
        <w:widowControl w:val="0"/>
        <w:spacing w:line="360" w:lineRule="auto"/>
        <w:jc w:val="center"/>
        <w:rPr>
          <w:rFonts w:eastAsia="黑体"/>
          <w:b/>
          <w:color w:val="auto"/>
          <w:szCs w:val="21"/>
        </w:rPr>
      </w:pPr>
    </w:p>
    <w:p>
      <w:pPr>
        <w:widowControl w:val="0"/>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.3-3</w:t>
      </w:r>
      <w:r>
        <w:rPr>
          <w:rFonts w:eastAsia="黑体"/>
          <w:b/>
          <w:color w:val="auto"/>
          <w:szCs w:val="21"/>
        </w:rPr>
        <w:t xml:space="preserve">  </w:t>
      </w:r>
      <w:r>
        <w:rPr>
          <w:rFonts w:hint="eastAsia" w:eastAsia="黑体"/>
          <w:b/>
          <w:color w:val="auto"/>
          <w:szCs w:val="21"/>
          <w:lang w:val="en-US" w:eastAsia="zh-CN"/>
        </w:rPr>
        <w:t>枝城河段历年冲淤量</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0"/>
        <w:gridCol w:w="1859"/>
        <w:gridCol w:w="1767"/>
        <w:gridCol w:w="1257"/>
        <w:gridCol w:w="1257"/>
        <w:gridCol w:w="12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restart"/>
            <w:tcBorders>
              <w:top w:val="single" w:color="auto" w:sz="12" w:space="0"/>
              <w:left w:val="nil"/>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计算河段</w:t>
            </w:r>
          </w:p>
        </w:tc>
        <w:tc>
          <w:tcPr>
            <w:tcW w:w="1090" w:type="pct"/>
            <w:vMerge w:val="restart"/>
            <w:tcBorders>
              <w:top w:val="single" w:color="auto" w:sz="12"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时段</w:t>
            </w:r>
          </w:p>
        </w:tc>
        <w:tc>
          <w:tcPr>
            <w:tcW w:w="3252" w:type="pct"/>
            <w:gridSpan w:val="4"/>
            <w:tcBorders>
              <w:top w:val="single" w:color="auto" w:sz="12"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总冲淤量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tcBorders>
              <w:top w:val="single" w:color="auto" w:sz="4" w:space="0"/>
              <w:left w:val="nil"/>
              <w:bottom w:val="single" w:color="auto" w:sz="4" w:space="0"/>
            </w:tcBorders>
            <w:noWrap w:val="0"/>
            <w:vAlign w:val="center"/>
          </w:tcPr>
          <w:p>
            <w:pPr>
              <w:widowControl w:val="0"/>
              <w:autoSpaceDE w:val="0"/>
              <w:autoSpaceDN w:val="0"/>
              <w:jc w:val="center"/>
              <w:textAlignment w:val="baseline"/>
              <w:rPr>
                <w:rFonts w:hint="eastAsia"/>
                <w:color w:val="auto"/>
                <w:kern w:val="0"/>
                <w:sz w:val="20"/>
                <w:lang w:val="en-US" w:eastAsia="zh-CN"/>
              </w:rPr>
            </w:pPr>
          </w:p>
        </w:tc>
        <w:tc>
          <w:tcPr>
            <w:tcW w:w="1090" w:type="pct"/>
            <w:vMerge w:val="continue"/>
            <w:tcBorders>
              <w:top w:val="single" w:color="auto" w:sz="4" w:space="0"/>
              <w:bottom w:val="single" w:color="auto" w:sz="4" w:space="0"/>
            </w:tcBorders>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3252" w:type="pct"/>
            <w:gridSpan w:val="4"/>
            <w:tcBorders>
              <w:top w:val="single" w:color="auto" w:sz="4" w:space="0"/>
              <w:bottom w:val="single" w:color="auto" w:sz="4"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（10</w:t>
            </w:r>
            <w:r>
              <w:rPr>
                <w:rFonts w:hint="eastAsia"/>
                <w:color w:val="auto"/>
                <w:kern w:val="0"/>
                <w:sz w:val="20"/>
                <w:vertAlign w:val="superscript"/>
                <w:lang w:val="en-US" w:eastAsia="zh-CN"/>
              </w:rPr>
              <w:t>4</w:t>
            </w:r>
            <w:r>
              <w:rPr>
                <w:rFonts w:hint="eastAsia"/>
                <w:color w:val="auto"/>
                <w:kern w:val="0"/>
                <w:sz w:val="20"/>
                <w:lang w:val="en-US" w:eastAsia="zh-CN"/>
              </w:rPr>
              <w:t>m</w:t>
            </w:r>
            <w:r>
              <w:rPr>
                <w:rFonts w:hint="eastAsia"/>
                <w:color w:val="auto"/>
                <w:kern w:val="0"/>
                <w:sz w:val="20"/>
                <w:vertAlign w:val="superscript"/>
                <w:lang w:val="en-US" w:eastAsia="zh-CN"/>
              </w:rPr>
              <w:t>3</w:t>
            </w:r>
            <w:r>
              <w:rPr>
                <w:rFonts w:hint="eastAsia"/>
                <w:color w:val="auto"/>
                <w:kern w:val="0"/>
                <w:sz w:val="20"/>
                <w:lang w:val="en-US" w:eastAsia="zh-CN"/>
              </w:rPr>
              <w:t>）（淤：+冲：-）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tcBorders>
              <w:top w:val="single" w:color="auto" w:sz="4" w:space="0"/>
              <w:left w:val="nil"/>
              <w:bottom w:val="single" w:color="auto" w:sz="12" w:space="0"/>
            </w:tcBorders>
            <w:noWrap w:val="0"/>
            <w:vAlign w:val="center"/>
          </w:tcPr>
          <w:p>
            <w:pPr>
              <w:widowControl w:val="0"/>
              <w:autoSpaceDE w:val="0"/>
              <w:autoSpaceDN w:val="0"/>
              <w:jc w:val="center"/>
              <w:textAlignment w:val="baseline"/>
              <w:rPr>
                <w:rFonts w:hint="eastAsia"/>
                <w:color w:val="auto"/>
                <w:kern w:val="0"/>
                <w:sz w:val="20"/>
                <w:lang w:val="en-US" w:eastAsia="zh-CN"/>
              </w:rPr>
            </w:pPr>
          </w:p>
        </w:tc>
        <w:tc>
          <w:tcPr>
            <w:tcW w:w="1090" w:type="pct"/>
            <w:vMerge w:val="continue"/>
            <w:tcBorders>
              <w:top w:val="single" w:color="auto" w:sz="4" w:space="0"/>
              <w:bottom w:val="single" w:color="auto" w:sz="12" w:space="0"/>
            </w:tcBorders>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1036"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枯水河槽流量5000m</w:t>
            </w:r>
            <w:r>
              <w:rPr>
                <w:rFonts w:hint="eastAsia"/>
                <w:color w:val="auto"/>
                <w:kern w:val="0"/>
                <w:sz w:val="20"/>
                <w:vertAlign w:val="superscript"/>
                <w:lang w:val="en-US" w:eastAsia="zh-CN"/>
              </w:rPr>
              <w:t>3</w:t>
            </w:r>
            <w:r>
              <w:rPr>
                <w:rFonts w:hint="eastAsia"/>
                <w:color w:val="auto"/>
                <w:kern w:val="0"/>
                <w:sz w:val="20"/>
                <w:lang w:val="en-US" w:eastAsia="zh-CN"/>
              </w:rPr>
              <w:t>/s</w:t>
            </w:r>
          </w:p>
        </w:tc>
        <w:tc>
          <w:tcPr>
            <w:tcW w:w="737"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中水河槽流量5000m</w:t>
            </w:r>
            <w:r>
              <w:rPr>
                <w:rFonts w:hint="eastAsia"/>
                <w:color w:val="auto"/>
                <w:kern w:val="0"/>
                <w:sz w:val="20"/>
                <w:vertAlign w:val="superscript"/>
                <w:lang w:val="en-US" w:eastAsia="zh-CN"/>
              </w:rPr>
              <w:t>3</w:t>
            </w:r>
            <w:r>
              <w:rPr>
                <w:rFonts w:hint="eastAsia"/>
                <w:color w:val="auto"/>
                <w:kern w:val="0"/>
                <w:sz w:val="20"/>
                <w:lang w:val="en-US" w:eastAsia="zh-CN"/>
              </w:rPr>
              <w:t>/s</w:t>
            </w:r>
          </w:p>
        </w:tc>
        <w:tc>
          <w:tcPr>
            <w:tcW w:w="737"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平滩河槽流量5000m</w:t>
            </w:r>
            <w:r>
              <w:rPr>
                <w:rFonts w:hint="eastAsia"/>
                <w:color w:val="auto"/>
                <w:kern w:val="0"/>
                <w:sz w:val="20"/>
                <w:vertAlign w:val="superscript"/>
                <w:lang w:val="en-US" w:eastAsia="zh-CN"/>
              </w:rPr>
              <w:t>3</w:t>
            </w:r>
            <w:r>
              <w:rPr>
                <w:rFonts w:hint="eastAsia"/>
                <w:color w:val="auto"/>
                <w:kern w:val="0"/>
                <w:sz w:val="20"/>
                <w:lang w:val="en-US" w:eastAsia="zh-CN"/>
              </w:rPr>
              <w:t>/s</w:t>
            </w:r>
          </w:p>
        </w:tc>
        <w:tc>
          <w:tcPr>
            <w:tcW w:w="741" w:type="pct"/>
            <w:tcBorders>
              <w:top w:val="single" w:color="auto" w:sz="4" w:space="0"/>
              <w:bottom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枯水河槽平均冲深m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restart"/>
            <w:tcBorders>
              <w:top w:val="single" w:color="auto" w:sz="12" w:space="0"/>
            </w:tcBorders>
            <w:noWrap w:val="0"/>
            <w:vAlign w:val="center"/>
          </w:tcPr>
          <w:p>
            <w:pPr>
              <w:widowControl w:val="0"/>
              <w:autoSpaceDE w:val="0"/>
              <w:autoSpaceDN w:val="0"/>
              <w:jc w:val="center"/>
              <w:textAlignment w:val="baseline"/>
              <w:rPr>
                <w:rFonts w:hint="default" w:eastAsia="宋体"/>
                <w:color w:val="auto"/>
                <w:kern w:val="0"/>
                <w:sz w:val="20"/>
                <w:lang w:val="en-US" w:eastAsia="zh-CN"/>
              </w:rPr>
            </w:pPr>
            <w:r>
              <w:rPr>
                <w:rFonts w:hint="eastAsia"/>
                <w:color w:val="auto"/>
                <w:kern w:val="0"/>
                <w:sz w:val="20"/>
                <w:lang w:val="en-US" w:eastAsia="zh-CN"/>
              </w:rPr>
              <w:t>枝城河段</w:t>
            </w:r>
          </w:p>
        </w:tc>
        <w:tc>
          <w:tcPr>
            <w:tcW w:w="1090"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2002.10~2004.11</w:t>
            </w:r>
          </w:p>
        </w:tc>
        <w:tc>
          <w:tcPr>
            <w:tcW w:w="1036"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-504.8</w:t>
            </w:r>
          </w:p>
        </w:tc>
        <w:tc>
          <w:tcPr>
            <w:tcW w:w="737"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-666.7</w:t>
            </w:r>
          </w:p>
        </w:tc>
        <w:tc>
          <w:tcPr>
            <w:tcW w:w="737"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-658.0</w:t>
            </w:r>
          </w:p>
        </w:tc>
        <w:tc>
          <w:tcPr>
            <w:tcW w:w="741" w:type="pct"/>
            <w:tcBorders>
              <w:top w:val="single" w:color="auto" w:sz="12" w:space="0"/>
            </w:tcBorders>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109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2004.11~2006.10</w:t>
            </w:r>
          </w:p>
        </w:tc>
        <w:tc>
          <w:tcPr>
            <w:tcW w:w="103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-71.5</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-91.9</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-86.9</w:t>
            </w:r>
          </w:p>
        </w:tc>
        <w:tc>
          <w:tcPr>
            <w:tcW w:w="741"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109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2006.10~2008.10</w:t>
            </w:r>
          </w:p>
        </w:tc>
        <w:tc>
          <w:tcPr>
            <w:tcW w:w="103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-707.5</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-800.6</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-663.3</w:t>
            </w:r>
          </w:p>
        </w:tc>
        <w:tc>
          <w:tcPr>
            <w:tcW w:w="741"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-0.42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109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2008.10~2011.11</w:t>
            </w:r>
          </w:p>
        </w:tc>
        <w:tc>
          <w:tcPr>
            <w:tcW w:w="103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-2725.4</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-2874.1</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-3073.8</w:t>
            </w:r>
          </w:p>
        </w:tc>
        <w:tc>
          <w:tcPr>
            <w:tcW w:w="741"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noWrap w:val="0"/>
            <w:vAlign w:val="center"/>
          </w:tcPr>
          <w:p>
            <w:pPr>
              <w:widowControl w:val="0"/>
              <w:autoSpaceDE w:val="0"/>
              <w:autoSpaceDN w:val="0"/>
              <w:jc w:val="center"/>
              <w:textAlignment w:val="baseline"/>
              <w:rPr>
                <w:rFonts w:hint="eastAsia" w:eastAsia="宋体"/>
                <w:color w:val="auto"/>
                <w:kern w:val="0"/>
                <w:sz w:val="20"/>
                <w:lang w:val="en-US" w:eastAsia="zh-CN"/>
              </w:rPr>
            </w:pPr>
          </w:p>
        </w:tc>
        <w:tc>
          <w:tcPr>
            <w:tcW w:w="1090"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2011.11~2013.11</w:t>
            </w:r>
          </w:p>
        </w:tc>
        <w:tc>
          <w:tcPr>
            <w:tcW w:w="103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-1959.0</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-2155.1</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-2148.2</w:t>
            </w:r>
          </w:p>
        </w:tc>
        <w:tc>
          <w:tcPr>
            <w:tcW w:w="741"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-1.15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57" w:type="pct"/>
            <w:vMerge w:val="continue"/>
            <w:noWrap w:val="0"/>
            <w:vAlign w:val="center"/>
          </w:tcPr>
          <w:p>
            <w:pPr>
              <w:widowControl w:val="0"/>
              <w:autoSpaceDE w:val="0"/>
              <w:autoSpaceDN w:val="0"/>
              <w:jc w:val="center"/>
              <w:textAlignment w:val="baseline"/>
              <w:rPr>
                <w:rFonts w:hint="default" w:eastAsia="宋体"/>
                <w:color w:val="auto"/>
                <w:kern w:val="0"/>
                <w:sz w:val="20"/>
                <w:lang w:val="en-US" w:eastAsia="zh-CN"/>
              </w:rPr>
            </w:pPr>
          </w:p>
        </w:tc>
        <w:tc>
          <w:tcPr>
            <w:tcW w:w="1090" w:type="pct"/>
            <w:noWrap w:val="0"/>
            <w:vAlign w:val="center"/>
          </w:tcPr>
          <w:p>
            <w:pPr>
              <w:widowControl w:val="0"/>
              <w:autoSpaceDE w:val="0"/>
              <w:autoSpaceDN w:val="0"/>
              <w:jc w:val="center"/>
              <w:textAlignment w:val="baseline"/>
              <w:rPr>
                <w:rFonts w:hint="default" w:ascii="Arial" w:hAnsi="Arial" w:eastAsia="宋体" w:cs="Arial"/>
                <w:bCs/>
                <w:color w:val="auto"/>
                <w:kern w:val="0"/>
                <w:sz w:val="20"/>
                <w:lang w:val="en-US" w:eastAsia="zh-CN"/>
              </w:rPr>
            </w:pPr>
            <w:r>
              <w:rPr>
                <w:rFonts w:hint="default" w:ascii="Arial" w:hAnsi="Arial" w:eastAsia="宋体" w:cs="Arial"/>
                <w:bCs/>
                <w:color w:val="auto"/>
                <w:kern w:val="0"/>
                <w:sz w:val="20"/>
                <w:lang w:val="en-US" w:eastAsia="zh-CN"/>
              </w:rPr>
              <w:t>Ʃ</w:t>
            </w:r>
          </w:p>
        </w:tc>
        <w:tc>
          <w:tcPr>
            <w:tcW w:w="1036"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-5968.2</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-6588.5</w:t>
            </w:r>
          </w:p>
        </w:tc>
        <w:tc>
          <w:tcPr>
            <w:tcW w:w="737"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-6630.2</w:t>
            </w:r>
          </w:p>
        </w:tc>
        <w:tc>
          <w:tcPr>
            <w:tcW w:w="741" w:type="pct"/>
            <w:noWrap w:val="0"/>
            <w:vAlign w:val="center"/>
          </w:tcPr>
          <w:p>
            <w:pPr>
              <w:widowControl w:val="0"/>
              <w:autoSpaceDE w:val="0"/>
              <w:autoSpaceDN w:val="0"/>
              <w:jc w:val="center"/>
              <w:textAlignment w:val="baseline"/>
              <w:rPr>
                <w:rFonts w:hint="default" w:eastAsia="宋体"/>
                <w:bCs/>
                <w:color w:val="auto"/>
                <w:kern w:val="0"/>
                <w:sz w:val="20"/>
                <w:lang w:val="en-US" w:eastAsia="zh-CN"/>
              </w:rPr>
            </w:pPr>
            <w:r>
              <w:rPr>
                <w:rFonts w:hint="eastAsia"/>
                <w:bCs/>
                <w:color w:val="auto"/>
                <w:kern w:val="0"/>
                <w:sz w:val="20"/>
                <w:lang w:val="en-US" w:eastAsia="zh-CN"/>
              </w:rPr>
              <w:t>-3.50</w:t>
            </w:r>
          </w:p>
        </w:tc>
      </w:tr>
    </w:tbl>
    <w:p>
      <w:pPr>
        <w:pStyle w:val="336"/>
        <w:widowControl w:val="0"/>
        <w:ind w:firstLine="480" w:firstLineChars="200"/>
        <w:jc w:val="both"/>
        <w:rPr>
          <w:rFonts w:hint="eastAsia" w:eastAsia="仿宋_GB2312"/>
          <w:color w:val="auto"/>
        </w:rPr>
      </w:pPr>
      <w:r>
        <w:rPr>
          <w:rFonts w:hint="eastAsia" w:eastAsia="仿宋_GB2312"/>
          <w:color w:val="auto"/>
        </w:rPr>
        <w:t>从河床的横向冲淤变化来看，枝城整个河段及各分河段的近期河床冲刷均主要发生在枯水河槽内，枯水位以上河槽冲刷相对较小。2002年10月~2013年11月整个河段枯水河槽冲刷量占平滩河槽的89.0%；洋溪河弯段枯水河槽冲刷量分别占平滩河槽冲刷量的90%。另外，各分河段冲刷强度有所不同，2002年10月~2013年11月洋溪河弯段冲刷幅度最大，平滩河槽累积冲刷0.66亿m³，枯水河槽累积冲深3.5m。结合纵剖面及断面分析成果，排除人类采砂影响，工程河段自2008年后冲刷强度逐渐减弱，2012年后工程河段河道纵、横向变形趋于稳定。</w:t>
      </w:r>
    </w:p>
    <w:p>
      <w:pPr>
        <w:pStyle w:val="336"/>
        <w:widowControl w:val="0"/>
        <w:ind w:firstLine="480" w:firstLineChars="200"/>
        <w:jc w:val="both"/>
        <w:rPr>
          <w:rFonts w:hint="eastAsia" w:eastAsia="仿宋_GB2312"/>
          <w:color w:val="auto"/>
        </w:rPr>
      </w:pPr>
      <w:r>
        <w:rPr>
          <w:rFonts w:hint="eastAsia" w:eastAsia="仿宋_GB2312"/>
          <w:color w:val="auto"/>
          <w:lang w:eastAsia="zh-CN"/>
        </w:rPr>
        <w:t>（</w:t>
      </w:r>
      <w:r>
        <w:rPr>
          <w:rFonts w:hint="eastAsia" w:eastAsia="仿宋_GB2312"/>
          <w:color w:val="auto"/>
          <w:lang w:val="en-US" w:eastAsia="zh-CN"/>
        </w:rPr>
        <w:t>5</w:t>
      </w:r>
      <w:r>
        <w:rPr>
          <w:rFonts w:hint="eastAsia" w:eastAsia="仿宋_GB2312"/>
          <w:color w:val="auto"/>
          <w:lang w:eastAsia="zh-CN"/>
        </w:rPr>
        <w:t>）</w:t>
      </w:r>
      <w:r>
        <w:rPr>
          <w:rFonts w:hint="eastAsia" w:eastAsia="仿宋_GB2312"/>
          <w:color w:val="auto"/>
        </w:rPr>
        <w:t>小结</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a.</w:t>
      </w:r>
      <w:r>
        <w:rPr>
          <w:rFonts w:hint="eastAsia" w:eastAsia="仿宋_GB2312"/>
          <w:color w:val="auto"/>
        </w:rPr>
        <w:t>枝城水道多年来河道平面位置相对稳定，三峡水库蓄水以来，上游来沙减少，河床演变主要表现为局部洲滩和深槽的冲刷变化，整个河势未发生大的变化。近期关洲左汊分流分沙量减小，右汊有常年占据主汊地位的趋势。</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b.</w:t>
      </w:r>
      <w:r>
        <w:rPr>
          <w:rFonts w:hint="eastAsia" w:eastAsia="仿宋_GB2312"/>
          <w:color w:val="auto"/>
        </w:rPr>
        <w:t>工程局部河段由于河岸地质组成抗冲性较好，历年来岸线变化较小，深槽宽顺且位置基本稳定，上游来水来沙的变化对河床演变的影响主要体现在边滩的冲淤变化上，多年来，关洲边滩虽有一定的冲淤变化，但变化幅度总在一定范围内，主要以局部变形为主。</w:t>
      </w:r>
    </w:p>
    <w:p>
      <w:pPr>
        <w:pStyle w:val="336"/>
        <w:widowControl w:val="0"/>
        <w:ind w:firstLine="480" w:firstLineChars="200"/>
        <w:jc w:val="both"/>
        <w:rPr>
          <w:rFonts w:hint="eastAsia" w:eastAsia="仿宋_GB2312"/>
          <w:color w:val="auto"/>
        </w:rPr>
      </w:pPr>
      <w:r>
        <w:rPr>
          <w:rFonts w:hint="eastAsia" w:eastAsia="仿宋_GB2312"/>
          <w:color w:val="auto"/>
          <w:lang w:val="en-US" w:eastAsia="zh-CN"/>
        </w:rPr>
        <w:t>c.</w:t>
      </w:r>
      <w:r>
        <w:rPr>
          <w:rFonts w:hint="eastAsia" w:eastAsia="仿宋_GB2312"/>
          <w:color w:val="auto"/>
        </w:rPr>
        <w:t>工程附近深泓摆幅不大，工程区右岸岸线、水下边坡处于相对稳定状态，4m深槽在300m以上，水深条件良好，满足码头运营的基本条件。</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4.3.2.3水域功能</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本项目附近区域地表水体主要为长江</w:t>
      </w:r>
      <w:r>
        <w:rPr>
          <w:rFonts w:hint="eastAsia" w:eastAsia="仿宋_GB2312"/>
          <w:color w:val="auto"/>
          <w:sz w:val="24"/>
          <w:lang w:eastAsia="zh-CN"/>
        </w:rPr>
        <w:t>（</w:t>
      </w:r>
      <w:r>
        <w:rPr>
          <w:rFonts w:hint="eastAsia" w:eastAsia="仿宋_GB2312"/>
          <w:color w:val="auto"/>
          <w:sz w:val="24"/>
          <w:lang w:val="en-US" w:eastAsia="zh-CN"/>
        </w:rPr>
        <w:t>宜都</w:t>
      </w:r>
      <w:r>
        <w:rPr>
          <w:rFonts w:hint="eastAsia" w:eastAsia="仿宋_GB2312"/>
          <w:color w:val="auto"/>
          <w:sz w:val="24"/>
          <w:lang w:eastAsia="zh-CN"/>
        </w:rPr>
        <w:t>）</w:t>
      </w:r>
      <w:r>
        <w:rPr>
          <w:rFonts w:hint="eastAsia" w:eastAsia="仿宋_GB2312"/>
          <w:color w:val="auto"/>
          <w:sz w:val="24"/>
        </w:rPr>
        <w:t>段。</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根据《湖北省地表水环境功能区类别》和《市人民政府办公室关于同意宜昌市地表水、环境空气、声环境功能区类别划分方案（修编）的批复》（宜府办函[2013]46号，2013年11月29日）规定：长江干流猇亭区、宜都、枝江段水域执行《地表水环境质量标准》(GB3838-2002)中Ⅱ类标准</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4.3.2.4饮用水源调查</w:t>
      </w:r>
    </w:p>
    <w:p>
      <w:pPr>
        <w:widowControl w:val="0"/>
        <w:spacing w:line="360" w:lineRule="auto"/>
        <w:ind w:firstLine="480" w:firstLineChars="200"/>
        <w:jc w:val="both"/>
        <w:rPr>
          <w:rFonts w:hint="eastAsia" w:eastAsia="仿宋_GB2312"/>
          <w:color w:val="auto"/>
          <w:sz w:val="24"/>
          <w:lang w:val="en-US" w:eastAsia="zh-CN"/>
        </w:rPr>
      </w:pPr>
      <w:r>
        <w:rPr>
          <w:rFonts w:hint="default" w:eastAsia="仿宋_GB2312"/>
          <w:color w:val="auto"/>
          <w:sz w:val="24"/>
          <w:lang w:eastAsia="zh-CN"/>
        </w:rPr>
        <w:t>根据现场调查，本项目</w:t>
      </w:r>
      <w:r>
        <w:rPr>
          <w:rFonts w:hint="default" w:eastAsia="仿宋_GB2312"/>
          <w:color w:val="auto"/>
          <w:sz w:val="24"/>
          <w:lang w:val="en-US" w:eastAsia="zh-CN"/>
        </w:rPr>
        <w:t>利用码头所在水域</w:t>
      </w:r>
      <w:r>
        <w:rPr>
          <w:rFonts w:hint="default" w:eastAsia="仿宋_GB2312"/>
          <w:color w:val="auto"/>
          <w:sz w:val="24"/>
          <w:lang w:eastAsia="zh-CN"/>
        </w:rPr>
        <w:t>不涉及居民饮用水水源地。</w:t>
      </w:r>
      <w:r>
        <w:rPr>
          <w:rFonts w:hint="default" w:eastAsia="仿宋_GB2312"/>
          <w:color w:val="auto"/>
          <w:sz w:val="24"/>
          <w:lang w:val="en-US" w:eastAsia="zh-CN"/>
        </w:rPr>
        <w:t>码头下游长江河段</w:t>
      </w:r>
      <w:r>
        <w:rPr>
          <w:rFonts w:hint="eastAsia" w:eastAsia="仿宋_GB2312"/>
          <w:color w:val="auto"/>
          <w:sz w:val="24"/>
          <w:lang w:val="en-US" w:eastAsia="zh-CN"/>
        </w:rPr>
        <w:t>同</w:t>
      </w:r>
      <w:r>
        <w:rPr>
          <w:rFonts w:hint="default" w:eastAsia="仿宋_GB2312"/>
          <w:color w:val="auto"/>
          <w:sz w:val="24"/>
          <w:lang w:val="en-US" w:eastAsia="zh-CN"/>
        </w:rPr>
        <w:t>岸分布有</w:t>
      </w:r>
      <w:r>
        <w:rPr>
          <w:rFonts w:hint="eastAsia" w:eastAsia="仿宋_GB2312"/>
          <w:color w:val="auto"/>
          <w:sz w:val="24"/>
          <w:lang w:val="en-US" w:eastAsia="zh-CN"/>
        </w:rPr>
        <w:t>1</w:t>
      </w:r>
      <w:r>
        <w:rPr>
          <w:rFonts w:hint="default" w:eastAsia="仿宋_GB2312"/>
          <w:color w:val="auto"/>
          <w:sz w:val="24"/>
          <w:lang w:val="en-US" w:eastAsia="zh-CN"/>
        </w:rPr>
        <w:t>处水厂取水口，为枝江市百里洲水厂新建取水口（在建）、码头下端线距离取水口约为</w:t>
      </w:r>
      <w:r>
        <w:rPr>
          <w:rFonts w:hint="eastAsia" w:eastAsia="仿宋_GB2312"/>
          <w:color w:val="auto"/>
          <w:sz w:val="24"/>
          <w:lang w:val="en-US" w:eastAsia="zh-CN"/>
        </w:rPr>
        <w:t>22</w:t>
      </w:r>
      <w:r>
        <w:rPr>
          <w:rFonts w:hint="default" w:eastAsia="仿宋_GB2312"/>
          <w:color w:val="auto"/>
          <w:sz w:val="24"/>
          <w:lang w:val="en-US" w:eastAsia="zh-CN"/>
        </w:rPr>
        <w:t>km</w:t>
      </w:r>
      <w:r>
        <w:rPr>
          <w:rFonts w:hint="eastAsia" w:eastAsia="仿宋_GB2312"/>
          <w:color w:val="auto"/>
          <w:sz w:val="24"/>
          <w:lang w:val="en-US"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4.3.2.5区域水环境质量现状</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本项目附近水体为长江（</w:t>
      </w:r>
      <w:r>
        <w:rPr>
          <w:rFonts w:hint="eastAsia" w:eastAsia="仿宋_GB2312"/>
          <w:color w:val="auto"/>
          <w:sz w:val="24"/>
          <w:lang w:val="en-US" w:eastAsia="zh-CN"/>
        </w:rPr>
        <w:t>宜都</w:t>
      </w:r>
      <w:r>
        <w:rPr>
          <w:rFonts w:hint="eastAsia" w:eastAsia="仿宋_GB2312"/>
          <w:color w:val="auto"/>
          <w:sz w:val="24"/>
        </w:rPr>
        <w:t>段）。为了解项目所在地地表水环境质量状况，本评价采用宜昌市生态环境局发布的《202</w:t>
      </w:r>
      <w:r>
        <w:rPr>
          <w:rFonts w:hint="eastAsia" w:eastAsia="仿宋_GB2312"/>
          <w:color w:val="auto"/>
          <w:sz w:val="24"/>
          <w:lang w:val="en-US" w:eastAsia="zh-CN"/>
        </w:rPr>
        <w:t>2</w:t>
      </w:r>
      <w:r>
        <w:rPr>
          <w:rFonts w:hint="eastAsia" w:eastAsia="仿宋_GB2312"/>
          <w:color w:val="auto"/>
          <w:sz w:val="24"/>
        </w:rPr>
        <w:t>年宜昌市环境质量年报》中结果：项目评价范围内有</w:t>
      </w:r>
      <w:r>
        <w:rPr>
          <w:rFonts w:hint="eastAsia" w:eastAsia="仿宋_GB2312"/>
          <w:color w:val="auto"/>
          <w:sz w:val="24"/>
          <w:lang w:val="en-US" w:eastAsia="zh-CN"/>
        </w:rPr>
        <w:t>市</w:t>
      </w:r>
      <w:r>
        <w:rPr>
          <w:rFonts w:hint="eastAsia" w:eastAsia="仿宋_GB2312"/>
          <w:color w:val="auto"/>
          <w:sz w:val="24"/>
        </w:rPr>
        <w:t>控监测断面1处，为长江-枝城洋溪村（右）断面，202</w:t>
      </w:r>
      <w:r>
        <w:rPr>
          <w:rFonts w:hint="eastAsia" w:eastAsia="仿宋_GB2312"/>
          <w:color w:val="auto"/>
          <w:sz w:val="24"/>
          <w:lang w:val="en-US" w:eastAsia="zh-CN"/>
        </w:rPr>
        <w:t>2</w:t>
      </w:r>
      <w:r>
        <w:rPr>
          <w:rFonts w:hint="eastAsia" w:eastAsia="仿宋_GB2312"/>
          <w:color w:val="auto"/>
          <w:sz w:val="24"/>
        </w:rPr>
        <w:t>年水质为Ⅱ类</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4.3.2.6水环境质量常规监测数据</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地表水河流水质总体状况为优，与202</w:t>
      </w:r>
      <w:r>
        <w:rPr>
          <w:rFonts w:hint="eastAsia" w:eastAsia="仿宋_GB2312"/>
          <w:color w:val="auto"/>
          <w:sz w:val="24"/>
          <w:lang w:val="en-US" w:eastAsia="zh-CN"/>
        </w:rPr>
        <w:t>1</w:t>
      </w:r>
      <w:r>
        <w:rPr>
          <w:rFonts w:hint="eastAsia" w:eastAsia="仿宋_GB2312"/>
          <w:color w:val="auto"/>
          <w:sz w:val="24"/>
        </w:rPr>
        <w:t>年相比保持稳定，部分干、支流断面水质</w:t>
      </w:r>
      <w:r>
        <w:rPr>
          <w:rFonts w:hint="eastAsia" w:eastAsia="仿宋_GB2312"/>
          <w:color w:val="auto"/>
          <w:sz w:val="24"/>
          <w:lang w:val="en-US" w:eastAsia="zh-CN"/>
        </w:rPr>
        <w:t>有所</w:t>
      </w:r>
      <w:r>
        <w:rPr>
          <w:rFonts w:hint="eastAsia" w:eastAsia="仿宋_GB2312"/>
          <w:color w:val="auto"/>
          <w:sz w:val="24"/>
        </w:rPr>
        <w:t>改善。</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2022年，我市共对23条主要河流的51个断面水质进行了监测，其中41个断面水质类别与2021年相比保持稳定；共有50个断面水质达标，达标率为98%，与2021年相比增加4%。年均值水质优良符合Ⅰ-Ⅲ类的共有48个断面占比94%，与2021年相比提升2%。</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全市地表水河流总体水质为优</w:t>
      </w:r>
      <w:r>
        <w:rPr>
          <w:rFonts w:hint="eastAsia" w:eastAsia="仿宋_GB2312"/>
          <w:color w:val="auto"/>
          <w:sz w:val="24"/>
          <w:lang w:eastAsia="zh-CN"/>
        </w:rPr>
        <w:t>，</w:t>
      </w:r>
      <w:r>
        <w:rPr>
          <w:rFonts w:hint="eastAsia" w:eastAsia="仿宋_GB2312"/>
          <w:color w:val="auto"/>
          <w:sz w:val="24"/>
        </w:rPr>
        <w:t>无劣Ⅴ类河流。24条河流中有20条河流水质为“优”，3条河流水质为“良”，1条河流为“轻度污染”。达优率为83%，与2021年相比持平；优良率为95.8%，与2021年相比下降4.2%。</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2022年纳入国家考核的16个地表水断面水质优良率为100%，与2021年相比，清江宜都清江大桥断面水质有所变差，水质类别由Ⅰ类下降至Ⅱ类、沮漳河荆州河口断面水质有所好转，水质类别由Ⅲ类提升至Ⅱ类；纳入湖北省考核的34个（包括国考断面16个）断面水质优良率为100%。</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为了解水体环境质量现状，本评价采用宜昌市生态环境局官网公示的《202</w:t>
      </w:r>
      <w:r>
        <w:rPr>
          <w:rFonts w:hint="eastAsia" w:eastAsia="仿宋_GB2312"/>
          <w:color w:val="auto"/>
          <w:sz w:val="24"/>
          <w:lang w:val="en-US" w:eastAsia="zh-CN"/>
        </w:rPr>
        <w:t>2</w:t>
      </w:r>
      <w:r>
        <w:rPr>
          <w:rFonts w:hint="eastAsia" w:eastAsia="仿宋_GB2312"/>
          <w:color w:val="auto"/>
          <w:sz w:val="24"/>
        </w:rPr>
        <w:t>年宜昌市环境质量年报》中地表水监测情况统计结果进行统计分析，见下表</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  </w:t>
      </w:r>
      <w:r>
        <w:rPr>
          <w:rFonts w:hint="eastAsia" w:eastAsia="黑体"/>
          <w:b/>
          <w:color w:val="auto"/>
          <w:szCs w:val="21"/>
          <w:lang w:val="en-US" w:eastAsia="zh-CN"/>
        </w:rPr>
        <w:t>常规监测数据一览表</w:t>
      </w:r>
    </w:p>
    <w:tbl>
      <w:tblPr>
        <w:tblStyle w:val="92"/>
        <w:tblW w:w="5121" w:type="pct"/>
        <w:tblInd w:w="-9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 w:type="dxa"/>
          <w:bottom w:w="0" w:type="dxa"/>
          <w:right w:w="10" w:type="dxa"/>
        </w:tblCellMar>
      </w:tblPr>
      <w:tblGrid>
        <w:gridCol w:w="2133"/>
        <w:gridCol w:w="2133"/>
        <w:gridCol w:w="2135"/>
        <w:gridCol w:w="21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河流名称</w:t>
            </w:r>
          </w:p>
        </w:tc>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监测断面</w:t>
            </w:r>
          </w:p>
        </w:tc>
        <w:tc>
          <w:tcPr>
            <w:tcW w:w="1250"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水环境功能区类别</w:t>
            </w:r>
          </w:p>
        </w:tc>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2022年监测类别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 w:type="dxa"/>
            <w:bottom w:w="0" w:type="dxa"/>
            <w:right w:w="10" w:type="dxa"/>
          </w:tblCellMar>
        </w:tblPrEx>
        <w:trPr>
          <w:trHeight w:val="369" w:hRule="atLeast"/>
        </w:trPr>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rFonts w:hint="default" w:eastAsia="宋体"/>
                <w:color w:val="auto"/>
                <w:kern w:val="0"/>
                <w:sz w:val="20"/>
                <w:lang w:val="en-US" w:eastAsia="zh-CN"/>
              </w:rPr>
            </w:pPr>
            <w:r>
              <w:rPr>
                <w:rFonts w:hint="eastAsia"/>
                <w:color w:val="auto"/>
                <w:kern w:val="0"/>
                <w:sz w:val="20"/>
                <w:lang w:val="en-US" w:eastAsia="zh-CN"/>
              </w:rPr>
              <w:t>长江</w:t>
            </w:r>
          </w:p>
        </w:tc>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rFonts w:hint="eastAsia"/>
                <w:color w:val="auto"/>
                <w:kern w:val="0"/>
                <w:sz w:val="20"/>
                <w:lang w:val="zh-CN"/>
              </w:rPr>
              <w:t>枝城洋溪村（右）</w:t>
            </w:r>
          </w:p>
        </w:tc>
        <w:tc>
          <w:tcPr>
            <w:tcW w:w="1250" w:type="pct"/>
            <w:tcBorders>
              <w:top w:val="single" w:color="auto" w:sz="12" w:space="0"/>
              <w:bottom w:val="single" w:color="auto" w:sz="12" w:space="0"/>
            </w:tcBorders>
            <w:noWrap w:val="0"/>
            <w:vAlign w:val="center"/>
          </w:tcPr>
          <w:p>
            <w:pPr>
              <w:widowControl w:val="0"/>
              <w:autoSpaceDE w:val="0"/>
              <w:autoSpaceDN w:val="0"/>
              <w:adjustRightInd w:val="0"/>
              <w:jc w:val="center"/>
              <w:rPr>
                <w:color w:val="auto"/>
                <w:kern w:val="0"/>
                <w:sz w:val="20"/>
                <w:lang w:val="zh-CN"/>
              </w:rPr>
            </w:pPr>
            <w:r>
              <w:rPr>
                <w:rFonts w:hint="eastAsia" w:ascii="宋体" w:hAnsi="宋体" w:eastAsia="宋体" w:cs="宋体"/>
                <w:color w:val="auto"/>
                <w:kern w:val="0"/>
                <w:sz w:val="20"/>
                <w:lang w:val="zh-CN"/>
              </w:rPr>
              <w:t>Ⅱ</w:t>
            </w:r>
            <w:r>
              <w:rPr>
                <w:rFonts w:hint="eastAsia" w:ascii="宋体" w:hAnsi="宋体" w:cs="宋体"/>
                <w:color w:val="auto"/>
                <w:kern w:val="0"/>
                <w:sz w:val="20"/>
                <w:lang w:val="en-US" w:eastAsia="zh-CN"/>
              </w:rPr>
              <w:t>类</w:t>
            </w:r>
          </w:p>
        </w:tc>
        <w:tc>
          <w:tcPr>
            <w:tcW w:w="1249" w:type="pct"/>
            <w:tcBorders>
              <w:top w:val="single" w:color="auto" w:sz="12" w:space="0"/>
              <w:bottom w:val="single" w:color="auto" w:sz="12" w:space="0"/>
            </w:tcBorders>
            <w:noWrap w:val="0"/>
            <w:vAlign w:val="center"/>
          </w:tcPr>
          <w:p>
            <w:pPr>
              <w:widowControl w:val="0"/>
              <w:autoSpaceDE w:val="0"/>
              <w:autoSpaceDN w:val="0"/>
              <w:adjustRightInd w:val="0"/>
              <w:jc w:val="center"/>
              <w:rPr>
                <w:rFonts w:hint="eastAsia" w:eastAsia="宋体"/>
                <w:color w:val="auto"/>
                <w:kern w:val="0"/>
                <w:sz w:val="20"/>
                <w:lang w:val="en-US" w:eastAsia="zh-CN"/>
              </w:rPr>
            </w:pPr>
            <w:r>
              <w:rPr>
                <w:rFonts w:hint="eastAsia" w:ascii="宋体" w:hAnsi="宋体" w:eastAsia="宋体" w:cs="宋体"/>
                <w:color w:val="auto"/>
                <w:kern w:val="0"/>
                <w:sz w:val="20"/>
                <w:lang w:val="zh-CN"/>
              </w:rPr>
              <w:t>Ⅱ</w:t>
            </w:r>
            <w:r>
              <w:rPr>
                <w:rFonts w:hint="eastAsia" w:ascii="宋体" w:hAnsi="宋体" w:cs="宋体"/>
                <w:color w:val="auto"/>
                <w:kern w:val="0"/>
                <w:sz w:val="20"/>
                <w:lang w:val="en-US" w:eastAsia="zh-CN"/>
              </w:rPr>
              <w:t>类</w:t>
            </w:r>
          </w:p>
        </w:tc>
      </w:tr>
    </w:tbl>
    <w:p>
      <w:pPr>
        <w:widowControl w:val="0"/>
        <w:spacing w:line="360" w:lineRule="auto"/>
        <w:ind w:firstLine="480" w:firstLineChars="200"/>
        <w:jc w:val="both"/>
        <w:rPr>
          <w:rFonts w:hint="eastAsia" w:eastAsia="仿宋_GB2312"/>
          <w:color w:val="auto"/>
          <w:sz w:val="24"/>
          <w:lang w:eastAsia="zh-CN"/>
        </w:rPr>
      </w:pPr>
      <w:r>
        <w:rPr>
          <w:rFonts w:hint="default" w:eastAsia="仿宋_GB2312"/>
          <w:color w:val="auto"/>
          <w:sz w:val="24"/>
          <w:lang w:eastAsia="zh-CN"/>
        </w:rPr>
        <w:t>由上表可知，202</w:t>
      </w:r>
      <w:r>
        <w:rPr>
          <w:rFonts w:hint="eastAsia" w:eastAsia="仿宋_GB2312"/>
          <w:color w:val="auto"/>
          <w:sz w:val="24"/>
          <w:lang w:val="en-US" w:eastAsia="zh-CN"/>
        </w:rPr>
        <w:t>2</w:t>
      </w:r>
      <w:r>
        <w:rPr>
          <w:rFonts w:hint="default" w:eastAsia="仿宋_GB2312"/>
          <w:color w:val="auto"/>
          <w:sz w:val="24"/>
          <w:lang w:eastAsia="zh-CN"/>
        </w:rPr>
        <w:t>年长江枝城洋溪村（右）断面水质达到Ⅱ类水质标准</w:t>
      </w:r>
      <w:r>
        <w:rPr>
          <w:rFonts w:hint="default" w:eastAsia="仿宋_GB2312"/>
          <w:color w:val="auto"/>
          <w:sz w:val="24"/>
          <w:lang w:val="en-US" w:eastAsia="zh-CN"/>
        </w:rPr>
        <w:t>要求</w:t>
      </w:r>
      <w:r>
        <w:rPr>
          <w:rFonts w:hint="eastAsia" w:eastAsia="仿宋_GB2312"/>
          <w:color w:val="auto"/>
          <w:sz w:val="24"/>
          <w:lang w:val="en-US"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4.3.2.7水环境现状监测</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（1）监测断面</w:t>
      </w:r>
    </w:p>
    <w:p>
      <w:pPr>
        <w:widowControl w:val="0"/>
        <w:spacing w:line="360" w:lineRule="auto"/>
        <w:ind w:firstLine="480" w:firstLineChars="200"/>
        <w:jc w:val="both"/>
        <w:rPr>
          <w:rFonts w:hint="default" w:eastAsia="仿宋_GB2312"/>
          <w:color w:val="auto"/>
          <w:sz w:val="24"/>
          <w:lang w:eastAsia="zh-CN"/>
        </w:rPr>
      </w:pPr>
      <w:r>
        <w:rPr>
          <w:rFonts w:hint="default" w:eastAsia="仿宋_GB2312"/>
          <w:color w:val="auto"/>
          <w:sz w:val="24"/>
          <w:lang w:eastAsia="zh-CN"/>
        </w:rPr>
        <w:t>本项目布设3条监测断面，具体位置为：</w:t>
      </w:r>
      <w:r>
        <w:rPr>
          <w:rFonts w:hint="eastAsia" w:eastAsia="仿宋_GB2312"/>
          <w:color w:val="auto"/>
          <w:sz w:val="24"/>
          <w:lang w:val="en-US" w:eastAsia="zh-CN"/>
        </w:rPr>
        <w:t>码头上游500m处、技改项目</w:t>
      </w:r>
      <w:r>
        <w:rPr>
          <w:rFonts w:hint="default" w:eastAsia="仿宋_GB2312"/>
          <w:color w:val="auto"/>
          <w:sz w:val="24"/>
          <w:lang w:eastAsia="zh-CN"/>
        </w:rPr>
        <w:t>码头中心线</w:t>
      </w:r>
      <w:r>
        <w:rPr>
          <w:rFonts w:hint="eastAsia" w:eastAsia="仿宋_GB2312"/>
          <w:color w:val="auto"/>
          <w:sz w:val="24"/>
          <w:lang w:val="en-US" w:eastAsia="zh-CN"/>
        </w:rPr>
        <w:t>处、</w:t>
      </w:r>
      <w:r>
        <w:rPr>
          <w:rFonts w:hint="default" w:eastAsia="仿宋_GB2312"/>
          <w:color w:val="auto"/>
          <w:sz w:val="24"/>
          <w:lang w:eastAsia="zh-CN"/>
        </w:rPr>
        <w:t>码头下游</w:t>
      </w:r>
      <w:r>
        <w:rPr>
          <w:rFonts w:hint="eastAsia" w:eastAsia="仿宋_GB2312"/>
          <w:color w:val="auto"/>
          <w:sz w:val="24"/>
          <w:lang w:val="en-US" w:eastAsia="zh-CN"/>
        </w:rPr>
        <w:t>10</w:t>
      </w:r>
      <w:r>
        <w:rPr>
          <w:rFonts w:hint="default" w:eastAsia="仿宋_GB2312"/>
          <w:color w:val="auto"/>
          <w:sz w:val="24"/>
          <w:lang w:eastAsia="zh-CN"/>
        </w:rPr>
        <w:t>00m各设1条监测断面。断面W1、W2距离岸边50米、中泓线处各设1条垂线，每垂线取表层、中层和底层混合样。地表水现状监测点位见下表。</w:t>
      </w:r>
    </w:p>
    <w:p>
      <w:pPr>
        <w:widowControl w:val="0"/>
        <w:spacing w:line="360" w:lineRule="auto"/>
        <w:jc w:val="center"/>
        <w:rPr>
          <w:rFonts w:hint="default" w:eastAsia="黑体"/>
          <w:b/>
          <w:color w:val="auto"/>
          <w:szCs w:val="21"/>
          <w:lang w:eastAsia="zh-CN"/>
        </w:rPr>
      </w:pPr>
      <w:r>
        <w:rPr>
          <w:rFonts w:hint="default" w:eastAsia="黑体"/>
          <w:b/>
          <w:color w:val="auto"/>
          <w:szCs w:val="21"/>
          <w:lang w:eastAsia="zh-CN"/>
        </w:rPr>
        <w:t>表4.</w:t>
      </w:r>
      <w:r>
        <w:rPr>
          <w:rFonts w:hint="eastAsia" w:eastAsia="黑体"/>
          <w:b/>
          <w:color w:val="auto"/>
          <w:szCs w:val="21"/>
          <w:lang w:val="en-US" w:eastAsia="zh-CN"/>
        </w:rPr>
        <w:t>3</w:t>
      </w:r>
      <w:r>
        <w:rPr>
          <w:rFonts w:hint="default" w:eastAsia="黑体"/>
          <w:b/>
          <w:color w:val="auto"/>
          <w:szCs w:val="21"/>
          <w:lang w:eastAsia="zh-CN"/>
        </w:rPr>
        <w:t>-</w:t>
      </w:r>
      <w:r>
        <w:rPr>
          <w:rFonts w:hint="eastAsia" w:eastAsia="黑体"/>
          <w:b/>
          <w:color w:val="auto"/>
          <w:szCs w:val="21"/>
          <w:lang w:val="en-US" w:eastAsia="zh-CN"/>
        </w:rPr>
        <w:t>5</w:t>
      </w:r>
      <w:r>
        <w:rPr>
          <w:rFonts w:hint="default" w:eastAsia="黑体"/>
          <w:b/>
          <w:color w:val="auto"/>
          <w:szCs w:val="21"/>
          <w:lang w:eastAsia="zh-CN"/>
        </w:rPr>
        <w:t xml:space="preserve">  地表水现状监测点位一览表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830"/>
        <w:gridCol w:w="2910"/>
        <w:gridCol w:w="2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62" w:type="dxa"/>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点位编号</w:t>
            </w:r>
          </w:p>
        </w:tc>
        <w:tc>
          <w:tcPr>
            <w:tcW w:w="1830" w:type="dxa"/>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default" w:ascii="Times New Roman" w:hAnsi="Times New Roman" w:eastAsia="宋体" w:cs="Times New Roman"/>
                <w:b w:val="0"/>
                <w:bCs w:val="0"/>
                <w:color w:val="auto"/>
                <w:sz w:val="20"/>
                <w:szCs w:val="20"/>
              </w:rPr>
              <w:t>监测点位名称</w:t>
            </w:r>
          </w:p>
        </w:tc>
        <w:tc>
          <w:tcPr>
            <w:tcW w:w="2910" w:type="dxa"/>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lang w:val="en-US" w:eastAsia="zh-CN"/>
              </w:rPr>
              <w:t>断面</w:t>
            </w:r>
            <w:r>
              <w:rPr>
                <w:rFonts w:hint="default" w:ascii="Times New Roman" w:hAnsi="Times New Roman" w:eastAsia="宋体" w:cs="Times New Roman"/>
                <w:b w:val="0"/>
                <w:bCs w:val="0"/>
                <w:color w:val="auto"/>
                <w:sz w:val="20"/>
                <w:szCs w:val="20"/>
              </w:rPr>
              <w:t>地理坐标</w:t>
            </w:r>
          </w:p>
        </w:tc>
        <w:tc>
          <w:tcPr>
            <w:tcW w:w="2726" w:type="dxa"/>
            <w:tcBorders>
              <w:bottom w:val="single" w:color="auto" w:sz="12" w:space="0"/>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采样位置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62" w:type="dxa"/>
            <w:tcBorders>
              <w:top w:val="single" w:color="auto" w:sz="12" w:space="0"/>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W1</w:t>
            </w:r>
          </w:p>
        </w:tc>
        <w:tc>
          <w:tcPr>
            <w:tcW w:w="1830" w:type="dxa"/>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w:t>
            </w:r>
            <w:r>
              <w:rPr>
                <w:rFonts w:hint="default" w:ascii="Times New Roman" w:hAnsi="Times New Roman" w:eastAsia="宋体" w:cs="Times New Roman"/>
                <w:b w:val="0"/>
                <w:bCs w:val="0"/>
                <w:iCs/>
                <w:color w:val="auto"/>
                <w:kern w:val="2"/>
                <w:sz w:val="20"/>
                <w:szCs w:val="20"/>
                <w:lang w:val="en-US" w:eastAsia="zh-CN" w:bidi="ar-SA"/>
              </w:rPr>
              <w:t>上游500</w:t>
            </w:r>
            <w:r>
              <w:rPr>
                <w:rFonts w:hint="eastAsia" w:cs="Times New Roman"/>
                <w:b w:val="0"/>
                <w:bCs w:val="0"/>
                <w:iCs/>
                <w:color w:val="auto"/>
                <w:kern w:val="2"/>
                <w:sz w:val="20"/>
                <w:szCs w:val="20"/>
                <w:lang w:val="en-US" w:eastAsia="zh-CN" w:bidi="ar-SA"/>
              </w:rPr>
              <w:t>m</w:t>
            </w:r>
          </w:p>
        </w:tc>
        <w:tc>
          <w:tcPr>
            <w:tcW w:w="2910" w:type="dxa"/>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111.56042218°、30.25561052°</w:t>
            </w:r>
          </w:p>
        </w:tc>
        <w:tc>
          <w:tcPr>
            <w:tcW w:w="2726" w:type="dxa"/>
            <w:vMerge w:val="restar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各断面设2条采样垂线，每条垂线上取上、中、下层混合样。在每断面距离岸边50米、中泓线处各设1条垂线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62" w:type="dxa"/>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W2</w:t>
            </w:r>
          </w:p>
        </w:tc>
        <w:tc>
          <w:tcPr>
            <w:tcW w:w="1830" w:type="dxa"/>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拟建码头中心线处</w:t>
            </w:r>
          </w:p>
        </w:tc>
        <w:tc>
          <w:tcPr>
            <w:tcW w:w="2910" w:type="dxa"/>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111.56607091°、30.25352996°</w:t>
            </w:r>
          </w:p>
        </w:tc>
        <w:tc>
          <w:tcPr>
            <w:tcW w:w="2726" w:type="dxa"/>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062" w:type="dxa"/>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W3</w:t>
            </w:r>
          </w:p>
        </w:tc>
        <w:tc>
          <w:tcPr>
            <w:tcW w:w="1830" w:type="dxa"/>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w:t>
            </w:r>
            <w:r>
              <w:rPr>
                <w:rFonts w:hint="default" w:ascii="Times New Roman" w:hAnsi="Times New Roman" w:eastAsia="宋体" w:cs="Times New Roman"/>
                <w:b w:val="0"/>
                <w:bCs w:val="0"/>
                <w:iCs/>
                <w:color w:val="auto"/>
                <w:kern w:val="2"/>
                <w:sz w:val="20"/>
                <w:szCs w:val="20"/>
                <w:lang w:val="en-US" w:eastAsia="zh-CN" w:bidi="ar-SA"/>
              </w:rPr>
              <w:t>下游</w:t>
            </w:r>
            <w:r>
              <w:rPr>
                <w:rFonts w:hint="eastAsia" w:cs="Times New Roman"/>
                <w:b w:val="0"/>
                <w:bCs w:val="0"/>
                <w:iCs/>
                <w:color w:val="auto"/>
                <w:kern w:val="2"/>
                <w:sz w:val="20"/>
                <w:szCs w:val="20"/>
                <w:lang w:val="en-US" w:eastAsia="zh-CN" w:bidi="ar-SA"/>
              </w:rPr>
              <w:t>10</w:t>
            </w:r>
            <w:r>
              <w:rPr>
                <w:rFonts w:hint="default" w:ascii="Times New Roman" w:hAnsi="Times New Roman" w:eastAsia="宋体" w:cs="Times New Roman"/>
                <w:b w:val="0"/>
                <w:bCs w:val="0"/>
                <w:iCs/>
                <w:color w:val="auto"/>
                <w:kern w:val="2"/>
                <w:sz w:val="20"/>
                <w:szCs w:val="20"/>
                <w:lang w:val="en-US" w:eastAsia="zh-CN" w:bidi="ar-SA"/>
              </w:rPr>
              <w:t>00m</w:t>
            </w:r>
          </w:p>
        </w:tc>
        <w:tc>
          <w:tcPr>
            <w:tcW w:w="2910" w:type="dxa"/>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111.57793164°、30.25384969°</w:t>
            </w:r>
          </w:p>
        </w:tc>
        <w:tc>
          <w:tcPr>
            <w:tcW w:w="2726" w:type="dxa"/>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p>
        </w:tc>
      </w:tr>
    </w:tbl>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（2）监测因子</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pH值、化学需氧量、五日生化需氧量、氨氮、总氮、总磷、高锰酸盐指数、粪大肠菌群，共8项指标</w:t>
      </w:r>
      <w:r>
        <w:rPr>
          <w:rFonts w:hint="eastAsia" w:eastAsia="仿宋_GB2312"/>
          <w:color w:val="auto"/>
          <w:sz w:val="24"/>
          <w:lang w:eastAsia="zh-CN"/>
        </w:rPr>
        <w:t>。</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（3）监测时间及监测方法</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val="en-US" w:eastAsia="zh-CN"/>
        </w:rPr>
        <w:t>武汉珺腾检测技术有限公司于2023年4月8日至4月10日对3个断面进行了连续3天的监测，每天监测1次</w:t>
      </w:r>
      <w:r>
        <w:rPr>
          <w:rFonts w:hint="eastAsia" w:eastAsia="仿宋_GB2312"/>
          <w:color w:val="auto"/>
          <w:sz w:val="24"/>
          <w:lang w:eastAsia="zh-CN"/>
        </w:rPr>
        <w:t>。水质采样及分析方法按《环境监测技术规范》和《水和废水监测分析方法》执行，地表水监测分析具体方法</w:t>
      </w:r>
      <w:r>
        <w:rPr>
          <w:rFonts w:eastAsia="仿宋_GB2312"/>
          <w:color w:val="auto"/>
          <w:sz w:val="24"/>
        </w:rPr>
        <w:t>见表4.</w:t>
      </w:r>
      <w:r>
        <w:rPr>
          <w:rFonts w:hint="eastAsia" w:eastAsia="仿宋_GB2312"/>
          <w:color w:val="auto"/>
          <w:sz w:val="24"/>
          <w:lang w:val="en-US" w:eastAsia="zh-CN"/>
        </w:rPr>
        <w:t>3</w:t>
      </w:r>
      <w:r>
        <w:rPr>
          <w:rFonts w:eastAsia="仿宋_GB2312"/>
          <w:color w:val="auto"/>
          <w:sz w:val="24"/>
        </w:rPr>
        <w:t>-</w:t>
      </w:r>
      <w:r>
        <w:rPr>
          <w:rFonts w:hint="eastAsia" w:eastAsia="仿宋_GB2312"/>
          <w:color w:val="auto"/>
          <w:sz w:val="24"/>
        </w:rPr>
        <w:t>6</w:t>
      </w:r>
      <w:r>
        <w:rPr>
          <w:rFonts w:eastAsia="仿宋_GB2312"/>
          <w:color w:val="auto"/>
          <w:sz w:val="24"/>
        </w:rPr>
        <w:t>。</w:t>
      </w:r>
    </w:p>
    <w:p>
      <w:pPr>
        <w:spacing w:line="360" w:lineRule="auto"/>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rPr>
        <w:t>6</w:t>
      </w:r>
      <w:r>
        <w:rPr>
          <w:rFonts w:eastAsia="黑体"/>
          <w:b/>
          <w:color w:val="auto"/>
          <w:szCs w:val="21"/>
        </w:rPr>
        <w:t xml:space="preserve">  地表水监测因子监测方法一览表</w:t>
      </w:r>
    </w:p>
    <w:tbl>
      <w:tblPr>
        <w:tblStyle w:val="92"/>
        <w:tblW w:w="86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94"/>
        <w:gridCol w:w="3119"/>
        <w:gridCol w:w="2466"/>
        <w:gridCol w:w="12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tcBorders>
              <w:top w:val="single" w:color="auto" w:sz="12" w:space="0"/>
              <w:bottom w:val="single" w:color="auto" w:sz="12" w:space="0"/>
            </w:tcBorders>
            <w:noWrap w:val="0"/>
            <w:vAlign w:val="center"/>
          </w:tcPr>
          <w:p>
            <w:pPr>
              <w:widowControl w:val="0"/>
              <w:jc w:val="center"/>
              <w:rPr>
                <w:bCs/>
                <w:color w:val="auto"/>
                <w:sz w:val="20"/>
              </w:rPr>
            </w:pPr>
            <w:r>
              <w:rPr>
                <w:bCs/>
                <w:color w:val="auto"/>
                <w:sz w:val="20"/>
              </w:rPr>
              <w:t>监测项目</w:t>
            </w:r>
          </w:p>
        </w:tc>
        <w:tc>
          <w:tcPr>
            <w:tcW w:w="3119" w:type="dxa"/>
            <w:tcBorders>
              <w:top w:val="single" w:color="auto" w:sz="12" w:space="0"/>
              <w:bottom w:val="single" w:color="auto" w:sz="12" w:space="0"/>
            </w:tcBorders>
            <w:noWrap w:val="0"/>
            <w:vAlign w:val="center"/>
          </w:tcPr>
          <w:p>
            <w:pPr>
              <w:widowControl w:val="0"/>
              <w:jc w:val="center"/>
              <w:rPr>
                <w:bCs/>
                <w:color w:val="auto"/>
                <w:sz w:val="20"/>
              </w:rPr>
            </w:pPr>
            <w:r>
              <w:rPr>
                <w:bCs/>
                <w:color w:val="auto"/>
                <w:sz w:val="20"/>
              </w:rPr>
              <w:t>分析方法、依据</w:t>
            </w:r>
          </w:p>
        </w:tc>
        <w:tc>
          <w:tcPr>
            <w:tcW w:w="2466" w:type="dxa"/>
            <w:tcBorders>
              <w:top w:val="single" w:color="auto" w:sz="12" w:space="0"/>
              <w:bottom w:val="single" w:color="auto" w:sz="12" w:space="0"/>
            </w:tcBorders>
            <w:noWrap w:val="0"/>
            <w:vAlign w:val="center"/>
          </w:tcPr>
          <w:p>
            <w:pPr>
              <w:widowControl w:val="0"/>
              <w:jc w:val="center"/>
              <w:rPr>
                <w:bCs/>
                <w:color w:val="auto"/>
                <w:sz w:val="20"/>
              </w:rPr>
            </w:pPr>
            <w:r>
              <w:rPr>
                <w:bCs/>
                <w:color w:val="auto"/>
                <w:sz w:val="20"/>
              </w:rPr>
              <w:t>仪器名称、型号及编号</w:t>
            </w:r>
          </w:p>
        </w:tc>
        <w:tc>
          <w:tcPr>
            <w:tcW w:w="1276" w:type="dxa"/>
            <w:tcBorders>
              <w:top w:val="single" w:color="auto" w:sz="12" w:space="0"/>
              <w:bottom w:val="single" w:color="auto" w:sz="12" w:space="0"/>
            </w:tcBorders>
            <w:noWrap w:val="0"/>
            <w:vAlign w:val="center"/>
          </w:tcPr>
          <w:p>
            <w:pPr>
              <w:widowControl w:val="0"/>
              <w:jc w:val="center"/>
              <w:rPr>
                <w:bCs/>
                <w:color w:val="auto"/>
                <w:sz w:val="20"/>
              </w:rPr>
            </w:pPr>
            <w:r>
              <w:rPr>
                <w:color w:val="auto"/>
                <w:sz w:val="20"/>
              </w:rPr>
              <w:t>方法检出限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tcBorders>
              <w:top w:val="single" w:color="auto" w:sz="12" w:space="0"/>
            </w:tcBorders>
            <w:noWrap w:val="0"/>
            <w:vAlign w:val="center"/>
          </w:tcPr>
          <w:p>
            <w:pPr>
              <w:widowControl w:val="0"/>
              <w:jc w:val="center"/>
              <w:rPr>
                <w:rFonts w:ascii="Times New Roman" w:hAnsi="Times New Roman" w:eastAsia="宋体" w:cs="Times New Roman"/>
                <w:color w:val="auto"/>
                <w:kern w:val="2"/>
                <w:sz w:val="20"/>
                <w:lang w:val="en-US" w:eastAsia="zh-CN" w:bidi="ar-SA"/>
              </w:rPr>
            </w:pPr>
            <w:r>
              <w:rPr>
                <w:color w:val="auto"/>
                <w:sz w:val="20"/>
              </w:rPr>
              <w:t>pH</w:t>
            </w:r>
          </w:p>
        </w:tc>
        <w:tc>
          <w:tcPr>
            <w:tcW w:w="3119" w:type="dxa"/>
            <w:tcBorders>
              <w:top w:val="single" w:color="auto" w:sz="12" w:space="0"/>
            </w:tcBorders>
            <w:noWrap w:val="0"/>
            <w:vAlign w:val="center"/>
          </w:tcPr>
          <w:p>
            <w:pPr>
              <w:widowControl w:val="0"/>
              <w:jc w:val="center"/>
              <w:rPr>
                <w:rFonts w:hint="eastAsia"/>
                <w:color w:val="auto"/>
                <w:sz w:val="20"/>
              </w:rPr>
            </w:pPr>
            <w:r>
              <w:rPr>
                <w:rFonts w:hint="eastAsia"/>
                <w:color w:val="auto"/>
                <w:sz w:val="20"/>
              </w:rPr>
              <w:t>水质pH值的测定  电极法</w:t>
            </w:r>
          </w:p>
          <w:p>
            <w:pPr>
              <w:widowControl w:val="0"/>
              <w:jc w:val="center"/>
              <w:rPr>
                <w:rFonts w:hint="default"/>
                <w:color w:val="auto"/>
                <w:sz w:val="20"/>
                <w:lang w:val="en-US" w:eastAsia="zh-CN"/>
              </w:rPr>
            </w:pPr>
            <w:r>
              <w:rPr>
                <w:rFonts w:hint="eastAsia"/>
                <w:color w:val="auto"/>
                <w:sz w:val="20"/>
                <w:lang w:val="en-US" w:eastAsia="zh-CN"/>
              </w:rPr>
              <w:t>HJ 1147-2020</w:t>
            </w:r>
          </w:p>
        </w:tc>
        <w:tc>
          <w:tcPr>
            <w:tcW w:w="2466" w:type="dxa"/>
            <w:tcBorders>
              <w:top w:val="single" w:color="auto" w:sz="12" w:space="0"/>
            </w:tcBorders>
            <w:noWrap w:val="0"/>
            <w:vAlign w:val="center"/>
          </w:tcPr>
          <w:p>
            <w:pPr>
              <w:widowControl w:val="0"/>
              <w:jc w:val="center"/>
              <w:rPr>
                <w:color w:val="auto"/>
                <w:sz w:val="20"/>
                <w:lang w:val="en-US" w:eastAsia="zh-CN"/>
              </w:rPr>
            </w:pPr>
            <w:r>
              <w:rPr>
                <w:rFonts w:hint="eastAsia"/>
                <w:color w:val="auto"/>
                <w:sz w:val="20"/>
              </w:rPr>
              <w:t>SX751 pH/ORP/电导率/溶解氧测量仪/JTTX-034</w:t>
            </w:r>
          </w:p>
        </w:tc>
        <w:tc>
          <w:tcPr>
            <w:tcW w:w="1276" w:type="dxa"/>
            <w:tcBorders>
              <w:top w:val="single" w:color="auto" w:sz="12" w:space="0"/>
            </w:tcBorders>
            <w:noWrap w:val="0"/>
            <w:vAlign w:val="center"/>
          </w:tcPr>
          <w:p>
            <w:pPr>
              <w:widowControl w:val="0"/>
              <w:jc w:val="center"/>
              <w:rPr>
                <w:rFonts w:hint="eastAsia"/>
                <w:color w:val="auto"/>
                <w:sz w:val="20"/>
              </w:rPr>
            </w:pPr>
            <w:r>
              <w:rPr>
                <w:rFonts w:hint="eastAsia"/>
                <w:color w:val="auto"/>
                <w:sz w:val="20"/>
              </w:rPr>
              <w:t>0.01</w:t>
            </w:r>
          </w:p>
          <w:p>
            <w:pPr>
              <w:widowControl w:val="0"/>
              <w:jc w:val="center"/>
              <w:rPr>
                <w:color w:val="auto"/>
                <w:sz w:val="20"/>
                <w:lang w:val="en-US" w:eastAsia="zh-CN"/>
              </w:rPr>
            </w:pPr>
            <w:r>
              <w:rPr>
                <w:rFonts w:hint="eastAsia"/>
                <w:color w:val="auto"/>
                <w:sz w:val="20"/>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color w:val="auto"/>
                <w:sz w:val="20"/>
              </w:rPr>
            </w:pPr>
            <w:r>
              <w:rPr>
                <w:rFonts w:hint="eastAsia"/>
                <w:color w:val="auto"/>
                <w:sz w:val="20"/>
              </w:rPr>
              <w:t>高锰酸盐指数</w:t>
            </w:r>
          </w:p>
        </w:tc>
        <w:tc>
          <w:tcPr>
            <w:tcW w:w="3119" w:type="dxa"/>
            <w:noWrap w:val="0"/>
            <w:vAlign w:val="center"/>
          </w:tcPr>
          <w:p>
            <w:pPr>
              <w:widowControl w:val="0"/>
              <w:jc w:val="center"/>
              <w:rPr>
                <w:color w:val="auto"/>
                <w:sz w:val="20"/>
              </w:rPr>
            </w:pPr>
            <w:r>
              <w:rPr>
                <w:rFonts w:hint="eastAsia"/>
                <w:color w:val="auto"/>
                <w:sz w:val="20"/>
              </w:rPr>
              <w:t>水质 高锰酸盐指数的测定 滴定法</w:t>
            </w:r>
            <w:r>
              <w:rPr>
                <w:color w:val="auto"/>
                <w:sz w:val="20"/>
              </w:rPr>
              <w:t>GB 11892-89</w:t>
            </w:r>
          </w:p>
        </w:tc>
        <w:tc>
          <w:tcPr>
            <w:tcW w:w="2466" w:type="dxa"/>
            <w:noWrap w:val="0"/>
            <w:vAlign w:val="center"/>
          </w:tcPr>
          <w:p>
            <w:pPr>
              <w:widowControl w:val="0"/>
              <w:jc w:val="center"/>
              <w:rPr>
                <w:color w:val="auto"/>
                <w:sz w:val="20"/>
              </w:rPr>
            </w:pPr>
            <w:r>
              <w:rPr>
                <w:rFonts w:hint="eastAsia"/>
                <w:color w:val="auto"/>
                <w:sz w:val="20"/>
              </w:rPr>
              <w:t>玻璃器皿</w:t>
            </w:r>
          </w:p>
        </w:tc>
        <w:tc>
          <w:tcPr>
            <w:tcW w:w="1276" w:type="dxa"/>
            <w:noWrap w:val="0"/>
            <w:vAlign w:val="center"/>
          </w:tcPr>
          <w:p>
            <w:pPr>
              <w:widowControl w:val="0"/>
              <w:jc w:val="center"/>
              <w:rPr>
                <w:color w:val="auto"/>
                <w:sz w:val="20"/>
              </w:rPr>
            </w:pPr>
            <w:r>
              <w:rPr>
                <w:color w:val="auto"/>
                <w:sz w:val="20"/>
              </w:rPr>
              <w:t>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color w:val="auto"/>
                <w:sz w:val="20"/>
              </w:rPr>
              <w:t>溶解氧</w:t>
            </w:r>
          </w:p>
        </w:tc>
        <w:tc>
          <w:tcPr>
            <w:tcW w:w="3119" w:type="dxa"/>
            <w:noWrap w:val="0"/>
            <w:vAlign w:val="center"/>
          </w:tcPr>
          <w:p>
            <w:pPr>
              <w:widowControl w:val="0"/>
              <w:jc w:val="center"/>
              <w:rPr>
                <w:rFonts w:hint="eastAsia"/>
                <w:color w:val="auto"/>
                <w:sz w:val="20"/>
                <w:lang w:val="en-US" w:eastAsia="zh-CN"/>
              </w:rPr>
            </w:pPr>
            <w:r>
              <w:rPr>
                <w:rFonts w:hint="eastAsia"/>
                <w:color w:val="auto"/>
                <w:sz w:val="20"/>
              </w:rPr>
              <w:t>水质 溶解氧的测定 电化学探头法</w:t>
            </w:r>
            <w:r>
              <w:rPr>
                <w:color w:val="auto"/>
                <w:sz w:val="20"/>
              </w:rPr>
              <w:t>HJ 506-2009</w:t>
            </w:r>
          </w:p>
        </w:tc>
        <w:tc>
          <w:tcPr>
            <w:tcW w:w="2466" w:type="dxa"/>
            <w:noWrap w:val="0"/>
            <w:vAlign w:val="center"/>
          </w:tcPr>
          <w:p>
            <w:pPr>
              <w:widowControl w:val="0"/>
              <w:jc w:val="center"/>
              <w:rPr>
                <w:rFonts w:hint="eastAsia"/>
                <w:color w:val="auto"/>
                <w:sz w:val="20"/>
                <w:lang w:val="en-US" w:eastAsia="zh-CN"/>
              </w:rPr>
            </w:pPr>
            <w:r>
              <w:rPr>
                <w:color w:val="auto"/>
                <w:sz w:val="20"/>
              </w:rPr>
              <w:t>A</w:t>
            </w:r>
            <w:r>
              <w:rPr>
                <w:rFonts w:hint="eastAsia"/>
                <w:color w:val="auto"/>
                <w:sz w:val="20"/>
              </w:rPr>
              <w:t>SX751 pH/ORP/电导率/溶解氧测量仪/JTTX-034</w:t>
            </w:r>
          </w:p>
        </w:tc>
        <w:tc>
          <w:tcPr>
            <w:tcW w:w="1276" w:type="dxa"/>
            <w:noWrap w:val="0"/>
            <w:vAlign w:val="center"/>
          </w:tcPr>
          <w:p>
            <w:pPr>
              <w:widowControl w:val="0"/>
              <w:jc w:val="center"/>
              <w:rPr>
                <w:rFonts w:hint="eastAsia"/>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color w:val="auto"/>
                <w:sz w:val="20"/>
              </w:rPr>
            </w:pPr>
            <w:r>
              <w:rPr>
                <w:rFonts w:hint="eastAsia"/>
                <w:color w:val="auto"/>
                <w:sz w:val="20"/>
              </w:rPr>
              <w:t>化学需氧量</w:t>
            </w:r>
          </w:p>
        </w:tc>
        <w:tc>
          <w:tcPr>
            <w:tcW w:w="3119" w:type="dxa"/>
            <w:noWrap w:val="0"/>
            <w:vAlign w:val="center"/>
          </w:tcPr>
          <w:p>
            <w:pPr>
              <w:widowControl w:val="0"/>
              <w:jc w:val="center"/>
              <w:rPr>
                <w:color w:val="auto"/>
                <w:sz w:val="20"/>
              </w:rPr>
            </w:pPr>
            <w:r>
              <w:rPr>
                <w:rFonts w:hint="eastAsia"/>
                <w:color w:val="auto"/>
                <w:sz w:val="20"/>
              </w:rPr>
              <w:t>水质 化学需氧量的测定 重铬酸盐法</w:t>
            </w:r>
            <w:r>
              <w:rPr>
                <w:color w:val="auto"/>
                <w:sz w:val="20"/>
              </w:rPr>
              <w:t>HJ 828-2017</w:t>
            </w:r>
          </w:p>
        </w:tc>
        <w:tc>
          <w:tcPr>
            <w:tcW w:w="2466" w:type="dxa"/>
            <w:noWrap w:val="0"/>
            <w:vAlign w:val="center"/>
          </w:tcPr>
          <w:p>
            <w:pPr>
              <w:widowControl w:val="0"/>
              <w:jc w:val="center"/>
              <w:rPr>
                <w:color w:val="auto"/>
                <w:sz w:val="20"/>
              </w:rPr>
            </w:pPr>
            <w:r>
              <w:rPr>
                <w:rFonts w:hint="eastAsia"/>
                <w:color w:val="auto"/>
                <w:sz w:val="20"/>
              </w:rPr>
              <w:t>玻璃器皿</w:t>
            </w:r>
          </w:p>
        </w:tc>
        <w:tc>
          <w:tcPr>
            <w:tcW w:w="1276" w:type="dxa"/>
            <w:noWrap w:val="0"/>
            <w:vAlign w:val="center"/>
          </w:tcPr>
          <w:p>
            <w:pPr>
              <w:widowControl w:val="0"/>
              <w:jc w:val="center"/>
              <w:rPr>
                <w:color w:val="auto"/>
                <w:sz w:val="20"/>
              </w:rPr>
            </w:pPr>
            <w:r>
              <w:rPr>
                <w:color w:val="auto"/>
                <w:sz w:val="20"/>
              </w:rPr>
              <w:t>4mg/L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color w:val="auto"/>
                <w:sz w:val="20"/>
              </w:rPr>
            </w:pPr>
            <w:r>
              <w:rPr>
                <w:rFonts w:hint="eastAsia"/>
                <w:color w:val="auto"/>
                <w:sz w:val="20"/>
              </w:rPr>
              <w:t>五日生化需氧量</w:t>
            </w:r>
          </w:p>
        </w:tc>
        <w:tc>
          <w:tcPr>
            <w:tcW w:w="3119" w:type="dxa"/>
            <w:noWrap w:val="0"/>
            <w:vAlign w:val="center"/>
          </w:tcPr>
          <w:p>
            <w:pPr>
              <w:widowControl w:val="0"/>
              <w:jc w:val="center"/>
              <w:rPr>
                <w:color w:val="auto"/>
                <w:sz w:val="20"/>
              </w:rPr>
            </w:pPr>
            <w:r>
              <w:rPr>
                <w:rFonts w:hint="eastAsia"/>
                <w:color w:val="auto"/>
                <w:sz w:val="20"/>
              </w:rPr>
              <w:t>水质 五日生化需氧量</w:t>
            </w:r>
            <w:r>
              <w:rPr>
                <w:color w:val="auto"/>
                <w:sz w:val="20"/>
              </w:rPr>
              <w:t>(BOD</w:t>
            </w:r>
            <w:r>
              <w:rPr>
                <w:color w:val="auto"/>
                <w:sz w:val="20"/>
                <w:vertAlign w:val="subscript"/>
              </w:rPr>
              <w:t>5</w:t>
            </w:r>
            <w:r>
              <w:rPr>
                <w:color w:val="auto"/>
                <w:sz w:val="20"/>
              </w:rPr>
              <w:t>)</w:t>
            </w:r>
            <w:r>
              <w:rPr>
                <w:rFonts w:hint="eastAsia"/>
                <w:color w:val="auto"/>
                <w:sz w:val="20"/>
              </w:rPr>
              <w:t xml:space="preserve">的测定 稀释与接种法 </w:t>
            </w:r>
            <w:r>
              <w:rPr>
                <w:color w:val="auto"/>
                <w:sz w:val="20"/>
              </w:rPr>
              <w:t>HJ505-2009</w:t>
            </w:r>
          </w:p>
        </w:tc>
        <w:tc>
          <w:tcPr>
            <w:tcW w:w="2466" w:type="dxa"/>
            <w:noWrap w:val="0"/>
            <w:vAlign w:val="center"/>
          </w:tcPr>
          <w:p>
            <w:pPr>
              <w:widowControl w:val="0"/>
              <w:jc w:val="center"/>
              <w:rPr>
                <w:color w:val="auto"/>
                <w:sz w:val="20"/>
              </w:rPr>
            </w:pPr>
            <w:r>
              <w:rPr>
                <w:rFonts w:hint="eastAsia"/>
                <w:color w:val="auto"/>
                <w:sz w:val="20"/>
              </w:rPr>
              <w:t>SPX-150B 生化培养箱/JTTS-039</w:t>
            </w:r>
          </w:p>
        </w:tc>
        <w:tc>
          <w:tcPr>
            <w:tcW w:w="1276" w:type="dxa"/>
            <w:noWrap w:val="0"/>
            <w:vAlign w:val="center"/>
          </w:tcPr>
          <w:p>
            <w:pPr>
              <w:widowControl w:val="0"/>
              <w:jc w:val="center"/>
              <w:rPr>
                <w:color w:val="auto"/>
                <w:sz w:val="20"/>
              </w:rPr>
            </w:pPr>
            <w:r>
              <w:rPr>
                <w:color w:val="auto"/>
                <w:sz w:val="20"/>
              </w:rPr>
              <w:t>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color w:val="auto"/>
                <w:sz w:val="20"/>
              </w:rPr>
            </w:pPr>
            <w:r>
              <w:rPr>
                <w:rFonts w:hint="eastAsia"/>
                <w:color w:val="auto"/>
                <w:sz w:val="20"/>
              </w:rPr>
              <w:t>氨氮</w:t>
            </w:r>
          </w:p>
        </w:tc>
        <w:tc>
          <w:tcPr>
            <w:tcW w:w="3119" w:type="dxa"/>
            <w:noWrap w:val="0"/>
            <w:vAlign w:val="center"/>
          </w:tcPr>
          <w:p>
            <w:pPr>
              <w:widowControl w:val="0"/>
              <w:jc w:val="center"/>
              <w:rPr>
                <w:color w:val="auto"/>
                <w:sz w:val="20"/>
              </w:rPr>
            </w:pPr>
            <w:r>
              <w:rPr>
                <w:rFonts w:hint="eastAsia"/>
                <w:color w:val="auto"/>
                <w:sz w:val="20"/>
              </w:rPr>
              <w:t>水质 氨氮的测定 纳氏试剂分光光度法</w:t>
            </w:r>
            <w:r>
              <w:rPr>
                <w:rFonts w:hint="eastAsia"/>
                <w:color w:val="auto"/>
                <w:sz w:val="20"/>
                <w:lang w:val="en-US" w:eastAsia="zh-CN"/>
              </w:rPr>
              <w:t xml:space="preserve"> </w:t>
            </w:r>
            <w:r>
              <w:rPr>
                <w:rFonts w:hint="eastAsia"/>
                <w:color w:val="auto"/>
                <w:sz w:val="20"/>
              </w:rPr>
              <w:t>HJ 535-2009</w:t>
            </w:r>
          </w:p>
        </w:tc>
        <w:tc>
          <w:tcPr>
            <w:tcW w:w="2466" w:type="dxa"/>
            <w:noWrap w:val="0"/>
            <w:vAlign w:val="center"/>
          </w:tcPr>
          <w:p>
            <w:pPr>
              <w:jc w:val="center"/>
              <w:rPr>
                <w:rFonts w:hint="eastAsia"/>
                <w:color w:val="auto"/>
                <w:sz w:val="20"/>
              </w:rPr>
            </w:pPr>
            <w:r>
              <w:rPr>
                <w:rFonts w:hint="eastAsia"/>
                <w:color w:val="auto"/>
                <w:sz w:val="20"/>
              </w:rPr>
              <w:t>UV1800PC 紫外可见分光光度计/JTTS-007</w:t>
            </w:r>
          </w:p>
        </w:tc>
        <w:tc>
          <w:tcPr>
            <w:tcW w:w="1276" w:type="dxa"/>
            <w:noWrap w:val="0"/>
            <w:vAlign w:val="center"/>
          </w:tcPr>
          <w:p>
            <w:pPr>
              <w:jc w:val="center"/>
              <w:rPr>
                <w:rFonts w:hint="eastAsia"/>
                <w:color w:val="auto"/>
                <w:sz w:val="20"/>
              </w:rPr>
            </w:pPr>
            <w:r>
              <w:rPr>
                <w:rFonts w:hint="eastAsia"/>
                <w:color w:val="auto"/>
                <w:sz w:val="20"/>
              </w:rPr>
              <w:t>0.0</w:t>
            </w:r>
            <w:r>
              <w:rPr>
                <w:rFonts w:hint="eastAsia"/>
                <w:color w:val="auto"/>
                <w:sz w:val="20"/>
                <w:lang w:val="en-US" w:eastAsia="zh-CN"/>
              </w:rPr>
              <w:t>2</w:t>
            </w:r>
            <w:r>
              <w:rPr>
                <w:rFonts w:hint="eastAsia"/>
                <w:color w:val="auto"/>
                <w:sz w:val="20"/>
              </w:rPr>
              <w:t>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rFonts w:hint="eastAsia" w:eastAsia="宋体"/>
                <w:color w:val="auto"/>
                <w:sz w:val="20"/>
                <w:lang w:eastAsia="zh-CN"/>
              </w:rPr>
            </w:pPr>
            <w:r>
              <w:rPr>
                <w:rFonts w:hint="eastAsia"/>
                <w:color w:val="auto"/>
                <w:sz w:val="20"/>
                <w:lang w:val="en-US" w:eastAsia="zh-CN"/>
              </w:rPr>
              <w:t>悬浮物</w:t>
            </w:r>
          </w:p>
        </w:tc>
        <w:tc>
          <w:tcPr>
            <w:tcW w:w="3119" w:type="dxa"/>
            <w:noWrap w:val="0"/>
            <w:vAlign w:val="center"/>
          </w:tcPr>
          <w:p>
            <w:pPr>
              <w:jc w:val="center"/>
              <w:rPr>
                <w:rFonts w:hint="eastAsia"/>
                <w:color w:val="auto"/>
                <w:sz w:val="20"/>
              </w:rPr>
            </w:pPr>
            <w:r>
              <w:rPr>
                <w:rFonts w:hint="eastAsia"/>
                <w:color w:val="auto"/>
                <w:sz w:val="20"/>
              </w:rPr>
              <w:t>水质 悬浮物的测定 重量法</w:t>
            </w:r>
            <w:r>
              <w:rPr>
                <w:rFonts w:hint="eastAsia"/>
                <w:color w:val="auto"/>
                <w:sz w:val="20"/>
                <w:lang w:val="en-US" w:eastAsia="zh-CN"/>
              </w:rPr>
              <w:t xml:space="preserve"> </w:t>
            </w:r>
            <w:r>
              <w:rPr>
                <w:rFonts w:hint="eastAsia"/>
                <w:color w:val="auto"/>
                <w:sz w:val="20"/>
              </w:rPr>
              <w:t>GB/T11901-89</w:t>
            </w:r>
          </w:p>
        </w:tc>
        <w:tc>
          <w:tcPr>
            <w:tcW w:w="2466" w:type="dxa"/>
            <w:noWrap w:val="0"/>
            <w:vAlign w:val="center"/>
          </w:tcPr>
          <w:p>
            <w:pPr>
              <w:jc w:val="center"/>
              <w:rPr>
                <w:rFonts w:hint="eastAsia"/>
                <w:color w:val="auto"/>
                <w:sz w:val="20"/>
              </w:rPr>
            </w:pPr>
            <w:r>
              <w:rPr>
                <w:rFonts w:hint="eastAsia"/>
                <w:color w:val="auto"/>
                <w:sz w:val="20"/>
              </w:rPr>
              <w:t>FA2204 电子分析天平/JTTS-008</w:t>
            </w:r>
          </w:p>
        </w:tc>
        <w:tc>
          <w:tcPr>
            <w:tcW w:w="1276" w:type="dxa"/>
            <w:noWrap w:val="0"/>
            <w:vAlign w:val="center"/>
          </w:tcPr>
          <w:p>
            <w:pPr>
              <w:jc w:val="center"/>
              <w:rPr>
                <w:rFonts w:hint="eastAsia"/>
                <w:color w:val="auto"/>
                <w:sz w:val="20"/>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jc w:val="center"/>
              <w:rPr>
                <w:rFonts w:ascii="宋体" w:hAnsi="宋体" w:cs="宋体"/>
                <w:color w:val="auto"/>
                <w:sz w:val="20"/>
              </w:rPr>
            </w:pPr>
            <w:r>
              <w:rPr>
                <w:rFonts w:hint="eastAsia"/>
                <w:color w:val="auto"/>
                <w:sz w:val="20"/>
              </w:rPr>
              <w:t>石油类</w:t>
            </w:r>
          </w:p>
        </w:tc>
        <w:tc>
          <w:tcPr>
            <w:tcW w:w="3119" w:type="dxa"/>
            <w:noWrap w:val="0"/>
            <w:vAlign w:val="center"/>
          </w:tcPr>
          <w:p>
            <w:pPr>
              <w:jc w:val="center"/>
              <w:rPr>
                <w:rFonts w:hint="eastAsia"/>
                <w:color w:val="auto"/>
                <w:sz w:val="20"/>
              </w:rPr>
            </w:pPr>
            <w:r>
              <w:rPr>
                <w:rFonts w:hint="eastAsia"/>
                <w:color w:val="auto"/>
                <w:sz w:val="20"/>
              </w:rPr>
              <w:t>水质石油类的测定紫外分光光度法</w:t>
            </w:r>
            <w:r>
              <w:rPr>
                <w:rFonts w:hint="eastAsia"/>
                <w:color w:val="auto"/>
                <w:sz w:val="20"/>
                <w:lang w:val="en-US" w:eastAsia="zh-CN"/>
              </w:rPr>
              <w:t xml:space="preserve"> </w:t>
            </w:r>
            <w:r>
              <w:rPr>
                <w:rFonts w:hint="eastAsia"/>
                <w:color w:val="auto"/>
                <w:sz w:val="20"/>
              </w:rPr>
              <w:t>HJ 970-2018</w:t>
            </w:r>
          </w:p>
        </w:tc>
        <w:tc>
          <w:tcPr>
            <w:tcW w:w="2466" w:type="dxa"/>
            <w:noWrap w:val="0"/>
            <w:vAlign w:val="center"/>
          </w:tcPr>
          <w:p>
            <w:pPr>
              <w:jc w:val="center"/>
              <w:rPr>
                <w:rFonts w:hint="eastAsia"/>
                <w:color w:val="auto"/>
                <w:sz w:val="20"/>
              </w:rPr>
            </w:pPr>
            <w:r>
              <w:rPr>
                <w:rFonts w:hint="eastAsia"/>
                <w:color w:val="auto"/>
                <w:sz w:val="20"/>
              </w:rPr>
              <w:t>UV1800PC 紫外可见分光光度计/JTTS-007</w:t>
            </w:r>
          </w:p>
        </w:tc>
        <w:tc>
          <w:tcPr>
            <w:tcW w:w="1276" w:type="dxa"/>
            <w:noWrap w:val="0"/>
            <w:vAlign w:val="center"/>
          </w:tcPr>
          <w:p>
            <w:pPr>
              <w:jc w:val="center"/>
              <w:rPr>
                <w:rFonts w:hint="eastAsia"/>
                <w:color w:val="auto"/>
                <w:sz w:val="20"/>
              </w:rPr>
            </w:pPr>
            <w:r>
              <w:rPr>
                <w:rFonts w:hint="eastAsia"/>
                <w:color w:val="auto"/>
                <w:sz w:val="20"/>
              </w:rPr>
              <w:t>0.01mg/L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794" w:type="dxa"/>
            <w:noWrap w:val="0"/>
            <w:vAlign w:val="center"/>
          </w:tcPr>
          <w:p>
            <w:pPr>
              <w:widowControl w:val="0"/>
              <w:jc w:val="center"/>
              <w:rPr>
                <w:rFonts w:ascii="Times New Roman" w:hAnsi="Times New Roman" w:eastAsia="宋体" w:cs="Times New Roman"/>
                <w:color w:val="auto"/>
                <w:kern w:val="2"/>
                <w:sz w:val="20"/>
                <w:lang w:val="en-US" w:eastAsia="zh-CN" w:bidi="ar-SA"/>
              </w:rPr>
            </w:pPr>
            <w:r>
              <w:rPr>
                <w:rFonts w:hint="eastAsia"/>
                <w:color w:val="auto"/>
                <w:sz w:val="20"/>
              </w:rPr>
              <w:t>总磷</w:t>
            </w:r>
          </w:p>
        </w:tc>
        <w:tc>
          <w:tcPr>
            <w:tcW w:w="3119" w:type="dxa"/>
            <w:noWrap w:val="0"/>
            <w:vAlign w:val="center"/>
          </w:tcPr>
          <w:p>
            <w:pPr>
              <w:jc w:val="center"/>
              <w:rPr>
                <w:rFonts w:hint="eastAsia"/>
                <w:color w:val="auto"/>
                <w:sz w:val="20"/>
                <w:lang w:val="en-US" w:eastAsia="zh-CN"/>
              </w:rPr>
            </w:pPr>
            <w:r>
              <w:rPr>
                <w:rFonts w:hint="eastAsia"/>
                <w:color w:val="auto"/>
                <w:sz w:val="20"/>
              </w:rPr>
              <w:t>水质 总磷的测定 钼酸铵分光光度法GB11893-89</w:t>
            </w:r>
          </w:p>
        </w:tc>
        <w:tc>
          <w:tcPr>
            <w:tcW w:w="2466" w:type="dxa"/>
            <w:noWrap w:val="0"/>
            <w:vAlign w:val="center"/>
          </w:tcPr>
          <w:p>
            <w:pPr>
              <w:jc w:val="center"/>
              <w:rPr>
                <w:rFonts w:hint="eastAsia"/>
                <w:color w:val="auto"/>
                <w:sz w:val="20"/>
                <w:lang w:val="en-US" w:eastAsia="zh-CN"/>
              </w:rPr>
            </w:pPr>
            <w:r>
              <w:rPr>
                <w:rFonts w:hint="eastAsia"/>
                <w:color w:val="auto"/>
                <w:sz w:val="20"/>
              </w:rPr>
              <w:t>UV1800PC 紫外可见分光光度计/JTTS-007</w:t>
            </w:r>
          </w:p>
        </w:tc>
        <w:tc>
          <w:tcPr>
            <w:tcW w:w="1276" w:type="dxa"/>
            <w:noWrap w:val="0"/>
            <w:vAlign w:val="center"/>
          </w:tcPr>
          <w:p>
            <w:pPr>
              <w:jc w:val="center"/>
              <w:rPr>
                <w:rFonts w:hint="eastAsia"/>
                <w:color w:val="auto"/>
                <w:sz w:val="20"/>
                <w:lang w:val="en-US" w:eastAsia="zh-CN"/>
              </w:rPr>
            </w:pPr>
            <w:r>
              <w:rPr>
                <w:rFonts w:hint="eastAsia"/>
                <w:color w:val="auto"/>
                <w:sz w:val="20"/>
              </w:rPr>
              <w:t>0.01mg/L</w:t>
            </w:r>
          </w:p>
        </w:tc>
      </w:tr>
    </w:tbl>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（4）采样及分析方法</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采样及分析方法根据《环境影响评价导则 地表水环境》</w:t>
      </w:r>
      <w:r>
        <w:rPr>
          <w:rFonts w:hint="eastAsia" w:eastAsia="仿宋_GB2312"/>
          <w:color w:val="auto"/>
          <w:sz w:val="24"/>
          <w:lang w:eastAsia="zh-CN"/>
        </w:rPr>
        <w:t>（</w:t>
      </w:r>
      <w:r>
        <w:rPr>
          <w:rFonts w:hint="eastAsia" w:eastAsia="仿宋_GB2312"/>
          <w:color w:val="auto"/>
          <w:sz w:val="24"/>
        </w:rPr>
        <w:t>HJ/T2.3-2018</w:t>
      </w:r>
      <w:r>
        <w:rPr>
          <w:rFonts w:hint="eastAsia" w:eastAsia="仿宋_GB2312"/>
          <w:color w:val="auto"/>
          <w:sz w:val="24"/>
          <w:lang w:eastAsia="zh-CN"/>
        </w:rPr>
        <w:t>）</w:t>
      </w:r>
      <w:r>
        <w:rPr>
          <w:rFonts w:hint="eastAsia" w:eastAsia="仿宋_GB2312"/>
          <w:color w:val="auto"/>
          <w:sz w:val="24"/>
        </w:rPr>
        <w:t>、《地表水环境质量标准》</w:t>
      </w:r>
      <w:r>
        <w:rPr>
          <w:rFonts w:hint="eastAsia" w:eastAsia="仿宋_GB2312"/>
          <w:color w:val="auto"/>
          <w:sz w:val="24"/>
          <w:lang w:eastAsia="zh-CN"/>
        </w:rPr>
        <w:t>（</w:t>
      </w:r>
      <w:r>
        <w:rPr>
          <w:rFonts w:hint="eastAsia" w:eastAsia="仿宋_GB2312"/>
          <w:color w:val="auto"/>
          <w:sz w:val="24"/>
        </w:rPr>
        <w:t>GB3838-2002</w:t>
      </w:r>
      <w:r>
        <w:rPr>
          <w:rFonts w:hint="eastAsia" w:eastAsia="仿宋_GB2312"/>
          <w:color w:val="auto"/>
          <w:sz w:val="24"/>
          <w:lang w:eastAsia="zh-CN"/>
        </w:rPr>
        <w:t>）</w:t>
      </w:r>
      <w:r>
        <w:rPr>
          <w:rFonts w:hint="eastAsia" w:eastAsia="仿宋_GB2312"/>
          <w:color w:val="auto"/>
          <w:sz w:val="24"/>
        </w:rPr>
        <w:t>、《地表水和污水监测技术规范》</w:t>
      </w:r>
      <w:r>
        <w:rPr>
          <w:rFonts w:hint="eastAsia" w:eastAsia="仿宋_GB2312"/>
          <w:color w:val="auto"/>
          <w:sz w:val="24"/>
          <w:lang w:eastAsia="zh-CN"/>
        </w:rPr>
        <w:t>（</w:t>
      </w:r>
      <w:r>
        <w:rPr>
          <w:rFonts w:hint="eastAsia" w:eastAsia="仿宋_GB2312"/>
          <w:color w:val="auto"/>
          <w:sz w:val="24"/>
        </w:rPr>
        <w:t>HJ/T91-2002</w:t>
      </w:r>
      <w:r>
        <w:rPr>
          <w:rFonts w:hint="eastAsia" w:eastAsia="仿宋_GB2312"/>
          <w:color w:val="auto"/>
          <w:sz w:val="24"/>
          <w:lang w:eastAsia="zh-CN"/>
        </w:rPr>
        <w:t>）</w:t>
      </w:r>
      <w:r>
        <w:rPr>
          <w:rFonts w:hint="eastAsia" w:eastAsia="仿宋_GB2312"/>
          <w:color w:val="auto"/>
          <w:sz w:val="24"/>
        </w:rPr>
        <w:t>和《水和废水监测分析方法（第四版增补版）》的有关规定和要求执行</w:t>
      </w:r>
      <w:r>
        <w:rPr>
          <w:rFonts w:hint="eastAsia" w:eastAsia="仿宋_GB2312"/>
          <w:color w:val="auto"/>
          <w:sz w:val="24"/>
          <w:lang w:eastAsia="zh-CN"/>
        </w:rPr>
        <w:t>。</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val="en-US" w:eastAsia="zh-CN"/>
        </w:rPr>
        <w:t>（5）监测结果</w:t>
      </w:r>
    </w:p>
    <w:p>
      <w:pPr>
        <w:widowControl w:val="0"/>
        <w:spacing w:line="360" w:lineRule="auto"/>
        <w:ind w:firstLine="480" w:firstLineChars="200"/>
        <w:jc w:val="both"/>
        <w:rPr>
          <w:rFonts w:eastAsia="仿宋_GB2312"/>
          <w:color w:val="auto"/>
          <w:sz w:val="24"/>
        </w:rPr>
        <w:sectPr>
          <w:pgSz w:w="11906" w:h="16838"/>
          <w:pgMar w:top="1440" w:right="1797" w:bottom="1559" w:left="1797"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r>
        <w:rPr>
          <w:rFonts w:hint="eastAsia" w:eastAsia="仿宋_GB2312"/>
          <w:color w:val="auto"/>
          <w:sz w:val="24"/>
        </w:rPr>
        <w:t>各断面水质现状监测统计结果分别见下表</w:t>
      </w:r>
      <w:r>
        <w:rPr>
          <w:rFonts w:eastAsia="仿宋_GB2312"/>
          <w:color w:val="auto"/>
          <w:sz w:val="24"/>
        </w:rPr>
        <w:t>。</w:t>
      </w:r>
    </w:p>
    <w:p>
      <w:pPr>
        <w:widowControl w:val="0"/>
        <w:spacing w:line="360" w:lineRule="auto"/>
        <w:jc w:val="center"/>
        <w:rPr>
          <w:rFonts w:hint="default" w:eastAsia="黑体"/>
          <w:b/>
          <w:color w:val="auto"/>
          <w:szCs w:val="21"/>
          <w:lang w:val="en-US" w:eastAsia="zh-CN"/>
        </w:rPr>
      </w:pPr>
      <w:r>
        <w:rPr>
          <w:rFonts w:hint="default" w:eastAsia="黑体"/>
          <w:b/>
          <w:color w:val="auto"/>
          <w:szCs w:val="21"/>
          <w:lang w:eastAsia="zh-CN"/>
        </w:rPr>
        <w:t>表4.</w:t>
      </w:r>
      <w:r>
        <w:rPr>
          <w:rFonts w:hint="eastAsia" w:eastAsia="黑体"/>
          <w:b/>
          <w:color w:val="auto"/>
          <w:szCs w:val="21"/>
          <w:lang w:val="en-US" w:eastAsia="zh-CN"/>
        </w:rPr>
        <w:t>3-7</w:t>
      </w:r>
      <w:r>
        <w:rPr>
          <w:rFonts w:hint="default" w:eastAsia="黑体"/>
          <w:b/>
          <w:color w:val="auto"/>
          <w:szCs w:val="21"/>
          <w:lang w:eastAsia="zh-CN"/>
        </w:rPr>
        <w:t xml:space="preserve">  </w:t>
      </w:r>
      <w:r>
        <w:rPr>
          <w:rFonts w:hint="eastAsia" w:eastAsia="黑体"/>
          <w:b/>
          <w:color w:val="auto"/>
          <w:szCs w:val="21"/>
          <w:lang w:val="en-US" w:eastAsia="zh-CN"/>
        </w:rPr>
        <w:t>水质现状监测结果一览表    单位：mg/L（pH无量纲）</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1"/>
        <w:gridCol w:w="1861"/>
        <w:gridCol w:w="1855"/>
        <w:gridCol w:w="981"/>
        <w:gridCol w:w="1465"/>
        <w:gridCol w:w="1026"/>
        <w:gridCol w:w="1051"/>
        <w:gridCol w:w="1001"/>
        <w:gridCol w:w="1051"/>
        <w:gridCol w:w="978"/>
        <w:gridCol w:w="978"/>
        <w:gridCol w:w="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序号</w:t>
            </w:r>
          </w:p>
        </w:tc>
        <w:tc>
          <w:tcPr>
            <w:tcW w:w="662"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采样点</w:t>
            </w:r>
          </w:p>
        </w:tc>
        <w:tc>
          <w:tcPr>
            <w:tcW w:w="660"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采样时间</w:t>
            </w:r>
          </w:p>
        </w:tc>
        <w:tc>
          <w:tcPr>
            <w:tcW w:w="349"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pH</w:t>
            </w:r>
            <w:r>
              <w:rPr>
                <w:rFonts w:hint="default" w:ascii="Times New Roman" w:hAnsi="Times New Roman" w:eastAsia="宋体" w:cs="Times New Roman"/>
                <w:b w:val="0"/>
                <w:bCs w:val="0"/>
                <w:color w:val="auto"/>
                <w:sz w:val="20"/>
                <w:szCs w:val="20"/>
              </w:rPr>
              <w:t>值</w:t>
            </w:r>
          </w:p>
        </w:tc>
        <w:tc>
          <w:tcPr>
            <w:tcW w:w="521"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高锰酸盐指数</w:t>
            </w:r>
          </w:p>
        </w:tc>
        <w:tc>
          <w:tcPr>
            <w:tcW w:w="365"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溶解氧</w:t>
            </w:r>
          </w:p>
        </w:tc>
        <w:tc>
          <w:tcPr>
            <w:tcW w:w="374"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COD</w:t>
            </w:r>
          </w:p>
        </w:tc>
        <w:tc>
          <w:tcPr>
            <w:tcW w:w="356"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eastAsia" w:cs="Times New Roman"/>
                <w:b w:val="0"/>
                <w:bCs w:val="0"/>
                <w:color w:val="auto"/>
                <w:sz w:val="20"/>
                <w:szCs w:val="20"/>
                <w:lang w:val="en-US" w:eastAsia="zh-CN"/>
              </w:rPr>
              <w:t>BOD</w:t>
            </w:r>
            <w:r>
              <w:rPr>
                <w:rFonts w:hint="eastAsia" w:cs="Times New Roman"/>
                <w:b w:val="0"/>
                <w:bCs w:val="0"/>
                <w:color w:val="auto"/>
                <w:sz w:val="20"/>
                <w:szCs w:val="20"/>
                <w:vertAlign w:val="subscript"/>
                <w:lang w:val="en-US" w:eastAsia="zh-CN"/>
              </w:rPr>
              <w:t>5</w:t>
            </w:r>
          </w:p>
        </w:tc>
        <w:tc>
          <w:tcPr>
            <w:tcW w:w="374"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氨氮</w:t>
            </w:r>
          </w:p>
        </w:tc>
        <w:tc>
          <w:tcPr>
            <w:tcW w:w="348"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悬浮物</w:t>
            </w:r>
          </w:p>
        </w:tc>
        <w:tc>
          <w:tcPr>
            <w:tcW w:w="348"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石油类</w:t>
            </w:r>
          </w:p>
        </w:tc>
        <w:tc>
          <w:tcPr>
            <w:tcW w:w="348" w:type="pct"/>
            <w:tcBorders>
              <w:bottom w:val="single" w:color="auto" w:sz="12" w:space="0"/>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z w:val="20"/>
                <w:szCs w:val="20"/>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op w:val="single" w:color="auto" w:sz="12" w:space="0"/>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1</w:t>
            </w:r>
          </w:p>
        </w:tc>
        <w:tc>
          <w:tcPr>
            <w:tcW w:w="662" w:type="pct"/>
            <w:vMerge w:val="restar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码头上游500m处W1（右）</w:t>
            </w:r>
          </w:p>
        </w:tc>
        <w:tc>
          <w:tcPr>
            <w:tcW w:w="660"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7.3</w:t>
            </w:r>
          </w:p>
        </w:tc>
        <w:tc>
          <w:tcPr>
            <w:tcW w:w="521"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1.4</w:t>
            </w:r>
          </w:p>
        </w:tc>
        <w:tc>
          <w:tcPr>
            <w:tcW w:w="365"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6.66</w:t>
            </w:r>
          </w:p>
        </w:tc>
        <w:tc>
          <w:tcPr>
            <w:tcW w:w="374"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2.8</w:t>
            </w:r>
          </w:p>
        </w:tc>
        <w:tc>
          <w:tcPr>
            <w:tcW w:w="374"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0.392</w:t>
            </w:r>
          </w:p>
        </w:tc>
        <w:tc>
          <w:tcPr>
            <w:tcW w:w="348"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18</w:t>
            </w:r>
          </w:p>
        </w:tc>
        <w:tc>
          <w:tcPr>
            <w:tcW w:w="348"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0.020</w:t>
            </w:r>
          </w:p>
        </w:tc>
        <w:tc>
          <w:tcPr>
            <w:tcW w:w="348" w:type="pct"/>
            <w:tcBorders>
              <w:top w:val="single" w:color="auto" w:sz="12" w:space="0"/>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1.5</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6.87</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2.3</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0.404</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21</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1.4</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6.69</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2.4</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0.395</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0.020</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2</w:t>
            </w:r>
          </w:p>
        </w:tc>
        <w:tc>
          <w:tcPr>
            <w:tcW w:w="662" w:type="pct"/>
            <w:vMerge w:val="restar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码头上游500m处W1（中）</w:t>
            </w: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1.1</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6.38</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2.4</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0.435</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7.3</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1.1</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6.63</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2.5</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0.427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7.3</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1.0</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6.72</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2.6</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0.416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3</w:t>
            </w:r>
          </w:p>
        </w:tc>
        <w:tc>
          <w:tcPr>
            <w:tcW w:w="662" w:type="pct"/>
            <w:vMerge w:val="restar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拟建码头中心线处W2（右）</w:t>
            </w: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7.2</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0.9</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6.50</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2.7</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0.474</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0.9</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6.69</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2.4</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0.485</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22</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7.5</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0.9</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6.91</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2.7</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0.482</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4</w:t>
            </w:r>
          </w:p>
        </w:tc>
        <w:tc>
          <w:tcPr>
            <w:tcW w:w="662" w:type="pct"/>
            <w:vMerge w:val="restar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拟建码头中心线处W2（中）</w:t>
            </w: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7.3</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0.8</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6.63</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2.6</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0.388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7.2</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0.8</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6.72</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2.6</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0.396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0.8</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6.89</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2.6</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0.384</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5</w:t>
            </w:r>
          </w:p>
        </w:tc>
        <w:tc>
          <w:tcPr>
            <w:tcW w:w="662" w:type="pct"/>
            <w:vMerge w:val="restar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码头下游1000m处W3（右）</w:t>
            </w: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0.7</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6.14</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2.5</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0.351</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21</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0.7</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6.75</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8</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2.2</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0.368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7.3</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0.7</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6.79</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2.5</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0.366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17</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0.016</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restart"/>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sz w:val="20"/>
                <w:szCs w:val="20"/>
                <w:lang w:val="en-US" w:eastAsia="zh-CN"/>
              </w:rPr>
            </w:pPr>
            <w:r>
              <w:rPr>
                <w:rFonts w:hint="eastAsia" w:cs="Times New Roman"/>
                <w:b w:val="0"/>
                <w:bCs w:val="0"/>
                <w:color w:val="auto"/>
                <w:sz w:val="20"/>
                <w:szCs w:val="20"/>
                <w:lang w:val="en-US" w:eastAsia="zh-CN"/>
              </w:rPr>
              <w:t>6</w:t>
            </w:r>
          </w:p>
        </w:tc>
        <w:tc>
          <w:tcPr>
            <w:tcW w:w="662" w:type="pct"/>
            <w:vMerge w:val="restar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码头下游1000m处W3（中）</w:t>
            </w: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2023.4.8</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7.5</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0.7</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6.59</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2.2</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0.440</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2023.4.9</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7.5</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0.8</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6.87</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2.3</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0.448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21</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92" w:type="pct"/>
            <w:vMerge w:val="continue"/>
            <w:tcBorders>
              <w:tl2br w:val="nil"/>
              <w:tr2bl w:val="nil"/>
            </w:tcBorders>
            <w:noWrap w:val="0"/>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sz w:val="20"/>
                <w:szCs w:val="20"/>
                <w:lang w:val="en-US" w:eastAsia="zh-CN"/>
              </w:rPr>
            </w:pPr>
          </w:p>
        </w:tc>
        <w:tc>
          <w:tcPr>
            <w:tcW w:w="662" w:type="pct"/>
            <w:vMerge w:val="continue"/>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p>
        </w:tc>
        <w:tc>
          <w:tcPr>
            <w:tcW w:w="660" w:type="pct"/>
            <w:tcBorders>
              <w:tl2br w:val="nil"/>
              <w:tr2bl w:val="nil"/>
            </w:tcBorders>
            <w:noWrap w:val="0"/>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2023.4.10</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7.4</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0.7</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6.92</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9</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2.1</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0.453</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19</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0.018</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614" w:type="pct"/>
            <w:gridSpan w:val="3"/>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《地表水环境质量标准》（GB3838-2002）Ⅱ类</w:t>
            </w:r>
          </w:p>
        </w:tc>
        <w:tc>
          <w:tcPr>
            <w:tcW w:w="349"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6~9</w:t>
            </w:r>
          </w:p>
        </w:tc>
        <w:tc>
          <w:tcPr>
            <w:tcW w:w="521"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4</w:t>
            </w:r>
          </w:p>
        </w:tc>
        <w:tc>
          <w:tcPr>
            <w:tcW w:w="365"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ascii="Arial" w:hAnsi="Arial" w:cs="Arial"/>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6</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15</w:t>
            </w:r>
          </w:p>
        </w:tc>
        <w:tc>
          <w:tcPr>
            <w:tcW w:w="356"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3</w:t>
            </w:r>
          </w:p>
        </w:tc>
        <w:tc>
          <w:tcPr>
            <w:tcW w:w="374"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0.5</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0.05</w:t>
            </w:r>
          </w:p>
        </w:tc>
        <w:tc>
          <w:tcPr>
            <w:tcW w:w="348" w:type="pct"/>
            <w:tcBorders>
              <w:tl2br w:val="nil"/>
              <w:tr2bl w:val="nil"/>
            </w:tcBorders>
            <w:noWrap w:val="0"/>
            <w:vAlign w:val="center"/>
          </w:tcPr>
          <w:p>
            <w:pPr>
              <w:widowControl/>
              <w:snapToGrid w:val="0"/>
              <w:spacing w:line="240" w:lineRule="auto"/>
              <w:ind w:firstLine="0" w:firstLineChars="0"/>
              <w:jc w:val="center"/>
              <w:rPr>
                <w:rFonts w:hint="default"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0.1</w:t>
            </w:r>
          </w:p>
        </w:tc>
      </w:tr>
    </w:tbl>
    <w:p>
      <w:pPr>
        <w:widowControl w:val="0"/>
        <w:spacing w:before="120" w:after="120" w:line="360" w:lineRule="auto"/>
        <w:outlineLvl w:val="3"/>
        <w:rPr>
          <w:rFonts w:hint="eastAsia" w:eastAsia="黑体"/>
          <w:color w:val="auto"/>
          <w:sz w:val="24"/>
          <w:lang w:val="en-US" w:eastAsia="zh-CN"/>
        </w:rPr>
        <w:sectPr>
          <w:pgSz w:w="16838" w:h="11906" w:orient="landscape"/>
          <w:pgMar w:top="1797" w:right="1440" w:bottom="1797" w:left="1559"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4.3.2.8水环境现状评价</w:t>
      </w:r>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（1）</w:t>
      </w:r>
      <w:r>
        <w:rPr>
          <w:rFonts w:eastAsia="仿宋_GB2312"/>
          <w:color w:val="auto"/>
          <w:sz w:val="24"/>
        </w:rPr>
        <w:t>评价标准</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拟建码头所在长江江段水质执行《地表水环境质量标准》</w:t>
      </w:r>
      <w:r>
        <w:rPr>
          <w:rFonts w:hint="eastAsia" w:eastAsia="仿宋_GB2312"/>
          <w:color w:val="auto"/>
          <w:sz w:val="24"/>
          <w:lang w:eastAsia="zh-CN"/>
        </w:rPr>
        <w:t>（</w:t>
      </w:r>
      <w:r>
        <w:rPr>
          <w:rFonts w:hint="eastAsia" w:eastAsia="仿宋_GB2312"/>
          <w:color w:val="auto"/>
          <w:sz w:val="24"/>
        </w:rPr>
        <w:t>GB3838-2002</w:t>
      </w:r>
      <w:r>
        <w:rPr>
          <w:rFonts w:hint="eastAsia" w:eastAsia="仿宋_GB2312"/>
          <w:color w:val="auto"/>
          <w:sz w:val="24"/>
          <w:lang w:eastAsia="zh-CN"/>
        </w:rPr>
        <w:t>）</w:t>
      </w:r>
      <w:r>
        <w:rPr>
          <w:rFonts w:hint="eastAsia" w:eastAsia="仿宋_GB2312"/>
          <w:color w:val="auto"/>
          <w:sz w:val="24"/>
        </w:rPr>
        <w:t>中Ⅱ类标准</w:t>
      </w:r>
      <w:r>
        <w:rPr>
          <w:rFonts w:eastAsia="仿宋_GB2312"/>
          <w:color w:val="auto"/>
          <w:sz w:val="24"/>
        </w:rPr>
        <w:t>。</w:t>
      </w:r>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（2）</w:t>
      </w:r>
      <w:r>
        <w:rPr>
          <w:rFonts w:eastAsia="仿宋_GB2312"/>
          <w:color w:val="auto"/>
          <w:sz w:val="24"/>
        </w:rPr>
        <w:t>评价方法</w:t>
      </w:r>
    </w:p>
    <w:p>
      <w:pPr>
        <w:widowControl w:val="0"/>
        <w:spacing w:line="360" w:lineRule="auto"/>
        <w:ind w:firstLine="480" w:firstLineChars="200"/>
        <w:rPr>
          <w:rFonts w:eastAsia="仿宋_GB2312"/>
          <w:color w:val="auto"/>
          <w:sz w:val="24"/>
        </w:rPr>
      </w:pPr>
      <w:r>
        <w:rPr>
          <w:rFonts w:eastAsia="仿宋_GB2312"/>
          <w:color w:val="auto"/>
          <w:sz w:val="24"/>
        </w:rPr>
        <w:t>地表水评价采用单项水质标准指数法进行评价，其评价模式为：</w:t>
      </w:r>
    </w:p>
    <w:p>
      <w:pPr>
        <w:widowControl w:val="0"/>
        <w:spacing w:line="360" w:lineRule="auto"/>
        <w:jc w:val="center"/>
        <w:rPr>
          <w:color w:val="auto"/>
          <w:sz w:val="24"/>
          <w:szCs w:val="24"/>
        </w:rPr>
      </w:pPr>
      <w:r>
        <w:rPr>
          <w:color w:val="auto"/>
          <w:sz w:val="24"/>
          <w:szCs w:val="24"/>
        </w:rPr>
        <w:t>S</w:t>
      </w:r>
      <w:r>
        <w:rPr>
          <w:color w:val="auto"/>
          <w:sz w:val="24"/>
          <w:szCs w:val="24"/>
          <w:vertAlign w:val="subscript"/>
        </w:rPr>
        <w:t>ij</w:t>
      </w:r>
      <w:r>
        <w:rPr>
          <w:color w:val="auto"/>
          <w:sz w:val="24"/>
          <w:szCs w:val="24"/>
        </w:rPr>
        <w:t>=C</w:t>
      </w:r>
      <w:r>
        <w:rPr>
          <w:color w:val="auto"/>
          <w:sz w:val="24"/>
          <w:szCs w:val="24"/>
          <w:vertAlign w:val="subscript"/>
        </w:rPr>
        <w:t>ij</w:t>
      </w:r>
      <w:r>
        <w:rPr>
          <w:color w:val="auto"/>
          <w:sz w:val="24"/>
          <w:szCs w:val="24"/>
        </w:rPr>
        <w:t>／C</w:t>
      </w:r>
      <w:r>
        <w:rPr>
          <w:color w:val="auto"/>
          <w:sz w:val="24"/>
          <w:szCs w:val="24"/>
          <w:vertAlign w:val="subscript"/>
        </w:rPr>
        <w:t>si</w:t>
      </w:r>
    </w:p>
    <w:p>
      <w:pPr>
        <w:pStyle w:val="26"/>
        <w:widowControl w:val="0"/>
        <w:spacing w:line="360" w:lineRule="auto"/>
        <w:ind w:firstLine="480" w:firstLineChars="200"/>
        <w:rPr>
          <w:rFonts w:ascii="Times New Roman" w:hAnsi="Times New Roman"/>
          <w:color w:val="auto"/>
        </w:rPr>
      </w:pPr>
      <w:r>
        <w:rPr>
          <w:rFonts w:ascii="Times New Roman" w:hAnsi="Times New Roman" w:eastAsia="仿宋_GB2312"/>
          <w:color w:val="auto"/>
        </w:rPr>
        <w:t>式中</w:t>
      </w:r>
      <w:r>
        <w:rPr>
          <w:rFonts w:ascii="Times New Roman" w:hAnsi="Times New Roman"/>
          <w:color w:val="auto"/>
        </w:rPr>
        <w:t>：S</w:t>
      </w:r>
      <w:r>
        <w:rPr>
          <w:rFonts w:ascii="Times New Roman" w:hAnsi="Times New Roman"/>
          <w:color w:val="auto"/>
          <w:vertAlign w:val="subscript"/>
        </w:rPr>
        <w:t>ij</w:t>
      </w:r>
      <w:r>
        <w:rPr>
          <w:rFonts w:ascii="Times New Roman" w:hAnsi="Times New Roman"/>
          <w:color w:val="auto"/>
        </w:rPr>
        <w:t>——</w:t>
      </w:r>
      <w:r>
        <w:rPr>
          <w:rFonts w:ascii="Times New Roman" w:hAnsi="Times New Roman" w:eastAsia="仿宋_GB2312"/>
          <w:color w:val="auto"/>
        </w:rPr>
        <w:t>单项水质参数i在第j点标准指数</w:t>
      </w:r>
      <w:r>
        <w:rPr>
          <w:rFonts w:ascii="Times New Roman" w:hAnsi="Times New Roman"/>
          <w:color w:val="auto"/>
        </w:rPr>
        <w:t>；</w:t>
      </w:r>
    </w:p>
    <w:p>
      <w:pPr>
        <w:pStyle w:val="26"/>
        <w:widowControl w:val="0"/>
        <w:spacing w:line="360" w:lineRule="auto"/>
        <w:ind w:firstLine="540" w:firstLineChars="225"/>
        <w:rPr>
          <w:rFonts w:ascii="Times New Roman" w:hAnsi="Times New Roman"/>
          <w:color w:val="auto"/>
        </w:rPr>
      </w:pPr>
      <w:r>
        <w:rPr>
          <w:rFonts w:ascii="Times New Roman" w:hAnsi="Times New Roman"/>
          <w:color w:val="auto"/>
        </w:rPr>
        <w:t xml:space="preserve">      C</w:t>
      </w:r>
      <w:r>
        <w:rPr>
          <w:rFonts w:ascii="Times New Roman" w:hAnsi="Times New Roman"/>
          <w:color w:val="auto"/>
          <w:vertAlign w:val="subscript"/>
        </w:rPr>
        <w:t>ij</w:t>
      </w:r>
      <w:r>
        <w:rPr>
          <w:rFonts w:ascii="Times New Roman" w:hAnsi="Times New Roman"/>
          <w:color w:val="auto"/>
        </w:rPr>
        <w:t>——</w:t>
      </w:r>
      <w:r>
        <w:rPr>
          <w:rFonts w:ascii="Times New Roman" w:hAnsi="Times New Roman" w:eastAsia="仿宋_GB2312"/>
          <w:color w:val="auto"/>
        </w:rPr>
        <w:t>单项水质参数i在第j点监测值</w:t>
      </w:r>
      <w:r>
        <w:rPr>
          <w:rFonts w:ascii="Times New Roman" w:hAnsi="Times New Roman"/>
          <w:color w:val="auto"/>
        </w:rPr>
        <w:t>，mg/L；</w:t>
      </w:r>
    </w:p>
    <w:p>
      <w:pPr>
        <w:pStyle w:val="26"/>
        <w:widowControl w:val="0"/>
        <w:spacing w:line="360" w:lineRule="auto"/>
        <w:ind w:firstLine="540" w:firstLineChars="225"/>
        <w:rPr>
          <w:rFonts w:ascii="Times New Roman" w:hAnsi="Times New Roman"/>
          <w:color w:val="auto"/>
        </w:rPr>
      </w:pPr>
      <w:r>
        <w:rPr>
          <w:rFonts w:ascii="Times New Roman" w:hAnsi="Times New Roman"/>
          <w:color w:val="auto"/>
        </w:rPr>
        <w:t xml:space="preserve">      C</w:t>
      </w:r>
      <w:r>
        <w:rPr>
          <w:rFonts w:ascii="Times New Roman" w:hAnsi="Times New Roman"/>
          <w:color w:val="auto"/>
          <w:vertAlign w:val="subscript"/>
        </w:rPr>
        <w:t>si</w:t>
      </w:r>
      <w:r>
        <w:rPr>
          <w:rFonts w:ascii="Times New Roman" w:hAnsi="Times New Roman"/>
          <w:color w:val="auto"/>
        </w:rPr>
        <w:t>——</w:t>
      </w:r>
      <w:r>
        <w:rPr>
          <w:rFonts w:ascii="Times New Roman" w:hAnsi="Times New Roman" w:eastAsia="仿宋_GB2312"/>
          <w:color w:val="auto"/>
        </w:rPr>
        <w:t>单项水质参数i在第j点标准值</w:t>
      </w:r>
      <w:r>
        <w:rPr>
          <w:rFonts w:ascii="Times New Roman" w:hAnsi="Times New Roman"/>
          <w:color w:val="auto"/>
        </w:rPr>
        <w:t>，mg/L。</w:t>
      </w:r>
    </w:p>
    <w:p>
      <w:pPr>
        <w:pStyle w:val="26"/>
        <w:widowControl w:val="0"/>
        <w:spacing w:line="360" w:lineRule="auto"/>
        <w:ind w:firstLine="480" w:firstLineChars="200"/>
        <w:rPr>
          <w:rFonts w:ascii="Times New Roman" w:hAnsi="Times New Roman"/>
          <w:color w:val="auto"/>
        </w:rPr>
      </w:pPr>
      <w:r>
        <w:rPr>
          <w:rFonts w:ascii="Times New Roman" w:hAnsi="Times New Roman" w:eastAsia="仿宋_GB2312"/>
          <w:color w:val="auto"/>
        </w:rPr>
        <w:t>pH值评价模式为</w:t>
      </w:r>
      <w:r>
        <w:rPr>
          <w:rFonts w:ascii="Times New Roman" w:hAnsi="Times New Roman"/>
          <w:color w:val="auto"/>
        </w:rPr>
        <w:t>：</w:t>
      </w:r>
    </w:p>
    <w:p>
      <w:pPr>
        <w:pStyle w:val="288"/>
        <w:widowControl w:val="0"/>
        <w:spacing w:line="360" w:lineRule="auto"/>
        <w:jc w:val="center"/>
        <w:rPr>
          <w:color w:val="auto"/>
          <w:vertAlign w:val="subscript"/>
        </w:rPr>
      </w:pPr>
      <w:r>
        <w:rPr>
          <w:color w:val="auto"/>
        </w:rPr>
        <w:t>S</w:t>
      </w:r>
      <w:r>
        <w:rPr>
          <w:color w:val="auto"/>
          <w:vertAlign w:val="subscript"/>
        </w:rPr>
        <w:t>pH，j</w:t>
      </w:r>
      <w:r>
        <w:rPr>
          <w:color w:val="auto"/>
        </w:rPr>
        <w:t>=</w:t>
      </w:r>
      <w:r>
        <w:rPr>
          <w:color w:val="auto"/>
          <w:position w:val="-30"/>
        </w:rPr>
        <w:object>
          <v:shape id="_x0000_i1038" o:spt="75" type="#_x0000_t75" style="height:36.75pt;width:57pt;" o:ole="t" filled="f" o:preferrelative="t" stroked="f" coordsize="21600,21600">
            <v:path/>
            <v:fill on="f" focussize="0,0"/>
            <v:stroke on="f"/>
            <v:imagedata r:id="rId60" o:title=""/>
            <o:lock v:ext="edit" aspectratio="t"/>
            <w10:wrap type="none"/>
            <w10:anchorlock/>
          </v:shape>
          <o:OLEObject Type="Embed" ProgID="Equation.3" ShapeID="_x0000_i1038" DrawAspect="Content" ObjectID="_1468075738" r:id="rId59">
            <o:LockedField>false</o:LockedField>
          </o:OLEObject>
        </w:object>
      </w:r>
      <w:r>
        <w:rPr>
          <w:color w:val="auto"/>
        </w:rPr>
        <w:t xml:space="preserve">         pH</w:t>
      </w:r>
      <w:r>
        <w:rPr>
          <w:color w:val="auto"/>
          <w:vertAlign w:val="subscript"/>
        </w:rPr>
        <w:t>j≤7.0</w:t>
      </w:r>
    </w:p>
    <w:p>
      <w:pPr>
        <w:pStyle w:val="288"/>
        <w:widowControl w:val="0"/>
        <w:spacing w:line="360" w:lineRule="auto"/>
        <w:jc w:val="center"/>
        <w:rPr>
          <w:color w:val="auto"/>
          <w:vertAlign w:val="subscript"/>
        </w:rPr>
      </w:pPr>
      <w:r>
        <w:rPr>
          <w:color w:val="auto"/>
        </w:rPr>
        <w:t>S</w:t>
      </w:r>
      <w:r>
        <w:rPr>
          <w:color w:val="auto"/>
          <w:vertAlign w:val="subscript"/>
        </w:rPr>
        <w:t>pH，j</w:t>
      </w:r>
      <w:r>
        <w:rPr>
          <w:color w:val="auto"/>
        </w:rPr>
        <w:t>=</w:t>
      </w:r>
      <w:r>
        <w:rPr>
          <w:color w:val="auto"/>
          <w:position w:val="-30"/>
        </w:rPr>
        <w:object>
          <v:shape id="_x0000_i1039" o:spt="75" type="#_x0000_t75" style="height:38.25pt;width:61.45pt;" o:ole="t" filled="f" o:preferrelative="t" stroked="f" coordsize="21600,21600">
            <v:path/>
            <v:fill on="f" focussize="0,0"/>
            <v:stroke on="f"/>
            <v:imagedata r:id="rId62" o:title=""/>
            <o:lock v:ext="edit" aspectratio="t"/>
            <w10:wrap type="none"/>
            <w10:anchorlock/>
          </v:shape>
          <o:OLEObject Type="Embed" ProgID="Equation.3" ShapeID="_x0000_i1039" DrawAspect="Content" ObjectID="_1468075739" r:id="rId61">
            <o:LockedField>false</o:LockedField>
          </o:OLEObject>
        </w:object>
      </w:r>
      <w:r>
        <w:rPr>
          <w:color w:val="auto"/>
        </w:rPr>
        <w:t xml:space="preserve">         pH</w:t>
      </w:r>
      <w:r>
        <w:rPr>
          <w:color w:val="auto"/>
          <w:vertAlign w:val="subscript"/>
        </w:rPr>
        <w:t>j＞7.0</w:t>
      </w:r>
    </w:p>
    <w:p>
      <w:pPr>
        <w:pStyle w:val="288"/>
        <w:widowControl w:val="0"/>
        <w:spacing w:line="360" w:lineRule="auto"/>
        <w:rPr>
          <w:color w:val="auto"/>
        </w:rPr>
      </w:pPr>
      <w:r>
        <w:rPr>
          <w:rFonts w:eastAsia="仿宋_GB2312"/>
          <w:color w:val="auto"/>
        </w:rPr>
        <w:t>式中</w:t>
      </w:r>
      <w:r>
        <w:rPr>
          <w:color w:val="auto"/>
        </w:rPr>
        <w:t>：S</w:t>
      </w:r>
      <w:r>
        <w:rPr>
          <w:color w:val="auto"/>
          <w:vertAlign w:val="subscript"/>
        </w:rPr>
        <w:t>pH，j</w:t>
      </w:r>
      <w:r>
        <w:rPr>
          <w:color w:val="auto"/>
        </w:rPr>
        <w:t>—</w:t>
      </w:r>
      <w:r>
        <w:rPr>
          <w:rFonts w:eastAsia="仿宋_GB2312"/>
          <w:color w:val="auto"/>
        </w:rPr>
        <w:t>pH值在第j点标准指数</w:t>
      </w:r>
      <w:r>
        <w:rPr>
          <w:color w:val="auto"/>
        </w:rPr>
        <w:t>；</w:t>
      </w:r>
    </w:p>
    <w:p>
      <w:pPr>
        <w:pStyle w:val="26"/>
        <w:widowControl w:val="0"/>
        <w:spacing w:line="360" w:lineRule="auto"/>
        <w:ind w:firstLine="540" w:firstLineChars="225"/>
        <w:rPr>
          <w:rFonts w:ascii="Times New Roman" w:hAnsi="Times New Roman"/>
          <w:color w:val="auto"/>
        </w:rPr>
      </w:pPr>
      <w:r>
        <w:rPr>
          <w:rFonts w:ascii="Times New Roman" w:hAnsi="Times New Roman"/>
          <w:color w:val="auto"/>
        </w:rPr>
        <w:t xml:space="preserve">       pH</w:t>
      </w:r>
      <w:r>
        <w:rPr>
          <w:rFonts w:ascii="Times New Roman" w:hAnsi="Times New Roman"/>
          <w:color w:val="auto"/>
          <w:vertAlign w:val="subscript"/>
        </w:rPr>
        <w:t>j</w:t>
      </w:r>
      <w:r>
        <w:rPr>
          <w:rFonts w:ascii="Times New Roman" w:hAnsi="Times New Roman"/>
          <w:color w:val="auto"/>
        </w:rPr>
        <w:t>—</w:t>
      </w:r>
      <w:r>
        <w:rPr>
          <w:rFonts w:ascii="Times New Roman" w:hAnsi="Times New Roman" w:eastAsia="仿宋_GB2312"/>
          <w:color w:val="auto"/>
        </w:rPr>
        <w:t>第j点pH监测值</w:t>
      </w:r>
      <w:r>
        <w:rPr>
          <w:rFonts w:ascii="Times New Roman" w:hAnsi="Times New Roman"/>
          <w:color w:val="auto"/>
        </w:rPr>
        <w:t>；</w:t>
      </w:r>
    </w:p>
    <w:p>
      <w:pPr>
        <w:widowControl w:val="0"/>
        <w:spacing w:line="360" w:lineRule="auto"/>
        <w:ind w:firstLine="480" w:firstLineChars="200"/>
        <w:rPr>
          <w:rFonts w:eastAsia="仿宋_GB2312"/>
          <w:color w:val="auto"/>
          <w:sz w:val="24"/>
        </w:rPr>
      </w:pPr>
      <w:r>
        <w:rPr>
          <w:rFonts w:eastAsia="仿宋_GB2312"/>
          <w:color w:val="auto"/>
          <w:sz w:val="24"/>
        </w:rPr>
        <w:t xml:space="preserve">       pH</w:t>
      </w:r>
      <w:r>
        <w:rPr>
          <w:rFonts w:eastAsia="仿宋_GB2312"/>
          <w:color w:val="auto"/>
          <w:sz w:val="24"/>
          <w:vertAlign w:val="subscript"/>
        </w:rPr>
        <w:t>sd</w:t>
      </w:r>
      <w:r>
        <w:rPr>
          <w:rFonts w:eastAsia="仿宋_GB2312"/>
          <w:color w:val="auto"/>
          <w:sz w:val="24"/>
        </w:rPr>
        <w:t>—pH标准低限值；</w:t>
      </w:r>
    </w:p>
    <w:p>
      <w:pPr>
        <w:pStyle w:val="26"/>
        <w:widowControl w:val="0"/>
        <w:spacing w:line="360" w:lineRule="auto"/>
        <w:ind w:firstLine="540" w:firstLineChars="225"/>
        <w:rPr>
          <w:rFonts w:ascii="Times New Roman" w:hAnsi="Times New Roman"/>
          <w:color w:val="auto"/>
        </w:rPr>
      </w:pPr>
      <w:r>
        <w:rPr>
          <w:rFonts w:ascii="Times New Roman" w:hAnsi="Times New Roman"/>
          <w:color w:val="auto"/>
        </w:rPr>
        <w:t xml:space="preserve">       pH</w:t>
      </w:r>
      <w:r>
        <w:rPr>
          <w:rFonts w:ascii="Times New Roman" w:hAnsi="Times New Roman"/>
          <w:color w:val="auto"/>
          <w:vertAlign w:val="subscript"/>
        </w:rPr>
        <w:t>su</w:t>
      </w:r>
      <w:r>
        <w:rPr>
          <w:rFonts w:ascii="Times New Roman" w:hAnsi="Times New Roman"/>
          <w:color w:val="auto"/>
        </w:rPr>
        <w:t>—</w:t>
      </w:r>
      <w:r>
        <w:rPr>
          <w:rFonts w:ascii="Times New Roman" w:hAnsi="Times New Roman" w:eastAsia="仿宋_GB2312"/>
          <w:color w:val="auto"/>
        </w:rPr>
        <w:t>pH标准高限值</w:t>
      </w:r>
      <w:r>
        <w:rPr>
          <w:rFonts w:ascii="Times New Roman" w:hAnsi="Times New Roman"/>
          <w:color w:val="auto"/>
        </w:rPr>
        <w:t>。</w:t>
      </w:r>
    </w:p>
    <w:p>
      <w:pPr>
        <w:pStyle w:val="1002"/>
        <w:rPr>
          <w:rFonts w:ascii="Times New Roman" w:hAnsi="Times New Roman" w:eastAsia="仿宋_GB2312"/>
          <w:color w:val="auto"/>
        </w:rPr>
      </w:pPr>
      <w:r>
        <w:rPr>
          <w:rFonts w:ascii="Times New Roman" w:hAnsi="Times New Roman" w:eastAsia="仿宋_GB2312"/>
          <w:color w:val="auto"/>
        </w:rPr>
        <w:t>DO的标准指数为：</w:t>
      </w:r>
    </w:p>
    <w:p>
      <w:pPr>
        <w:pStyle w:val="1002"/>
        <w:ind w:firstLine="0" w:firstLineChars="0"/>
        <w:jc w:val="center"/>
        <w:rPr>
          <w:rFonts w:hint="eastAsia" w:ascii="Times New Roman" w:hAnsi="Times New Roman" w:eastAsia="仿宋_GB2312"/>
          <w:color w:val="auto"/>
        </w:rPr>
      </w:pPr>
      <w:r>
        <w:rPr>
          <w:color w:val="auto"/>
        </w:rPr>
        <w:drawing>
          <wp:inline distT="0" distB="0" distL="114300" distR="114300">
            <wp:extent cx="2490470" cy="784860"/>
            <wp:effectExtent l="0" t="0" r="5080" b="1524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3"/>
                    <a:stretch>
                      <a:fillRect/>
                    </a:stretch>
                  </pic:blipFill>
                  <pic:spPr>
                    <a:xfrm>
                      <a:off x="0" y="0"/>
                      <a:ext cx="2490470" cy="784860"/>
                    </a:xfrm>
                    <a:prstGeom prst="rect">
                      <a:avLst/>
                    </a:prstGeom>
                    <a:noFill/>
                    <a:ln>
                      <a:noFill/>
                    </a:ln>
                  </pic:spPr>
                </pic:pic>
              </a:graphicData>
            </a:graphic>
          </wp:inline>
        </w:drawing>
      </w:r>
    </w:p>
    <w:p>
      <w:pPr>
        <w:pStyle w:val="1002"/>
        <w:rPr>
          <w:rFonts w:ascii="Times New Roman" w:hAnsi="Times New Roman" w:eastAsia="仿宋_GB2312"/>
          <w:color w:val="auto"/>
        </w:rPr>
      </w:pPr>
      <w:r>
        <w:rPr>
          <w:rFonts w:ascii="Times New Roman" w:hAnsi="Times New Roman" w:eastAsia="仿宋_GB2312"/>
          <w:color w:val="auto"/>
        </w:rPr>
        <w:t>式中：S</w:t>
      </w:r>
      <w:r>
        <w:rPr>
          <w:rFonts w:ascii="Times New Roman" w:hAnsi="Times New Roman" w:eastAsia="仿宋_GB2312"/>
          <w:color w:val="auto"/>
          <w:vertAlign w:val="subscript"/>
        </w:rPr>
        <w:t>DO,j</w:t>
      </w:r>
      <w:r>
        <w:rPr>
          <w:rFonts w:ascii="Times New Roman" w:hAnsi="Times New Roman"/>
          <w:color w:val="auto"/>
        </w:rPr>
        <w:t>――</w:t>
      </w:r>
      <w:r>
        <w:rPr>
          <w:rFonts w:ascii="Times New Roman" w:hAnsi="Times New Roman" w:eastAsia="仿宋_GB2312"/>
          <w:color w:val="auto"/>
        </w:rPr>
        <w:t>溶解氧在第j取样点的标准指数；</w:t>
      </w:r>
    </w:p>
    <w:p>
      <w:pPr>
        <w:pStyle w:val="1002"/>
        <w:ind w:firstLine="1200" w:firstLineChars="500"/>
        <w:rPr>
          <w:rFonts w:ascii="Times New Roman" w:hAnsi="Times New Roman" w:eastAsia="仿宋_GB2312"/>
          <w:color w:val="auto"/>
        </w:rPr>
      </w:pPr>
      <w:r>
        <w:rPr>
          <w:rFonts w:ascii="Times New Roman" w:hAnsi="Times New Roman" w:eastAsia="仿宋_GB2312"/>
          <w:color w:val="auto"/>
        </w:rPr>
        <w:t>DO</w:t>
      </w:r>
      <w:r>
        <w:rPr>
          <w:rFonts w:ascii="Times New Roman" w:hAnsi="Times New Roman" w:eastAsia="仿宋_GB2312"/>
          <w:color w:val="auto"/>
          <w:vertAlign w:val="subscript"/>
        </w:rPr>
        <w:t>j</w:t>
      </w:r>
      <w:r>
        <w:rPr>
          <w:rFonts w:ascii="Times New Roman" w:hAnsi="Times New Roman"/>
          <w:color w:val="auto"/>
        </w:rPr>
        <w:t>――</w:t>
      </w:r>
      <w:r>
        <w:rPr>
          <w:rFonts w:hint="eastAsia" w:ascii="Times New Roman" w:hAnsi="Times New Roman" w:eastAsia="仿宋_GB2312"/>
          <w:color w:val="auto"/>
        </w:rPr>
        <w:t>溶解氧</w:t>
      </w:r>
      <w:r>
        <w:rPr>
          <w:rFonts w:ascii="Times New Roman" w:hAnsi="Times New Roman" w:eastAsia="仿宋_GB2312"/>
          <w:color w:val="auto"/>
        </w:rPr>
        <w:t>在j点的</w:t>
      </w:r>
      <w:r>
        <w:rPr>
          <w:rFonts w:hint="eastAsia" w:ascii="Times New Roman" w:hAnsi="Times New Roman" w:eastAsia="仿宋_GB2312"/>
          <w:color w:val="auto"/>
        </w:rPr>
        <w:t>实际统计代表值，</w:t>
      </w:r>
      <w:r>
        <w:rPr>
          <w:rFonts w:ascii="Times New Roman" w:hAnsi="Times New Roman" w:eastAsia="仿宋_GB2312"/>
          <w:color w:val="auto"/>
        </w:rPr>
        <w:t>mg/L</w:t>
      </w:r>
      <w:r>
        <w:rPr>
          <w:rFonts w:hint="eastAsia" w:ascii="Times New Roman" w:hAnsi="Times New Roman" w:eastAsia="仿宋_GB2312"/>
          <w:color w:val="auto"/>
        </w:rPr>
        <w:t>；</w:t>
      </w:r>
    </w:p>
    <w:p>
      <w:pPr>
        <w:pStyle w:val="1002"/>
        <w:ind w:firstLine="1200" w:firstLineChars="500"/>
        <w:rPr>
          <w:rFonts w:ascii="Times New Roman" w:hAnsi="Times New Roman" w:eastAsia="仿宋_GB2312"/>
          <w:color w:val="auto"/>
        </w:rPr>
      </w:pPr>
      <w:r>
        <w:rPr>
          <w:rFonts w:ascii="Times New Roman" w:hAnsi="Times New Roman" w:eastAsia="仿宋_GB2312"/>
          <w:color w:val="auto"/>
        </w:rPr>
        <w:t>DO</w:t>
      </w:r>
      <w:r>
        <w:rPr>
          <w:rFonts w:ascii="Times New Roman" w:hAnsi="Times New Roman" w:eastAsia="仿宋_GB2312"/>
          <w:color w:val="auto"/>
          <w:vertAlign w:val="subscript"/>
        </w:rPr>
        <w:t>s</w:t>
      </w:r>
      <w:r>
        <w:rPr>
          <w:rFonts w:ascii="Times New Roman" w:hAnsi="Times New Roman"/>
          <w:color w:val="auto"/>
        </w:rPr>
        <w:t>――</w:t>
      </w:r>
      <w:r>
        <w:rPr>
          <w:rFonts w:ascii="Times New Roman" w:hAnsi="Times New Roman" w:eastAsia="仿宋_GB2312"/>
          <w:color w:val="auto"/>
        </w:rPr>
        <w:t>溶解氧的</w:t>
      </w:r>
      <w:r>
        <w:rPr>
          <w:rFonts w:hint="eastAsia" w:ascii="Times New Roman" w:hAnsi="Times New Roman" w:eastAsia="仿宋_GB2312"/>
          <w:color w:val="auto"/>
        </w:rPr>
        <w:t>水质评价标准限值，</w:t>
      </w:r>
      <w:r>
        <w:rPr>
          <w:rFonts w:ascii="Times New Roman" w:hAnsi="Times New Roman" w:eastAsia="仿宋_GB2312"/>
          <w:color w:val="auto"/>
        </w:rPr>
        <w:t>mg/L；</w:t>
      </w:r>
    </w:p>
    <w:p>
      <w:pPr>
        <w:pStyle w:val="1002"/>
        <w:ind w:firstLine="1200" w:firstLineChars="500"/>
        <w:rPr>
          <w:rFonts w:hint="eastAsia" w:ascii="Times New Roman" w:hAnsi="Times New Roman" w:eastAsia="仿宋_GB2312"/>
          <w:color w:val="auto"/>
        </w:rPr>
      </w:pPr>
      <w:r>
        <w:rPr>
          <w:rFonts w:ascii="Times New Roman" w:hAnsi="Times New Roman" w:eastAsia="仿宋_GB2312"/>
          <w:color w:val="auto"/>
        </w:rPr>
        <w:t>DO</w:t>
      </w:r>
      <w:r>
        <w:rPr>
          <w:rFonts w:ascii="Times New Roman" w:hAnsi="Times New Roman" w:eastAsia="仿宋_GB2312"/>
          <w:color w:val="auto"/>
          <w:vertAlign w:val="subscript"/>
        </w:rPr>
        <w:t>f</w:t>
      </w:r>
      <w:r>
        <w:rPr>
          <w:rFonts w:ascii="Times New Roman" w:hAnsi="Times New Roman"/>
          <w:color w:val="auto"/>
        </w:rPr>
        <w:t>――</w:t>
      </w:r>
      <w:r>
        <w:rPr>
          <w:rFonts w:ascii="Times New Roman" w:hAnsi="Times New Roman" w:eastAsia="仿宋_GB2312"/>
          <w:color w:val="auto"/>
        </w:rPr>
        <w:t>饱和溶解氧浓度，mg/L</w:t>
      </w:r>
      <w:r>
        <w:rPr>
          <w:rFonts w:hint="eastAsia" w:ascii="Times New Roman" w:hAnsi="Times New Roman" w:eastAsia="仿宋_GB2312"/>
          <w:color w:val="auto"/>
        </w:rPr>
        <w:t>，</w:t>
      </w:r>
      <w:r>
        <w:rPr>
          <w:rFonts w:ascii="Times New Roman" w:hAnsi="Times New Roman" w:eastAsia="仿宋_GB2312"/>
          <w:color w:val="auto"/>
        </w:rPr>
        <w:t>DO</w:t>
      </w:r>
      <w:r>
        <w:rPr>
          <w:rFonts w:ascii="Times New Roman" w:hAnsi="Times New Roman" w:eastAsia="仿宋_GB2312"/>
          <w:color w:val="auto"/>
          <w:vertAlign w:val="subscript"/>
        </w:rPr>
        <w:t>f</w:t>
      </w:r>
      <w:r>
        <w:rPr>
          <w:rFonts w:ascii="Times New Roman" w:hAnsi="Times New Roman" w:eastAsia="仿宋_GB2312"/>
          <w:color w:val="auto"/>
        </w:rPr>
        <w:t>=468/(31.6+T)</w:t>
      </w:r>
      <w:r>
        <w:rPr>
          <w:rFonts w:hint="eastAsia" w:ascii="Times New Roman" w:hAnsi="Times New Roman" w:eastAsia="仿宋_GB2312"/>
          <w:color w:val="auto"/>
        </w:rPr>
        <w:t>；</w:t>
      </w:r>
    </w:p>
    <w:p>
      <w:pPr>
        <w:pStyle w:val="1002"/>
        <w:ind w:firstLine="1200" w:firstLineChars="500"/>
        <w:rPr>
          <w:rFonts w:ascii="Times New Roman" w:hAnsi="Times New Roman" w:eastAsia="仿宋_GB2312"/>
          <w:color w:val="auto"/>
        </w:rPr>
      </w:pPr>
      <w:r>
        <w:rPr>
          <w:rFonts w:ascii="Times New Roman" w:hAnsi="Times New Roman" w:eastAsia="仿宋_GB2312"/>
          <w:color w:val="auto"/>
        </w:rPr>
        <w:t>T</w:t>
      </w:r>
      <w:r>
        <w:rPr>
          <w:rFonts w:ascii="Times New Roman" w:hAnsi="Times New Roman"/>
          <w:color w:val="auto"/>
        </w:rPr>
        <w:t>――</w:t>
      </w:r>
      <w:r>
        <w:rPr>
          <w:rFonts w:ascii="Times New Roman" w:hAnsi="Times New Roman" w:eastAsia="仿宋_GB2312"/>
          <w:color w:val="auto"/>
        </w:rPr>
        <w:t>水温</w:t>
      </w:r>
      <w:r>
        <w:rPr>
          <w:rFonts w:hint="eastAsia" w:ascii="Times New Roman" w:hAnsi="Times New Roman" w:eastAsia="仿宋_GB2312"/>
          <w:color w:val="auto"/>
        </w:rPr>
        <w:t>，</w:t>
      </w:r>
      <w:r>
        <w:rPr>
          <w:rFonts w:hint="eastAsia" w:cs="宋体"/>
          <w:color w:val="auto"/>
        </w:rPr>
        <w:t>℃</w:t>
      </w:r>
      <w:r>
        <w:rPr>
          <w:rFonts w:hint="eastAsia" w:ascii="Times New Roman" w:hAnsi="Times New Roman" w:eastAsia="仿宋_GB2312"/>
          <w:color w:val="auto"/>
        </w:rPr>
        <w:t>。</w:t>
      </w:r>
    </w:p>
    <w:p>
      <w:pPr>
        <w:widowControl w:val="0"/>
        <w:spacing w:line="360" w:lineRule="auto"/>
        <w:ind w:firstLine="480" w:firstLineChars="200"/>
        <w:rPr>
          <w:rFonts w:eastAsia="仿宋_GB2312"/>
          <w:color w:val="auto"/>
          <w:sz w:val="24"/>
        </w:rPr>
      </w:pPr>
      <w:r>
        <w:rPr>
          <w:rFonts w:eastAsia="仿宋_GB2312"/>
          <w:color w:val="auto"/>
          <w:sz w:val="24"/>
        </w:rPr>
        <w:t>水质参数的标准指数&gt;1，表明该水质参数超过了规定的水质标准，已经不能满足使用要求。标准指数越大，污染程度越重；标准指数越小，说明水体受污染的程度越轻。</w:t>
      </w:r>
    </w:p>
    <w:p>
      <w:pPr>
        <w:spacing w:line="360" w:lineRule="auto"/>
        <w:ind w:firstLine="480" w:firstLineChars="200"/>
        <w:rPr>
          <w:rFonts w:hint="eastAsia" w:eastAsia="仿宋_GB2312"/>
          <w:color w:val="auto"/>
          <w:sz w:val="24"/>
        </w:rPr>
      </w:pPr>
    </w:p>
    <w:p>
      <w:pPr>
        <w:spacing w:line="360" w:lineRule="auto"/>
        <w:ind w:firstLine="480" w:firstLineChars="200"/>
        <w:rPr>
          <w:rFonts w:eastAsia="仿宋_GB2312"/>
          <w:color w:val="auto"/>
          <w:sz w:val="24"/>
        </w:rPr>
        <w:sectPr>
          <w:pgSz w:w="11906" w:h="16838"/>
          <w:pgMar w:top="1440" w:right="1797" w:bottom="1559" w:left="1797"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spacing w:line="360" w:lineRule="auto"/>
        <w:jc w:val="center"/>
        <w:rPr>
          <w:rFonts w:hint="eastAsia" w:eastAsia="黑体"/>
          <w:b/>
          <w:color w:val="auto"/>
          <w:szCs w:val="21"/>
        </w:rPr>
      </w:pPr>
      <w:r>
        <w:rPr>
          <w:rFonts w:eastAsia="黑体"/>
          <w:b/>
          <w:color w:val="auto"/>
          <w:szCs w:val="21"/>
        </w:rPr>
        <w:t>表4.</w:t>
      </w:r>
      <w:r>
        <w:rPr>
          <w:rFonts w:hint="eastAsia" w:eastAsia="黑体"/>
          <w:b/>
          <w:color w:val="auto"/>
          <w:szCs w:val="21"/>
          <w:lang w:val="en-US" w:eastAsia="zh-CN"/>
        </w:rPr>
        <w:t>3</w:t>
      </w:r>
      <w:r>
        <w:rPr>
          <w:rFonts w:eastAsia="黑体"/>
          <w:b/>
          <w:color w:val="auto"/>
          <w:szCs w:val="21"/>
        </w:rPr>
        <w:t>-</w:t>
      </w:r>
      <w:r>
        <w:rPr>
          <w:rFonts w:hint="eastAsia" w:eastAsia="黑体"/>
          <w:b/>
          <w:color w:val="auto"/>
          <w:szCs w:val="21"/>
          <w:lang w:val="en-US" w:eastAsia="zh-CN"/>
        </w:rPr>
        <w:t>8</w:t>
      </w:r>
      <w:r>
        <w:rPr>
          <w:rFonts w:eastAsia="黑体"/>
          <w:b/>
          <w:color w:val="auto"/>
          <w:szCs w:val="21"/>
        </w:rPr>
        <w:t xml:space="preserve">  </w:t>
      </w:r>
      <w:r>
        <w:rPr>
          <w:rFonts w:hint="eastAsia" w:eastAsia="黑体"/>
          <w:b/>
          <w:color w:val="auto"/>
          <w:szCs w:val="21"/>
          <w:lang w:val="en-US" w:eastAsia="zh-CN"/>
        </w:rPr>
        <w:t>监测断面</w:t>
      </w:r>
      <w:r>
        <w:rPr>
          <w:rFonts w:eastAsia="黑体"/>
          <w:b/>
          <w:color w:val="auto"/>
          <w:szCs w:val="21"/>
        </w:rPr>
        <w:t>水质现状评价结果</w:t>
      </w:r>
      <w:r>
        <w:rPr>
          <w:rFonts w:hint="eastAsia" w:eastAsia="黑体"/>
          <w:b/>
          <w:color w:val="auto"/>
          <w:szCs w:val="21"/>
        </w:rPr>
        <w:t>（单位：mg/L，pH无量纲，粪大肠菌群</w:t>
      </w:r>
      <w:r>
        <w:rPr>
          <w:rFonts w:eastAsia="黑体"/>
          <w:b/>
          <w:color w:val="auto"/>
          <w:szCs w:val="21"/>
        </w:rPr>
        <w:t>MPN/L</w:t>
      </w:r>
      <w:r>
        <w:rPr>
          <w:rFonts w:hint="eastAsia" w:eastAsia="黑体"/>
          <w:b/>
          <w:color w:val="auto"/>
          <w:szCs w:val="21"/>
        </w:rPr>
        <w:t>）</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3"/>
        <w:gridCol w:w="1643"/>
        <w:gridCol w:w="1065"/>
        <w:gridCol w:w="1395"/>
        <w:gridCol w:w="1184"/>
        <w:gridCol w:w="1198"/>
        <w:gridCol w:w="1245"/>
        <w:gridCol w:w="1184"/>
        <w:gridCol w:w="1140"/>
        <w:gridCol w:w="1215"/>
        <w:gridCol w:w="9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tcBorders>
              <w:top w:val="single" w:color="auto" w:sz="12" w:space="0"/>
              <w:bottom w:val="single" w:color="auto" w:sz="12" w:space="0"/>
            </w:tcBorders>
            <w:noWrap w:val="0"/>
            <w:tcMar>
              <w:left w:w="28" w:type="dxa"/>
              <w:right w:w="28" w:type="dxa"/>
            </w:tcMar>
            <w:vAlign w:val="center"/>
          </w:tcPr>
          <w:p>
            <w:pPr>
              <w:jc w:val="center"/>
              <w:rPr>
                <w:color w:val="auto"/>
                <w:kern w:val="0"/>
                <w:sz w:val="18"/>
                <w:szCs w:val="18"/>
              </w:rPr>
            </w:pPr>
            <w:r>
              <w:rPr>
                <w:color w:val="auto"/>
                <w:kern w:val="0"/>
                <w:sz w:val="18"/>
                <w:szCs w:val="18"/>
              </w:rPr>
              <w:t>监测断面</w:t>
            </w:r>
          </w:p>
        </w:tc>
        <w:tc>
          <w:tcPr>
            <w:tcW w:w="591" w:type="pct"/>
            <w:tcBorders>
              <w:top w:val="single" w:color="auto" w:sz="12" w:space="0"/>
              <w:bottom w:val="single" w:color="auto" w:sz="12" w:space="0"/>
            </w:tcBorders>
            <w:noWrap w:val="0"/>
            <w:tcMar>
              <w:left w:w="28" w:type="dxa"/>
              <w:right w:w="28" w:type="dxa"/>
            </w:tcMar>
            <w:vAlign w:val="center"/>
          </w:tcPr>
          <w:p>
            <w:pPr>
              <w:jc w:val="center"/>
              <w:rPr>
                <w:color w:val="auto"/>
                <w:kern w:val="0"/>
                <w:sz w:val="18"/>
                <w:szCs w:val="18"/>
              </w:rPr>
            </w:pPr>
            <w:r>
              <w:rPr>
                <w:color w:val="auto"/>
                <w:kern w:val="0"/>
                <w:sz w:val="18"/>
                <w:szCs w:val="18"/>
              </w:rPr>
              <w:t>监测项目</w:t>
            </w:r>
          </w:p>
        </w:tc>
        <w:tc>
          <w:tcPr>
            <w:tcW w:w="383"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pH</w:t>
            </w:r>
            <w:r>
              <w:rPr>
                <w:rFonts w:hint="default" w:ascii="Times New Roman" w:hAnsi="Times New Roman" w:eastAsia="宋体" w:cs="Times New Roman"/>
                <w:b w:val="0"/>
                <w:bCs w:val="0"/>
                <w:color w:val="auto"/>
                <w:sz w:val="20"/>
                <w:szCs w:val="20"/>
              </w:rPr>
              <w:t>值</w:t>
            </w:r>
          </w:p>
        </w:tc>
        <w:tc>
          <w:tcPr>
            <w:tcW w:w="502"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default" w:ascii="Times New Roman" w:hAnsi="Times New Roman" w:eastAsia="宋体" w:cs="Times New Roman"/>
                <w:b w:val="0"/>
                <w:bCs w:val="0"/>
                <w:color w:val="auto"/>
                <w:sz w:val="20"/>
                <w:szCs w:val="20"/>
              </w:rPr>
              <w:t>高锰酸盐指数</w:t>
            </w:r>
          </w:p>
        </w:tc>
        <w:tc>
          <w:tcPr>
            <w:tcW w:w="426"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溶解氧</w:t>
            </w:r>
          </w:p>
        </w:tc>
        <w:tc>
          <w:tcPr>
            <w:tcW w:w="431"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COD</w:t>
            </w:r>
          </w:p>
        </w:tc>
        <w:tc>
          <w:tcPr>
            <w:tcW w:w="448"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BOD</w:t>
            </w:r>
            <w:r>
              <w:rPr>
                <w:rFonts w:hint="eastAsia" w:cs="Times New Roman"/>
                <w:b w:val="0"/>
                <w:bCs w:val="0"/>
                <w:color w:val="auto"/>
                <w:sz w:val="20"/>
                <w:szCs w:val="20"/>
                <w:vertAlign w:val="subscript"/>
                <w:lang w:val="en-US" w:eastAsia="zh-CN"/>
              </w:rPr>
              <w:t>5</w:t>
            </w:r>
          </w:p>
        </w:tc>
        <w:tc>
          <w:tcPr>
            <w:tcW w:w="426"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default" w:ascii="Times New Roman" w:hAnsi="Times New Roman" w:eastAsia="宋体" w:cs="Times New Roman"/>
                <w:b w:val="0"/>
                <w:bCs w:val="0"/>
                <w:color w:val="auto"/>
                <w:sz w:val="20"/>
                <w:szCs w:val="20"/>
              </w:rPr>
              <w:t>氨氮</w:t>
            </w:r>
          </w:p>
        </w:tc>
        <w:tc>
          <w:tcPr>
            <w:tcW w:w="410"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default"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悬浮物</w:t>
            </w:r>
          </w:p>
        </w:tc>
        <w:tc>
          <w:tcPr>
            <w:tcW w:w="437"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kern w:val="2"/>
                <w:sz w:val="20"/>
                <w:szCs w:val="20"/>
                <w:lang w:val="en-US" w:eastAsia="zh-CN" w:bidi="ar-SA"/>
              </w:rPr>
            </w:pPr>
            <w:r>
              <w:rPr>
                <w:rFonts w:hint="eastAsia" w:cs="Times New Roman"/>
                <w:b w:val="0"/>
                <w:bCs w:val="0"/>
                <w:color w:val="auto"/>
                <w:sz w:val="20"/>
                <w:szCs w:val="20"/>
                <w:lang w:val="en-US" w:eastAsia="zh-CN"/>
              </w:rPr>
              <w:t>石油类</w:t>
            </w:r>
          </w:p>
        </w:tc>
        <w:tc>
          <w:tcPr>
            <w:tcW w:w="347" w:type="pct"/>
            <w:tcBorders>
              <w:top w:val="single" w:color="auto" w:sz="12" w:space="0"/>
              <w:bottom w:val="single" w:color="auto" w:sz="12" w:space="0"/>
            </w:tcBorders>
            <w:noWrap w:val="0"/>
            <w:tcMar>
              <w:left w:w="28" w:type="dxa"/>
              <w:right w:w="28" w:type="dxa"/>
            </w:tcMar>
            <w:vAlign w:val="center"/>
          </w:tcPr>
          <w:p>
            <w:pPr>
              <w:autoSpaceDE w:val="0"/>
              <w:autoSpaceDN w:val="0"/>
              <w:snapToGrid w:val="0"/>
              <w:spacing w:line="240" w:lineRule="auto"/>
              <w:ind w:firstLine="0" w:firstLineChars="0"/>
              <w:jc w:val="center"/>
              <w:textAlignment w:val="baseline"/>
              <w:rPr>
                <w:rFonts w:hint="eastAsia" w:ascii="Times New Roman" w:hAnsi="Times New Roman" w:eastAsia="宋体" w:cs="Times New Roman"/>
                <w:b w:val="0"/>
                <w:bCs w:val="0"/>
                <w:color w:val="auto"/>
                <w:kern w:val="2"/>
                <w:sz w:val="20"/>
                <w:szCs w:val="20"/>
                <w:lang w:val="en-US" w:eastAsia="zh-CN" w:bidi="ar-SA"/>
              </w:rPr>
            </w:pPr>
            <w:r>
              <w:rPr>
                <w:rFonts w:hint="default" w:ascii="Times New Roman" w:hAnsi="Times New Roman" w:eastAsia="宋体" w:cs="Times New Roman"/>
                <w:b w:val="0"/>
                <w:bCs w:val="0"/>
                <w:color w:val="auto"/>
                <w:sz w:val="20"/>
                <w:szCs w:val="20"/>
              </w:rPr>
              <w:t>总磷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restart"/>
            <w:tcBorders>
              <w:top w:val="single" w:color="auto" w:sz="12" w:space="0"/>
            </w:tcBorders>
            <w:shd w:val="clear" w:color="auto" w:fill="auto"/>
            <w:noWrap w:val="0"/>
            <w:tcMar>
              <w:left w:w="28" w:type="dxa"/>
              <w:right w:w="28" w:type="dxa"/>
            </w:tcMar>
            <w:vAlign w:val="center"/>
          </w:tcPr>
          <w:p>
            <w:pPr>
              <w:widowControl w:val="0"/>
              <w:autoSpaceDE w:val="0"/>
              <w:autoSpaceDN w:val="0"/>
              <w:jc w:val="center"/>
              <w:textAlignment w:val="baseline"/>
              <w:rPr>
                <w:bCs/>
                <w:color w:val="auto"/>
                <w:kern w:val="0"/>
                <w:sz w:val="18"/>
                <w:szCs w:val="18"/>
              </w:rPr>
            </w:pPr>
            <w:r>
              <w:rPr>
                <w:rFonts w:hint="eastAsia"/>
                <w:bCs/>
                <w:color w:val="auto"/>
                <w:kern w:val="0"/>
                <w:sz w:val="18"/>
                <w:szCs w:val="18"/>
                <w:lang w:val="en-US" w:eastAsia="zh-CN"/>
              </w:rPr>
              <w:t>W</w:t>
            </w:r>
            <w:r>
              <w:rPr>
                <w:rFonts w:hint="eastAsia"/>
                <w:bCs/>
                <w:color w:val="auto"/>
                <w:kern w:val="0"/>
                <w:sz w:val="18"/>
                <w:szCs w:val="18"/>
              </w:rPr>
              <w:t>1</w:t>
            </w:r>
            <w:r>
              <w:rPr>
                <w:rFonts w:hint="eastAsia"/>
                <w:bCs/>
                <w:color w:val="auto"/>
                <w:kern w:val="0"/>
                <w:sz w:val="18"/>
                <w:szCs w:val="18"/>
                <w:lang w:val="en-US" w:eastAsia="zh-CN"/>
              </w:rPr>
              <w:t>码头</w:t>
            </w:r>
            <w:r>
              <w:rPr>
                <w:rFonts w:hint="eastAsia"/>
                <w:bCs/>
                <w:color w:val="auto"/>
                <w:kern w:val="0"/>
                <w:sz w:val="18"/>
                <w:szCs w:val="18"/>
              </w:rPr>
              <w:t>上游500m</w:t>
            </w:r>
          </w:p>
        </w:tc>
        <w:tc>
          <w:tcPr>
            <w:tcW w:w="591" w:type="pct"/>
            <w:tcBorders>
              <w:top w:val="single" w:color="auto" w:sz="12" w:space="0"/>
            </w:tcBorders>
            <w:shd w:val="clear" w:color="auto" w:fill="auto"/>
            <w:noWrap w:val="0"/>
            <w:tcMar>
              <w:left w:w="28" w:type="dxa"/>
              <w:right w:w="28" w:type="dxa"/>
            </w:tcMar>
            <w:vAlign w:val="center"/>
          </w:tcPr>
          <w:p>
            <w:pPr>
              <w:jc w:val="center"/>
              <w:rPr>
                <w:color w:val="auto"/>
                <w:kern w:val="0"/>
                <w:sz w:val="18"/>
                <w:szCs w:val="18"/>
              </w:rPr>
            </w:pPr>
            <w:r>
              <w:rPr>
                <w:color w:val="auto"/>
                <w:kern w:val="0"/>
                <w:sz w:val="18"/>
                <w:szCs w:val="18"/>
              </w:rPr>
              <w:t>监测</w:t>
            </w:r>
            <w:r>
              <w:rPr>
                <w:rFonts w:hint="eastAsia"/>
                <w:color w:val="auto"/>
                <w:kern w:val="0"/>
                <w:sz w:val="18"/>
                <w:szCs w:val="18"/>
              </w:rPr>
              <w:t>均</w:t>
            </w:r>
            <w:r>
              <w:rPr>
                <w:color w:val="auto"/>
                <w:kern w:val="0"/>
                <w:sz w:val="18"/>
                <w:szCs w:val="18"/>
              </w:rPr>
              <w:t>值</w:t>
            </w:r>
          </w:p>
        </w:tc>
        <w:tc>
          <w:tcPr>
            <w:tcW w:w="383"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7.3~7.4</w:t>
            </w:r>
          </w:p>
        </w:tc>
        <w:tc>
          <w:tcPr>
            <w:tcW w:w="502"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1.1~1.5</w:t>
            </w:r>
          </w:p>
        </w:tc>
        <w:tc>
          <w:tcPr>
            <w:tcW w:w="426"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6.38~6.89</w:t>
            </w:r>
          </w:p>
        </w:tc>
        <w:tc>
          <w:tcPr>
            <w:tcW w:w="431"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8~9</w:t>
            </w:r>
          </w:p>
        </w:tc>
        <w:tc>
          <w:tcPr>
            <w:tcW w:w="448"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2.3~2.8</w:t>
            </w:r>
          </w:p>
        </w:tc>
        <w:tc>
          <w:tcPr>
            <w:tcW w:w="426"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0.392~0.435</w:t>
            </w:r>
          </w:p>
        </w:tc>
        <w:tc>
          <w:tcPr>
            <w:tcW w:w="410"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17~21</w:t>
            </w:r>
          </w:p>
        </w:tc>
        <w:tc>
          <w:tcPr>
            <w:tcW w:w="437"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0.017~0.020</w:t>
            </w:r>
          </w:p>
        </w:tc>
        <w:tc>
          <w:tcPr>
            <w:tcW w:w="347" w:type="pct"/>
            <w:tcBorders>
              <w:top w:val="single" w:color="auto" w:sz="12" w:space="0"/>
            </w:tcBorders>
            <w:shd w:val="clear" w:color="auto" w:fill="auto"/>
            <w:noWrap w:val="0"/>
            <w:tcMar>
              <w:left w:w="28" w:type="dxa"/>
              <w:right w:w="28" w:type="dxa"/>
            </w:tcMar>
            <w:vAlign w:val="center"/>
          </w:tcPr>
          <w:p>
            <w:pPr>
              <w:jc w:val="center"/>
              <w:rPr>
                <w:rFonts w:hint="default"/>
                <w:color w:val="auto"/>
                <w:sz w:val="18"/>
                <w:szCs w:val="18"/>
                <w:lang w:val="en-US" w:eastAsia="zh-CN"/>
              </w:rPr>
            </w:pPr>
            <w:r>
              <w:rPr>
                <w:rFonts w:hint="eastAsia"/>
                <w:color w:val="auto"/>
                <w:sz w:val="18"/>
                <w:szCs w:val="18"/>
                <w:lang w:val="en-US" w:eastAsia="zh-CN"/>
              </w:rPr>
              <w:t>0.02~0.09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shd w:val="clear" w:color="auto" w:fill="auto"/>
            <w:noWrap w:val="0"/>
            <w:tcMar>
              <w:left w:w="28" w:type="dxa"/>
              <w:right w:w="28" w:type="dxa"/>
            </w:tcMar>
            <w:vAlign w:val="center"/>
          </w:tcPr>
          <w:p>
            <w:pPr>
              <w:jc w:val="center"/>
              <w:rPr>
                <w:color w:val="auto"/>
                <w:kern w:val="0"/>
                <w:sz w:val="18"/>
                <w:szCs w:val="18"/>
              </w:rPr>
            </w:pPr>
          </w:p>
        </w:tc>
        <w:tc>
          <w:tcPr>
            <w:tcW w:w="591" w:type="pct"/>
            <w:shd w:val="clear" w:color="auto" w:fill="auto"/>
            <w:noWrap w:val="0"/>
            <w:tcMar>
              <w:left w:w="28" w:type="dxa"/>
              <w:right w:w="28" w:type="dxa"/>
            </w:tcMar>
            <w:vAlign w:val="center"/>
          </w:tcPr>
          <w:p>
            <w:pPr>
              <w:jc w:val="center"/>
              <w:rPr>
                <w:color w:val="auto"/>
                <w:kern w:val="0"/>
                <w:sz w:val="18"/>
                <w:szCs w:val="18"/>
              </w:rPr>
            </w:pPr>
            <w:r>
              <w:rPr>
                <w:rFonts w:hint="eastAsia"/>
                <w:color w:val="auto"/>
                <w:sz w:val="18"/>
                <w:szCs w:val="18"/>
              </w:rPr>
              <w:t>标准</w:t>
            </w:r>
            <w:r>
              <w:rPr>
                <w:color w:val="auto"/>
                <w:kern w:val="0"/>
                <w:sz w:val="18"/>
                <w:szCs w:val="18"/>
              </w:rPr>
              <w:t>指数</w:t>
            </w:r>
          </w:p>
        </w:tc>
        <w:tc>
          <w:tcPr>
            <w:tcW w:w="383"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0.15~0.2</w:t>
            </w:r>
          </w:p>
        </w:tc>
        <w:tc>
          <w:tcPr>
            <w:tcW w:w="502"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0.275~0.375</w:t>
            </w:r>
          </w:p>
        </w:tc>
        <w:tc>
          <w:tcPr>
            <w:tcW w:w="426"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0.87~0.94</w:t>
            </w:r>
          </w:p>
        </w:tc>
        <w:tc>
          <w:tcPr>
            <w:tcW w:w="431"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0.53~0.6</w:t>
            </w:r>
          </w:p>
        </w:tc>
        <w:tc>
          <w:tcPr>
            <w:tcW w:w="448"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0.77~0.93</w:t>
            </w:r>
          </w:p>
        </w:tc>
        <w:tc>
          <w:tcPr>
            <w:tcW w:w="426"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0.79~0.87</w:t>
            </w:r>
          </w:p>
        </w:tc>
        <w:tc>
          <w:tcPr>
            <w:tcW w:w="410"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w:t>
            </w:r>
          </w:p>
        </w:tc>
        <w:tc>
          <w:tcPr>
            <w:tcW w:w="437"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0.34~0.4</w:t>
            </w:r>
          </w:p>
        </w:tc>
        <w:tc>
          <w:tcPr>
            <w:tcW w:w="347" w:type="pct"/>
            <w:shd w:val="clear" w:color="auto" w:fill="auto"/>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lang w:val="en-US" w:eastAsia="zh-CN"/>
              </w:rPr>
              <w:t>0.2~0.9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color w:val="auto"/>
                <w:kern w:val="0"/>
                <w:sz w:val="18"/>
                <w:szCs w:val="18"/>
              </w:rPr>
            </w:pPr>
            <w:r>
              <w:rPr>
                <w:color w:val="auto"/>
                <w:kern w:val="0"/>
                <w:sz w:val="18"/>
                <w:szCs w:val="18"/>
              </w:rPr>
              <w:t>达标情况</w:t>
            </w:r>
          </w:p>
        </w:tc>
        <w:tc>
          <w:tcPr>
            <w:tcW w:w="383" w:type="pct"/>
            <w:noWrap w:val="0"/>
            <w:tcMar>
              <w:left w:w="28" w:type="dxa"/>
              <w:right w:w="28" w:type="dxa"/>
            </w:tcMar>
            <w:vAlign w:val="center"/>
          </w:tcPr>
          <w:p>
            <w:pPr>
              <w:jc w:val="center"/>
              <w:rPr>
                <w:rFonts w:hint="default"/>
                <w:color w:val="auto"/>
                <w:kern w:val="0"/>
                <w:sz w:val="18"/>
                <w:szCs w:val="18"/>
                <w:lang w:val="en-US" w:eastAsia="zh-CN"/>
              </w:rPr>
            </w:pPr>
            <w:r>
              <w:rPr>
                <w:color w:val="auto"/>
                <w:kern w:val="0"/>
                <w:sz w:val="18"/>
                <w:szCs w:val="18"/>
              </w:rPr>
              <w:t>达标</w:t>
            </w:r>
          </w:p>
        </w:tc>
        <w:tc>
          <w:tcPr>
            <w:tcW w:w="502" w:type="pct"/>
            <w:noWrap w:val="0"/>
            <w:tcMar>
              <w:left w:w="28" w:type="dxa"/>
              <w:right w:w="28" w:type="dxa"/>
            </w:tcMar>
            <w:vAlign w:val="center"/>
          </w:tcPr>
          <w:p>
            <w:pPr>
              <w:jc w:val="center"/>
              <w:rPr>
                <w:color w:val="auto"/>
                <w:kern w:val="0"/>
                <w:sz w:val="18"/>
                <w:szCs w:val="18"/>
                <w:lang w:val="en-US" w:eastAsia="zh-CN"/>
              </w:rPr>
            </w:pPr>
            <w:r>
              <w:rPr>
                <w:color w:val="auto"/>
                <w:kern w:val="0"/>
                <w:sz w:val="18"/>
                <w:szCs w:val="18"/>
              </w:rPr>
              <w:t>达标</w:t>
            </w:r>
          </w:p>
        </w:tc>
        <w:tc>
          <w:tcPr>
            <w:tcW w:w="426" w:type="pct"/>
            <w:noWrap w:val="0"/>
            <w:tcMar>
              <w:left w:w="28" w:type="dxa"/>
              <w:right w:w="28" w:type="dxa"/>
            </w:tcMar>
            <w:vAlign w:val="center"/>
          </w:tcPr>
          <w:p>
            <w:pPr>
              <w:jc w:val="center"/>
              <w:rPr>
                <w:rFonts w:hint="default"/>
                <w:color w:val="auto"/>
                <w:kern w:val="0"/>
                <w:sz w:val="18"/>
                <w:szCs w:val="18"/>
                <w:lang w:val="en-US" w:eastAsia="zh-CN"/>
              </w:rPr>
            </w:pPr>
            <w:r>
              <w:rPr>
                <w:color w:val="auto"/>
                <w:kern w:val="0"/>
                <w:sz w:val="18"/>
                <w:szCs w:val="18"/>
              </w:rPr>
              <w:t>达标</w:t>
            </w:r>
          </w:p>
        </w:tc>
        <w:tc>
          <w:tcPr>
            <w:tcW w:w="431" w:type="pct"/>
            <w:noWrap w:val="0"/>
            <w:tcMar>
              <w:left w:w="28" w:type="dxa"/>
              <w:right w:w="28" w:type="dxa"/>
            </w:tcMar>
            <w:vAlign w:val="center"/>
          </w:tcPr>
          <w:p>
            <w:pPr>
              <w:jc w:val="center"/>
              <w:rPr>
                <w:color w:val="auto"/>
                <w:kern w:val="0"/>
                <w:sz w:val="18"/>
                <w:szCs w:val="18"/>
                <w:lang w:val="en-US" w:eastAsia="zh-CN"/>
              </w:rPr>
            </w:pPr>
            <w:r>
              <w:rPr>
                <w:color w:val="auto"/>
                <w:kern w:val="0"/>
                <w:sz w:val="18"/>
                <w:szCs w:val="18"/>
              </w:rPr>
              <w:t>达标</w:t>
            </w:r>
          </w:p>
        </w:tc>
        <w:tc>
          <w:tcPr>
            <w:tcW w:w="448" w:type="pct"/>
            <w:noWrap w:val="0"/>
            <w:tcMar>
              <w:left w:w="28" w:type="dxa"/>
              <w:right w:w="28" w:type="dxa"/>
            </w:tcMar>
            <w:vAlign w:val="center"/>
          </w:tcPr>
          <w:p>
            <w:pPr>
              <w:jc w:val="center"/>
              <w:rPr>
                <w:rFonts w:hint="default"/>
                <w:color w:val="auto"/>
                <w:kern w:val="0"/>
                <w:sz w:val="18"/>
                <w:szCs w:val="18"/>
                <w:lang w:val="en-US" w:eastAsia="zh-CN"/>
              </w:rPr>
            </w:pPr>
            <w:r>
              <w:rPr>
                <w:color w:val="auto"/>
                <w:kern w:val="0"/>
                <w:sz w:val="18"/>
                <w:szCs w:val="18"/>
              </w:rPr>
              <w:t>达标</w:t>
            </w:r>
          </w:p>
        </w:tc>
        <w:tc>
          <w:tcPr>
            <w:tcW w:w="426" w:type="pct"/>
            <w:noWrap w:val="0"/>
            <w:tcMar>
              <w:left w:w="28" w:type="dxa"/>
              <w:right w:w="28" w:type="dxa"/>
            </w:tcMar>
            <w:vAlign w:val="center"/>
          </w:tcPr>
          <w:p>
            <w:pPr>
              <w:jc w:val="center"/>
              <w:rPr>
                <w:color w:val="auto"/>
                <w:kern w:val="0"/>
                <w:sz w:val="18"/>
                <w:szCs w:val="18"/>
                <w:lang w:val="en-US" w:eastAsia="zh-CN"/>
              </w:rPr>
            </w:pPr>
            <w:r>
              <w:rPr>
                <w:color w:val="auto"/>
                <w:kern w:val="0"/>
                <w:sz w:val="18"/>
                <w:szCs w:val="18"/>
              </w:rPr>
              <w:t>达标</w:t>
            </w:r>
          </w:p>
        </w:tc>
        <w:tc>
          <w:tcPr>
            <w:tcW w:w="410" w:type="pct"/>
            <w:noWrap w:val="0"/>
            <w:tcMar>
              <w:left w:w="28" w:type="dxa"/>
              <w:right w:w="28" w:type="dxa"/>
            </w:tcMar>
            <w:vAlign w:val="center"/>
          </w:tcPr>
          <w:p>
            <w:pPr>
              <w:jc w:val="center"/>
              <w:rPr>
                <w:rFonts w:hint="default"/>
                <w:color w:val="auto"/>
                <w:kern w:val="0"/>
                <w:sz w:val="18"/>
                <w:szCs w:val="18"/>
                <w:lang w:val="en-US" w:eastAsia="zh-CN"/>
              </w:rPr>
            </w:pPr>
            <w:r>
              <w:rPr>
                <w:color w:val="auto"/>
                <w:kern w:val="0"/>
                <w:sz w:val="18"/>
                <w:szCs w:val="18"/>
              </w:rPr>
              <w:t>达标</w:t>
            </w:r>
          </w:p>
        </w:tc>
        <w:tc>
          <w:tcPr>
            <w:tcW w:w="437" w:type="pct"/>
            <w:noWrap w:val="0"/>
            <w:tcMar>
              <w:left w:w="28" w:type="dxa"/>
              <w:right w:w="28" w:type="dxa"/>
            </w:tcMar>
            <w:vAlign w:val="center"/>
          </w:tcPr>
          <w:p>
            <w:pPr>
              <w:jc w:val="center"/>
              <w:rPr>
                <w:rFonts w:hint="eastAsia"/>
                <w:color w:val="auto"/>
                <w:kern w:val="0"/>
                <w:sz w:val="18"/>
                <w:szCs w:val="18"/>
                <w:lang w:val="en-US" w:eastAsia="zh-CN"/>
              </w:rPr>
            </w:pPr>
            <w:r>
              <w:rPr>
                <w:color w:val="auto"/>
                <w:kern w:val="0"/>
                <w:sz w:val="18"/>
                <w:szCs w:val="18"/>
              </w:rPr>
              <w:t>达标</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color w:val="auto"/>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color w:val="auto"/>
                <w:kern w:val="0"/>
                <w:sz w:val="18"/>
                <w:szCs w:val="18"/>
              </w:rPr>
            </w:pPr>
            <w:r>
              <w:rPr>
                <w:color w:val="auto"/>
                <w:kern w:val="0"/>
                <w:sz w:val="18"/>
                <w:szCs w:val="18"/>
              </w:rPr>
              <w:t>超标率</w:t>
            </w:r>
          </w:p>
        </w:tc>
        <w:tc>
          <w:tcPr>
            <w:tcW w:w="383"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502" w:type="pct"/>
            <w:noWrap w:val="0"/>
            <w:tcMar>
              <w:left w:w="28" w:type="dxa"/>
              <w:right w:w="28" w:type="dxa"/>
            </w:tcMar>
            <w:vAlign w:val="center"/>
          </w:tcPr>
          <w:p>
            <w:pPr>
              <w:jc w:val="center"/>
              <w:rPr>
                <w:color w:val="auto"/>
                <w:kern w:val="0"/>
                <w:sz w:val="18"/>
                <w:szCs w:val="18"/>
                <w:lang w:val="en-US" w:eastAsia="zh-CN"/>
              </w:rPr>
            </w:pPr>
            <w:r>
              <w:rPr>
                <w:rFonts w:hint="eastAsia"/>
                <w:color w:val="auto"/>
                <w:kern w:val="0"/>
                <w:sz w:val="18"/>
                <w:szCs w:val="18"/>
              </w:rPr>
              <w:t>0</w:t>
            </w:r>
          </w:p>
        </w:tc>
        <w:tc>
          <w:tcPr>
            <w:tcW w:w="426"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431" w:type="pct"/>
            <w:noWrap w:val="0"/>
            <w:tcMar>
              <w:left w:w="28" w:type="dxa"/>
              <w:right w:w="28" w:type="dxa"/>
            </w:tcMar>
            <w:vAlign w:val="center"/>
          </w:tcPr>
          <w:p>
            <w:pPr>
              <w:jc w:val="center"/>
              <w:rPr>
                <w:color w:val="auto"/>
                <w:kern w:val="0"/>
                <w:sz w:val="18"/>
                <w:szCs w:val="18"/>
                <w:lang w:val="en-US" w:eastAsia="zh-CN"/>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426" w:type="pct"/>
            <w:noWrap w:val="0"/>
            <w:tcMar>
              <w:left w:w="28" w:type="dxa"/>
              <w:right w:w="28" w:type="dxa"/>
            </w:tcMar>
            <w:vAlign w:val="center"/>
          </w:tcPr>
          <w:p>
            <w:pPr>
              <w:jc w:val="center"/>
              <w:rPr>
                <w:color w:val="auto"/>
                <w:kern w:val="0"/>
                <w:sz w:val="18"/>
                <w:szCs w:val="18"/>
                <w:lang w:val="en-US" w:eastAsia="zh-CN"/>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color w:val="auto"/>
                <w:kern w:val="0"/>
                <w:sz w:val="18"/>
                <w:szCs w:val="18"/>
              </w:rPr>
            </w:pPr>
            <w:r>
              <w:rPr>
                <w:rFonts w:hint="eastAsia"/>
                <w:color w:val="auto"/>
                <w:kern w:val="0"/>
                <w:sz w:val="18"/>
                <w:szCs w:val="18"/>
              </w:rPr>
              <w:t>最大超标倍数</w:t>
            </w:r>
          </w:p>
        </w:tc>
        <w:tc>
          <w:tcPr>
            <w:tcW w:w="383"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502"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431"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color w:val="auto"/>
                <w:kern w:val="0"/>
                <w:sz w:val="18"/>
                <w:szCs w:val="18"/>
                <w:lang w:val="en-US" w:eastAsia="zh-CN"/>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color w:val="auto"/>
                <w:kern w:val="0"/>
                <w:sz w:val="18"/>
                <w:szCs w:val="18"/>
                <w:lang w:val="en-US" w:eastAsia="zh-CN"/>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restart"/>
            <w:shd w:val="clear" w:color="auto" w:fill="auto"/>
            <w:noWrap w:val="0"/>
            <w:tcMar>
              <w:left w:w="28" w:type="dxa"/>
              <w:right w:w="28" w:type="dxa"/>
            </w:tcMar>
            <w:vAlign w:val="center"/>
          </w:tcPr>
          <w:p>
            <w:pPr>
              <w:widowControl w:val="0"/>
              <w:autoSpaceDE w:val="0"/>
              <w:autoSpaceDN w:val="0"/>
              <w:jc w:val="center"/>
              <w:textAlignment w:val="baseline"/>
              <w:rPr>
                <w:rFonts w:hint="default"/>
                <w:bCs/>
                <w:color w:val="auto"/>
                <w:kern w:val="0"/>
                <w:sz w:val="18"/>
                <w:szCs w:val="18"/>
                <w:lang w:val="en-US"/>
              </w:rPr>
            </w:pPr>
            <w:r>
              <w:rPr>
                <w:rFonts w:hint="eastAsia"/>
                <w:bCs/>
                <w:color w:val="auto"/>
                <w:kern w:val="0"/>
                <w:sz w:val="18"/>
                <w:szCs w:val="18"/>
                <w:lang w:val="en-US" w:eastAsia="zh-CN"/>
              </w:rPr>
              <w:t>W2拟建码头中心处</w:t>
            </w:r>
          </w:p>
        </w:tc>
        <w:tc>
          <w:tcPr>
            <w:tcW w:w="591" w:type="pct"/>
            <w:shd w:val="clear" w:color="auto" w:fill="auto"/>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监测</w:t>
            </w:r>
            <w:r>
              <w:rPr>
                <w:rFonts w:hint="eastAsia"/>
                <w:color w:val="auto"/>
                <w:kern w:val="0"/>
                <w:sz w:val="18"/>
                <w:szCs w:val="18"/>
              </w:rPr>
              <w:t>均</w:t>
            </w:r>
            <w:r>
              <w:rPr>
                <w:color w:val="auto"/>
                <w:kern w:val="0"/>
                <w:sz w:val="18"/>
                <w:szCs w:val="18"/>
              </w:rPr>
              <w:t>值</w:t>
            </w:r>
          </w:p>
        </w:tc>
        <w:tc>
          <w:tcPr>
            <w:tcW w:w="383"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7.2~7.5</w:t>
            </w:r>
          </w:p>
        </w:tc>
        <w:tc>
          <w:tcPr>
            <w:tcW w:w="502"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0.8~0.9</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6.50~6.91</w:t>
            </w:r>
          </w:p>
        </w:tc>
        <w:tc>
          <w:tcPr>
            <w:tcW w:w="431"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6~9</w:t>
            </w:r>
          </w:p>
        </w:tc>
        <w:tc>
          <w:tcPr>
            <w:tcW w:w="448"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2.4~2.7</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0.384~0.485</w:t>
            </w:r>
          </w:p>
        </w:tc>
        <w:tc>
          <w:tcPr>
            <w:tcW w:w="410"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17~22</w:t>
            </w:r>
          </w:p>
        </w:tc>
        <w:tc>
          <w:tcPr>
            <w:tcW w:w="43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0.016~0.019</w:t>
            </w:r>
          </w:p>
        </w:tc>
        <w:tc>
          <w:tcPr>
            <w:tcW w:w="34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0.03~0.06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shd w:val="clear" w:color="auto" w:fill="auto"/>
            <w:noWrap w:val="0"/>
            <w:tcMar>
              <w:left w:w="28" w:type="dxa"/>
              <w:right w:w="28" w:type="dxa"/>
            </w:tcMar>
            <w:vAlign w:val="center"/>
          </w:tcPr>
          <w:p>
            <w:pPr>
              <w:jc w:val="center"/>
              <w:rPr>
                <w:color w:val="auto"/>
                <w:kern w:val="0"/>
                <w:sz w:val="18"/>
                <w:szCs w:val="18"/>
              </w:rPr>
            </w:pPr>
          </w:p>
        </w:tc>
        <w:tc>
          <w:tcPr>
            <w:tcW w:w="591" w:type="pct"/>
            <w:shd w:val="clear" w:color="auto" w:fill="auto"/>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sz w:val="18"/>
                <w:szCs w:val="18"/>
              </w:rPr>
              <w:t>标准</w:t>
            </w:r>
            <w:r>
              <w:rPr>
                <w:color w:val="auto"/>
                <w:kern w:val="0"/>
                <w:sz w:val="18"/>
                <w:szCs w:val="18"/>
              </w:rPr>
              <w:t>指数</w:t>
            </w:r>
          </w:p>
        </w:tc>
        <w:tc>
          <w:tcPr>
            <w:tcW w:w="383"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0.1~0.25</w:t>
            </w:r>
          </w:p>
        </w:tc>
        <w:tc>
          <w:tcPr>
            <w:tcW w:w="502"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0.2~0.45</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0.87~0.92</w:t>
            </w:r>
          </w:p>
        </w:tc>
        <w:tc>
          <w:tcPr>
            <w:tcW w:w="431"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0.4~0.6</w:t>
            </w:r>
          </w:p>
        </w:tc>
        <w:tc>
          <w:tcPr>
            <w:tcW w:w="448"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0.8~0.9</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0.768~0.97</w:t>
            </w:r>
          </w:p>
        </w:tc>
        <w:tc>
          <w:tcPr>
            <w:tcW w:w="410"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c>
          <w:tcPr>
            <w:tcW w:w="43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0.32~0.38</w:t>
            </w:r>
          </w:p>
        </w:tc>
        <w:tc>
          <w:tcPr>
            <w:tcW w:w="34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0.3~0.6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达标情况</w:t>
            </w:r>
          </w:p>
        </w:tc>
        <w:tc>
          <w:tcPr>
            <w:tcW w:w="383"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502"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26"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3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26"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color w:val="auto"/>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超标率</w:t>
            </w:r>
          </w:p>
        </w:tc>
        <w:tc>
          <w:tcPr>
            <w:tcW w:w="383"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502"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最大超标倍数</w:t>
            </w:r>
          </w:p>
        </w:tc>
        <w:tc>
          <w:tcPr>
            <w:tcW w:w="383"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502"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1"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restart"/>
            <w:shd w:val="clear" w:color="auto" w:fill="auto"/>
            <w:noWrap w:val="0"/>
            <w:tcMar>
              <w:left w:w="28" w:type="dxa"/>
              <w:right w:w="28" w:type="dxa"/>
            </w:tcMar>
            <w:vAlign w:val="center"/>
          </w:tcPr>
          <w:p>
            <w:pPr>
              <w:widowControl w:val="0"/>
              <w:autoSpaceDE w:val="0"/>
              <w:autoSpaceDN w:val="0"/>
              <w:jc w:val="center"/>
              <w:textAlignment w:val="baseline"/>
              <w:rPr>
                <w:bCs/>
                <w:color w:val="auto"/>
                <w:kern w:val="0"/>
                <w:sz w:val="18"/>
                <w:szCs w:val="18"/>
              </w:rPr>
            </w:pPr>
            <w:r>
              <w:rPr>
                <w:rFonts w:hint="eastAsia"/>
                <w:bCs/>
                <w:color w:val="auto"/>
                <w:kern w:val="0"/>
                <w:sz w:val="18"/>
                <w:szCs w:val="18"/>
                <w:lang w:val="en-US" w:eastAsia="zh-CN"/>
              </w:rPr>
              <w:t>W3码头</w:t>
            </w:r>
            <w:r>
              <w:rPr>
                <w:rFonts w:hint="eastAsia"/>
                <w:bCs/>
                <w:color w:val="auto"/>
                <w:kern w:val="0"/>
                <w:sz w:val="18"/>
                <w:szCs w:val="18"/>
              </w:rPr>
              <w:t>下游</w:t>
            </w:r>
            <w:r>
              <w:rPr>
                <w:rFonts w:hint="eastAsia"/>
                <w:bCs/>
                <w:color w:val="auto"/>
                <w:kern w:val="0"/>
                <w:sz w:val="18"/>
                <w:szCs w:val="18"/>
                <w:lang w:val="en-US" w:eastAsia="zh-CN"/>
              </w:rPr>
              <w:t>1</w:t>
            </w:r>
            <w:r>
              <w:rPr>
                <w:rFonts w:hint="eastAsia"/>
                <w:bCs/>
                <w:color w:val="auto"/>
                <w:kern w:val="0"/>
                <w:sz w:val="18"/>
                <w:szCs w:val="18"/>
              </w:rPr>
              <w:t>000m</w:t>
            </w:r>
          </w:p>
        </w:tc>
        <w:tc>
          <w:tcPr>
            <w:tcW w:w="591" w:type="pct"/>
            <w:shd w:val="clear" w:color="auto" w:fill="auto"/>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监测</w:t>
            </w:r>
            <w:r>
              <w:rPr>
                <w:rFonts w:hint="eastAsia"/>
                <w:color w:val="auto"/>
                <w:kern w:val="0"/>
                <w:sz w:val="18"/>
                <w:szCs w:val="18"/>
              </w:rPr>
              <w:t>均</w:t>
            </w:r>
            <w:r>
              <w:rPr>
                <w:color w:val="auto"/>
                <w:kern w:val="0"/>
                <w:sz w:val="18"/>
                <w:szCs w:val="18"/>
              </w:rPr>
              <w:t>值</w:t>
            </w:r>
          </w:p>
        </w:tc>
        <w:tc>
          <w:tcPr>
            <w:tcW w:w="383"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7.3~7.5</w:t>
            </w:r>
          </w:p>
        </w:tc>
        <w:tc>
          <w:tcPr>
            <w:tcW w:w="502"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0.7~0.8</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6.14~6.92</w:t>
            </w:r>
          </w:p>
        </w:tc>
        <w:tc>
          <w:tcPr>
            <w:tcW w:w="431"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7~9</w:t>
            </w:r>
          </w:p>
        </w:tc>
        <w:tc>
          <w:tcPr>
            <w:tcW w:w="448"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2.1~2.5</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0.351~0.453</w:t>
            </w:r>
          </w:p>
        </w:tc>
        <w:tc>
          <w:tcPr>
            <w:tcW w:w="410"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17~21</w:t>
            </w:r>
          </w:p>
        </w:tc>
        <w:tc>
          <w:tcPr>
            <w:tcW w:w="43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0.016~0.018</w:t>
            </w:r>
          </w:p>
        </w:tc>
        <w:tc>
          <w:tcPr>
            <w:tcW w:w="34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0.01~0.05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shd w:val="clear" w:color="auto" w:fill="auto"/>
            <w:noWrap w:val="0"/>
            <w:tcMar>
              <w:left w:w="28" w:type="dxa"/>
              <w:right w:w="28" w:type="dxa"/>
            </w:tcMar>
            <w:vAlign w:val="center"/>
          </w:tcPr>
          <w:p>
            <w:pPr>
              <w:jc w:val="center"/>
              <w:rPr>
                <w:color w:val="auto"/>
                <w:kern w:val="0"/>
                <w:sz w:val="18"/>
                <w:szCs w:val="18"/>
              </w:rPr>
            </w:pPr>
          </w:p>
        </w:tc>
        <w:tc>
          <w:tcPr>
            <w:tcW w:w="591" w:type="pct"/>
            <w:shd w:val="clear" w:color="auto" w:fill="auto"/>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sz w:val="18"/>
                <w:szCs w:val="18"/>
              </w:rPr>
              <w:t>标准</w:t>
            </w:r>
            <w:r>
              <w:rPr>
                <w:color w:val="auto"/>
                <w:kern w:val="0"/>
                <w:sz w:val="18"/>
                <w:szCs w:val="18"/>
              </w:rPr>
              <w:t>指数</w:t>
            </w:r>
          </w:p>
        </w:tc>
        <w:tc>
          <w:tcPr>
            <w:tcW w:w="383"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0.15~0.25</w:t>
            </w:r>
          </w:p>
        </w:tc>
        <w:tc>
          <w:tcPr>
            <w:tcW w:w="502"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0.175~0.2</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0.87~0.98</w:t>
            </w:r>
          </w:p>
        </w:tc>
        <w:tc>
          <w:tcPr>
            <w:tcW w:w="431"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0.47~0.6</w:t>
            </w:r>
          </w:p>
        </w:tc>
        <w:tc>
          <w:tcPr>
            <w:tcW w:w="448"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0.7~0.83</w:t>
            </w:r>
          </w:p>
        </w:tc>
        <w:tc>
          <w:tcPr>
            <w:tcW w:w="426"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0.702~0.906</w:t>
            </w:r>
          </w:p>
        </w:tc>
        <w:tc>
          <w:tcPr>
            <w:tcW w:w="410"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w:t>
            </w:r>
          </w:p>
        </w:tc>
        <w:tc>
          <w:tcPr>
            <w:tcW w:w="43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0.32~0.36</w:t>
            </w:r>
          </w:p>
        </w:tc>
        <w:tc>
          <w:tcPr>
            <w:tcW w:w="347" w:type="pct"/>
            <w:shd w:val="clear" w:color="auto" w:fill="auto"/>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0.1~0.5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达标情况</w:t>
            </w:r>
          </w:p>
        </w:tc>
        <w:tc>
          <w:tcPr>
            <w:tcW w:w="383"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502"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26"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3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26"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color w:val="auto"/>
                <w:kern w:val="0"/>
                <w:sz w:val="18"/>
                <w:szCs w:val="18"/>
              </w:rPr>
              <w:t>达标</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color w:val="auto"/>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color w:val="auto"/>
                <w:kern w:val="0"/>
                <w:sz w:val="18"/>
                <w:szCs w:val="18"/>
              </w:rPr>
              <w:t>超标率</w:t>
            </w:r>
          </w:p>
        </w:tc>
        <w:tc>
          <w:tcPr>
            <w:tcW w:w="383"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502"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95" w:type="pct"/>
            <w:vMerge w:val="continue"/>
            <w:noWrap w:val="0"/>
            <w:tcMar>
              <w:left w:w="28" w:type="dxa"/>
              <w:right w:w="28" w:type="dxa"/>
            </w:tcMar>
            <w:vAlign w:val="center"/>
          </w:tcPr>
          <w:p>
            <w:pPr>
              <w:jc w:val="center"/>
              <w:rPr>
                <w:color w:val="auto"/>
                <w:kern w:val="0"/>
                <w:sz w:val="18"/>
                <w:szCs w:val="18"/>
              </w:rPr>
            </w:pPr>
          </w:p>
        </w:tc>
        <w:tc>
          <w:tcPr>
            <w:tcW w:w="591" w:type="pct"/>
            <w:noWrap w:val="0"/>
            <w:tcMar>
              <w:left w:w="28" w:type="dxa"/>
              <w:right w:w="28" w:type="dxa"/>
            </w:tcMar>
            <w:vAlign w:val="center"/>
          </w:tcPr>
          <w:p>
            <w:pPr>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最大超标倍数</w:t>
            </w:r>
          </w:p>
        </w:tc>
        <w:tc>
          <w:tcPr>
            <w:tcW w:w="383"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502"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1"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48"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26"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10" w:type="pct"/>
            <w:noWrap w:val="0"/>
            <w:tcMar>
              <w:left w:w="28" w:type="dxa"/>
              <w:right w:w="28" w:type="dxa"/>
            </w:tcMar>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43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c>
          <w:tcPr>
            <w:tcW w:w="347" w:type="pct"/>
            <w:noWrap w:val="0"/>
            <w:tcMar>
              <w:left w:w="28" w:type="dxa"/>
              <w:right w:w="28" w:type="dxa"/>
            </w:tcMar>
            <w:vAlign w:val="center"/>
          </w:tcPr>
          <w:p>
            <w:pPr>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86" w:type="pct"/>
            <w:gridSpan w:val="2"/>
            <w:noWrap w:val="0"/>
            <w:tcMar>
              <w:left w:w="28" w:type="dxa"/>
              <w:right w:w="28" w:type="dxa"/>
            </w:tcMar>
            <w:vAlign w:val="center"/>
          </w:tcPr>
          <w:p>
            <w:pPr>
              <w:jc w:val="center"/>
              <w:rPr>
                <w:color w:val="auto"/>
                <w:kern w:val="0"/>
                <w:sz w:val="18"/>
                <w:szCs w:val="18"/>
              </w:rPr>
            </w:pPr>
            <w:r>
              <w:rPr>
                <w:rFonts w:hint="eastAsia" w:ascii="宋体" w:hAnsi="宋体" w:eastAsia="宋体" w:cs="宋体"/>
                <w:color w:val="auto"/>
                <w:kern w:val="0"/>
                <w:sz w:val="18"/>
                <w:szCs w:val="18"/>
              </w:rPr>
              <w:t>Ⅱ</w:t>
            </w:r>
            <w:r>
              <w:rPr>
                <w:rFonts w:hint="eastAsia"/>
                <w:color w:val="auto"/>
                <w:kern w:val="0"/>
                <w:sz w:val="18"/>
                <w:szCs w:val="18"/>
              </w:rPr>
              <w:t>类标准</w:t>
            </w:r>
          </w:p>
        </w:tc>
        <w:tc>
          <w:tcPr>
            <w:tcW w:w="383" w:type="pct"/>
            <w:noWrap w:val="0"/>
            <w:tcMar>
              <w:left w:w="28" w:type="dxa"/>
              <w:right w:w="28" w:type="dxa"/>
            </w:tcMar>
            <w:vAlign w:val="center"/>
          </w:tcPr>
          <w:p>
            <w:pPr>
              <w:widowControl/>
              <w:snapToGrid w:val="0"/>
              <w:spacing w:line="240" w:lineRule="auto"/>
              <w:ind w:firstLine="0" w:firstLineChars="0"/>
              <w:jc w:val="center"/>
              <w:rPr>
                <w:rFonts w:hint="eastAsia"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6~9</w:t>
            </w:r>
          </w:p>
        </w:tc>
        <w:tc>
          <w:tcPr>
            <w:tcW w:w="502" w:type="pct"/>
            <w:noWrap w:val="0"/>
            <w:tcMar>
              <w:left w:w="28" w:type="dxa"/>
              <w:right w:w="28" w:type="dxa"/>
            </w:tcMar>
            <w:vAlign w:val="center"/>
          </w:tcPr>
          <w:p>
            <w:pPr>
              <w:widowControl/>
              <w:snapToGrid w:val="0"/>
              <w:spacing w:line="240" w:lineRule="auto"/>
              <w:ind w:firstLine="0" w:firstLineChars="0"/>
              <w:jc w:val="center"/>
              <w:rPr>
                <w:rFonts w:hint="eastAsia"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4</w:t>
            </w:r>
          </w:p>
        </w:tc>
        <w:tc>
          <w:tcPr>
            <w:tcW w:w="426"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default" w:ascii="Arial" w:hAnsi="Arial" w:cs="Arial"/>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6</w:t>
            </w:r>
          </w:p>
        </w:tc>
        <w:tc>
          <w:tcPr>
            <w:tcW w:w="431"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15</w:t>
            </w:r>
          </w:p>
        </w:tc>
        <w:tc>
          <w:tcPr>
            <w:tcW w:w="448"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3</w:t>
            </w:r>
          </w:p>
        </w:tc>
        <w:tc>
          <w:tcPr>
            <w:tcW w:w="426"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0.5</w:t>
            </w:r>
          </w:p>
        </w:tc>
        <w:tc>
          <w:tcPr>
            <w:tcW w:w="410"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eastAsia" w:cs="Times New Roman"/>
                <w:b w:val="0"/>
                <w:bCs w:val="0"/>
                <w:iCs/>
                <w:color w:val="auto"/>
                <w:kern w:val="2"/>
                <w:sz w:val="20"/>
                <w:szCs w:val="20"/>
                <w:lang w:val="en-US" w:eastAsia="zh-CN" w:bidi="ar-SA"/>
              </w:rPr>
              <w:t>/</w:t>
            </w:r>
          </w:p>
        </w:tc>
        <w:tc>
          <w:tcPr>
            <w:tcW w:w="437" w:type="pct"/>
            <w:noWrap w:val="0"/>
            <w:tcMar>
              <w:left w:w="28" w:type="dxa"/>
              <w:right w:w="28" w:type="dxa"/>
            </w:tcMar>
            <w:vAlign w:val="center"/>
          </w:tcPr>
          <w:p>
            <w:pPr>
              <w:widowControl/>
              <w:snapToGrid w:val="0"/>
              <w:spacing w:line="240" w:lineRule="auto"/>
              <w:ind w:firstLine="0" w:firstLineChars="0"/>
              <w:jc w:val="center"/>
              <w:rPr>
                <w:rFonts w:hint="eastAsia"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0.05</w:t>
            </w:r>
          </w:p>
        </w:tc>
        <w:tc>
          <w:tcPr>
            <w:tcW w:w="347" w:type="pct"/>
            <w:noWrap w:val="0"/>
            <w:tcMar>
              <w:left w:w="28" w:type="dxa"/>
              <w:right w:w="28" w:type="dxa"/>
            </w:tcMar>
            <w:vAlign w:val="center"/>
          </w:tcPr>
          <w:p>
            <w:pPr>
              <w:widowControl/>
              <w:snapToGrid w:val="0"/>
              <w:spacing w:line="240" w:lineRule="auto"/>
              <w:ind w:firstLine="0" w:firstLineChars="0"/>
              <w:jc w:val="center"/>
              <w:rPr>
                <w:rFonts w:hint="default" w:ascii="Times New Roman" w:hAnsi="Times New Roman" w:eastAsia="宋体" w:cs="Times New Roman"/>
                <w:b w:val="0"/>
                <w:bCs w:val="0"/>
                <w:iCs/>
                <w:color w:val="auto"/>
                <w:kern w:val="2"/>
                <w:sz w:val="20"/>
                <w:szCs w:val="20"/>
                <w:lang w:val="en-US" w:eastAsia="zh-CN" w:bidi="ar-SA"/>
              </w:rPr>
            </w:pPr>
            <w:r>
              <w:rPr>
                <w:rFonts w:hint="default" w:cs="Times New Roman"/>
                <w:b w:val="0"/>
                <w:bCs w:val="0"/>
                <w:iCs/>
                <w:color w:val="auto"/>
                <w:kern w:val="2"/>
                <w:sz w:val="20"/>
                <w:szCs w:val="20"/>
                <w:lang w:val="en-US" w:eastAsia="zh-CN" w:bidi="ar-SA"/>
              </w:rPr>
              <w:t>≤</w:t>
            </w:r>
            <w:r>
              <w:rPr>
                <w:rFonts w:hint="eastAsia" w:cs="Times New Roman"/>
                <w:b w:val="0"/>
                <w:bCs w:val="0"/>
                <w:iCs/>
                <w:color w:val="auto"/>
                <w:kern w:val="2"/>
                <w:sz w:val="20"/>
                <w:szCs w:val="20"/>
                <w:lang w:val="en-US" w:eastAsia="zh-CN" w:bidi="ar-SA"/>
              </w:rPr>
              <w:t>0.1</w:t>
            </w:r>
          </w:p>
        </w:tc>
      </w:tr>
    </w:tbl>
    <w:p>
      <w:pPr>
        <w:widowControl w:val="0"/>
        <w:jc w:val="both"/>
        <w:rPr>
          <w:color w:val="auto"/>
          <w:sz w:val="18"/>
          <w:szCs w:val="18"/>
        </w:rPr>
      </w:pPr>
      <w:r>
        <w:rPr>
          <w:color w:val="auto"/>
          <w:sz w:val="18"/>
          <w:szCs w:val="18"/>
        </w:rPr>
        <w:t>注：</w:t>
      </w:r>
      <w:r>
        <w:rPr>
          <w:rFonts w:hint="eastAsia"/>
          <w:color w:val="auto"/>
          <w:sz w:val="18"/>
          <w:szCs w:val="18"/>
        </w:rPr>
        <w:t>①</w:t>
      </w:r>
      <w:r>
        <w:rPr>
          <w:color w:val="auto"/>
          <w:sz w:val="18"/>
          <w:szCs w:val="18"/>
        </w:rPr>
        <w:t>监测因子未检出按“0”取值评价</w:t>
      </w:r>
      <w:r>
        <w:rPr>
          <w:rFonts w:hint="eastAsia"/>
          <w:color w:val="auto"/>
          <w:sz w:val="18"/>
          <w:szCs w:val="18"/>
        </w:rPr>
        <w:t>；②河流中总氮不评价</w:t>
      </w:r>
      <w:r>
        <w:rPr>
          <w:color w:val="auto"/>
          <w:sz w:val="18"/>
          <w:szCs w:val="18"/>
        </w:rPr>
        <w:t>。</w:t>
      </w:r>
    </w:p>
    <w:p>
      <w:pPr>
        <w:widowControl w:val="0"/>
        <w:spacing w:line="360" w:lineRule="auto"/>
        <w:ind w:firstLine="480" w:firstLineChars="200"/>
        <w:jc w:val="both"/>
        <w:rPr>
          <w:rFonts w:hint="eastAsia" w:eastAsia="仿宋_GB2312"/>
          <w:color w:val="auto"/>
          <w:sz w:val="24"/>
        </w:rPr>
      </w:pPr>
    </w:p>
    <w:p>
      <w:pPr>
        <w:spacing w:line="360" w:lineRule="auto"/>
        <w:ind w:firstLine="480" w:firstLineChars="200"/>
        <w:rPr>
          <w:rFonts w:eastAsia="仿宋_GB2312"/>
          <w:color w:val="auto"/>
          <w:sz w:val="24"/>
        </w:rPr>
        <w:sectPr>
          <w:pgSz w:w="16838" w:h="11906" w:orient="landscape"/>
          <w:pgMar w:top="1797" w:right="1440" w:bottom="1797" w:left="1559"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lang w:val="en-US" w:eastAsia="zh-CN"/>
        </w:rPr>
        <w:t>现状评价结果</w:t>
      </w:r>
    </w:p>
    <w:p>
      <w:pPr>
        <w:spacing w:line="360" w:lineRule="auto"/>
        <w:ind w:firstLine="480" w:firstLineChars="200"/>
        <w:rPr>
          <w:rFonts w:hint="eastAsia" w:eastAsia="仿宋_GB2312"/>
          <w:color w:val="auto"/>
          <w:sz w:val="24"/>
        </w:rPr>
      </w:pPr>
      <w:r>
        <w:rPr>
          <w:rFonts w:hint="eastAsia" w:eastAsia="仿宋_GB2312"/>
          <w:color w:val="auto"/>
          <w:sz w:val="24"/>
        </w:rPr>
        <w:t>根据</w:t>
      </w:r>
      <w:r>
        <w:rPr>
          <w:rFonts w:hint="eastAsia" w:eastAsia="仿宋_GB2312"/>
          <w:color w:val="auto"/>
          <w:sz w:val="24"/>
          <w:lang w:val="en-US" w:eastAsia="zh-CN"/>
        </w:rPr>
        <w:t>下</w:t>
      </w:r>
      <w:r>
        <w:rPr>
          <w:rFonts w:hint="eastAsia" w:eastAsia="仿宋_GB2312"/>
          <w:color w:val="auto"/>
          <w:sz w:val="24"/>
        </w:rPr>
        <w:t>表统计所得数据，长江各监测断面水质监测因子均满足《地表水环境质量标准》（GB3838-2002）Ⅱ类标准限值</w:t>
      </w:r>
      <w:r>
        <w:rPr>
          <w:rFonts w:eastAsia="仿宋_GB2312"/>
          <w:color w:val="auto"/>
          <w:sz w:val="24"/>
        </w:rPr>
        <w:t>。</w:t>
      </w:r>
    </w:p>
    <w:p>
      <w:pPr>
        <w:pStyle w:val="8"/>
        <w:keepNext w:val="0"/>
        <w:keepLines w:val="0"/>
        <w:widowControl w:val="0"/>
        <w:spacing w:before="120" w:after="120" w:line="360" w:lineRule="auto"/>
        <w:rPr>
          <w:rFonts w:ascii="Times New Roman" w:hAnsi="Times New Roman"/>
          <w:b w:val="0"/>
          <w:color w:val="auto"/>
          <w:szCs w:val="32"/>
        </w:rPr>
      </w:pPr>
      <w:bookmarkStart w:id="362" w:name="_Toc27400"/>
      <w:bookmarkStart w:id="363" w:name="_Toc483987516"/>
      <w:r>
        <w:rPr>
          <w:rFonts w:ascii="Times New Roman" w:hAnsi="Times New Roman"/>
          <w:b w:val="0"/>
          <w:color w:val="auto"/>
          <w:szCs w:val="32"/>
        </w:rPr>
        <w:t>4.</w:t>
      </w:r>
      <w:r>
        <w:rPr>
          <w:rFonts w:hint="eastAsia" w:ascii="Times New Roman" w:hAnsi="Times New Roman"/>
          <w:b w:val="0"/>
          <w:color w:val="auto"/>
          <w:szCs w:val="32"/>
          <w:lang w:val="en-US" w:eastAsia="zh-CN"/>
        </w:rPr>
        <w:t>4</w:t>
      </w:r>
      <w:r>
        <w:rPr>
          <w:rFonts w:ascii="Times New Roman" w:hAnsi="Times New Roman"/>
          <w:b w:val="0"/>
          <w:color w:val="auto"/>
          <w:szCs w:val="32"/>
        </w:rPr>
        <w:t>声环境质量现状监测与评价</w:t>
      </w:r>
      <w:bookmarkEnd w:id="362"/>
      <w:bookmarkEnd w:id="363"/>
    </w:p>
    <w:p>
      <w:pPr>
        <w:pStyle w:val="9"/>
        <w:keepNext w:val="0"/>
        <w:keepLines w:val="0"/>
        <w:widowControl w:val="0"/>
        <w:spacing w:before="120" w:after="120" w:line="360" w:lineRule="auto"/>
        <w:rPr>
          <w:rFonts w:hint="default" w:eastAsia="黑体"/>
          <w:b w:val="0"/>
          <w:color w:val="auto"/>
          <w:sz w:val="24"/>
          <w:lang w:val="en-US" w:eastAsia="zh-CN"/>
        </w:rPr>
      </w:pPr>
      <w:bookmarkStart w:id="364" w:name="_Toc11173"/>
      <w:r>
        <w:rPr>
          <w:rFonts w:eastAsia="黑体"/>
          <w:b w:val="0"/>
          <w:color w:val="auto"/>
          <w:sz w:val="24"/>
        </w:rPr>
        <w:t>4.</w:t>
      </w:r>
      <w:r>
        <w:rPr>
          <w:rFonts w:hint="eastAsia" w:eastAsia="黑体"/>
          <w:b w:val="0"/>
          <w:color w:val="auto"/>
          <w:sz w:val="24"/>
          <w:lang w:val="en-US" w:eastAsia="zh-CN"/>
        </w:rPr>
        <w:t>4.</w:t>
      </w:r>
      <w:r>
        <w:rPr>
          <w:rFonts w:eastAsia="黑体"/>
          <w:b w:val="0"/>
          <w:color w:val="auto"/>
          <w:sz w:val="24"/>
        </w:rPr>
        <w:t>1</w:t>
      </w:r>
      <w:r>
        <w:rPr>
          <w:rFonts w:hint="eastAsia" w:eastAsia="黑体"/>
          <w:b w:val="0"/>
          <w:color w:val="auto"/>
          <w:sz w:val="24"/>
          <w:lang w:val="en-US" w:eastAsia="zh-CN"/>
        </w:rPr>
        <w:t>声环境质量现状调查</w:t>
      </w:r>
      <w:bookmarkEnd w:id="364"/>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4.4.4.1监测布点</w:t>
      </w:r>
    </w:p>
    <w:p>
      <w:pPr>
        <w:pStyle w:val="316"/>
        <w:widowControl w:val="0"/>
        <w:rPr>
          <w:rFonts w:eastAsia="仿宋_GB2312"/>
          <w:color w:val="auto"/>
        </w:rPr>
      </w:pPr>
      <w:r>
        <w:rPr>
          <w:rFonts w:eastAsia="仿宋_GB2312"/>
          <w:color w:val="auto"/>
        </w:rPr>
        <w:t>为了解项目所在地声环境质量现状，评</w:t>
      </w:r>
      <w:r>
        <w:rPr>
          <w:rFonts w:hint="eastAsia" w:eastAsia="仿宋_GB2312"/>
          <w:color w:val="auto"/>
          <w:lang w:val="en-US" w:eastAsia="zh-CN"/>
        </w:rPr>
        <w:t>价单位委托武汉</w:t>
      </w:r>
      <w:r>
        <w:rPr>
          <w:rFonts w:hint="eastAsia" w:eastAsia="仿宋_GB2312"/>
          <w:color w:val="auto"/>
          <w:sz w:val="24"/>
          <w:lang w:val="en-US" w:eastAsia="zh-CN"/>
        </w:rPr>
        <w:t>珺腾检测技术有限公</w:t>
      </w:r>
      <w:r>
        <w:rPr>
          <w:rFonts w:hint="eastAsia" w:eastAsia="仿宋_GB2312"/>
          <w:color w:val="auto"/>
          <w:lang w:val="en-US" w:eastAsia="zh-CN"/>
        </w:rPr>
        <w:t>司</w:t>
      </w:r>
      <w:r>
        <w:rPr>
          <w:rFonts w:eastAsia="仿宋_GB2312"/>
          <w:color w:val="auto"/>
        </w:rPr>
        <w:t>于20</w:t>
      </w:r>
      <w:r>
        <w:rPr>
          <w:rFonts w:hint="eastAsia" w:eastAsia="仿宋_GB2312"/>
          <w:color w:val="auto"/>
          <w:lang w:val="en-US" w:eastAsia="zh-CN"/>
        </w:rPr>
        <w:t>23</w:t>
      </w:r>
      <w:r>
        <w:rPr>
          <w:rFonts w:eastAsia="仿宋_GB2312"/>
          <w:color w:val="auto"/>
        </w:rPr>
        <w:t>年</w:t>
      </w:r>
      <w:r>
        <w:rPr>
          <w:rFonts w:hint="eastAsia" w:eastAsia="仿宋_GB2312"/>
          <w:color w:val="auto"/>
          <w:lang w:val="en-US" w:eastAsia="zh-CN"/>
        </w:rPr>
        <w:t>4</w:t>
      </w:r>
      <w:r>
        <w:rPr>
          <w:rFonts w:eastAsia="仿宋_GB2312"/>
          <w:color w:val="auto"/>
        </w:rPr>
        <w:t>月</w:t>
      </w:r>
      <w:r>
        <w:rPr>
          <w:rFonts w:hint="eastAsia" w:eastAsia="仿宋_GB2312"/>
          <w:color w:val="auto"/>
          <w:lang w:val="en-US" w:eastAsia="zh-CN"/>
        </w:rPr>
        <w:t>8</w:t>
      </w:r>
      <w:r>
        <w:rPr>
          <w:rFonts w:eastAsia="仿宋_GB2312"/>
          <w:color w:val="auto"/>
        </w:rPr>
        <w:t>日~</w:t>
      </w:r>
      <w:r>
        <w:rPr>
          <w:rFonts w:hint="eastAsia" w:eastAsia="仿宋_GB2312"/>
          <w:color w:val="auto"/>
          <w:lang w:val="en-US" w:eastAsia="zh-CN"/>
        </w:rPr>
        <w:t>9</w:t>
      </w:r>
      <w:r>
        <w:rPr>
          <w:rFonts w:eastAsia="仿宋_GB2312"/>
          <w:color w:val="auto"/>
        </w:rPr>
        <w:t>日在项目</w:t>
      </w:r>
      <w:r>
        <w:rPr>
          <w:rFonts w:hint="eastAsia" w:eastAsia="仿宋_GB2312"/>
          <w:color w:val="auto"/>
          <w:lang w:val="en-US" w:eastAsia="zh-CN"/>
        </w:rPr>
        <w:t>码头</w:t>
      </w:r>
      <w:r>
        <w:rPr>
          <w:rFonts w:eastAsia="仿宋_GB2312"/>
          <w:color w:val="auto"/>
        </w:rPr>
        <w:t>厂界外1m</w:t>
      </w:r>
      <w:r>
        <w:rPr>
          <w:rFonts w:hint="eastAsia" w:eastAsia="仿宋_GB2312"/>
          <w:color w:val="auto"/>
          <w:lang w:val="en-US" w:eastAsia="zh-CN"/>
        </w:rPr>
        <w:t>处</w:t>
      </w:r>
      <w:r>
        <w:rPr>
          <w:rFonts w:eastAsia="仿宋_GB2312"/>
          <w:color w:val="auto"/>
        </w:rPr>
        <w:t>布设了</w:t>
      </w:r>
      <w:r>
        <w:rPr>
          <w:rFonts w:hint="eastAsia" w:eastAsia="仿宋_GB2312"/>
          <w:color w:val="auto"/>
          <w:lang w:val="en-US" w:eastAsia="zh-CN"/>
        </w:rPr>
        <w:t>3</w:t>
      </w:r>
      <w:r>
        <w:rPr>
          <w:rFonts w:eastAsia="仿宋_GB2312"/>
          <w:color w:val="auto"/>
        </w:rPr>
        <w:t>个</w:t>
      </w:r>
      <w:r>
        <w:rPr>
          <w:rFonts w:hint="eastAsia" w:eastAsia="仿宋_GB2312"/>
          <w:color w:val="auto"/>
          <w:lang w:val="en-US" w:eastAsia="zh-CN"/>
        </w:rPr>
        <w:t>监测点位</w:t>
      </w:r>
      <w:r>
        <w:rPr>
          <w:rFonts w:hint="eastAsia" w:eastAsia="仿宋_GB2312"/>
          <w:color w:val="auto"/>
          <w:lang w:eastAsia="zh-CN"/>
        </w:rPr>
        <w:t>，</w:t>
      </w:r>
      <w:r>
        <w:rPr>
          <w:rFonts w:hint="eastAsia" w:eastAsia="仿宋_GB2312"/>
          <w:color w:val="auto"/>
          <w:lang w:val="en-US" w:eastAsia="zh-CN"/>
        </w:rPr>
        <w:t>敏感点处布设2个监测点位，共计5个监测点位</w:t>
      </w:r>
      <w:r>
        <w:rPr>
          <w:rFonts w:eastAsia="仿宋_GB2312"/>
          <w:color w:val="auto"/>
        </w:rPr>
        <w:t>。监测布点见表4.</w:t>
      </w:r>
      <w:r>
        <w:rPr>
          <w:rFonts w:hint="eastAsia" w:eastAsia="仿宋_GB2312"/>
          <w:color w:val="auto"/>
          <w:lang w:val="en-US" w:eastAsia="zh-CN"/>
        </w:rPr>
        <w:t>4</w:t>
      </w:r>
      <w:r>
        <w:rPr>
          <w:rFonts w:eastAsia="仿宋_GB2312"/>
          <w:color w:val="auto"/>
        </w:rPr>
        <w:t>-</w:t>
      </w:r>
      <w:r>
        <w:rPr>
          <w:rFonts w:hint="eastAsia" w:eastAsia="仿宋_GB2312"/>
          <w:color w:val="auto"/>
          <w:lang w:val="en-US" w:eastAsia="zh-CN"/>
        </w:rPr>
        <w:t>1</w:t>
      </w:r>
      <w:r>
        <w:rPr>
          <w:rFonts w:eastAsia="仿宋_GB2312"/>
          <w:color w:val="auto"/>
        </w:rPr>
        <w:t>。</w:t>
      </w:r>
    </w:p>
    <w:p>
      <w:pPr>
        <w:widowControl w:val="0"/>
        <w:spacing w:line="360" w:lineRule="auto"/>
        <w:contextualSpacing/>
        <w:jc w:val="center"/>
        <w:rPr>
          <w:rFonts w:eastAsia="黑体"/>
          <w:b/>
          <w:color w:val="auto"/>
          <w:szCs w:val="21"/>
        </w:rPr>
      </w:pPr>
      <w:r>
        <w:rPr>
          <w:rFonts w:eastAsia="黑体"/>
          <w:b/>
          <w:color w:val="auto"/>
          <w:szCs w:val="21"/>
        </w:rPr>
        <w:t>表4.</w:t>
      </w:r>
      <w:r>
        <w:rPr>
          <w:rFonts w:hint="eastAsia" w:eastAsia="黑体"/>
          <w:b/>
          <w:color w:val="auto"/>
          <w:szCs w:val="21"/>
          <w:lang w:val="en-US" w:eastAsia="zh-CN"/>
        </w:rPr>
        <w:t>4</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噪声监测布点</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7"/>
        <w:gridCol w:w="4424"/>
        <w:gridCol w:w="22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tcBorders>
              <w:top w:val="single" w:color="auto" w:sz="12" w:space="0"/>
              <w:bottom w:val="single" w:color="auto" w:sz="12" w:space="0"/>
            </w:tcBorders>
            <w:noWrap w:val="0"/>
            <w:vAlign w:val="center"/>
          </w:tcPr>
          <w:p>
            <w:pPr>
              <w:widowControl w:val="0"/>
              <w:spacing w:line="240" w:lineRule="atLeast"/>
              <w:jc w:val="center"/>
              <w:rPr>
                <w:color w:val="auto"/>
                <w:sz w:val="20"/>
              </w:rPr>
            </w:pPr>
            <w:r>
              <w:rPr>
                <w:color w:val="auto"/>
                <w:sz w:val="20"/>
              </w:rPr>
              <w:t>点位</w:t>
            </w:r>
          </w:p>
        </w:tc>
        <w:tc>
          <w:tcPr>
            <w:tcW w:w="4424" w:type="dxa"/>
            <w:tcBorders>
              <w:top w:val="single" w:color="auto" w:sz="12" w:space="0"/>
              <w:bottom w:val="single" w:color="auto" w:sz="12" w:space="0"/>
            </w:tcBorders>
            <w:noWrap w:val="0"/>
            <w:vAlign w:val="center"/>
          </w:tcPr>
          <w:p>
            <w:pPr>
              <w:widowControl w:val="0"/>
              <w:spacing w:line="240" w:lineRule="atLeast"/>
              <w:jc w:val="center"/>
              <w:rPr>
                <w:color w:val="auto"/>
                <w:sz w:val="20"/>
              </w:rPr>
            </w:pPr>
            <w:r>
              <w:rPr>
                <w:color w:val="auto"/>
                <w:sz w:val="20"/>
              </w:rPr>
              <w:t>位置</w:t>
            </w:r>
          </w:p>
        </w:tc>
        <w:tc>
          <w:tcPr>
            <w:tcW w:w="2221" w:type="dxa"/>
            <w:tcBorders>
              <w:top w:val="single" w:color="auto" w:sz="12" w:space="0"/>
              <w:bottom w:val="single" w:color="auto" w:sz="12" w:space="0"/>
            </w:tcBorders>
            <w:noWrap w:val="0"/>
            <w:vAlign w:val="center"/>
          </w:tcPr>
          <w:p>
            <w:pPr>
              <w:widowControl w:val="0"/>
              <w:spacing w:line="240" w:lineRule="atLeast"/>
              <w:jc w:val="center"/>
              <w:rPr>
                <w:color w:val="auto"/>
                <w:sz w:val="20"/>
              </w:rPr>
            </w:pPr>
            <w:r>
              <w:rPr>
                <w:color w:val="auto"/>
                <w:sz w:val="20"/>
              </w:rPr>
              <w:t>说明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tcBorders>
              <w:top w:val="single" w:color="auto" w:sz="12" w:space="0"/>
            </w:tcBorders>
            <w:noWrap w:val="0"/>
            <w:vAlign w:val="center"/>
          </w:tcPr>
          <w:p>
            <w:pPr>
              <w:widowControl w:val="0"/>
              <w:spacing w:line="240" w:lineRule="atLeast"/>
              <w:jc w:val="center"/>
              <w:rPr>
                <w:color w:val="auto"/>
                <w:sz w:val="20"/>
                <w:vertAlign w:val="baseline"/>
              </w:rPr>
            </w:pPr>
            <w:r>
              <w:rPr>
                <w:color w:val="auto"/>
                <w:sz w:val="20"/>
                <w:vertAlign w:val="baseline"/>
              </w:rPr>
              <w:t>1#</w:t>
            </w:r>
          </w:p>
        </w:tc>
        <w:tc>
          <w:tcPr>
            <w:tcW w:w="4424" w:type="dxa"/>
            <w:tcBorders>
              <w:top w:val="single" w:color="auto" w:sz="12" w:space="0"/>
            </w:tcBorders>
            <w:noWrap w:val="0"/>
            <w:vAlign w:val="center"/>
          </w:tcPr>
          <w:p>
            <w:pPr>
              <w:widowControl w:val="0"/>
              <w:spacing w:line="240" w:lineRule="atLeast"/>
              <w:jc w:val="center"/>
              <w:rPr>
                <w:color w:val="auto"/>
                <w:sz w:val="20"/>
              </w:rPr>
            </w:pPr>
            <w:r>
              <w:rPr>
                <w:color w:val="auto"/>
                <w:sz w:val="20"/>
              </w:rPr>
              <w:t>厂东边界外1m</w:t>
            </w:r>
          </w:p>
        </w:tc>
        <w:tc>
          <w:tcPr>
            <w:tcW w:w="2221" w:type="dxa"/>
            <w:vMerge w:val="restar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r>
              <w:rPr>
                <w:rFonts w:hint="eastAsia"/>
                <w:color w:val="auto"/>
                <w:sz w:val="20"/>
                <w:lang w:val="en-US" w:eastAsia="zh-CN"/>
              </w:rPr>
              <w:t>环境噪声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noWrap w:val="0"/>
            <w:vAlign w:val="center"/>
          </w:tcPr>
          <w:p>
            <w:pPr>
              <w:widowControl w:val="0"/>
              <w:spacing w:line="240" w:lineRule="atLeast"/>
              <w:jc w:val="center"/>
              <w:rPr>
                <w:rFonts w:hint="eastAsia" w:eastAsia="宋体"/>
                <w:color w:val="auto"/>
                <w:sz w:val="20"/>
                <w:vertAlign w:val="baseline"/>
                <w:lang w:val="en-US" w:eastAsia="zh-CN"/>
              </w:rPr>
            </w:pPr>
            <w:r>
              <w:rPr>
                <w:color w:val="auto"/>
                <w:sz w:val="20"/>
                <w:vertAlign w:val="baseline"/>
              </w:rPr>
              <w:t>2#</w:t>
            </w:r>
          </w:p>
        </w:tc>
        <w:tc>
          <w:tcPr>
            <w:tcW w:w="4424" w:type="dxa"/>
            <w:noWrap w:val="0"/>
            <w:vAlign w:val="center"/>
          </w:tcPr>
          <w:p>
            <w:pPr>
              <w:widowControl w:val="0"/>
              <w:spacing w:line="240" w:lineRule="atLeast"/>
              <w:jc w:val="center"/>
              <w:rPr>
                <w:color w:val="auto"/>
                <w:sz w:val="20"/>
              </w:rPr>
            </w:pPr>
            <w:r>
              <w:rPr>
                <w:color w:val="auto"/>
                <w:sz w:val="20"/>
              </w:rPr>
              <w:t>厂南边界外1m</w:t>
            </w:r>
          </w:p>
        </w:tc>
        <w:tc>
          <w:tcPr>
            <w:tcW w:w="2221" w:type="dxa"/>
            <w:vMerge w:val="continue"/>
            <w:noWrap w:val="0"/>
            <w:vAlign w:val="center"/>
          </w:tcPr>
          <w:p>
            <w:pPr>
              <w:widowControl w:val="0"/>
              <w:spacing w:line="240" w:lineRule="atLeas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noWrap w:val="0"/>
            <w:vAlign w:val="center"/>
          </w:tcPr>
          <w:p>
            <w:pPr>
              <w:widowControl w:val="0"/>
              <w:spacing w:line="240" w:lineRule="atLeast"/>
              <w:jc w:val="center"/>
              <w:rPr>
                <w:rFonts w:hint="eastAsia" w:eastAsia="宋体"/>
                <w:color w:val="auto"/>
                <w:sz w:val="20"/>
                <w:vertAlign w:val="baseline"/>
                <w:lang w:val="en-US" w:eastAsia="zh-CN"/>
              </w:rPr>
            </w:pPr>
            <w:r>
              <w:rPr>
                <w:color w:val="auto"/>
                <w:sz w:val="20"/>
                <w:vertAlign w:val="baseline"/>
              </w:rPr>
              <w:t>3#</w:t>
            </w:r>
          </w:p>
        </w:tc>
        <w:tc>
          <w:tcPr>
            <w:tcW w:w="4424" w:type="dxa"/>
            <w:noWrap w:val="0"/>
            <w:vAlign w:val="center"/>
          </w:tcPr>
          <w:p>
            <w:pPr>
              <w:widowControl w:val="0"/>
              <w:spacing w:line="240" w:lineRule="atLeast"/>
              <w:jc w:val="center"/>
              <w:rPr>
                <w:color w:val="auto"/>
                <w:sz w:val="20"/>
              </w:rPr>
            </w:pPr>
            <w:r>
              <w:rPr>
                <w:color w:val="auto"/>
                <w:sz w:val="20"/>
              </w:rPr>
              <w:t>厂西边界外1m</w:t>
            </w:r>
          </w:p>
        </w:tc>
        <w:tc>
          <w:tcPr>
            <w:tcW w:w="2221" w:type="dxa"/>
            <w:vMerge w:val="continue"/>
            <w:noWrap w:val="0"/>
            <w:vAlign w:val="center"/>
          </w:tcPr>
          <w:p>
            <w:pPr>
              <w:widowControl w:val="0"/>
              <w:spacing w:line="240" w:lineRule="atLeast"/>
              <w:jc w:val="center"/>
              <w:rPr>
                <w:color w:val="auto"/>
                <w:sz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noWrap w:val="0"/>
            <w:vAlign w:val="center"/>
          </w:tcPr>
          <w:p>
            <w:pPr>
              <w:widowControl w:val="0"/>
              <w:spacing w:line="240" w:lineRule="atLeast"/>
              <w:jc w:val="center"/>
              <w:rPr>
                <w:rFonts w:hint="eastAsia" w:eastAsia="宋体"/>
                <w:color w:val="auto"/>
                <w:sz w:val="20"/>
                <w:vertAlign w:val="baseline"/>
                <w:lang w:val="en-US" w:eastAsia="zh-CN"/>
              </w:rPr>
            </w:pPr>
            <w:r>
              <w:rPr>
                <w:rFonts w:hint="eastAsia"/>
                <w:color w:val="auto"/>
                <w:sz w:val="20"/>
                <w:vertAlign w:val="baseline"/>
                <w:lang w:val="en-US" w:eastAsia="zh-CN"/>
              </w:rPr>
              <w:t>4#</w:t>
            </w:r>
          </w:p>
        </w:tc>
        <w:tc>
          <w:tcPr>
            <w:tcW w:w="4424" w:type="dxa"/>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洋溪社区临路旁</w:t>
            </w:r>
          </w:p>
        </w:tc>
        <w:tc>
          <w:tcPr>
            <w:tcW w:w="2221" w:type="dxa"/>
            <w:noWrap w:val="0"/>
            <w:vAlign w:val="center"/>
          </w:tcPr>
          <w:p>
            <w:pPr>
              <w:widowControl w:val="0"/>
              <w:spacing w:line="240" w:lineRule="atLeast"/>
              <w:jc w:val="center"/>
              <w:rPr>
                <w:rFonts w:hint="eastAsia" w:eastAsia="宋体"/>
                <w:color w:val="auto"/>
                <w:sz w:val="20"/>
                <w:lang w:val="en-US" w:eastAsia="zh-CN"/>
              </w:rPr>
            </w:pPr>
            <w:r>
              <w:rPr>
                <w:rFonts w:hint="eastAsia"/>
                <w:color w:val="auto"/>
                <w:sz w:val="20"/>
                <w:lang w:val="en-US" w:eastAsia="zh-CN"/>
              </w:rPr>
              <w:t>交通噪声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637" w:type="dxa"/>
            <w:noWrap w:val="0"/>
            <w:vAlign w:val="center"/>
          </w:tcPr>
          <w:p>
            <w:pPr>
              <w:widowControl w:val="0"/>
              <w:spacing w:line="240" w:lineRule="atLeast"/>
              <w:jc w:val="center"/>
              <w:rPr>
                <w:rFonts w:hint="eastAsia" w:eastAsia="宋体"/>
                <w:color w:val="auto"/>
                <w:sz w:val="20"/>
                <w:vertAlign w:val="baseline"/>
                <w:lang w:val="en-US" w:eastAsia="zh-CN"/>
              </w:rPr>
            </w:pPr>
            <w:r>
              <w:rPr>
                <w:rFonts w:hint="eastAsia"/>
                <w:color w:val="auto"/>
                <w:sz w:val="20"/>
                <w:vertAlign w:val="baseline"/>
                <w:lang w:val="en-US" w:eastAsia="zh-CN"/>
              </w:rPr>
              <w:t>5#</w:t>
            </w:r>
          </w:p>
        </w:tc>
        <w:tc>
          <w:tcPr>
            <w:tcW w:w="4424" w:type="dxa"/>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洋溪社区第三排处居民点</w:t>
            </w:r>
          </w:p>
        </w:tc>
        <w:tc>
          <w:tcPr>
            <w:tcW w:w="2221" w:type="dxa"/>
            <w:noWrap w:val="0"/>
            <w:vAlign w:val="center"/>
          </w:tcPr>
          <w:p>
            <w:pPr>
              <w:widowControl w:val="0"/>
              <w:spacing w:line="240" w:lineRule="atLeast"/>
              <w:jc w:val="center"/>
              <w:rPr>
                <w:rFonts w:hint="eastAsia" w:eastAsia="宋体"/>
                <w:color w:val="auto"/>
                <w:sz w:val="20"/>
                <w:lang w:val="en-US" w:eastAsia="zh-CN"/>
              </w:rPr>
            </w:pPr>
            <w:r>
              <w:rPr>
                <w:rFonts w:hint="eastAsia"/>
                <w:color w:val="auto"/>
                <w:sz w:val="20"/>
                <w:lang w:val="en-US" w:eastAsia="zh-CN"/>
              </w:rPr>
              <w:t>环境噪声</w:t>
            </w:r>
          </w:p>
        </w:tc>
      </w:tr>
    </w:tbl>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4.4.4.2监测时间、频率</w:t>
      </w:r>
    </w:p>
    <w:p>
      <w:pPr>
        <w:widowControl w:val="0"/>
        <w:adjustRightInd w:val="0"/>
        <w:snapToGrid w:val="0"/>
        <w:spacing w:line="360" w:lineRule="auto"/>
        <w:ind w:firstLine="480" w:firstLineChars="200"/>
        <w:rPr>
          <w:rFonts w:eastAsia="仿宋_GB2312"/>
          <w:color w:val="auto"/>
          <w:sz w:val="24"/>
        </w:rPr>
      </w:pPr>
      <w:r>
        <w:rPr>
          <w:rFonts w:eastAsia="仿宋_GB2312"/>
          <w:color w:val="auto"/>
          <w:sz w:val="24"/>
        </w:rPr>
        <w:t>监测2天，昼、夜间各监测1次，昼间06:00~22:00，夜间22:00~06:00（次日）。</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4.4.4.3监测方法</w:t>
      </w:r>
    </w:p>
    <w:p>
      <w:pPr>
        <w:widowControl w:val="0"/>
        <w:adjustRightInd w:val="0"/>
        <w:snapToGrid w:val="0"/>
        <w:spacing w:line="360" w:lineRule="auto"/>
        <w:ind w:firstLine="480" w:firstLineChars="200"/>
        <w:rPr>
          <w:rFonts w:eastAsia="仿宋_GB2312"/>
          <w:color w:val="auto"/>
          <w:sz w:val="24"/>
        </w:rPr>
      </w:pPr>
      <w:r>
        <w:rPr>
          <w:rFonts w:eastAsia="仿宋_GB2312"/>
          <w:color w:val="auto"/>
          <w:sz w:val="24"/>
        </w:rPr>
        <w:t>按《声环境质量标准》（GB3096-2008）的规定，采用符合国家计量规定的声级计进行监测。监测期间天气良好，无雨雪、无雷电天气，风速小于5m/s，传声器设置户外1m处，高度为1.2m以上。</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4.4.4.4监测结果与分析</w:t>
      </w:r>
    </w:p>
    <w:p>
      <w:pPr>
        <w:widowControl w:val="0"/>
        <w:adjustRightInd w:val="0"/>
        <w:snapToGrid w:val="0"/>
        <w:spacing w:line="360" w:lineRule="auto"/>
        <w:ind w:firstLine="480" w:firstLineChars="200"/>
        <w:contextualSpacing/>
        <w:rPr>
          <w:rFonts w:eastAsia="仿宋_GB2312"/>
          <w:color w:val="auto"/>
          <w:sz w:val="24"/>
        </w:rPr>
      </w:pPr>
      <w:r>
        <w:rPr>
          <w:rFonts w:eastAsia="仿宋_GB2312"/>
          <w:color w:val="auto"/>
          <w:sz w:val="24"/>
        </w:rPr>
        <w:t>厂界噪声现状值</w:t>
      </w:r>
      <w:r>
        <w:rPr>
          <w:rFonts w:hint="eastAsia" w:eastAsia="仿宋_GB2312"/>
          <w:color w:val="auto"/>
          <w:sz w:val="24"/>
          <w:lang w:val="en-US" w:eastAsia="zh-CN"/>
        </w:rPr>
        <w:t>执行</w:t>
      </w:r>
      <w:r>
        <w:rPr>
          <w:rFonts w:eastAsia="仿宋_GB2312"/>
          <w:color w:val="auto"/>
          <w:sz w:val="24"/>
        </w:rPr>
        <w:t>《声环境质量标准》（GB3096-2008）中的</w:t>
      </w:r>
      <w:r>
        <w:rPr>
          <w:rFonts w:hint="eastAsia" w:eastAsia="仿宋_GB2312"/>
          <w:color w:val="auto"/>
          <w:sz w:val="24"/>
          <w:lang w:val="en-US" w:eastAsia="zh-CN"/>
        </w:rPr>
        <w:t>3</w:t>
      </w:r>
      <w:r>
        <w:rPr>
          <w:rFonts w:eastAsia="仿宋_GB2312"/>
          <w:color w:val="auto"/>
          <w:sz w:val="24"/>
        </w:rPr>
        <w:t>类</w:t>
      </w:r>
      <w:r>
        <w:rPr>
          <w:rFonts w:hint="eastAsia" w:eastAsia="仿宋_GB2312"/>
          <w:color w:val="auto"/>
          <w:sz w:val="24"/>
          <w:lang w:eastAsia="zh-CN"/>
        </w:rPr>
        <w:t>、</w:t>
      </w:r>
      <w:r>
        <w:rPr>
          <w:rFonts w:hint="eastAsia" w:eastAsia="仿宋_GB2312"/>
          <w:color w:val="auto"/>
          <w:sz w:val="24"/>
          <w:lang w:val="en-US" w:eastAsia="zh-CN"/>
        </w:rPr>
        <w:t>4a</w:t>
      </w:r>
      <w:r>
        <w:rPr>
          <w:rFonts w:eastAsia="仿宋_GB2312"/>
          <w:color w:val="auto"/>
          <w:sz w:val="24"/>
        </w:rPr>
        <w:t>标准</w:t>
      </w:r>
      <w:r>
        <w:rPr>
          <w:rFonts w:hint="eastAsia" w:eastAsia="仿宋_GB2312"/>
          <w:color w:val="auto"/>
          <w:sz w:val="24"/>
          <w:lang w:eastAsia="zh-CN"/>
        </w:rPr>
        <w:t>；</w:t>
      </w:r>
      <w:r>
        <w:rPr>
          <w:rFonts w:hint="eastAsia" w:eastAsia="仿宋_GB2312"/>
          <w:color w:val="auto"/>
          <w:sz w:val="24"/>
          <w:lang w:val="en-US" w:eastAsia="zh-CN"/>
        </w:rPr>
        <w:t>敏感点执行</w:t>
      </w:r>
      <w:r>
        <w:rPr>
          <w:rFonts w:eastAsia="仿宋_GB2312"/>
          <w:color w:val="auto"/>
          <w:sz w:val="24"/>
        </w:rPr>
        <w:t>《声环境质量标准》（GB3096-2008）中</w:t>
      </w:r>
      <w:r>
        <w:rPr>
          <w:rFonts w:hint="eastAsia" w:eastAsia="仿宋_GB2312"/>
          <w:color w:val="auto"/>
          <w:sz w:val="24"/>
          <w:lang w:val="en-US" w:eastAsia="zh-CN"/>
        </w:rPr>
        <w:t>2类标准</w:t>
      </w:r>
      <w:r>
        <w:rPr>
          <w:rFonts w:eastAsia="仿宋_GB2312"/>
          <w:color w:val="auto"/>
          <w:sz w:val="24"/>
        </w:rPr>
        <w:t>。拟建项目厂界噪声监测统计结果见表4</w:t>
      </w:r>
      <w:r>
        <w:rPr>
          <w:rFonts w:hint="eastAsia" w:eastAsia="仿宋_GB2312"/>
          <w:color w:val="auto"/>
          <w:sz w:val="24"/>
          <w:lang w:val="en-US" w:eastAsia="zh-CN"/>
        </w:rPr>
        <w:t>.4-2</w:t>
      </w:r>
      <w:r>
        <w:rPr>
          <w:rFonts w:eastAsia="仿宋_GB2312"/>
          <w:color w:val="auto"/>
          <w:sz w:val="24"/>
        </w:rPr>
        <w:t>。</w:t>
      </w:r>
    </w:p>
    <w:p>
      <w:pPr>
        <w:widowControl w:val="0"/>
        <w:spacing w:line="360" w:lineRule="auto"/>
        <w:ind w:firstLine="422" w:firstLineChars="200"/>
        <w:contextualSpacing/>
        <w:jc w:val="center"/>
        <w:rPr>
          <w:rFonts w:hint="eastAsia" w:eastAsia="黑体"/>
          <w:b/>
          <w:color w:val="auto"/>
          <w:szCs w:val="21"/>
        </w:rPr>
      </w:pPr>
      <w:r>
        <w:rPr>
          <w:rFonts w:eastAsia="黑体"/>
          <w:b/>
          <w:color w:val="auto"/>
          <w:szCs w:val="21"/>
        </w:rPr>
        <w:t>表4.</w:t>
      </w:r>
      <w:r>
        <w:rPr>
          <w:rFonts w:hint="eastAsia" w:eastAsia="黑体"/>
          <w:b/>
          <w:color w:val="auto"/>
          <w:szCs w:val="21"/>
          <w:lang w:val="en-US" w:eastAsia="zh-CN"/>
        </w:rPr>
        <w:t>4-2</w:t>
      </w:r>
      <w:r>
        <w:rPr>
          <w:rFonts w:eastAsia="黑体"/>
          <w:b/>
          <w:color w:val="auto"/>
          <w:szCs w:val="21"/>
        </w:rPr>
        <w:t xml:space="preserve">  厂界噪声监测统计结果一览表</w:t>
      </w:r>
    </w:p>
    <w:tbl>
      <w:tblPr>
        <w:tblStyle w:val="92"/>
        <w:tblW w:w="490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832"/>
        <w:gridCol w:w="1192"/>
        <w:gridCol w:w="1546"/>
        <w:gridCol w:w="1258"/>
        <w:gridCol w:w="12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tcBorders>
              <w:top w:val="single" w:color="auto" w:sz="12" w:space="0"/>
              <w:bottom w:val="single" w:color="auto" w:sz="12" w:space="0"/>
            </w:tcBorders>
            <w:noWrap w:val="0"/>
            <w:vAlign w:val="center"/>
          </w:tcPr>
          <w:p>
            <w:pPr>
              <w:widowControl w:val="0"/>
              <w:contextualSpacing/>
              <w:jc w:val="center"/>
              <w:rPr>
                <w:color w:val="auto"/>
                <w:sz w:val="20"/>
              </w:rPr>
            </w:pPr>
            <w:r>
              <w:rPr>
                <w:color w:val="auto"/>
                <w:sz w:val="20"/>
              </w:rPr>
              <w:t>采样日期</w:t>
            </w:r>
          </w:p>
        </w:tc>
        <w:tc>
          <w:tcPr>
            <w:tcW w:w="1096" w:type="pct"/>
            <w:tcBorders>
              <w:top w:val="single" w:color="auto" w:sz="12" w:space="0"/>
              <w:bottom w:val="single" w:color="auto" w:sz="12" w:space="0"/>
            </w:tcBorders>
            <w:noWrap w:val="0"/>
            <w:vAlign w:val="center"/>
          </w:tcPr>
          <w:p>
            <w:pPr>
              <w:widowControl w:val="0"/>
              <w:contextualSpacing/>
              <w:jc w:val="center"/>
              <w:rPr>
                <w:color w:val="auto"/>
                <w:sz w:val="20"/>
              </w:rPr>
            </w:pPr>
            <w:r>
              <w:rPr>
                <w:color w:val="auto"/>
                <w:sz w:val="20"/>
              </w:rPr>
              <w:t>点位名称</w:t>
            </w:r>
          </w:p>
        </w:tc>
        <w:tc>
          <w:tcPr>
            <w:tcW w:w="713" w:type="pct"/>
            <w:tcBorders>
              <w:top w:val="single" w:color="auto" w:sz="12" w:space="0"/>
              <w:bottom w:val="single" w:color="auto" w:sz="12" w:space="0"/>
            </w:tcBorders>
            <w:noWrap w:val="0"/>
            <w:vAlign w:val="center"/>
          </w:tcPr>
          <w:p>
            <w:pPr>
              <w:widowControl w:val="0"/>
              <w:contextualSpacing/>
              <w:jc w:val="center"/>
              <w:rPr>
                <w:color w:val="auto"/>
                <w:sz w:val="20"/>
              </w:rPr>
            </w:pPr>
            <w:r>
              <w:rPr>
                <w:color w:val="auto"/>
                <w:sz w:val="20"/>
              </w:rPr>
              <w:t>采样时间</w:t>
            </w:r>
          </w:p>
        </w:tc>
        <w:tc>
          <w:tcPr>
            <w:tcW w:w="925" w:type="pct"/>
            <w:tcBorders>
              <w:top w:val="single" w:color="auto" w:sz="12" w:space="0"/>
              <w:bottom w:val="single" w:color="auto" w:sz="12" w:space="0"/>
            </w:tcBorders>
            <w:noWrap w:val="0"/>
            <w:vAlign w:val="center"/>
          </w:tcPr>
          <w:p>
            <w:pPr>
              <w:widowControl w:val="0"/>
              <w:contextualSpacing/>
              <w:jc w:val="center"/>
              <w:rPr>
                <w:color w:val="auto"/>
                <w:sz w:val="20"/>
              </w:rPr>
            </w:pPr>
            <w:r>
              <w:rPr>
                <w:color w:val="auto"/>
                <w:sz w:val="20"/>
              </w:rPr>
              <w:t>监测结果</w:t>
            </w:r>
          </w:p>
          <w:p>
            <w:pPr>
              <w:widowControl w:val="0"/>
              <w:contextualSpacing/>
              <w:jc w:val="center"/>
              <w:rPr>
                <w:color w:val="auto"/>
                <w:sz w:val="20"/>
              </w:rPr>
            </w:pPr>
            <w:r>
              <w:rPr>
                <w:color w:val="auto"/>
                <w:sz w:val="20"/>
              </w:rPr>
              <w:t>dB(A)</w:t>
            </w:r>
          </w:p>
        </w:tc>
        <w:tc>
          <w:tcPr>
            <w:tcW w:w="753" w:type="pct"/>
            <w:tcBorders>
              <w:top w:val="single" w:color="auto" w:sz="12" w:space="0"/>
              <w:bottom w:val="single" w:color="auto" w:sz="12" w:space="0"/>
            </w:tcBorders>
            <w:noWrap w:val="0"/>
            <w:vAlign w:val="center"/>
          </w:tcPr>
          <w:p>
            <w:pPr>
              <w:pStyle w:val="702"/>
              <w:widowControl w:val="0"/>
              <w:spacing w:line="240" w:lineRule="auto"/>
              <w:contextualSpacing/>
              <w:rPr>
                <w:color w:val="auto"/>
                <w:kern w:val="2"/>
                <w:sz w:val="20"/>
                <w:szCs w:val="20"/>
                <w:lang w:eastAsia="zh-CN"/>
              </w:rPr>
            </w:pPr>
            <w:r>
              <w:rPr>
                <w:color w:val="auto"/>
                <w:kern w:val="2"/>
                <w:sz w:val="20"/>
                <w:szCs w:val="20"/>
              </w:rPr>
              <w:t>标准值</w:t>
            </w:r>
          </w:p>
          <w:p>
            <w:pPr>
              <w:pStyle w:val="702"/>
              <w:widowControl w:val="0"/>
              <w:spacing w:line="240" w:lineRule="auto"/>
              <w:contextualSpacing/>
              <w:rPr>
                <w:color w:val="auto"/>
                <w:kern w:val="2"/>
                <w:sz w:val="20"/>
                <w:szCs w:val="20"/>
                <w:lang w:eastAsia="zh-CN"/>
              </w:rPr>
            </w:pPr>
            <w:r>
              <w:rPr>
                <w:color w:val="auto"/>
                <w:kern w:val="2"/>
                <w:sz w:val="20"/>
                <w:szCs w:val="20"/>
              </w:rPr>
              <w:t>dB</w:t>
            </w:r>
            <w:r>
              <w:rPr>
                <w:color w:val="auto"/>
                <w:kern w:val="2"/>
                <w:sz w:val="20"/>
                <w:szCs w:val="20"/>
                <w:lang w:eastAsia="zh-CN"/>
              </w:rPr>
              <w:t>(</w:t>
            </w:r>
            <w:r>
              <w:rPr>
                <w:color w:val="auto"/>
                <w:kern w:val="2"/>
                <w:sz w:val="20"/>
                <w:szCs w:val="20"/>
              </w:rPr>
              <w:t>A</w:t>
            </w:r>
            <w:r>
              <w:rPr>
                <w:color w:val="auto"/>
                <w:kern w:val="2"/>
                <w:sz w:val="20"/>
                <w:szCs w:val="20"/>
                <w:lang w:eastAsia="zh-CN"/>
              </w:rPr>
              <w:t>)</w:t>
            </w:r>
          </w:p>
        </w:tc>
        <w:tc>
          <w:tcPr>
            <w:tcW w:w="770" w:type="pct"/>
            <w:tcBorders>
              <w:top w:val="single" w:color="auto" w:sz="12" w:space="0"/>
              <w:bottom w:val="single" w:color="auto" w:sz="12" w:space="0"/>
            </w:tcBorders>
            <w:noWrap w:val="0"/>
            <w:vAlign w:val="center"/>
          </w:tcPr>
          <w:p>
            <w:pPr>
              <w:pStyle w:val="702"/>
              <w:widowControl w:val="0"/>
              <w:spacing w:line="240" w:lineRule="auto"/>
              <w:contextualSpacing/>
              <w:rPr>
                <w:color w:val="auto"/>
                <w:kern w:val="2"/>
                <w:sz w:val="20"/>
                <w:szCs w:val="20"/>
                <w:lang w:eastAsia="zh-CN"/>
              </w:rPr>
            </w:pPr>
            <w:r>
              <w:rPr>
                <w:color w:val="auto"/>
                <w:kern w:val="2"/>
                <w:sz w:val="20"/>
                <w:szCs w:val="20"/>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restart"/>
            <w:tcBorders>
              <w:top w:val="single" w:color="auto" w:sz="12" w:space="0"/>
            </w:tcBorders>
            <w:noWrap w:val="0"/>
            <w:vAlign w:val="center"/>
          </w:tcPr>
          <w:p>
            <w:pPr>
              <w:widowControl w:val="0"/>
              <w:contextualSpacing/>
              <w:jc w:val="center"/>
              <w:rPr>
                <w:rFonts w:hint="eastAsia"/>
                <w:color w:val="auto"/>
                <w:sz w:val="20"/>
                <w:lang w:eastAsia="zh-CN"/>
              </w:rPr>
            </w:pPr>
            <w:r>
              <w:rPr>
                <w:color w:val="auto"/>
                <w:sz w:val="20"/>
              </w:rPr>
              <w:t>20</w:t>
            </w:r>
            <w:r>
              <w:rPr>
                <w:rFonts w:hint="eastAsia"/>
                <w:color w:val="auto"/>
                <w:sz w:val="20"/>
                <w:lang w:val="en-US" w:eastAsia="zh-CN"/>
              </w:rPr>
              <w:t>23</w:t>
            </w:r>
            <w:r>
              <w:rPr>
                <w:color w:val="auto"/>
                <w:sz w:val="20"/>
              </w:rPr>
              <w:t>.</w:t>
            </w:r>
            <w:r>
              <w:rPr>
                <w:rFonts w:hint="eastAsia"/>
                <w:color w:val="auto"/>
                <w:sz w:val="20"/>
                <w:lang w:val="en-US" w:eastAsia="zh-CN"/>
              </w:rPr>
              <w:t>4.8</w:t>
            </w:r>
          </w:p>
        </w:tc>
        <w:tc>
          <w:tcPr>
            <w:tcW w:w="1096" w:type="pct"/>
            <w:vMerge w:val="restart"/>
            <w:tcBorders>
              <w:top w:val="single" w:color="auto" w:sz="12" w:space="0"/>
            </w:tcBorders>
            <w:noWrap w:val="0"/>
            <w:vAlign w:val="center"/>
          </w:tcPr>
          <w:p>
            <w:pPr>
              <w:widowControl w:val="0"/>
              <w:contextualSpacing/>
              <w:jc w:val="center"/>
              <w:rPr>
                <w:color w:val="auto"/>
                <w:sz w:val="20"/>
              </w:rPr>
            </w:pPr>
            <w:r>
              <w:rPr>
                <w:color w:val="auto"/>
                <w:kern w:val="0"/>
                <w:sz w:val="20"/>
              </w:rPr>
              <w:t>厂东边界外1m</w:t>
            </w:r>
          </w:p>
        </w:tc>
        <w:tc>
          <w:tcPr>
            <w:tcW w:w="713" w:type="pct"/>
            <w:tcBorders>
              <w:top w:val="single" w:color="auto" w:sz="12" w:space="0"/>
            </w:tcBorders>
            <w:noWrap w:val="0"/>
            <w:vAlign w:val="center"/>
          </w:tcPr>
          <w:p>
            <w:pPr>
              <w:widowControl w:val="0"/>
              <w:contextualSpacing/>
              <w:jc w:val="center"/>
              <w:rPr>
                <w:color w:val="auto"/>
                <w:sz w:val="20"/>
              </w:rPr>
            </w:pPr>
            <w:r>
              <w:rPr>
                <w:color w:val="auto"/>
                <w:sz w:val="20"/>
              </w:rPr>
              <w:t>昼间</w:t>
            </w:r>
          </w:p>
        </w:tc>
        <w:tc>
          <w:tcPr>
            <w:tcW w:w="925" w:type="pct"/>
            <w:tcBorders>
              <w:top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55</w:t>
            </w:r>
          </w:p>
        </w:tc>
        <w:tc>
          <w:tcPr>
            <w:tcW w:w="753" w:type="pct"/>
            <w:tcBorders>
              <w:top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65</w:t>
            </w:r>
          </w:p>
        </w:tc>
        <w:tc>
          <w:tcPr>
            <w:tcW w:w="770" w:type="pct"/>
            <w:tcBorders>
              <w:top w:val="single" w:color="auto" w:sz="12" w:space="0"/>
            </w:tcBorders>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44</w:t>
            </w:r>
          </w:p>
        </w:tc>
        <w:tc>
          <w:tcPr>
            <w:tcW w:w="753"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55</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contextualSpacing/>
              <w:jc w:val="center"/>
              <w:rPr>
                <w:color w:val="auto"/>
                <w:sz w:val="20"/>
              </w:rPr>
            </w:pPr>
            <w:r>
              <w:rPr>
                <w:color w:val="auto"/>
                <w:kern w:val="0"/>
                <w:sz w:val="20"/>
              </w:rPr>
              <w:t>厂南边界外1m</w:t>
            </w:r>
          </w:p>
        </w:tc>
        <w:tc>
          <w:tcPr>
            <w:tcW w:w="713" w:type="pct"/>
            <w:noWrap w:val="0"/>
            <w:vAlign w:val="center"/>
          </w:tcPr>
          <w:p>
            <w:pPr>
              <w:widowControl w:val="0"/>
              <w:contextualSpacing/>
              <w:jc w:val="center"/>
              <w:rPr>
                <w:color w:val="auto"/>
                <w:sz w:val="20"/>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52</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70</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42</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5</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contextualSpacing/>
              <w:jc w:val="center"/>
              <w:rPr>
                <w:color w:val="auto"/>
                <w:sz w:val="20"/>
              </w:rPr>
            </w:pPr>
            <w:r>
              <w:rPr>
                <w:color w:val="auto"/>
                <w:kern w:val="0"/>
                <w:sz w:val="20"/>
              </w:rPr>
              <w:t>厂西边界外1m</w:t>
            </w:r>
          </w:p>
        </w:tc>
        <w:tc>
          <w:tcPr>
            <w:tcW w:w="713" w:type="pct"/>
            <w:noWrap w:val="0"/>
            <w:vAlign w:val="center"/>
          </w:tcPr>
          <w:p>
            <w:pPr>
              <w:widowControl w:val="0"/>
              <w:contextualSpacing/>
              <w:jc w:val="center"/>
              <w:rPr>
                <w:color w:val="auto"/>
                <w:sz w:val="20"/>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53</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65</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43</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55</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spacing w:line="240" w:lineRule="atLeast"/>
              <w:jc w:val="center"/>
              <w:rPr>
                <w:color w:val="auto"/>
                <w:sz w:val="20"/>
              </w:rPr>
            </w:pPr>
            <w:r>
              <w:rPr>
                <w:rFonts w:hint="eastAsia"/>
                <w:color w:val="auto"/>
                <w:sz w:val="20"/>
                <w:lang w:val="en-US" w:eastAsia="zh-CN"/>
              </w:rPr>
              <w:t>洋溪社区临路旁</w:t>
            </w: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55</w:t>
            </w:r>
          </w:p>
        </w:tc>
        <w:tc>
          <w:tcPr>
            <w:tcW w:w="753"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70</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45</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5</w:t>
            </w:r>
          </w:p>
        </w:tc>
        <w:tc>
          <w:tcPr>
            <w:tcW w:w="770" w:type="pct"/>
            <w:noWrap w:val="0"/>
            <w:vAlign w:val="center"/>
          </w:tcPr>
          <w:p>
            <w:pPr>
              <w:widowControl w:val="0"/>
              <w:contextualSpacing/>
              <w:jc w:val="center"/>
              <w:rPr>
                <w:color w:val="auto"/>
                <w:sz w:val="20"/>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spacing w:line="240" w:lineRule="atLeast"/>
              <w:jc w:val="center"/>
              <w:rPr>
                <w:color w:val="auto"/>
                <w:sz w:val="20"/>
              </w:rPr>
            </w:pPr>
            <w:r>
              <w:rPr>
                <w:rFonts w:hint="eastAsia"/>
                <w:color w:val="auto"/>
                <w:sz w:val="20"/>
                <w:lang w:val="en-US" w:eastAsia="zh-CN"/>
              </w:rPr>
              <w:t>洋溪社区第三排处居民点</w:t>
            </w: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54</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6</w:t>
            </w:r>
            <w:r>
              <w:rPr>
                <w:rFonts w:hint="eastAsia"/>
                <w:color w:val="auto"/>
                <w:sz w:val="20"/>
                <w:lang w:val="en-US" w:eastAsia="zh-CN"/>
              </w:rPr>
              <w:t>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44</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restart"/>
            <w:noWrap w:val="0"/>
            <w:vAlign w:val="center"/>
          </w:tcPr>
          <w:p>
            <w:pPr>
              <w:widowControl w:val="0"/>
              <w:contextualSpacing/>
              <w:jc w:val="center"/>
              <w:rPr>
                <w:rFonts w:hint="default"/>
                <w:color w:val="auto"/>
                <w:sz w:val="20"/>
                <w:lang w:val="en-US" w:eastAsia="zh-CN"/>
              </w:rPr>
            </w:pPr>
            <w:r>
              <w:rPr>
                <w:color w:val="auto"/>
                <w:sz w:val="20"/>
              </w:rPr>
              <w:t>20</w:t>
            </w:r>
            <w:r>
              <w:rPr>
                <w:rFonts w:hint="eastAsia"/>
                <w:color w:val="auto"/>
                <w:sz w:val="20"/>
                <w:lang w:val="en-US" w:eastAsia="zh-CN"/>
              </w:rPr>
              <w:t>23</w:t>
            </w:r>
            <w:r>
              <w:rPr>
                <w:color w:val="auto"/>
                <w:sz w:val="20"/>
              </w:rPr>
              <w:t>.</w:t>
            </w:r>
            <w:r>
              <w:rPr>
                <w:rFonts w:hint="eastAsia"/>
                <w:color w:val="auto"/>
                <w:sz w:val="20"/>
                <w:lang w:val="en-US" w:eastAsia="zh-CN"/>
              </w:rPr>
              <w:t>4.9</w:t>
            </w:r>
          </w:p>
        </w:tc>
        <w:tc>
          <w:tcPr>
            <w:tcW w:w="1096" w:type="pct"/>
            <w:vMerge w:val="restart"/>
            <w:noWrap w:val="0"/>
            <w:vAlign w:val="center"/>
          </w:tcPr>
          <w:p>
            <w:pPr>
              <w:widowControl w:val="0"/>
              <w:contextualSpacing/>
              <w:jc w:val="center"/>
              <w:rPr>
                <w:color w:val="auto"/>
                <w:sz w:val="20"/>
              </w:rPr>
            </w:pPr>
            <w:r>
              <w:rPr>
                <w:color w:val="auto"/>
                <w:kern w:val="0"/>
                <w:sz w:val="20"/>
              </w:rPr>
              <w:t>厂东边界外1m</w:t>
            </w:r>
          </w:p>
        </w:tc>
        <w:tc>
          <w:tcPr>
            <w:tcW w:w="713" w:type="pct"/>
            <w:noWrap w:val="0"/>
            <w:vAlign w:val="center"/>
          </w:tcPr>
          <w:p>
            <w:pPr>
              <w:widowControl w:val="0"/>
              <w:contextualSpacing/>
              <w:jc w:val="center"/>
              <w:rPr>
                <w:color w:val="auto"/>
                <w:sz w:val="20"/>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52</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65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49</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55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contextualSpacing/>
              <w:jc w:val="center"/>
              <w:rPr>
                <w:color w:val="auto"/>
                <w:sz w:val="20"/>
              </w:rPr>
            </w:pPr>
            <w:r>
              <w:rPr>
                <w:color w:val="auto"/>
                <w:kern w:val="0"/>
                <w:sz w:val="20"/>
              </w:rPr>
              <w:t>厂南边界外1m</w:t>
            </w:r>
          </w:p>
        </w:tc>
        <w:tc>
          <w:tcPr>
            <w:tcW w:w="713" w:type="pct"/>
            <w:noWrap w:val="0"/>
            <w:vAlign w:val="center"/>
          </w:tcPr>
          <w:p>
            <w:pPr>
              <w:widowControl w:val="0"/>
              <w:contextualSpacing/>
              <w:jc w:val="center"/>
              <w:rPr>
                <w:color w:val="auto"/>
                <w:sz w:val="20"/>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51</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70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43</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contextualSpacing/>
              <w:jc w:val="center"/>
              <w:rPr>
                <w:color w:val="auto"/>
                <w:sz w:val="20"/>
              </w:rPr>
            </w:pPr>
            <w:r>
              <w:rPr>
                <w:color w:val="auto"/>
                <w:kern w:val="0"/>
                <w:sz w:val="20"/>
              </w:rPr>
              <w:t>厂西边界外1m</w:t>
            </w:r>
          </w:p>
        </w:tc>
        <w:tc>
          <w:tcPr>
            <w:tcW w:w="713" w:type="pct"/>
            <w:noWrap w:val="0"/>
            <w:vAlign w:val="center"/>
          </w:tcPr>
          <w:p>
            <w:pPr>
              <w:widowControl w:val="0"/>
              <w:contextualSpacing/>
              <w:jc w:val="center"/>
              <w:rPr>
                <w:color w:val="auto"/>
                <w:sz w:val="20"/>
              </w:rPr>
            </w:pPr>
            <w:r>
              <w:rPr>
                <w:color w:val="auto"/>
                <w:sz w:val="20"/>
              </w:rPr>
              <w:t>昼间</w:t>
            </w:r>
          </w:p>
        </w:tc>
        <w:tc>
          <w:tcPr>
            <w:tcW w:w="92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52</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65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color w:val="auto"/>
                <w:sz w:val="20"/>
              </w:rPr>
            </w:pPr>
            <w:r>
              <w:rPr>
                <w:color w:val="auto"/>
                <w:sz w:val="20"/>
              </w:rPr>
              <w:t>夜间</w:t>
            </w:r>
          </w:p>
        </w:tc>
        <w:tc>
          <w:tcPr>
            <w:tcW w:w="925" w:type="pct"/>
            <w:noWrap w:val="0"/>
            <w:vAlign w:val="top"/>
          </w:tcPr>
          <w:p>
            <w:pPr>
              <w:widowControl w:val="0"/>
              <w:contextualSpacing/>
              <w:jc w:val="center"/>
              <w:rPr>
                <w:rFonts w:hint="default" w:eastAsia="宋体"/>
                <w:color w:val="auto"/>
                <w:sz w:val="20"/>
                <w:lang w:val="en-US" w:eastAsia="zh-CN"/>
              </w:rPr>
            </w:pPr>
            <w:r>
              <w:rPr>
                <w:rFonts w:hint="eastAsia"/>
                <w:color w:val="auto"/>
                <w:sz w:val="20"/>
                <w:lang w:val="en-US" w:eastAsia="zh-CN"/>
              </w:rPr>
              <w:t>42</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55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spacing w:line="240" w:lineRule="atLeast"/>
              <w:jc w:val="center"/>
              <w:rPr>
                <w:color w:val="auto"/>
                <w:sz w:val="20"/>
              </w:rPr>
            </w:pPr>
            <w:r>
              <w:rPr>
                <w:rFonts w:hint="eastAsia"/>
                <w:color w:val="auto"/>
                <w:sz w:val="20"/>
                <w:lang w:val="en-US" w:eastAsia="zh-CN"/>
              </w:rPr>
              <w:t>洋溪社区临路旁</w:t>
            </w: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昼间</w:t>
            </w:r>
          </w:p>
        </w:tc>
        <w:tc>
          <w:tcPr>
            <w:tcW w:w="925" w:type="pct"/>
            <w:noWrap w:val="0"/>
            <w:vAlign w:val="top"/>
          </w:tcPr>
          <w:p>
            <w:pPr>
              <w:widowControl w:val="0"/>
              <w:contextualSpacing/>
              <w:jc w:val="center"/>
              <w:rPr>
                <w:rFonts w:hint="default" w:eastAsia="宋体"/>
                <w:color w:val="auto"/>
                <w:sz w:val="20"/>
                <w:lang w:val="en-US" w:eastAsia="zh-CN"/>
              </w:rPr>
            </w:pPr>
            <w:r>
              <w:rPr>
                <w:rFonts w:hint="eastAsia"/>
                <w:color w:val="auto"/>
                <w:sz w:val="20"/>
                <w:lang w:val="en-US" w:eastAsia="zh-CN"/>
              </w:rPr>
              <w:t>54</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70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夜间</w:t>
            </w:r>
          </w:p>
        </w:tc>
        <w:tc>
          <w:tcPr>
            <w:tcW w:w="925" w:type="pct"/>
            <w:noWrap w:val="0"/>
            <w:vAlign w:val="top"/>
          </w:tcPr>
          <w:p>
            <w:pPr>
              <w:widowControl w:val="0"/>
              <w:contextualSpacing/>
              <w:jc w:val="center"/>
              <w:rPr>
                <w:rFonts w:hint="default" w:eastAsia="宋体"/>
                <w:color w:val="auto"/>
                <w:sz w:val="20"/>
                <w:lang w:val="en-US" w:eastAsia="zh-CN"/>
              </w:rPr>
            </w:pPr>
            <w:r>
              <w:rPr>
                <w:rFonts w:hint="eastAsia"/>
                <w:color w:val="auto"/>
                <w:sz w:val="20"/>
                <w:lang w:val="en-US" w:eastAsia="zh-CN"/>
              </w:rPr>
              <w:t>41</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5</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restart"/>
            <w:noWrap w:val="0"/>
            <w:vAlign w:val="center"/>
          </w:tcPr>
          <w:p>
            <w:pPr>
              <w:widowControl w:val="0"/>
              <w:spacing w:line="240" w:lineRule="atLeast"/>
              <w:jc w:val="center"/>
              <w:rPr>
                <w:color w:val="auto"/>
                <w:sz w:val="20"/>
              </w:rPr>
            </w:pPr>
            <w:r>
              <w:rPr>
                <w:rFonts w:hint="eastAsia"/>
                <w:color w:val="auto"/>
                <w:sz w:val="20"/>
                <w:lang w:val="en-US" w:eastAsia="zh-CN"/>
              </w:rPr>
              <w:t>洋溪社区第三排处居民点</w:t>
            </w: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昼间</w:t>
            </w:r>
          </w:p>
        </w:tc>
        <w:tc>
          <w:tcPr>
            <w:tcW w:w="925" w:type="pct"/>
            <w:noWrap w:val="0"/>
            <w:vAlign w:val="top"/>
          </w:tcPr>
          <w:p>
            <w:pPr>
              <w:widowControl w:val="0"/>
              <w:contextualSpacing/>
              <w:jc w:val="center"/>
              <w:rPr>
                <w:rFonts w:hint="default" w:eastAsia="宋体"/>
                <w:color w:val="auto"/>
                <w:sz w:val="20"/>
                <w:lang w:val="en-US" w:eastAsia="zh-CN"/>
              </w:rPr>
            </w:pPr>
            <w:r>
              <w:rPr>
                <w:rFonts w:hint="eastAsia"/>
                <w:color w:val="auto"/>
                <w:sz w:val="20"/>
                <w:lang w:val="en-US" w:eastAsia="zh-CN"/>
              </w:rPr>
              <w:t>54</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6</w:t>
            </w:r>
            <w:r>
              <w:rPr>
                <w:rFonts w:hint="eastAsia"/>
                <w:color w:val="auto"/>
                <w:sz w:val="20"/>
                <w:lang w:val="en-US" w:eastAsia="zh-CN"/>
              </w:rPr>
              <w:t>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pct"/>
            <w:vMerge w:val="continue"/>
            <w:noWrap w:val="0"/>
            <w:vAlign w:val="center"/>
          </w:tcPr>
          <w:p>
            <w:pPr>
              <w:widowControl w:val="0"/>
              <w:contextualSpacing/>
              <w:jc w:val="center"/>
              <w:rPr>
                <w:color w:val="auto"/>
                <w:sz w:val="20"/>
              </w:rPr>
            </w:pPr>
          </w:p>
        </w:tc>
        <w:tc>
          <w:tcPr>
            <w:tcW w:w="1096" w:type="pct"/>
            <w:vMerge w:val="continue"/>
            <w:noWrap w:val="0"/>
            <w:vAlign w:val="center"/>
          </w:tcPr>
          <w:p>
            <w:pPr>
              <w:widowControl w:val="0"/>
              <w:contextualSpacing/>
              <w:jc w:val="center"/>
              <w:rPr>
                <w:color w:val="auto"/>
                <w:sz w:val="20"/>
              </w:rPr>
            </w:pPr>
          </w:p>
        </w:tc>
        <w:tc>
          <w:tcPr>
            <w:tcW w:w="713"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夜间</w:t>
            </w:r>
          </w:p>
        </w:tc>
        <w:tc>
          <w:tcPr>
            <w:tcW w:w="925" w:type="pct"/>
            <w:noWrap w:val="0"/>
            <w:vAlign w:val="top"/>
          </w:tcPr>
          <w:p>
            <w:pPr>
              <w:widowControl w:val="0"/>
              <w:contextualSpacing/>
              <w:jc w:val="center"/>
              <w:rPr>
                <w:rFonts w:hint="default" w:eastAsia="宋体"/>
                <w:color w:val="auto"/>
                <w:sz w:val="20"/>
                <w:lang w:val="en-US" w:eastAsia="zh-CN"/>
              </w:rPr>
            </w:pPr>
            <w:r>
              <w:rPr>
                <w:rFonts w:hint="eastAsia"/>
                <w:color w:val="auto"/>
                <w:sz w:val="20"/>
                <w:lang w:val="en-US" w:eastAsia="zh-CN"/>
              </w:rPr>
              <w:t>41</w:t>
            </w:r>
          </w:p>
        </w:tc>
        <w:tc>
          <w:tcPr>
            <w:tcW w:w="753" w:type="pct"/>
            <w:noWrap w:val="0"/>
            <w:vAlign w:val="center"/>
          </w:tcPr>
          <w:p>
            <w:pPr>
              <w:widowControl w:val="0"/>
              <w:contextualSpacing/>
              <w:jc w:val="center"/>
              <w:rPr>
                <w:rFonts w:hint="eastAsia" w:ascii="Times New Roman" w:hAnsi="Times New Roman" w:eastAsia="宋体" w:cs="Times New Roman"/>
                <w:color w:val="auto"/>
                <w:kern w:val="2"/>
                <w:sz w:val="20"/>
                <w:lang w:val="en-US" w:eastAsia="zh-CN" w:bidi="ar-SA"/>
              </w:rPr>
            </w:pPr>
            <w:r>
              <w:rPr>
                <w:color w:val="auto"/>
                <w:sz w:val="20"/>
              </w:rPr>
              <w:t>5</w:t>
            </w:r>
            <w:r>
              <w:rPr>
                <w:rFonts w:hint="eastAsia"/>
                <w:color w:val="auto"/>
                <w:sz w:val="20"/>
                <w:lang w:val="en-US" w:eastAsia="zh-CN"/>
              </w:rPr>
              <w:t>0</w:t>
            </w:r>
          </w:p>
        </w:tc>
        <w:tc>
          <w:tcPr>
            <w:tcW w:w="770"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color w:val="auto"/>
                <w:sz w:val="20"/>
              </w:rPr>
              <w:t>达标</w:t>
            </w:r>
          </w:p>
        </w:tc>
      </w:tr>
    </w:tbl>
    <w:p>
      <w:pPr>
        <w:widowControl w:val="0"/>
        <w:spacing w:line="360" w:lineRule="auto"/>
        <w:ind w:firstLine="480" w:firstLineChars="200"/>
        <w:rPr>
          <w:rFonts w:eastAsia="仿宋_GB2312"/>
          <w:color w:val="auto"/>
          <w:sz w:val="24"/>
        </w:rPr>
      </w:pPr>
      <w:r>
        <w:rPr>
          <w:rFonts w:eastAsia="仿宋_GB2312"/>
          <w:color w:val="auto"/>
          <w:sz w:val="24"/>
        </w:rPr>
        <w:t>由表4.3-1</w:t>
      </w:r>
      <w:r>
        <w:rPr>
          <w:rFonts w:hint="eastAsia" w:eastAsia="仿宋_GB2312"/>
          <w:color w:val="auto"/>
          <w:sz w:val="24"/>
        </w:rPr>
        <w:t>3</w:t>
      </w:r>
      <w:r>
        <w:rPr>
          <w:rFonts w:eastAsia="仿宋_GB2312"/>
          <w:color w:val="auto"/>
          <w:sz w:val="24"/>
        </w:rPr>
        <w:t>知，项目各厂界噪声昼、夜间监测值均满足《声环境质量标准》（GB3096-2008）</w:t>
      </w:r>
      <w:r>
        <w:rPr>
          <w:rFonts w:hint="eastAsia" w:eastAsia="仿宋_GB2312"/>
          <w:color w:val="auto"/>
          <w:sz w:val="24"/>
          <w:lang w:val="en-US" w:eastAsia="zh-CN"/>
        </w:rPr>
        <w:t>3</w:t>
      </w:r>
      <w:r>
        <w:rPr>
          <w:rFonts w:eastAsia="仿宋_GB2312"/>
          <w:color w:val="auto"/>
          <w:sz w:val="24"/>
        </w:rPr>
        <w:t>类</w:t>
      </w:r>
      <w:r>
        <w:rPr>
          <w:rFonts w:hint="eastAsia" w:eastAsia="仿宋_GB2312"/>
          <w:color w:val="auto"/>
          <w:sz w:val="24"/>
          <w:lang w:val="en-US" w:eastAsia="zh-CN"/>
        </w:rPr>
        <w:t>及4a类</w:t>
      </w:r>
      <w:r>
        <w:rPr>
          <w:rFonts w:eastAsia="仿宋_GB2312"/>
          <w:color w:val="auto"/>
          <w:sz w:val="24"/>
        </w:rPr>
        <w:t>标准</w:t>
      </w:r>
      <w:r>
        <w:rPr>
          <w:rFonts w:hint="eastAsia" w:eastAsia="仿宋_GB2312"/>
          <w:color w:val="auto"/>
          <w:sz w:val="24"/>
          <w:lang w:eastAsia="zh-CN"/>
        </w:rPr>
        <w:t>；</w:t>
      </w:r>
      <w:r>
        <w:rPr>
          <w:rFonts w:hint="eastAsia" w:eastAsia="仿宋_GB2312"/>
          <w:color w:val="auto"/>
          <w:sz w:val="24"/>
          <w:lang w:val="en-US" w:eastAsia="zh-CN"/>
        </w:rPr>
        <w:t>敏感点</w:t>
      </w:r>
      <w:r>
        <w:rPr>
          <w:rFonts w:eastAsia="仿宋_GB2312"/>
          <w:color w:val="auto"/>
          <w:sz w:val="24"/>
        </w:rPr>
        <w:t>噪声昼、夜间监测值均满足《声环境质量标准》（GB3096-2008</w:t>
      </w:r>
      <w:r>
        <w:rPr>
          <w:rFonts w:hint="eastAsia" w:eastAsia="仿宋_GB2312"/>
          <w:color w:val="auto"/>
          <w:sz w:val="24"/>
          <w:lang w:eastAsia="zh-CN"/>
        </w:rPr>
        <w:t>）</w:t>
      </w:r>
      <w:r>
        <w:rPr>
          <w:rFonts w:hint="eastAsia" w:eastAsia="仿宋_GB2312"/>
          <w:color w:val="auto"/>
          <w:sz w:val="24"/>
          <w:lang w:val="en-US" w:eastAsia="zh-CN"/>
        </w:rPr>
        <w:t>中2类标准</w:t>
      </w:r>
      <w:r>
        <w:rPr>
          <w:rFonts w:eastAsia="仿宋_GB2312"/>
          <w:color w:val="auto"/>
          <w:sz w:val="24"/>
        </w:rPr>
        <w:t>。</w:t>
      </w:r>
    </w:p>
    <w:p>
      <w:pPr>
        <w:pStyle w:val="8"/>
        <w:keepNext w:val="0"/>
        <w:keepLines w:val="0"/>
        <w:widowControl w:val="0"/>
        <w:spacing w:before="120" w:after="120" w:line="360" w:lineRule="auto"/>
        <w:rPr>
          <w:rFonts w:hint="default" w:ascii="Times New Roman" w:hAnsi="Times New Roman" w:eastAsia="黑体"/>
          <w:b w:val="0"/>
          <w:color w:val="auto"/>
          <w:szCs w:val="32"/>
          <w:lang w:val="en-US" w:eastAsia="zh-CN"/>
        </w:rPr>
      </w:pPr>
      <w:bookmarkStart w:id="365" w:name="_Toc27868"/>
      <w:r>
        <w:rPr>
          <w:rFonts w:ascii="Times New Roman" w:hAnsi="Times New Roman"/>
          <w:b w:val="0"/>
          <w:color w:val="auto"/>
          <w:szCs w:val="32"/>
        </w:rPr>
        <w:t>4.</w:t>
      </w:r>
      <w:r>
        <w:rPr>
          <w:rFonts w:hint="eastAsia" w:ascii="Times New Roman" w:hAnsi="Times New Roman"/>
          <w:b w:val="0"/>
          <w:color w:val="auto"/>
          <w:szCs w:val="32"/>
          <w:lang w:val="en-US" w:eastAsia="zh-CN"/>
        </w:rPr>
        <w:t>5生态</w:t>
      </w:r>
      <w:r>
        <w:rPr>
          <w:rFonts w:ascii="Times New Roman" w:hAnsi="Times New Roman"/>
          <w:b w:val="0"/>
          <w:color w:val="auto"/>
          <w:szCs w:val="32"/>
        </w:rPr>
        <w:t>环境</w:t>
      </w:r>
      <w:r>
        <w:rPr>
          <w:rFonts w:hint="eastAsia" w:ascii="Times New Roman" w:hAnsi="Times New Roman"/>
          <w:b w:val="0"/>
          <w:color w:val="auto"/>
          <w:szCs w:val="32"/>
          <w:lang w:val="en-US" w:eastAsia="zh-CN"/>
        </w:rPr>
        <w:t>现状调查与评价</w:t>
      </w:r>
      <w:bookmarkEnd w:id="365"/>
    </w:p>
    <w:p>
      <w:pPr>
        <w:pStyle w:val="9"/>
        <w:keepNext w:val="0"/>
        <w:keepLines w:val="0"/>
        <w:widowControl w:val="0"/>
        <w:spacing w:before="120" w:after="120" w:line="360" w:lineRule="auto"/>
        <w:rPr>
          <w:rFonts w:hint="default" w:eastAsia="黑体"/>
          <w:b w:val="0"/>
          <w:color w:val="auto"/>
          <w:sz w:val="24"/>
          <w:lang w:val="en-US" w:eastAsia="zh-CN"/>
        </w:rPr>
      </w:pPr>
      <w:bookmarkStart w:id="366" w:name="_Toc11838"/>
      <w:r>
        <w:rPr>
          <w:rFonts w:eastAsia="黑体"/>
          <w:b w:val="0"/>
          <w:color w:val="auto"/>
          <w:sz w:val="24"/>
        </w:rPr>
        <w:t>4.</w:t>
      </w:r>
      <w:r>
        <w:rPr>
          <w:rFonts w:hint="eastAsia" w:eastAsia="黑体"/>
          <w:b w:val="0"/>
          <w:color w:val="auto"/>
          <w:sz w:val="24"/>
          <w:lang w:val="en-US" w:eastAsia="zh-CN"/>
        </w:rPr>
        <w:t>5.</w:t>
      </w:r>
      <w:r>
        <w:rPr>
          <w:rFonts w:eastAsia="黑体"/>
          <w:b w:val="0"/>
          <w:color w:val="auto"/>
          <w:sz w:val="24"/>
        </w:rPr>
        <w:t>1</w:t>
      </w:r>
      <w:r>
        <w:rPr>
          <w:rFonts w:hint="eastAsia" w:eastAsia="黑体"/>
          <w:b w:val="0"/>
          <w:color w:val="auto"/>
          <w:sz w:val="24"/>
          <w:lang w:val="en-US" w:eastAsia="zh-CN"/>
        </w:rPr>
        <w:t>陆生生态现状调查</w:t>
      </w:r>
      <w:bookmarkEnd w:id="366"/>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4.5.1.1陆生植被和植物</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项目所在地区为丘陵地带，地带性植被为落叶阔叶—常绿阔叶和针叶混交林，受人类干扰影响，评价范围植被没有原始植被，主要分布有藤黄，构树，蒲公英，狗尾草，狗牙根以及农作物等栽培植被。</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4.5.1.2陆生野生动物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项目评价范围内由于现有港区作业导致受人为干扰严重，野生动物种类稀少，多为与人类关系密切两栖、小型兽类和雀形目鸟类，如多疣壁虎、黄鼬、褐家鼠、黄胸鼠、小家鼠和[树]麻雀等，没有国家和湖北省重点保护野生动物分布</w:t>
      </w:r>
      <w:r>
        <w:rPr>
          <w:rFonts w:hint="eastAsia" w:eastAsia="仿宋_GB2312"/>
          <w:color w:val="auto"/>
          <w:sz w:val="24"/>
          <w:lang w:eastAsia="zh-CN"/>
        </w:rPr>
        <w:t>。</w:t>
      </w:r>
    </w:p>
    <w:p>
      <w:pPr>
        <w:pStyle w:val="9"/>
        <w:keepNext w:val="0"/>
        <w:keepLines w:val="0"/>
        <w:widowControl w:val="0"/>
        <w:spacing w:before="120" w:after="120" w:line="360" w:lineRule="auto"/>
        <w:rPr>
          <w:rFonts w:hint="default" w:eastAsia="黑体"/>
          <w:b w:val="0"/>
          <w:color w:val="auto"/>
          <w:sz w:val="24"/>
          <w:lang w:val="en-US" w:eastAsia="zh-CN"/>
        </w:rPr>
      </w:pPr>
      <w:bookmarkStart w:id="367" w:name="_Toc28789"/>
      <w:r>
        <w:rPr>
          <w:rFonts w:eastAsia="黑体"/>
          <w:b w:val="0"/>
          <w:color w:val="auto"/>
          <w:sz w:val="24"/>
        </w:rPr>
        <w:t>4.</w:t>
      </w:r>
      <w:r>
        <w:rPr>
          <w:rFonts w:hint="eastAsia" w:eastAsia="黑体"/>
          <w:b w:val="0"/>
          <w:color w:val="auto"/>
          <w:sz w:val="24"/>
          <w:lang w:val="en-US" w:eastAsia="zh-CN"/>
        </w:rPr>
        <w:t>5.2水生生态现状调查</w:t>
      </w:r>
      <w:bookmarkEnd w:id="367"/>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水生生态现状调查引用《湖北楚新矿业有限公司皮带输送廊道及综合物流码头建设项目（综合物流码头部分）对长江湖北宜昌中华鲟自然保护区影响专题论证报告》中内容进行论述</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4.5.2.1评价范围及调查站位</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eastAsia="仿宋_GB2312"/>
          <w:color w:val="auto"/>
          <w:sz w:val="24"/>
        </w:rPr>
        <w:t>湖北楚新矿业有限公司皮带输送廊道及综合物流码头建设项目（综合物流码头部分）拟建码头位于宜昌市宜昌港宜都港区枝城作业区</w:t>
      </w:r>
      <w:r>
        <w:rPr>
          <w:rFonts w:hint="eastAsia" w:eastAsia="仿宋_GB2312"/>
          <w:color w:val="auto"/>
          <w:sz w:val="24"/>
          <w:lang w:val="en-US" w:eastAsia="zh-CN"/>
        </w:rPr>
        <w:t>关洲水道右岸</w:t>
      </w:r>
      <w:r>
        <w:rPr>
          <w:rFonts w:hint="eastAsia" w:eastAsia="仿宋_GB2312"/>
          <w:color w:val="auto"/>
          <w:sz w:val="24"/>
        </w:rPr>
        <w:t>，</w:t>
      </w:r>
      <w:r>
        <w:rPr>
          <w:rFonts w:hint="eastAsia" w:eastAsia="仿宋_GB2312"/>
          <w:color w:val="auto"/>
          <w:sz w:val="24"/>
          <w:lang w:val="en-US" w:eastAsia="zh-CN"/>
        </w:rPr>
        <w:t>距离</w:t>
      </w:r>
      <w:r>
        <w:rPr>
          <w:rFonts w:hint="eastAsia" w:eastAsia="仿宋_GB2312"/>
          <w:color w:val="auto"/>
          <w:sz w:val="24"/>
        </w:rPr>
        <w:t>枝城长江大桥下游约</w:t>
      </w:r>
      <w:r>
        <w:rPr>
          <w:rFonts w:hint="eastAsia" w:eastAsia="仿宋_GB2312"/>
          <w:color w:val="auto"/>
          <w:sz w:val="24"/>
          <w:lang w:val="en-US" w:eastAsia="zh-CN"/>
        </w:rPr>
        <w:t>5</w:t>
      </w:r>
      <w:r>
        <w:rPr>
          <w:rFonts w:hint="eastAsia" w:eastAsia="仿宋_GB2312"/>
          <w:color w:val="auto"/>
          <w:sz w:val="24"/>
        </w:rPr>
        <w:t>km，</w:t>
      </w:r>
      <w:r>
        <w:rPr>
          <w:rFonts w:hint="eastAsia" w:eastAsia="仿宋_GB2312"/>
          <w:color w:val="auto"/>
          <w:sz w:val="24"/>
          <w:lang w:val="en-US" w:eastAsia="zh-CN"/>
        </w:rPr>
        <w:t>宜都城区上游约15km，</w:t>
      </w:r>
      <w:r>
        <w:rPr>
          <w:rFonts w:hint="eastAsia" w:eastAsia="仿宋_GB2312"/>
          <w:color w:val="auto"/>
          <w:sz w:val="24"/>
        </w:rPr>
        <w:t>码头中心位于长江中游航道里程约</w:t>
      </w:r>
      <w:r>
        <w:rPr>
          <w:rFonts w:hint="eastAsia" w:eastAsia="仿宋_GB2312"/>
          <w:color w:val="auto"/>
          <w:sz w:val="24"/>
          <w:lang w:val="en-US" w:eastAsia="zh-CN"/>
        </w:rPr>
        <w:t>562.9</w:t>
      </w:r>
      <w:r>
        <w:rPr>
          <w:rFonts w:hint="eastAsia" w:eastAsia="仿宋_GB2312"/>
          <w:color w:val="auto"/>
          <w:sz w:val="24"/>
        </w:rPr>
        <w:t>k</w:t>
      </w:r>
      <w:r>
        <w:rPr>
          <w:rFonts w:hint="eastAsia" w:ascii="Times New Roman" w:hAnsi="Times New Roman" w:eastAsia="仿宋_GB2312" w:cs="Times New Roman"/>
          <w:color w:val="auto"/>
          <w:sz w:val="24"/>
        </w:rPr>
        <w:t>m处，处于</w:t>
      </w:r>
      <w:r>
        <w:rPr>
          <w:rFonts w:hint="eastAsia" w:eastAsia="仿宋_GB2312"/>
          <w:color w:val="auto"/>
          <w:sz w:val="24"/>
        </w:rPr>
        <w:t>长江湖北宜昌中华鲟自然保护区</w:t>
      </w:r>
      <w:r>
        <w:rPr>
          <w:rFonts w:hint="eastAsia" w:ascii="Times New Roman" w:hAnsi="Times New Roman" w:eastAsia="仿宋_GB2312" w:cs="Times New Roman"/>
          <w:b/>
          <w:bCs/>
          <w:color w:val="auto"/>
          <w:sz w:val="24"/>
        </w:rPr>
        <w:t>外</w:t>
      </w:r>
      <w:r>
        <w:rPr>
          <w:rFonts w:hint="eastAsia" w:eastAsia="仿宋_GB2312"/>
          <w:b/>
          <w:bCs/>
          <w:color w:val="auto"/>
          <w:sz w:val="24"/>
        </w:rPr>
        <w:t>围保护地带</w:t>
      </w:r>
      <w:r>
        <w:rPr>
          <w:rFonts w:hint="eastAsia" w:eastAsia="仿宋_GB2312"/>
          <w:color w:val="auto"/>
          <w:sz w:val="24"/>
          <w:lang w:eastAsia="zh-CN"/>
        </w:rPr>
        <w:t>。</w:t>
      </w:r>
      <w:r>
        <w:rPr>
          <w:rFonts w:hint="eastAsia" w:eastAsia="仿宋_GB2312"/>
          <w:color w:val="auto"/>
          <w:sz w:val="24"/>
        </w:rPr>
        <w:t>考虑到保护区的结构和功能。因此，调查范围为整个保护区河段，主要评价范围为工程临近的长江干流河段水域，主要评价时段为码头的施</w:t>
      </w:r>
      <w:r>
        <w:rPr>
          <w:rFonts w:hint="eastAsia" w:ascii="Times New Roman" w:hAnsi="Times New Roman" w:eastAsia="仿宋_GB2312" w:cs="Times New Roman"/>
          <w:color w:val="auto"/>
          <w:sz w:val="24"/>
        </w:rPr>
        <w:t>工期和运营期。根据控制性、代表性原则，在工程施工范围共设置</w:t>
      </w:r>
      <w:r>
        <w:rPr>
          <w:rFonts w:hint="eastAsia" w:ascii="Times New Roman" w:hAnsi="Times New Roman" w:eastAsia="仿宋_GB2312" w:cs="Times New Roman"/>
          <w:color w:val="auto"/>
          <w:sz w:val="24"/>
          <w:lang w:val="en-US" w:eastAsia="zh-CN"/>
        </w:rPr>
        <w:t>6</w:t>
      </w:r>
      <w:r>
        <w:rPr>
          <w:rFonts w:hint="eastAsia" w:ascii="Times New Roman" w:hAnsi="Times New Roman" w:eastAsia="仿宋_GB2312" w:cs="Times New Roman"/>
          <w:color w:val="auto"/>
          <w:sz w:val="24"/>
        </w:rPr>
        <w:t>个</w:t>
      </w:r>
      <w:r>
        <w:rPr>
          <w:rFonts w:hint="eastAsia" w:ascii="Times New Roman" w:hAnsi="Times New Roman" w:eastAsia="仿宋_GB2312" w:cs="Times New Roman"/>
          <w:color w:val="auto"/>
          <w:sz w:val="24"/>
          <w:lang w:val="en-US" w:eastAsia="zh-CN"/>
        </w:rPr>
        <w:t>水生</w:t>
      </w:r>
      <w:r>
        <w:rPr>
          <w:rFonts w:hint="eastAsia" w:ascii="Times New Roman" w:hAnsi="Times New Roman" w:eastAsia="仿宋_GB2312" w:cs="Times New Roman"/>
          <w:color w:val="auto"/>
          <w:sz w:val="24"/>
        </w:rPr>
        <w:t>生物采样断面（图</w:t>
      </w:r>
      <w:r>
        <w:rPr>
          <w:rFonts w:hint="eastAsia" w:ascii="Times New Roman" w:hAnsi="Times New Roman" w:eastAsia="仿宋_GB2312" w:cs="Times New Roman"/>
          <w:color w:val="auto"/>
          <w:sz w:val="24"/>
          <w:lang w:val="en-US" w:eastAsia="zh-CN"/>
        </w:rPr>
        <w:t>4</w:t>
      </w:r>
      <w:r>
        <w:rPr>
          <w:rFonts w:hint="eastAsia" w:ascii="Times New Roman" w:hAnsi="Times New Roman" w:eastAsia="仿宋_GB2312" w:cs="Times New Roman"/>
          <w:color w:val="auto"/>
          <w:sz w:val="24"/>
        </w:rPr>
        <w:t>.5-1）</w:t>
      </w:r>
      <w:r>
        <w:rPr>
          <w:rFonts w:hint="eastAsia" w:ascii="Times New Roman" w:hAnsi="Times New Roman" w:eastAsia="仿宋_GB2312" w:cs="Times New Roman"/>
          <w:color w:val="auto"/>
          <w:sz w:val="24"/>
          <w:lang w:eastAsia="zh-CN"/>
        </w:rPr>
        <w:t>。</w:t>
      </w:r>
    </w:p>
    <w:p>
      <w:pPr>
        <w:widowControl w:val="0"/>
        <w:spacing w:before="120" w:beforeLines="50" w:line="360" w:lineRule="auto"/>
        <w:jc w:val="center"/>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drawing>
          <wp:inline distT="0" distB="0" distL="114300" distR="114300">
            <wp:extent cx="4116070" cy="3228975"/>
            <wp:effectExtent l="0" t="0" r="17780" b="9525"/>
            <wp:docPr id="6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8"/>
                    <pic:cNvPicPr>
                      <a:picLocks noChangeAspect="1"/>
                    </pic:cNvPicPr>
                  </pic:nvPicPr>
                  <pic:blipFill>
                    <a:blip r:embed="rId64"/>
                    <a:stretch>
                      <a:fillRect/>
                    </a:stretch>
                  </pic:blipFill>
                  <pic:spPr>
                    <a:xfrm>
                      <a:off x="0" y="0"/>
                      <a:ext cx="4116070" cy="3228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w:t>
      </w:r>
      <w:r>
        <w:rPr>
          <w:rFonts w:eastAsia="黑体"/>
          <w:b/>
          <w:color w:val="auto"/>
          <w:szCs w:val="21"/>
          <w:lang w:val="zh-CN"/>
        </w:rPr>
        <w:t xml:space="preserve">  </w:t>
      </w:r>
      <w:r>
        <w:rPr>
          <w:rFonts w:hint="eastAsia" w:eastAsia="黑体"/>
          <w:b/>
          <w:color w:val="auto"/>
          <w:szCs w:val="21"/>
          <w:lang w:val="en-US" w:eastAsia="zh-CN"/>
        </w:rPr>
        <w:t>水生生物采样断面示意图</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4.5.2.2浮游植物</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种类组成</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本次调查共采集到浮游植物7门108种。其中绿藻门最多43种，占总数39.81%；其次为硅藻门28种，占总数25.93%；蓝藻门25种，占总数的23.15%；金藻门最少，仅1种，占总数的1.85%</w:t>
      </w:r>
      <w:r>
        <w:rPr>
          <w:rFonts w:hint="eastAsia" w:eastAsia="仿宋_GB2312"/>
          <w:color w:val="auto"/>
          <w:sz w:val="24"/>
          <w:lang w:eastAsia="zh-CN"/>
        </w:rPr>
        <w:t>，</w:t>
      </w:r>
      <w:r>
        <w:rPr>
          <w:rFonts w:hint="eastAsia" w:eastAsia="仿宋_GB2312"/>
          <w:color w:val="auto"/>
          <w:sz w:val="24"/>
          <w:lang w:val="en-US" w:eastAsia="zh-CN"/>
        </w:rPr>
        <w:t>见表4.5-1</w:t>
      </w:r>
      <w:r>
        <w:rPr>
          <w:rFonts w:hint="eastAsia" w:eastAsia="仿宋_GB2312"/>
          <w:color w:val="auto"/>
          <w:sz w:val="24"/>
          <w:lang w:eastAsia="zh-CN"/>
        </w:rPr>
        <w:t>。</w:t>
      </w:r>
    </w:p>
    <w:p>
      <w:pPr>
        <w:widowControl w:val="0"/>
        <w:spacing w:line="360" w:lineRule="auto"/>
        <w:contextualSpacing/>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5</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w:t>
      </w:r>
      <w:r>
        <w:rPr>
          <w:rFonts w:hint="eastAsia" w:eastAsia="黑体"/>
          <w:b/>
          <w:color w:val="auto"/>
          <w:szCs w:val="21"/>
          <w:lang w:val="en-US" w:eastAsia="zh-CN"/>
        </w:rPr>
        <w:t>浮游植物种类名录</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651"/>
        <w:gridCol w:w="719"/>
        <w:gridCol w:w="705"/>
        <w:gridCol w:w="702"/>
        <w:gridCol w:w="690"/>
        <w:gridCol w:w="688"/>
        <w:gridCol w:w="707"/>
        <w:gridCol w:w="649"/>
        <w:gridCol w:w="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tcBorders>
              <w:top w:val="single" w:color="auto" w:sz="12" w:space="0"/>
              <w:bottom w:val="single" w:color="auto" w:sz="12" w:space="0"/>
            </w:tcBorders>
            <w:noWrap w:val="0"/>
            <w:vAlign w:val="center"/>
          </w:tcPr>
          <w:p>
            <w:pPr>
              <w:widowControl w:val="0"/>
              <w:spacing w:line="240" w:lineRule="atLeast"/>
              <w:jc w:val="center"/>
              <w:rPr>
                <w:color w:val="auto"/>
                <w:sz w:val="20"/>
              </w:rPr>
            </w:pPr>
            <w:r>
              <w:rPr>
                <w:rFonts w:hint="eastAsia"/>
                <w:color w:val="auto"/>
                <w:sz w:val="20"/>
                <w:lang w:val="en-US" w:eastAsia="zh-CN"/>
              </w:rPr>
              <w:t>种类</w:t>
            </w:r>
          </w:p>
        </w:tc>
        <w:tc>
          <w:tcPr>
            <w:tcW w:w="422" w:type="pct"/>
            <w:tcBorders>
              <w:top w:val="single" w:color="auto" w:sz="12" w:space="0"/>
              <w:bottom w:val="single" w:color="auto" w:sz="12" w:space="0"/>
            </w:tcBorders>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1#</w:t>
            </w:r>
          </w:p>
        </w:tc>
        <w:tc>
          <w:tcPr>
            <w:tcW w:w="41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rPr>
            </w:pPr>
            <w:r>
              <w:rPr>
                <w:rFonts w:hint="eastAsia"/>
                <w:color w:val="auto"/>
                <w:sz w:val="20"/>
                <w:lang w:val="en-US" w:eastAsia="zh-CN"/>
              </w:rPr>
              <w:t>2#</w:t>
            </w:r>
          </w:p>
        </w:tc>
        <w:tc>
          <w:tcPr>
            <w:tcW w:w="412"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3#</w:t>
            </w:r>
          </w:p>
        </w:tc>
        <w:tc>
          <w:tcPr>
            <w:tcW w:w="405"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4#</w:t>
            </w:r>
          </w:p>
        </w:tc>
        <w:tc>
          <w:tcPr>
            <w:tcW w:w="40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5#</w:t>
            </w:r>
          </w:p>
        </w:tc>
        <w:tc>
          <w:tcPr>
            <w:tcW w:w="415"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6#</w:t>
            </w:r>
          </w:p>
        </w:tc>
        <w:tc>
          <w:tcPr>
            <w:tcW w:w="381"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44" w:type="pct"/>
            <w:tcBorders>
              <w:top w:val="single" w:color="auto" w:sz="12" w:space="0"/>
            </w:tcBorders>
            <w:noWrap w:val="0"/>
            <w:vAlign w:val="center"/>
          </w:tcPr>
          <w:p>
            <w:pPr>
              <w:widowControl w:val="0"/>
              <w:spacing w:line="240" w:lineRule="atLeast"/>
              <w:jc w:val="center"/>
              <w:rPr>
                <w:color w:val="auto"/>
                <w:sz w:val="20"/>
                <w:vertAlign w:val="baseline"/>
              </w:rPr>
            </w:pPr>
            <w:r>
              <w:rPr>
                <w:rFonts w:hint="eastAsia"/>
                <w:b/>
                <w:bCs/>
                <w:color w:val="auto"/>
                <w:sz w:val="20"/>
                <w:vertAlign w:val="baseline"/>
                <w:lang w:val="en-US" w:eastAsia="zh-CN"/>
              </w:rPr>
              <w:t>蓝</w:t>
            </w:r>
            <w:r>
              <w:rPr>
                <w:rFonts w:hint="eastAsia"/>
                <w:b/>
                <w:bCs/>
                <w:color w:val="auto"/>
                <w:sz w:val="20"/>
                <w:vertAlign w:val="baseline"/>
              </w:rPr>
              <w:t>藻门</w:t>
            </w:r>
          </w:p>
        </w:tc>
        <w:tc>
          <w:tcPr>
            <w:tcW w:w="422" w:type="pct"/>
            <w:tcBorders>
              <w:top w:val="single" w:color="auto" w:sz="12" w:space="0"/>
            </w:tcBorders>
            <w:noWrap w:val="0"/>
            <w:vAlign w:val="center"/>
          </w:tcPr>
          <w:p>
            <w:pPr>
              <w:widowControl w:val="0"/>
              <w:spacing w:line="240" w:lineRule="atLeast"/>
              <w:jc w:val="center"/>
              <w:rPr>
                <w:color w:val="auto"/>
                <w:sz w:val="20"/>
                <w:vertAlign w:val="baseline"/>
                <w:lang w:val="en-US" w:eastAsia="zh-CN"/>
              </w:rPr>
            </w:pPr>
          </w:p>
        </w:tc>
        <w:tc>
          <w:tcPr>
            <w:tcW w:w="414"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412"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05"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04"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15"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382" w:type="pct"/>
            <w:gridSpan w:val="2"/>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eastAsia="宋体"/>
                <w:color w:val="auto"/>
                <w:sz w:val="20"/>
                <w:vertAlign w:val="baseline"/>
                <w:lang w:val="en-US" w:eastAsia="zh-CN"/>
              </w:rPr>
            </w:pPr>
            <w:r>
              <w:rPr>
                <w:rFonts w:hint="eastAsia" w:eastAsia="宋体"/>
                <w:color w:val="auto"/>
                <w:sz w:val="20"/>
                <w:vertAlign w:val="baseline"/>
                <w:lang w:val="en-US" w:eastAsia="zh-CN"/>
              </w:rPr>
              <w:t>小型色球藻</w:t>
            </w:r>
            <w:r>
              <w:rPr>
                <w:rFonts w:hint="eastAsia"/>
                <w:color w:val="auto"/>
                <w:sz w:val="20"/>
                <w:vertAlign w:val="baseline"/>
                <w:lang w:val="en-US" w:eastAsia="zh-CN"/>
              </w:rPr>
              <w:t xml:space="preserve"> </w:t>
            </w:r>
            <w:r>
              <w:rPr>
                <w:rFonts w:hint="eastAsia" w:eastAsia="宋体"/>
                <w:i/>
                <w:iCs/>
                <w:color w:val="auto"/>
                <w:sz w:val="20"/>
                <w:vertAlign w:val="baseline"/>
                <w:lang w:val="en-US" w:eastAsia="zh-CN"/>
              </w:rPr>
              <w:t>Chroococcus minor</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eastAsia" w:eastAsia="宋体"/>
                <w:color w:val="auto"/>
                <w:sz w:val="20"/>
                <w:vertAlign w:val="baseline"/>
                <w:lang w:val="en-US" w:eastAsia="zh-CN"/>
              </w:rPr>
              <w:t>微小色球藻</w:t>
            </w:r>
            <w:r>
              <w:rPr>
                <w:rFonts w:hint="eastAsia"/>
                <w:i/>
                <w:iCs/>
                <w:color w:val="auto"/>
                <w:sz w:val="20"/>
                <w:vertAlign w:val="baseline"/>
                <w:lang w:val="en-US" w:eastAsia="zh-CN"/>
              </w:rPr>
              <w:t xml:space="preserve"> Chroococcus minutus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5" w:type="pct"/>
            <w:noWrap w:val="0"/>
            <w:vAlign w:val="center"/>
          </w:tcPr>
          <w:p>
            <w:pPr>
              <w:widowControl w:val="0"/>
              <w:spacing w:line="240" w:lineRule="atLeast"/>
              <w:jc w:val="center"/>
              <w:rPr>
                <w:rFonts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eastAsia" w:eastAsia="宋体"/>
                <w:color w:val="auto"/>
                <w:sz w:val="20"/>
                <w:vertAlign w:val="baseline"/>
                <w:lang w:val="en-US" w:eastAsia="zh-CN"/>
              </w:rPr>
              <w:t>铜绿聚球藻</w:t>
            </w:r>
            <w:r>
              <w:rPr>
                <w:rFonts w:hint="eastAsia"/>
                <w:color w:val="auto"/>
                <w:sz w:val="20"/>
                <w:vertAlign w:val="baseline"/>
                <w:lang w:val="en-US" w:eastAsia="zh-CN"/>
              </w:rPr>
              <w:t xml:space="preserve"> </w:t>
            </w:r>
            <w:r>
              <w:rPr>
                <w:rFonts w:hint="eastAsia"/>
                <w:i/>
                <w:iCs/>
                <w:color w:val="auto"/>
                <w:sz w:val="20"/>
                <w:vertAlign w:val="baseline"/>
                <w:lang w:val="en-US" w:eastAsia="zh-CN"/>
              </w:rPr>
              <w:t>Synechococcus aeruginosus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针晶蓝纤维藻 </w:t>
            </w:r>
            <w:r>
              <w:rPr>
                <w:rFonts w:hint="eastAsia"/>
                <w:i/>
                <w:iCs/>
                <w:color w:val="auto"/>
                <w:sz w:val="20"/>
                <w:vertAlign w:val="baseline"/>
                <w:lang w:val="en-US" w:eastAsia="zh-CN"/>
              </w:rPr>
              <w:t>Dactylococcopsis rhaphidioides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银灰平裂藻 </w:t>
            </w:r>
            <w:r>
              <w:rPr>
                <w:rFonts w:hint="eastAsia"/>
                <w:i/>
                <w:iCs/>
                <w:color w:val="auto"/>
                <w:sz w:val="20"/>
                <w:vertAlign w:val="baseline"/>
                <w:lang w:val="en-US" w:eastAsia="zh-CN"/>
              </w:rPr>
              <w:t>Merismopedia glauca</w:t>
            </w:r>
          </w:p>
        </w:tc>
        <w:tc>
          <w:tcPr>
            <w:tcW w:w="422"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优美平裂藻 </w:t>
            </w:r>
            <w:r>
              <w:rPr>
                <w:rFonts w:hint="eastAsia"/>
                <w:i/>
                <w:iCs/>
                <w:color w:val="auto"/>
                <w:sz w:val="20"/>
                <w:vertAlign w:val="baseline"/>
                <w:lang w:val="en-US" w:eastAsia="zh-CN"/>
              </w:rPr>
              <w:t>Merismopedia elegans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不定腔球藻</w:t>
            </w:r>
            <w:r>
              <w:rPr>
                <w:rFonts w:hint="eastAsia"/>
                <w:i/>
                <w:iCs/>
                <w:color w:val="auto"/>
                <w:sz w:val="20"/>
                <w:vertAlign w:val="baseline"/>
                <w:lang w:val="en-US" w:eastAsia="zh-CN"/>
              </w:rPr>
              <w:t xml:space="preserve"> Coelosphaerium dubium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隐球藻 </w:t>
            </w:r>
            <w:r>
              <w:rPr>
                <w:rFonts w:hint="eastAsia"/>
                <w:i/>
                <w:iCs/>
                <w:color w:val="auto"/>
                <w:sz w:val="20"/>
                <w:vertAlign w:val="baseline"/>
                <w:lang w:val="en-US" w:eastAsia="zh-CN"/>
              </w:rPr>
              <w:t>Aphanocapsa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束球藻 </w:t>
            </w:r>
            <w:r>
              <w:rPr>
                <w:rFonts w:hint="eastAsia"/>
                <w:i/>
                <w:iCs/>
                <w:color w:val="auto"/>
                <w:sz w:val="20"/>
                <w:vertAlign w:val="baseline"/>
                <w:lang w:val="en-US" w:eastAsia="zh-CN"/>
              </w:rPr>
              <w:t>Gomphosphaeria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铜绿微囊藻 </w:t>
            </w:r>
            <w:r>
              <w:rPr>
                <w:rFonts w:hint="eastAsia"/>
                <w:i/>
                <w:iCs/>
                <w:color w:val="auto"/>
                <w:sz w:val="20"/>
                <w:vertAlign w:val="baseline"/>
                <w:lang w:val="en-US" w:eastAsia="zh-CN"/>
              </w:rPr>
              <w:t>Microcystis aeruginosa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水华微囊藻 </w:t>
            </w:r>
            <w:r>
              <w:rPr>
                <w:rFonts w:hint="eastAsia"/>
                <w:i/>
                <w:iCs/>
                <w:color w:val="auto"/>
                <w:sz w:val="20"/>
                <w:vertAlign w:val="baseline"/>
                <w:lang w:val="en-US" w:eastAsia="zh-CN"/>
              </w:rPr>
              <w:t>Microcystis flos-aquae</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具缘微囊藻 </w:t>
            </w:r>
            <w:r>
              <w:rPr>
                <w:rFonts w:hint="eastAsia"/>
                <w:i/>
                <w:iCs/>
                <w:color w:val="auto"/>
                <w:sz w:val="20"/>
                <w:vertAlign w:val="baseline"/>
                <w:lang w:val="en-US" w:eastAsia="zh-CN"/>
              </w:rPr>
              <w:t>Microcystis marginata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惠氏微囊藻 </w:t>
            </w:r>
            <w:r>
              <w:rPr>
                <w:rFonts w:hint="eastAsia"/>
                <w:i/>
                <w:iCs/>
                <w:color w:val="auto"/>
                <w:sz w:val="20"/>
                <w:vertAlign w:val="baseline"/>
                <w:lang w:val="en-US" w:eastAsia="zh-CN"/>
              </w:rPr>
              <w:t>Microcystis wesenbergii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颤藻 </w:t>
            </w:r>
            <w:r>
              <w:rPr>
                <w:rFonts w:hint="eastAsia"/>
                <w:i/>
                <w:iCs/>
                <w:color w:val="auto"/>
                <w:sz w:val="20"/>
                <w:vertAlign w:val="baseline"/>
                <w:lang w:val="en-US" w:eastAsia="zh-CN"/>
              </w:rPr>
              <w:t>Oscillatoria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小颤藻 </w:t>
            </w:r>
            <w:r>
              <w:rPr>
                <w:rFonts w:hint="eastAsia"/>
                <w:i/>
                <w:iCs/>
                <w:color w:val="auto"/>
                <w:sz w:val="20"/>
                <w:vertAlign w:val="baseline"/>
                <w:lang w:val="en-US" w:eastAsia="zh-CN"/>
              </w:rPr>
              <w:t>Oscillatoria tenuis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阿氏颤藻 </w:t>
            </w:r>
            <w:r>
              <w:rPr>
                <w:rFonts w:hint="eastAsia"/>
                <w:i/>
                <w:iCs/>
                <w:color w:val="auto"/>
                <w:sz w:val="20"/>
                <w:vertAlign w:val="baseline"/>
                <w:lang w:val="en-US" w:eastAsia="zh-CN"/>
              </w:rPr>
              <w:t>Oscillatoria agardhii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大螺旋藻 </w:t>
            </w:r>
            <w:r>
              <w:rPr>
                <w:rFonts w:hint="eastAsia"/>
                <w:i/>
                <w:iCs/>
                <w:color w:val="auto"/>
                <w:sz w:val="20"/>
                <w:vertAlign w:val="baseline"/>
                <w:lang w:val="en-US" w:eastAsia="zh-CN"/>
              </w:rPr>
              <w:t>Spirulina major</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钝顶螺旋藻 </w:t>
            </w:r>
            <w:r>
              <w:rPr>
                <w:rFonts w:hint="eastAsia"/>
                <w:i/>
                <w:iCs/>
                <w:color w:val="auto"/>
                <w:sz w:val="20"/>
                <w:vertAlign w:val="baseline"/>
                <w:lang w:val="en-US" w:eastAsia="zh-CN"/>
              </w:rPr>
              <w:t>Spirulina platensis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湖泊鞘丝藻 </w:t>
            </w:r>
            <w:r>
              <w:rPr>
                <w:rFonts w:hint="eastAsia"/>
                <w:i/>
                <w:iCs/>
                <w:color w:val="auto"/>
                <w:sz w:val="20"/>
                <w:vertAlign w:val="baseline"/>
                <w:lang w:val="en-US" w:eastAsia="zh-CN"/>
              </w:rPr>
              <w:t>Lyngbya limnetica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马氏鞘丝藻 </w:t>
            </w:r>
            <w:r>
              <w:rPr>
                <w:rFonts w:hint="eastAsia"/>
                <w:i/>
                <w:iCs/>
                <w:color w:val="auto"/>
                <w:sz w:val="20"/>
                <w:vertAlign w:val="baseline"/>
                <w:lang w:val="en-US" w:eastAsia="zh-CN"/>
              </w:rPr>
              <w:t>Lyngbya martensiana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席藻 </w:t>
            </w:r>
            <w:r>
              <w:rPr>
                <w:rFonts w:hint="eastAsia"/>
                <w:i/>
                <w:iCs/>
                <w:color w:val="auto"/>
                <w:sz w:val="20"/>
                <w:vertAlign w:val="baseline"/>
                <w:lang w:val="en-US" w:eastAsia="zh-CN"/>
              </w:rPr>
              <w:t>Phormidium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鱼腥藻 </w:t>
            </w:r>
            <w:r>
              <w:rPr>
                <w:rFonts w:hint="eastAsia"/>
                <w:i/>
                <w:iCs/>
                <w:color w:val="auto"/>
                <w:sz w:val="20"/>
                <w:vertAlign w:val="baseline"/>
                <w:lang w:val="en-US" w:eastAsia="zh-CN"/>
              </w:rPr>
              <w:t>Anabaena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i/>
                <w:iCs/>
                <w:color w:val="auto"/>
                <w:sz w:val="20"/>
                <w:vertAlign w:val="baseline"/>
                <w:lang w:val="en-US" w:eastAsia="zh-CN"/>
              </w:rPr>
              <w:t>螺旋鱼腥藻 Anabaena spiroides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拟鱼腥藻 </w:t>
            </w:r>
            <w:r>
              <w:rPr>
                <w:rFonts w:hint="eastAsia"/>
                <w:i/>
                <w:iCs/>
                <w:color w:val="auto"/>
                <w:sz w:val="20"/>
                <w:vertAlign w:val="baseline"/>
                <w:lang w:val="en-US" w:eastAsia="zh-CN"/>
              </w:rPr>
              <w:t>Anabaenopsis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弯形尖头藻 </w:t>
            </w:r>
            <w:r>
              <w:rPr>
                <w:rFonts w:hint="eastAsia"/>
                <w:i/>
                <w:iCs/>
                <w:color w:val="auto"/>
                <w:sz w:val="20"/>
                <w:vertAlign w:val="baseline"/>
                <w:lang w:val="en-US" w:eastAsia="zh-CN"/>
              </w:rPr>
              <w:t>Raphidiopsis curvata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b/>
                <w:bCs/>
                <w:color w:val="auto"/>
                <w:sz w:val="20"/>
                <w:vertAlign w:val="baseline"/>
                <w:lang w:val="en-US" w:eastAsia="zh-CN"/>
              </w:rPr>
              <w:t>绿藻门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空球藻 </w:t>
            </w:r>
            <w:r>
              <w:rPr>
                <w:rFonts w:hint="eastAsia"/>
                <w:i/>
                <w:iCs/>
                <w:color w:val="auto"/>
                <w:sz w:val="20"/>
                <w:vertAlign w:val="baseline"/>
                <w:lang w:val="en-US" w:eastAsia="zh-CN"/>
              </w:rPr>
              <w:t>Eudorina elegans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杂球藻 </w:t>
            </w:r>
            <w:r>
              <w:rPr>
                <w:rFonts w:hint="eastAsia"/>
                <w:i/>
                <w:iCs/>
                <w:color w:val="auto"/>
                <w:sz w:val="20"/>
                <w:vertAlign w:val="baseline"/>
                <w:lang w:val="en-US" w:eastAsia="zh-CN"/>
              </w:rPr>
              <w:t>Pleodorina californica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团藻 </w:t>
            </w:r>
            <w:r>
              <w:rPr>
                <w:rFonts w:hint="eastAsia"/>
                <w:i/>
                <w:iCs/>
                <w:color w:val="auto"/>
                <w:sz w:val="20"/>
                <w:vertAlign w:val="baseline"/>
                <w:lang w:val="en-US" w:eastAsia="zh-CN"/>
              </w:rPr>
              <w:t>Volvox</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四孢藻 </w:t>
            </w:r>
            <w:r>
              <w:rPr>
                <w:rFonts w:hint="eastAsia"/>
                <w:i/>
                <w:iCs/>
                <w:color w:val="auto"/>
                <w:sz w:val="20"/>
                <w:vertAlign w:val="baseline"/>
                <w:lang w:val="en-US" w:eastAsia="zh-CN"/>
              </w:rPr>
              <w:t>Tetraspora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球囊藻 </w:t>
            </w:r>
            <w:r>
              <w:rPr>
                <w:rFonts w:hint="eastAsia"/>
                <w:i/>
                <w:iCs/>
                <w:color w:val="auto"/>
                <w:sz w:val="20"/>
                <w:vertAlign w:val="baseline"/>
                <w:lang w:val="en-US" w:eastAsia="zh-CN"/>
              </w:rPr>
              <w:t>Sphaerocystis schroeteri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微芒藻 </w:t>
            </w:r>
            <w:r>
              <w:rPr>
                <w:rFonts w:hint="eastAsia"/>
                <w:i/>
                <w:iCs/>
                <w:color w:val="auto"/>
                <w:sz w:val="20"/>
                <w:vertAlign w:val="baseline"/>
                <w:lang w:val="en-US" w:eastAsia="zh-CN"/>
              </w:rPr>
              <w:t>Micractinium pusillum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小球藻 </w:t>
            </w:r>
            <w:r>
              <w:rPr>
                <w:rFonts w:hint="eastAsia"/>
                <w:i/>
                <w:iCs/>
                <w:color w:val="auto"/>
                <w:sz w:val="20"/>
                <w:vertAlign w:val="baseline"/>
                <w:lang w:val="en-US" w:eastAsia="zh-CN"/>
              </w:rPr>
              <w:t>Chlorella vulgaris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具尾四角藻 </w:t>
            </w:r>
            <w:r>
              <w:rPr>
                <w:rFonts w:hint="eastAsia"/>
                <w:i/>
                <w:iCs/>
                <w:color w:val="auto"/>
                <w:sz w:val="20"/>
                <w:vertAlign w:val="baseline"/>
                <w:lang w:val="en-US" w:eastAsia="zh-CN"/>
              </w:rPr>
              <w:t>Tetraedron caudatum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三角四角藻纤细变种 </w:t>
            </w:r>
            <w:r>
              <w:rPr>
                <w:rFonts w:hint="eastAsia"/>
                <w:i/>
                <w:iCs/>
                <w:color w:val="auto"/>
                <w:sz w:val="20"/>
                <w:vertAlign w:val="baseline"/>
                <w:lang w:val="en-US" w:eastAsia="zh-CN"/>
              </w:rPr>
              <w:t>Tetraedron trigonum var.gracile</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蹄形藻 </w:t>
            </w:r>
            <w:r>
              <w:rPr>
                <w:rFonts w:hint="eastAsia"/>
                <w:i/>
                <w:iCs/>
                <w:color w:val="auto"/>
                <w:sz w:val="20"/>
                <w:vertAlign w:val="baseline"/>
                <w:lang w:val="en-US" w:eastAsia="zh-CN"/>
              </w:rPr>
              <w:t>Kirchneriella lunaris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月牙藻 </w:t>
            </w:r>
            <w:r>
              <w:rPr>
                <w:rFonts w:hint="eastAsia"/>
                <w:i/>
                <w:iCs/>
                <w:color w:val="auto"/>
                <w:sz w:val="20"/>
                <w:vertAlign w:val="baseline"/>
                <w:lang w:val="en-US" w:eastAsia="zh-CN"/>
              </w:rPr>
              <w:t>Selenastrum bibraianum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拟菱形弓形藻 </w:t>
            </w:r>
            <w:r>
              <w:rPr>
                <w:rFonts w:hint="eastAsia"/>
                <w:i/>
                <w:iCs/>
                <w:color w:val="auto"/>
                <w:sz w:val="20"/>
                <w:vertAlign w:val="baseline"/>
                <w:lang w:val="en-US" w:eastAsia="zh-CN"/>
              </w:rPr>
              <w:t>Schroederia nitzschioides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针形纤维藻 </w:t>
            </w:r>
            <w:r>
              <w:rPr>
                <w:rFonts w:hint="eastAsia"/>
                <w:i/>
                <w:iCs/>
                <w:color w:val="auto"/>
                <w:sz w:val="20"/>
                <w:vertAlign w:val="baseline"/>
                <w:lang w:val="en-US" w:eastAsia="zh-CN"/>
              </w:rPr>
              <w:t>Ankistorodesmum acicularis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椭圆卵囊藻 </w:t>
            </w:r>
            <w:r>
              <w:rPr>
                <w:rFonts w:hint="eastAsia"/>
                <w:i/>
                <w:iCs/>
                <w:color w:val="auto"/>
                <w:sz w:val="20"/>
                <w:vertAlign w:val="baseline"/>
                <w:lang w:val="en-US" w:eastAsia="zh-CN"/>
              </w:rPr>
              <w:t>Oocystis elliptica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单生卵囊藻 </w:t>
            </w:r>
            <w:r>
              <w:rPr>
                <w:rFonts w:hint="eastAsia"/>
                <w:i/>
                <w:iCs/>
                <w:color w:val="auto"/>
                <w:sz w:val="20"/>
                <w:vertAlign w:val="baseline"/>
                <w:lang w:val="en-US" w:eastAsia="zh-CN"/>
              </w:rPr>
              <w:t>Oocystis solitaria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集星藻 </w:t>
            </w:r>
            <w:r>
              <w:rPr>
                <w:rFonts w:hint="eastAsia"/>
                <w:i/>
                <w:iCs/>
                <w:color w:val="auto"/>
                <w:sz w:val="20"/>
                <w:vertAlign w:val="baseline"/>
                <w:lang w:val="en-US" w:eastAsia="zh-CN"/>
              </w:rPr>
              <w:t>Actinastrum hantzschii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胶网藻 </w:t>
            </w:r>
            <w:r>
              <w:rPr>
                <w:rFonts w:hint="eastAsia"/>
                <w:i/>
                <w:iCs/>
                <w:color w:val="auto"/>
                <w:sz w:val="20"/>
                <w:vertAlign w:val="baseline"/>
                <w:lang w:val="en-US" w:eastAsia="zh-CN"/>
              </w:rPr>
              <w:t>Dictyosphaerium ehrenbergianum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单角盘星藻 </w:t>
            </w:r>
            <w:r>
              <w:rPr>
                <w:rFonts w:hint="eastAsia"/>
                <w:i/>
                <w:iCs/>
                <w:color w:val="auto"/>
                <w:sz w:val="20"/>
                <w:vertAlign w:val="baseline"/>
                <w:lang w:val="en-US" w:eastAsia="zh-CN"/>
              </w:rPr>
              <w:t>Pediastrum simplex</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单角盘星藻具孔变种 </w:t>
            </w:r>
            <w:r>
              <w:rPr>
                <w:rFonts w:hint="eastAsia"/>
                <w:i/>
                <w:iCs/>
                <w:color w:val="auto"/>
                <w:sz w:val="20"/>
                <w:vertAlign w:val="baseline"/>
                <w:lang w:val="en-US" w:eastAsia="zh-CN"/>
              </w:rPr>
              <w:t>Pediastrum simplex var.duodenarium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双射盘星藻 </w:t>
            </w:r>
            <w:r>
              <w:rPr>
                <w:rFonts w:hint="eastAsia"/>
                <w:i/>
                <w:iCs/>
                <w:color w:val="auto"/>
                <w:sz w:val="20"/>
                <w:vertAlign w:val="baseline"/>
                <w:lang w:val="en-US" w:eastAsia="zh-CN"/>
              </w:rPr>
              <w:t>Pediastrum biradiatum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二角盘星藻 </w:t>
            </w:r>
            <w:r>
              <w:rPr>
                <w:rFonts w:hint="eastAsia"/>
                <w:i/>
                <w:iCs/>
                <w:color w:val="auto"/>
                <w:sz w:val="20"/>
                <w:vertAlign w:val="baseline"/>
                <w:lang w:val="en-US" w:eastAsia="zh-CN"/>
              </w:rPr>
              <w:t>Pediastrum duplex</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二角盘星藻纤细变种 </w:t>
            </w:r>
            <w:r>
              <w:rPr>
                <w:rFonts w:hint="eastAsia"/>
                <w:i/>
                <w:iCs/>
                <w:color w:val="auto"/>
                <w:sz w:val="20"/>
                <w:vertAlign w:val="baseline"/>
                <w:lang w:val="en-US" w:eastAsia="zh-CN"/>
              </w:rPr>
              <w:t>Pediastrum duplex var.gracillimum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四尾栅藻 </w:t>
            </w:r>
            <w:r>
              <w:rPr>
                <w:rFonts w:hint="eastAsia"/>
                <w:i/>
                <w:iCs/>
                <w:color w:val="auto"/>
                <w:sz w:val="20"/>
                <w:vertAlign w:val="baseline"/>
                <w:lang w:val="en-US" w:eastAsia="zh-CN"/>
              </w:rPr>
              <w:t>Scenedesmus quadricauda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双对栅藻 </w:t>
            </w:r>
            <w:r>
              <w:rPr>
                <w:rFonts w:hint="eastAsia"/>
                <w:i/>
                <w:iCs/>
                <w:color w:val="auto"/>
                <w:sz w:val="20"/>
                <w:vertAlign w:val="baseline"/>
                <w:lang w:val="en-US" w:eastAsia="zh-CN"/>
              </w:rPr>
              <w:t>Scenedesmus bijuga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弯曲栅藻 </w:t>
            </w:r>
            <w:r>
              <w:rPr>
                <w:rFonts w:hint="eastAsia"/>
                <w:i/>
                <w:iCs/>
                <w:color w:val="auto"/>
                <w:sz w:val="20"/>
                <w:vertAlign w:val="baseline"/>
                <w:lang w:val="en-US" w:eastAsia="zh-CN"/>
              </w:rPr>
              <w:t>Scenedesmus arcuatus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齿牙栅藻 </w:t>
            </w:r>
            <w:r>
              <w:rPr>
                <w:rFonts w:hint="eastAsia"/>
                <w:i/>
                <w:iCs/>
                <w:color w:val="auto"/>
                <w:sz w:val="20"/>
                <w:vertAlign w:val="baseline"/>
                <w:lang w:val="en-US" w:eastAsia="zh-CN"/>
              </w:rPr>
              <w:t>Scenedesmus denticulatus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二形栅藻 </w:t>
            </w:r>
            <w:r>
              <w:rPr>
                <w:rFonts w:hint="eastAsia"/>
                <w:i/>
                <w:iCs/>
                <w:color w:val="auto"/>
                <w:sz w:val="20"/>
                <w:vertAlign w:val="baseline"/>
                <w:lang w:val="en-US" w:eastAsia="zh-CN"/>
              </w:rPr>
              <w:t>Scenedesmus dimorphus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双尾栅藻 </w:t>
            </w:r>
            <w:r>
              <w:rPr>
                <w:rFonts w:hint="eastAsia"/>
                <w:i/>
                <w:iCs/>
                <w:color w:val="auto"/>
                <w:sz w:val="20"/>
                <w:vertAlign w:val="baseline"/>
                <w:lang w:val="en-US" w:eastAsia="zh-CN"/>
              </w:rPr>
              <w:t>Scenedesmus bicaudatus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四足十字藻 </w:t>
            </w:r>
            <w:r>
              <w:rPr>
                <w:rFonts w:hint="eastAsia"/>
                <w:i/>
                <w:iCs/>
                <w:color w:val="auto"/>
                <w:sz w:val="20"/>
                <w:vertAlign w:val="baseline"/>
                <w:lang w:val="en-US" w:eastAsia="zh-CN"/>
              </w:rPr>
              <w:t>Crucigenia tetrapedia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华美十字藻 </w:t>
            </w:r>
            <w:r>
              <w:rPr>
                <w:rFonts w:hint="eastAsia"/>
                <w:i/>
                <w:iCs/>
                <w:color w:val="auto"/>
                <w:sz w:val="20"/>
                <w:vertAlign w:val="baseline"/>
                <w:lang w:val="en-US" w:eastAsia="zh-CN"/>
              </w:rPr>
              <w:t>Crucigenia lauterbornii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葡萄韦氏藻 </w:t>
            </w:r>
            <w:r>
              <w:rPr>
                <w:rFonts w:hint="eastAsia"/>
                <w:i/>
                <w:iCs/>
                <w:color w:val="auto"/>
                <w:sz w:val="20"/>
                <w:vertAlign w:val="baseline"/>
                <w:lang w:val="en-US" w:eastAsia="zh-CN"/>
              </w:rPr>
              <w:t>Westella botryoides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异刺四星藻 </w:t>
            </w:r>
            <w:r>
              <w:rPr>
                <w:rFonts w:hint="eastAsia"/>
                <w:i/>
                <w:iCs/>
                <w:color w:val="auto"/>
                <w:sz w:val="20"/>
                <w:vertAlign w:val="baseline"/>
                <w:lang w:val="en-US" w:eastAsia="zh-CN"/>
              </w:rPr>
              <w:t>Tetrastrum heteracanthum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空星藻 </w:t>
            </w:r>
            <w:r>
              <w:rPr>
                <w:rFonts w:hint="eastAsia"/>
                <w:i/>
                <w:iCs/>
                <w:color w:val="auto"/>
                <w:sz w:val="20"/>
                <w:vertAlign w:val="baseline"/>
                <w:lang w:val="en-US" w:eastAsia="zh-CN"/>
              </w:rPr>
              <w:t>Coelastrum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环丝藻 </w:t>
            </w:r>
            <w:r>
              <w:rPr>
                <w:rFonts w:hint="eastAsia"/>
                <w:i/>
                <w:iCs/>
                <w:color w:val="auto"/>
                <w:sz w:val="20"/>
                <w:vertAlign w:val="baseline"/>
                <w:lang w:val="en-US" w:eastAsia="zh-CN"/>
              </w:rPr>
              <w:t>Ulothrix zonata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新月藻 </w:t>
            </w:r>
            <w:r>
              <w:rPr>
                <w:rFonts w:hint="eastAsia"/>
                <w:i/>
                <w:iCs/>
                <w:color w:val="auto"/>
                <w:sz w:val="20"/>
                <w:vertAlign w:val="baseline"/>
                <w:lang w:val="en-US" w:eastAsia="zh-CN"/>
              </w:rPr>
              <w:t>Closterium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埃伦新月藻 </w:t>
            </w:r>
            <w:r>
              <w:rPr>
                <w:rFonts w:hint="eastAsia"/>
                <w:i/>
                <w:iCs/>
                <w:color w:val="auto"/>
                <w:sz w:val="20"/>
                <w:vertAlign w:val="baseline"/>
                <w:lang w:val="en-US" w:eastAsia="zh-CN"/>
              </w:rPr>
              <w:t>Closterium ehrenbergii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纤细新月藻 </w:t>
            </w:r>
            <w:r>
              <w:rPr>
                <w:rFonts w:hint="eastAsia"/>
                <w:i/>
                <w:iCs/>
                <w:color w:val="auto"/>
                <w:sz w:val="20"/>
                <w:vertAlign w:val="baseline"/>
                <w:lang w:val="en-US" w:eastAsia="zh-CN"/>
              </w:rPr>
              <w:t>Closterium gracile</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库津新月藻 </w:t>
            </w:r>
            <w:r>
              <w:rPr>
                <w:rFonts w:hint="eastAsia"/>
                <w:i/>
                <w:iCs/>
                <w:color w:val="auto"/>
                <w:sz w:val="20"/>
                <w:vertAlign w:val="baseline"/>
                <w:lang w:val="en-US" w:eastAsia="zh-CN"/>
              </w:rPr>
              <w:t>Closterium kuetzingii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角星鼓藻 </w:t>
            </w:r>
            <w:r>
              <w:rPr>
                <w:rFonts w:hint="eastAsia"/>
                <w:i/>
                <w:iCs/>
                <w:color w:val="auto"/>
                <w:sz w:val="20"/>
                <w:vertAlign w:val="baseline"/>
                <w:lang w:val="en-US" w:eastAsia="zh-CN"/>
              </w:rPr>
              <w:t>Staurastrum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纤细角星鼓藻 </w:t>
            </w:r>
            <w:r>
              <w:rPr>
                <w:rFonts w:hint="eastAsia"/>
                <w:i/>
                <w:iCs/>
                <w:color w:val="auto"/>
                <w:sz w:val="20"/>
                <w:vertAlign w:val="baseline"/>
                <w:lang w:val="en-US" w:eastAsia="zh-CN"/>
              </w:rPr>
              <w:t>Staurastrum gracile</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鼓藻 </w:t>
            </w:r>
            <w:r>
              <w:rPr>
                <w:rFonts w:hint="eastAsia"/>
                <w:i/>
                <w:iCs/>
                <w:color w:val="auto"/>
                <w:sz w:val="20"/>
                <w:vertAlign w:val="baseline"/>
                <w:lang w:val="en-US" w:eastAsia="zh-CN"/>
              </w:rPr>
              <w:t>Cosmarium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四棘鼓藻 </w:t>
            </w:r>
            <w:r>
              <w:rPr>
                <w:rFonts w:hint="eastAsia"/>
                <w:i/>
                <w:iCs/>
                <w:color w:val="auto"/>
                <w:sz w:val="20"/>
                <w:vertAlign w:val="baseline"/>
                <w:lang w:val="en-US" w:eastAsia="zh-CN"/>
              </w:rPr>
              <w:t>Arthrodesmus convergens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水绵 </w:t>
            </w:r>
            <w:r>
              <w:rPr>
                <w:rFonts w:hint="eastAsia"/>
                <w:i/>
                <w:iCs/>
                <w:color w:val="auto"/>
                <w:sz w:val="20"/>
                <w:vertAlign w:val="baseline"/>
                <w:lang w:val="en-US" w:eastAsia="zh-CN"/>
              </w:rPr>
              <w:t>Spirogyra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b/>
                <w:bCs/>
                <w:color w:val="auto"/>
                <w:sz w:val="20"/>
                <w:vertAlign w:val="baseline"/>
                <w:lang w:val="en-US" w:eastAsia="zh-CN"/>
              </w:rPr>
              <w:t>硅藻门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颗粒直链藻 </w:t>
            </w:r>
            <w:r>
              <w:rPr>
                <w:rFonts w:hint="eastAsia"/>
                <w:i/>
                <w:iCs/>
                <w:color w:val="auto"/>
                <w:sz w:val="20"/>
                <w:vertAlign w:val="baseline"/>
                <w:lang w:val="en-US" w:eastAsia="zh-CN"/>
              </w:rPr>
              <w:t>Melosira granulata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螺旋颗粒直链藻 </w:t>
            </w:r>
            <w:r>
              <w:rPr>
                <w:rFonts w:hint="eastAsia"/>
                <w:i/>
                <w:iCs/>
                <w:color w:val="auto"/>
                <w:sz w:val="20"/>
                <w:vertAlign w:val="baseline"/>
                <w:lang w:val="en-US" w:eastAsia="zh-CN"/>
              </w:rPr>
              <w:t>Melosira granulata var.angustissima f.spiralis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颗粒直链藻极狭变种 </w:t>
            </w:r>
            <w:r>
              <w:rPr>
                <w:rFonts w:hint="eastAsia"/>
                <w:i/>
                <w:iCs/>
                <w:color w:val="auto"/>
                <w:sz w:val="20"/>
                <w:vertAlign w:val="baseline"/>
                <w:lang w:val="en-US" w:eastAsia="zh-CN"/>
              </w:rPr>
              <w:t>Melosira granulata var.angustissima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变异直链藻 </w:t>
            </w:r>
            <w:r>
              <w:rPr>
                <w:rFonts w:hint="eastAsia"/>
                <w:i/>
                <w:iCs/>
                <w:color w:val="auto"/>
                <w:sz w:val="20"/>
                <w:vertAlign w:val="baseline"/>
                <w:lang w:val="en-US" w:eastAsia="zh-CN"/>
              </w:rPr>
              <w:t>Melosira varians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岛直链藻 </w:t>
            </w:r>
            <w:r>
              <w:rPr>
                <w:rFonts w:hint="eastAsia"/>
                <w:i/>
                <w:iCs/>
                <w:color w:val="auto"/>
                <w:sz w:val="20"/>
                <w:vertAlign w:val="baseline"/>
                <w:lang w:val="en-US" w:eastAsia="zh-CN"/>
              </w:rPr>
              <w:t>Melosira islandica Mull</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梅尼小环藻 </w:t>
            </w:r>
            <w:r>
              <w:rPr>
                <w:rFonts w:hint="eastAsia"/>
                <w:i/>
                <w:iCs/>
                <w:color w:val="auto"/>
                <w:sz w:val="20"/>
                <w:vertAlign w:val="baseline"/>
                <w:lang w:val="en-US" w:eastAsia="zh-CN"/>
              </w:rPr>
              <w:t>Cyclotella meneghiniana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星形冠盘藻 </w:t>
            </w:r>
            <w:r>
              <w:rPr>
                <w:rFonts w:hint="eastAsia"/>
                <w:i/>
                <w:iCs/>
                <w:color w:val="auto"/>
                <w:sz w:val="20"/>
                <w:vertAlign w:val="baseline"/>
                <w:lang w:val="en-US" w:eastAsia="zh-CN"/>
              </w:rPr>
              <w:t>Stephanodiscus astraea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长刺根管藻 </w:t>
            </w:r>
            <w:r>
              <w:rPr>
                <w:rFonts w:hint="eastAsia"/>
                <w:i/>
                <w:iCs/>
                <w:color w:val="auto"/>
                <w:sz w:val="20"/>
                <w:vertAlign w:val="baseline"/>
                <w:lang w:val="en-US" w:eastAsia="zh-CN"/>
              </w:rPr>
              <w:t>Rhizosolenia longiseta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星杆藻 </w:t>
            </w:r>
            <w:r>
              <w:rPr>
                <w:rFonts w:hint="eastAsia"/>
                <w:i/>
                <w:iCs/>
                <w:color w:val="auto"/>
                <w:sz w:val="20"/>
                <w:vertAlign w:val="baseline"/>
                <w:lang w:val="en-US" w:eastAsia="zh-CN"/>
              </w:rPr>
              <w:t>Asterionella formosa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尖针杆藻 </w:t>
            </w:r>
            <w:r>
              <w:rPr>
                <w:rFonts w:hint="eastAsia"/>
                <w:i/>
                <w:iCs/>
                <w:color w:val="auto"/>
                <w:sz w:val="20"/>
                <w:vertAlign w:val="baseline"/>
                <w:lang w:val="en-US" w:eastAsia="zh-CN"/>
              </w:rPr>
              <w:t>Synedra acus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肘状针杆藻 </w:t>
            </w:r>
            <w:r>
              <w:rPr>
                <w:rFonts w:hint="eastAsia"/>
                <w:i/>
                <w:iCs/>
                <w:color w:val="auto"/>
                <w:sz w:val="20"/>
                <w:vertAlign w:val="baseline"/>
                <w:lang w:val="en-US" w:eastAsia="zh-CN"/>
              </w:rPr>
              <w:t>Synedra ulna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钝脆杆藻 </w:t>
            </w:r>
            <w:r>
              <w:rPr>
                <w:rFonts w:hint="eastAsia"/>
                <w:i/>
                <w:iCs/>
                <w:color w:val="auto"/>
                <w:sz w:val="20"/>
                <w:vertAlign w:val="baseline"/>
                <w:lang w:val="en-US" w:eastAsia="zh-CN"/>
              </w:rPr>
              <w:t>Fragilaria capucina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等片藻 </w:t>
            </w:r>
            <w:r>
              <w:rPr>
                <w:rFonts w:hint="eastAsia"/>
                <w:i/>
                <w:iCs/>
                <w:color w:val="auto"/>
                <w:sz w:val="20"/>
                <w:vertAlign w:val="baseline"/>
                <w:lang w:val="en-US" w:eastAsia="zh-CN"/>
              </w:rPr>
              <w:t>Diatoma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楔形藻 </w:t>
            </w:r>
            <w:r>
              <w:rPr>
                <w:rFonts w:hint="eastAsia"/>
                <w:i/>
                <w:iCs/>
                <w:color w:val="auto"/>
                <w:sz w:val="20"/>
                <w:vertAlign w:val="baseline"/>
                <w:lang w:val="en-US" w:eastAsia="zh-CN"/>
              </w:rPr>
              <w:t>Licmophora sp.</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蓖形短缝藻 </w:t>
            </w:r>
            <w:r>
              <w:rPr>
                <w:rFonts w:hint="eastAsia"/>
                <w:i/>
                <w:iCs/>
                <w:color w:val="auto"/>
                <w:sz w:val="20"/>
                <w:vertAlign w:val="baseline"/>
                <w:lang w:val="en-US" w:eastAsia="zh-CN"/>
              </w:rPr>
              <w:t>Eunotia pectinnalis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曲壳藻 </w:t>
            </w:r>
            <w:r>
              <w:rPr>
                <w:rFonts w:hint="eastAsia"/>
                <w:i/>
                <w:iCs/>
                <w:color w:val="auto"/>
                <w:sz w:val="20"/>
                <w:vertAlign w:val="baseline"/>
                <w:lang w:val="en-US" w:eastAsia="zh-CN"/>
              </w:rPr>
              <w:t>Achnanthes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舟形藻 </w:t>
            </w:r>
            <w:r>
              <w:rPr>
                <w:rFonts w:hint="eastAsia"/>
                <w:i/>
                <w:iCs/>
                <w:color w:val="auto"/>
                <w:sz w:val="20"/>
                <w:vertAlign w:val="baseline"/>
                <w:lang w:val="en-US" w:eastAsia="zh-CN"/>
              </w:rPr>
              <w:t>Navicula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羽纹藻 </w:t>
            </w:r>
            <w:r>
              <w:rPr>
                <w:rFonts w:hint="eastAsia"/>
                <w:i/>
                <w:iCs/>
                <w:color w:val="auto"/>
                <w:sz w:val="20"/>
                <w:vertAlign w:val="baseline"/>
                <w:lang w:val="en-US" w:eastAsia="zh-CN"/>
              </w:rPr>
              <w:t>Pinnularia sp.</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布纹藻 </w:t>
            </w:r>
            <w:r>
              <w:rPr>
                <w:rFonts w:hint="eastAsia"/>
                <w:i/>
                <w:iCs/>
                <w:color w:val="auto"/>
                <w:sz w:val="20"/>
                <w:vertAlign w:val="baseline"/>
                <w:lang w:val="en-US" w:eastAsia="zh-CN"/>
              </w:rPr>
              <w:t>Gyrosigma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双头辐节藻 </w:t>
            </w:r>
            <w:r>
              <w:rPr>
                <w:rFonts w:hint="eastAsia"/>
                <w:i/>
                <w:iCs/>
                <w:color w:val="auto"/>
                <w:sz w:val="20"/>
                <w:vertAlign w:val="baseline"/>
                <w:lang w:val="en-US" w:eastAsia="zh-CN"/>
              </w:rPr>
              <w:t>Stauroneis anceps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桥弯藻 </w:t>
            </w:r>
            <w:r>
              <w:rPr>
                <w:rFonts w:hint="eastAsia"/>
                <w:i/>
                <w:iCs/>
                <w:color w:val="auto"/>
                <w:sz w:val="20"/>
                <w:vertAlign w:val="baseline"/>
                <w:lang w:val="en-US" w:eastAsia="zh-CN"/>
              </w:rPr>
              <w:t>Cymbella sp.</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异极藻 </w:t>
            </w:r>
            <w:r>
              <w:rPr>
                <w:rFonts w:hint="eastAsia"/>
                <w:i/>
                <w:iCs/>
                <w:color w:val="auto"/>
                <w:sz w:val="20"/>
                <w:vertAlign w:val="baseline"/>
                <w:lang w:val="en-US" w:eastAsia="zh-CN"/>
              </w:rPr>
              <w:t>Gomphonema sp.</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菱形藻 </w:t>
            </w:r>
            <w:r>
              <w:rPr>
                <w:rFonts w:hint="eastAsia"/>
                <w:i/>
                <w:iCs/>
                <w:color w:val="auto"/>
                <w:sz w:val="20"/>
                <w:vertAlign w:val="baseline"/>
                <w:lang w:val="en-US" w:eastAsia="zh-CN"/>
              </w:rPr>
              <w:t>Nitzschia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线性菱形藻</w:t>
            </w:r>
            <w:r>
              <w:rPr>
                <w:rFonts w:hint="eastAsia"/>
                <w:i/>
                <w:iCs/>
                <w:color w:val="auto"/>
                <w:sz w:val="20"/>
                <w:vertAlign w:val="baseline"/>
                <w:lang w:val="en-US" w:eastAsia="zh-CN"/>
              </w:rPr>
              <w:t xml:space="preserve"> Nitzschia linearis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谷皮菱形藻 </w:t>
            </w:r>
            <w:r>
              <w:rPr>
                <w:rFonts w:hint="eastAsia"/>
                <w:i/>
                <w:iCs/>
                <w:color w:val="auto"/>
                <w:sz w:val="20"/>
                <w:vertAlign w:val="baseline"/>
                <w:lang w:val="en-US" w:eastAsia="zh-CN"/>
              </w:rPr>
              <w:t>Nitzschia amphibia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反曲菱形藻 </w:t>
            </w:r>
            <w:r>
              <w:rPr>
                <w:rFonts w:hint="eastAsia"/>
                <w:i/>
                <w:iCs/>
                <w:color w:val="auto"/>
                <w:sz w:val="20"/>
                <w:vertAlign w:val="baseline"/>
                <w:lang w:val="en-US" w:eastAsia="zh-CN"/>
              </w:rPr>
              <w:t>Nitzschia reversa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双菱藻 </w:t>
            </w:r>
            <w:r>
              <w:rPr>
                <w:rFonts w:hint="eastAsia"/>
                <w:i/>
                <w:iCs/>
                <w:color w:val="auto"/>
                <w:sz w:val="20"/>
                <w:vertAlign w:val="baseline"/>
                <w:lang w:val="en-US" w:eastAsia="zh-CN"/>
              </w:rPr>
              <w:t>Surirella sp.</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线性双菱藻 </w:t>
            </w:r>
            <w:r>
              <w:rPr>
                <w:rFonts w:hint="eastAsia"/>
                <w:i/>
                <w:iCs/>
                <w:color w:val="auto"/>
                <w:sz w:val="20"/>
                <w:vertAlign w:val="baseline"/>
                <w:lang w:val="en-US" w:eastAsia="zh-CN"/>
              </w:rPr>
              <w:t>Surirella linearis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b/>
                <w:bCs/>
                <w:color w:val="auto"/>
                <w:sz w:val="20"/>
                <w:vertAlign w:val="baseline"/>
                <w:lang w:val="en-US" w:eastAsia="zh-CN"/>
              </w:rPr>
              <w:t>甲藻门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裸甲藻 </w:t>
            </w:r>
            <w:r>
              <w:rPr>
                <w:rFonts w:hint="eastAsia"/>
                <w:i/>
                <w:iCs/>
                <w:color w:val="auto"/>
                <w:sz w:val="20"/>
                <w:vertAlign w:val="baseline"/>
                <w:lang w:val="en-US" w:eastAsia="zh-CN"/>
              </w:rPr>
              <w:t>Gymnodinium aeruginosum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薄甲藻 </w:t>
            </w:r>
            <w:r>
              <w:rPr>
                <w:rFonts w:hint="eastAsia"/>
                <w:i/>
                <w:iCs/>
                <w:color w:val="auto"/>
                <w:sz w:val="20"/>
                <w:vertAlign w:val="baseline"/>
                <w:lang w:val="en-US" w:eastAsia="zh-CN"/>
              </w:rPr>
              <w:t>Glenodinium pulvisculus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二角多甲藻 </w:t>
            </w:r>
            <w:r>
              <w:rPr>
                <w:rFonts w:hint="eastAsia"/>
                <w:i/>
                <w:iCs/>
                <w:color w:val="auto"/>
                <w:sz w:val="20"/>
                <w:vertAlign w:val="baseline"/>
                <w:lang w:val="en-US" w:eastAsia="zh-CN"/>
              </w:rPr>
              <w:t>Peridinium bipes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飞燕角甲藻 </w:t>
            </w:r>
            <w:r>
              <w:rPr>
                <w:rFonts w:hint="eastAsia"/>
                <w:i/>
                <w:iCs/>
                <w:color w:val="auto"/>
                <w:sz w:val="20"/>
                <w:vertAlign w:val="baseline"/>
                <w:lang w:val="en-US" w:eastAsia="zh-CN"/>
              </w:rPr>
              <w:t>Ceratium hirundinella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b/>
                <w:bCs/>
                <w:color w:val="auto"/>
                <w:sz w:val="20"/>
                <w:vertAlign w:val="baseline"/>
                <w:lang w:val="en-US" w:eastAsia="zh-CN"/>
              </w:rPr>
              <w:t>隐藻门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具尾蓝隐藻 </w:t>
            </w:r>
            <w:r>
              <w:rPr>
                <w:rFonts w:hint="eastAsia"/>
                <w:i/>
                <w:iCs/>
                <w:color w:val="auto"/>
                <w:sz w:val="20"/>
                <w:vertAlign w:val="baseline"/>
                <w:lang w:val="en-US" w:eastAsia="zh-CN"/>
              </w:rPr>
              <w:t>Chroomonas caudata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卵形隐藻 </w:t>
            </w:r>
            <w:r>
              <w:rPr>
                <w:rFonts w:hint="eastAsia"/>
                <w:i/>
                <w:iCs/>
                <w:color w:val="auto"/>
                <w:sz w:val="20"/>
                <w:vertAlign w:val="baseline"/>
                <w:lang w:val="en-US" w:eastAsia="zh-CN"/>
              </w:rPr>
              <w:t>Cryptomonas ovata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b/>
                <w:bCs/>
                <w:color w:val="auto"/>
                <w:sz w:val="20"/>
                <w:vertAlign w:val="baseline"/>
                <w:lang w:val="en-US" w:eastAsia="zh-CN"/>
              </w:rPr>
              <w:t>裸藻门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尖尾裸藻 </w:t>
            </w:r>
            <w:r>
              <w:rPr>
                <w:rFonts w:hint="eastAsia"/>
                <w:i/>
                <w:iCs/>
                <w:color w:val="auto"/>
                <w:sz w:val="20"/>
                <w:vertAlign w:val="baseline"/>
                <w:lang w:val="en-US" w:eastAsia="zh-CN"/>
              </w:rPr>
              <w:t>Euglena oxyuris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多形裸藻 </w:t>
            </w:r>
            <w:r>
              <w:rPr>
                <w:rFonts w:hint="eastAsia"/>
                <w:i/>
                <w:iCs/>
                <w:color w:val="auto"/>
                <w:sz w:val="20"/>
                <w:vertAlign w:val="baseline"/>
                <w:lang w:val="en-US" w:eastAsia="zh-CN"/>
              </w:rPr>
              <w:t>Euglena polymorpha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尾裸藻 </w:t>
            </w:r>
            <w:r>
              <w:rPr>
                <w:rFonts w:hint="eastAsia"/>
                <w:i/>
                <w:iCs/>
                <w:color w:val="auto"/>
                <w:sz w:val="20"/>
                <w:vertAlign w:val="baseline"/>
                <w:lang w:val="en-US" w:eastAsia="zh-CN"/>
              </w:rPr>
              <w:t>Euglena caudata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钩状扁裸藻 </w:t>
            </w:r>
            <w:r>
              <w:rPr>
                <w:rFonts w:hint="eastAsia"/>
                <w:i/>
                <w:iCs/>
                <w:color w:val="auto"/>
                <w:sz w:val="20"/>
                <w:vertAlign w:val="baseline"/>
                <w:lang w:val="en-US" w:eastAsia="zh-CN"/>
              </w:rPr>
              <w:t>Phacus hamatus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长尾扁裸藻 </w:t>
            </w:r>
            <w:r>
              <w:rPr>
                <w:rFonts w:hint="eastAsia"/>
                <w:i/>
                <w:iCs/>
                <w:color w:val="auto"/>
                <w:sz w:val="20"/>
                <w:vertAlign w:val="baseline"/>
                <w:lang w:val="en-US" w:eastAsia="zh-CN"/>
              </w:rPr>
              <w:t>Phacus longicauda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b/>
                <w:bCs/>
                <w:color w:val="auto"/>
                <w:sz w:val="20"/>
                <w:vertAlign w:val="baseline"/>
                <w:lang w:val="en-US" w:eastAsia="zh-CN"/>
              </w:rPr>
              <w:t>金藻门</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锥囊藻 </w:t>
            </w:r>
            <w:r>
              <w:rPr>
                <w:rFonts w:hint="eastAsia"/>
                <w:i/>
                <w:iCs/>
                <w:color w:val="auto"/>
                <w:sz w:val="20"/>
                <w:vertAlign w:val="baseline"/>
                <w:lang w:val="en-US" w:eastAsia="zh-CN"/>
              </w:rPr>
              <w:t>Dinobryon sp.</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bl>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密度与生物量</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经过鉴定、计数，浮游植物密度范围为64.86×10</w:t>
      </w:r>
      <w:r>
        <w:rPr>
          <w:rFonts w:hint="eastAsia" w:eastAsia="仿宋_GB2312"/>
          <w:color w:val="auto"/>
          <w:sz w:val="24"/>
          <w:vertAlign w:val="superscript"/>
        </w:rPr>
        <w:t>4</w:t>
      </w:r>
      <w:r>
        <w:rPr>
          <w:rFonts w:hint="eastAsia" w:eastAsia="仿宋_GB2312"/>
          <w:color w:val="auto"/>
          <w:sz w:val="24"/>
        </w:rPr>
        <w:t>~85×10</w:t>
      </w:r>
      <w:r>
        <w:rPr>
          <w:rFonts w:hint="eastAsia" w:eastAsia="仿宋_GB2312"/>
          <w:color w:val="auto"/>
          <w:sz w:val="24"/>
          <w:vertAlign w:val="superscript"/>
        </w:rPr>
        <w:t>4</w:t>
      </w:r>
      <w:r>
        <w:rPr>
          <w:rFonts w:hint="eastAsia" w:eastAsia="仿宋_GB2312"/>
          <w:color w:val="auto"/>
          <w:sz w:val="24"/>
        </w:rPr>
        <w:t>cells/L，平均密度为71.92×10</w:t>
      </w:r>
      <w:r>
        <w:rPr>
          <w:rFonts w:hint="eastAsia" w:eastAsia="仿宋_GB2312"/>
          <w:color w:val="auto"/>
          <w:sz w:val="24"/>
          <w:vertAlign w:val="superscript"/>
        </w:rPr>
        <w:t>4</w:t>
      </w:r>
      <w:r>
        <w:rPr>
          <w:rFonts w:hint="eastAsia" w:eastAsia="仿宋_GB2312"/>
          <w:color w:val="auto"/>
          <w:sz w:val="24"/>
        </w:rPr>
        <w:t>cells/L。其中3#断面浮游植物密度最大为85×10</w:t>
      </w:r>
      <w:r>
        <w:rPr>
          <w:rFonts w:hint="eastAsia" w:eastAsia="仿宋_GB2312"/>
          <w:color w:val="auto"/>
          <w:sz w:val="24"/>
          <w:vertAlign w:val="superscript"/>
        </w:rPr>
        <w:t>4</w:t>
      </w:r>
      <w:r>
        <w:rPr>
          <w:rFonts w:hint="eastAsia" w:eastAsia="仿宋_GB2312"/>
          <w:color w:val="auto"/>
          <w:sz w:val="24"/>
        </w:rPr>
        <w:t>cells/L，6#断面浮游植物密度最小为64.86×10</w:t>
      </w:r>
      <w:r>
        <w:rPr>
          <w:rFonts w:hint="eastAsia" w:eastAsia="仿宋_GB2312"/>
          <w:color w:val="auto"/>
          <w:sz w:val="24"/>
          <w:vertAlign w:val="superscript"/>
        </w:rPr>
        <w:t>4</w:t>
      </w:r>
      <w:r>
        <w:rPr>
          <w:rFonts w:hint="eastAsia" w:eastAsia="仿宋_GB2312"/>
          <w:color w:val="auto"/>
          <w:sz w:val="24"/>
        </w:rPr>
        <w:t>cells/L。</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浮游植物的生物量范围为0.6926~1.0902mg/L，平均生物量为0.8964mg/L。其中7#断面浮游植物生物量最大为1.0902mg/L，2#断面浮游植物生物量最小为0.6926mg/L。</w:t>
      </w:r>
    </w:p>
    <w:p>
      <w:pPr>
        <w:widowControl w:val="0"/>
        <w:spacing w:line="360" w:lineRule="auto"/>
        <w:jc w:val="center"/>
        <w:rPr>
          <w:rFonts w:hint="eastAsia" w:eastAsia="仿宋_GB2312"/>
          <w:color w:val="auto"/>
          <w:sz w:val="24"/>
        </w:rPr>
      </w:pPr>
      <w:r>
        <w:rPr>
          <w:color w:val="auto"/>
        </w:rPr>
        <w:drawing>
          <wp:inline distT="0" distB="0" distL="114300" distR="114300">
            <wp:extent cx="4264025" cy="2194560"/>
            <wp:effectExtent l="0" t="0" r="3175" b="15240"/>
            <wp:docPr id="4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8"/>
                    <pic:cNvPicPr>
                      <a:picLocks noChangeAspect="1"/>
                    </pic:cNvPicPr>
                  </pic:nvPicPr>
                  <pic:blipFill>
                    <a:blip r:embed="rId65"/>
                    <a:stretch>
                      <a:fillRect/>
                    </a:stretch>
                  </pic:blipFill>
                  <pic:spPr>
                    <a:xfrm>
                      <a:off x="0" y="0"/>
                      <a:ext cx="4264025" cy="219456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4.5-2</w:t>
      </w:r>
      <w:r>
        <w:rPr>
          <w:rFonts w:eastAsia="黑体"/>
          <w:b/>
          <w:color w:val="auto"/>
          <w:szCs w:val="21"/>
          <w:lang w:val="zh-CN"/>
        </w:rPr>
        <w:t xml:space="preserve">  </w:t>
      </w:r>
      <w:r>
        <w:rPr>
          <w:rFonts w:hint="eastAsia" w:eastAsia="黑体"/>
          <w:b/>
          <w:color w:val="auto"/>
          <w:szCs w:val="21"/>
          <w:lang w:val="en-US" w:eastAsia="zh-CN"/>
        </w:rPr>
        <w:t>浮游植物密度</w:t>
      </w:r>
    </w:p>
    <w:p>
      <w:pPr>
        <w:widowControl w:val="0"/>
        <w:spacing w:line="360" w:lineRule="auto"/>
        <w:jc w:val="center"/>
        <w:rPr>
          <w:rFonts w:hint="eastAsia" w:eastAsia="仿宋_GB2312"/>
          <w:color w:val="auto"/>
          <w:sz w:val="24"/>
        </w:rPr>
      </w:pPr>
      <w:r>
        <w:rPr>
          <w:color w:val="auto"/>
        </w:rPr>
        <w:drawing>
          <wp:inline distT="0" distB="0" distL="114300" distR="114300">
            <wp:extent cx="4224020" cy="2157730"/>
            <wp:effectExtent l="0" t="0" r="5080" b="13970"/>
            <wp:docPr id="5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9"/>
                    <pic:cNvPicPr>
                      <a:picLocks noChangeAspect="1"/>
                    </pic:cNvPicPr>
                  </pic:nvPicPr>
                  <pic:blipFill>
                    <a:blip r:embed="rId66"/>
                    <a:stretch>
                      <a:fillRect/>
                    </a:stretch>
                  </pic:blipFill>
                  <pic:spPr>
                    <a:xfrm>
                      <a:off x="0" y="0"/>
                      <a:ext cx="4224020" cy="215773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 xml:space="preserve">4.5-3 </w:t>
      </w:r>
      <w:r>
        <w:rPr>
          <w:rFonts w:eastAsia="黑体"/>
          <w:b/>
          <w:color w:val="auto"/>
          <w:szCs w:val="21"/>
          <w:lang w:val="zh-CN"/>
        </w:rPr>
        <w:t xml:space="preserve"> </w:t>
      </w:r>
      <w:r>
        <w:rPr>
          <w:rFonts w:hint="eastAsia" w:eastAsia="黑体"/>
          <w:b/>
          <w:color w:val="auto"/>
          <w:szCs w:val="21"/>
          <w:lang w:val="en-US" w:eastAsia="zh-CN"/>
        </w:rPr>
        <w:t>浮游植物生物量</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4.5.2.3浮游动物</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种类组成</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本次调查共采集到浮游动物65种，其中轮虫种类数最多为22种，占总数的33.84%；其次原生动物和枝角类16种，占总数的24.62%；桡足类各11种，占总数的16.92%。</w:t>
      </w:r>
    </w:p>
    <w:p>
      <w:pPr>
        <w:widowControl w:val="0"/>
        <w:spacing w:line="360" w:lineRule="auto"/>
        <w:contextualSpacing/>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5</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浮游动物种类名录</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651"/>
        <w:gridCol w:w="719"/>
        <w:gridCol w:w="705"/>
        <w:gridCol w:w="702"/>
        <w:gridCol w:w="690"/>
        <w:gridCol w:w="688"/>
        <w:gridCol w:w="707"/>
        <w:gridCol w:w="649"/>
        <w:gridCol w:w="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tcBorders>
              <w:top w:val="single" w:color="auto" w:sz="12" w:space="0"/>
              <w:bottom w:val="single" w:color="auto" w:sz="12" w:space="0"/>
            </w:tcBorders>
            <w:noWrap w:val="0"/>
            <w:vAlign w:val="center"/>
          </w:tcPr>
          <w:p>
            <w:pPr>
              <w:widowControl w:val="0"/>
              <w:spacing w:line="240" w:lineRule="atLeast"/>
              <w:jc w:val="center"/>
              <w:rPr>
                <w:color w:val="auto"/>
                <w:sz w:val="20"/>
              </w:rPr>
            </w:pPr>
            <w:r>
              <w:rPr>
                <w:rFonts w:hint="eastAsia"/>
                <w:color w:val="auto"/>
                <w:sz w:val="20"/>
                <w:lang w:val="en-US" w:eastAsia="zh-CN"/>
              </w:rPr>
              <w:t>种类</w:t>
            </w:r>
          </w:p>
        </w:tc>
        <w:tc>
          <w:tcPr>
            <w:tcW w:w="422" w:type="pct"/>
            <w:tcBorders>
              <w:top w:val="single" w:color="auto" w:sz="12" w:space="0"/>
              <w:bottom w:val="single" w:color="auto" w:sz="12" w:space="0"/>
            </w:tcBorders>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1#</w:t>
            </w:r>
          </w:p>
        </w:tc>
        <w:tc>
          <w:tcPr>
            <w:tcW w:w="41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rPr>
            </w:pPr>
            <w:r>
              <w:rPr>
                <w:rFonts w:hint="eastAsia"/>
                <w:color w:val="auto"/>
                <w:sz w:val="20"/>
                <w:lang w:val="en-US" w:eastAsia="zh-CN"/>
              </w:rPr>
              <w:t>2#</w:t>
            </w:r>
          </w:p>
        </w:tc>
        <w:tc>
          <w:tcPr>
            <w:tcW w:w="412"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3#</w:t>
            </w:r>
          </w:p>
        </w:tc>
        <w:tc>
          <w:tcPr>
            <w:tcW w:w="405"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4#</w:t>
            </w:r>
          </w:p>
        </w:tc>
        <w:tc>
          <w:tcPr>
            <w:tcW w:w="40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5#</w:t>
            </w:r>
          </w:p>
        </w:tc>
        <w:tc>
          <w:tcPr>
            <w:tcW w:w="415"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6#</w:t>
            </w:r>
          </w:p>
        </w:tc>
        <w:tc>
          <w:tcPr>
            <w:tcW w:w="381"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44" w:type="pct"/>
            <w:tcBorders>
              <w:top w:val="single" w:color="auto" w:sz="12" w:space="0"/>
            </w:tcBorders>
            <w:noWrap w:val="0"/>
            <w:vAlign w:val="center"/>
          </w:tcPr>
          <w:p>
            <w:pPr>
              <w:widowControl w:val="0"/>
              <w:spacing w:line="240" w:lineRule="atLeast"/>
              <w:jc w:val="center"/>
              <w:rPr>
                <w:color w:val="auto"/>
                <w:sz w:val="20"/>
                <w:vertAlign w:val="baseline"/>
              </w:rPr>
            </w:pPr>
            <w:r>
              <w:rPr>
                <w:rFonts w:hint="eastAsia"/>
                <w:b/>
                <w:bCs/>
                <w:color w:val="auto"/>
                <w:sz w:val="20"/>
                <w:vertAlign w:val="baseline"/>
                <w:lang w:val="en-US" w:eastAsia="zh-CN"/>
              </w:rPr>
              <w:t>原生动物</w:t>
            </w:r>
          </w:p>
        </w:tc>
        <w:tc>
          <w:tcPr>
            <w:tcW w:w="422" w:type="pct"/>
            <w:tcBorders>
              <w:top w:val="single" w:color="auto" w:sz="12" w:space="0"/>
            </w:tcBorders>
            <w:noWrap w:val="0"/>
            <w:vAlign w:val="center"/>
          </w:tcPr>
          <w:p>
            <w:pPr>
              <w:widowControl w:val="0"/>
              <w:spacing w:line="240" w:lineRule="atLeast"/>
              <w:jc w:val="center"/>
              <w:rPr>
                <w:color w:val="auto"/>
                <w:sz w:val="20"/>
                <w:vertAlign w:val="baseline"/>
                <w:lang w:val="en-US" w:eastAsia="zh-CN"/>
              </w:rPr>
            </w:pPr>
          </w:p>
        </w:tc>
        <w:tc>
          <w:tcPr>
            <w:tcW w:w="414"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412"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405"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04"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15"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382" w:type="pct"/>
            <w:gridSpan w:val="2"/>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eastAsia="宋体"/>
                <w:color w:val="auto"/>
                <w:sz w:val="20"/>
                <w:vertAlign w:val="baseline"/>
                <w:lang w:val="en-US" w:eastAsia="zh-CN"/>
              </w:rPr>
            </w:pPr>
            <w:r>
              <w:rPr>
                <w:rFonts w:hint="eastAsia"/>
                <w:color w:val="auto"/>
                <w:sz w:val="20"/>
                <w:vertAlign w:val="baseline"/>
                <w:lang w:val="en-US" w:eastAsia="zh-CN"/>
              </w:rPr>
              <w:t xml:space="preserve">刺胞虫 </w:t>
            </w:r>
            <w:r>
              <w:rPr>
                <w:rFonts w:hint="eastAsia"/>
                <w:i/>
                <w:iCs/>
                <w:color w:val="auto"/>
                <w:sz w:val="20"/>
                <w:vertAlign w:val="baseline"/>
                <w:lang w:val="en-US" w:eastAsia="zh-CN"/>
              </w:rPr>
              <w:t>Acanthocystis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eastAsia="宋体"/>
                <w:color w:val="auto"/>
                <w:sz w:val="20"/>
                <w:lang w:val="en-US" w:eastAsia="zh-CN"/>
              </w:rPr>
              <w:t>+</w:t>
            </w: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eastAsia"/>
                <w:color w:val="auto"/>
                <w:sz w:val="20"/>
                <w:vertAlign w:val="baseline"/>
                <w:lang w:val="en-US" w:eastAsia="zh-CN"/>
              </w:rPr>
              <w:t xml:space="preserve">变形虫 </w:t>
            </w:r>
            <w:r>
              <w:rPr>
                <w:rFonts w:hint="eastAsia"/>
                <w:i/>
                <w:iCs/>
                <w:color w:val="auto"/>
                <w:sz w:val="20"/>
                <w:vertAlign w:val="baseline"/>
                <w:lang w:val="en-US" w:eastAsia="zh-CN"/>
              </w:rPr>
              <w:t>Amoeba</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eastAsia"/>
                <w:color w:val="auto"/>
                <w:sz w:val="20"/>
                <w:vertAlign w:val="baseline"/>
                <w:lang w:val="en-US" w:eastAsia="zh-CN"/>
              </w:rPr>
              <w:t xml:space="preserve">淡水筒壳虫 </w:t>
            </w:r>
            <w:r>
              <w:rPr>
                <w:rFonts w:hint="eastAsia"/>
                <w:i/>
                <w:iCs/>
                <w:color w:val="auto"/>
                <w:sz w:val="20"/>
                <w:vertAlign w:val="baseline"/>
                <w:lang w:val="en-US" w:eastAsia="zh-CN"/>
              </w:rPr>
              <w:t>Tintinnidium fluviatile</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拟铃壳虫 </w:t>
            </w:r>
            <w:r>
              <w:rPr>
                <w:rFonts w:hint="eastAsia"/>
                <w:i/>
                <w:iCs/>
                <w:color w:val="auto"/>
                <w:sz w:val="20"/>
                <w:vertAlign w:val="baseline"/>
                <w:lang w:val="en-US" w:eastAsia="zh-CN"/>
              </w:rPr>
              <w:t>Tintinnopsis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ascii="Times New Roman" w:hAnsi="Times New Roman" w:eastAsia="宋体" w:cs="Times New Roman"/>
                <w:color w:val="auto"/>
                <w:kern w:val="2"/>
                <w:sz w:val="20"/>
                <w:vertAlign w:val="baseline"/>
                <w:lang w:val="en-US" w:eastAsia="zh-CN" w:bidi="ar-SA"/>
              </w:rPr>
              <w:t>+</w:t>
            </w: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楯纤虫 </w:t>
            </w:r>
            <w:r>
              <w:rPr>
                <w:rFonts w:hint="eastAsia"/>
                <w:i/>
                <w:iCs/>
                <w:color w:val="auto"/>
                <w:sz w:val="20"/>
                <w:vertAlign w:val="baseline"/>
                <w:lang w:val="en-US" w:eastAsia="zh-CN"/>
              </w:rPr>
              <w:t>Aspidisca</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i w:val="0"/>
                <w:iCs w:val="0"/>
                <w:color w:val="auto"/>
                <w:sz w:val="20"/>
                <w:vertAlign w:val="baseline"/>
                <w:lang w:val="en-US" w:eastAsia="zh-CN"/>
              </w:rPr>
              <w:t xml:space="preserve">半圆表壳虫 </w:t>
            </w:r>
            <w:r>
              <w:rPr>
                <w:rFonts w:hint="eastAsia"/>
                <w:i/>
                <w:iCs/>
                <w:color w:val="auto"/>
                <w:sz w:val="20"/>
                <w:vertAlign w:val="baseline"/>
                <w:lang w:val="en-US" w:eastAsia="zh-CN"/>
              </w:rPr>
              <w:t>Arcella hemisphaerica</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ascii="Times New Roman" w:hAnsi="Times New Roman" w:eastAsia="宋体" w:cs="Times New Roman"/>
                <w:color w:val="auto"/>
                <w:kern w:val="2"/>
                <w:sz w:val="20"/>
                <w:vertAlign w:val="baseline"/>
                <w:lang w:val="en-US" w:eastAsia="zh-CN" w:bidi="ar-SA"/>
              </w:rPr>
              <w:t>+</w:t>
            </w: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盘状表壳虫 </w:t>
            </w:r>
            <w:r>
              <w:rPr>
                <w:rFonts w:hint="default"/>
                <w:i/>
                <w:iCs/>
                <w:color w:val="auto"/>
                <w:sz w:val="20"/>
                <w:vertAlign w:val="baseline"/>
                <w:lang w:val="en-US" w:eastAsia="zh-CN"/>
              </w:rPr>
              <w:t>Arcella discoides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i w:val="0"/>
                <w:iCs w:val="0"/>
                <w:color w:val="auto"/>
                <w:sz w:val="20"/>
                <w:vertAlign w:val="baseline"/>
                <w:lang w:val="en-US" w:eastAsia="zh-CN"/>
              </w:rPr>
              <w:t xml:space="preserve">瘤棘砂壳虫 </w:t>
            </w:r>
            <w:r>
              <w:rPr>
                <w:rFonts w:hint="default"/>
                <w:i/>
                <w:iCs/>
                <w:color w:val="auto"/>
                <w:sz w:val="20"/>
                <w:vertAlign w:val="baseline"/>
                <w:lang w:val="en-US" w:eastAsia="zh-CN"/>
              </w:rPr>
              <w:t>Difflugia tuberspinifera</w:t>
            </w:r>
          </w:p>
        </w:tc>
        <w:tc>
          <w:tcPr>
            <w:tcW w:w="422"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湖沼砂壳虫 </w:t>
            </w:r>
            <w:r>
              <w:rPr>
                <w:rFonts w:hint="default"/>
                <w:i/>
                <w:iCs/>
                <w:color w:val="auto"/>
                <w:sz w:val="20"/>
                <w:vertAlign w:val="baseline"/>
                <w:lang w:val="en-US" w:eastAsia="zh-CN"/>
              </w:rPr>
              <w:t>Difflugia limnetica</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瓶砂壳虫 </w:t>
            </w:r>
            <w:r>
              <w:rPr>
                <w:rFonts w:hint="default"/>
                <w:i/>
                <w:iCs/>
                <w:color w:val="auto"/>
                <w:sz w:val="20"/>
                <w:vertAlign w:val="baseline"/>
                <w:lang w:val="en-US" w:eastAsia="zh-CN"/>
              </w:rPr>
              <w:t>Difflugia urceolata</w:t>
            </w:r>
          </w:p>
        </w:tc>
        <w:tc>
          <w:tcPr>
            <w:tcW w:w="422"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w:t>
            </w: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球形砂壳虫 </w:t>
            </w:r>
            <w:r>
              <w:rPr>
                <w:rFonts w:hint="default"/>
                <w:i/>
                <w:iCs/>
                <w:color w:val="auto"/>
                <w:sz w:val="20"/>
                <w:vertAlign w:val="baseline"/>
                <w:lang w:val="en-US" w:eastAsia="zh-CN"/>
              </w:rPr>
              <w:t>Difflugia globulosa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双刺板壳虫 </w:t>
            </w:r>
            <w:r>
              <w:rPr>
                <w:rFonts w:hint="default"/>
                <w:i/>
                <w:iCs/>
                <w:color w:val="auto"/>
                <w:sz w:val="20"/>
                <w:vertAlign w:val="baseline"/>
                <w:lang w:val="en-US" w:eastAsia="zh-CN"/>
              </w:rPr>
              <w:t>Coleps bicuspis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贻贝棘尾虫 </w:t>
            </w:r>
            <w:r>
              <w:rPr>
                <w:rFonts w:hint="default"/>
                <w:i/>
                <w:iCs/>
                <w:color w:val="auto"/>
                <w:sz w:val="20"/>
                <w:vertAlign w:val="baseline"/>
                <w:lang w:val="en-US" w:eastAsia="zh-CN"/>
              </w:rPr>
              <w:t>Stylonychia mytilus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钟虫 </w:t>
            </w:r>
            <w:r>
              <w:rPr>
                <w:rFonts w:hint="default"/>
                <w:i/>
                <w:iCs/>
                <w:color w:val="auto"/>
                <w:sz w:val="20"/>
                <w:vertAlign w:val="baseline"/>
                <w:lang w:val="en-US" w:eastAsia="zh-CN"/>
              </w:rPr>
              <w:t>Vorticella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弹跳虫 </w:t>
            </w:r>
            <w:r>
              <w:rPr>
                <w:rFonts w:hint="default"/>
                <w:i/>
                <w:iCs/>
                <w:color w:val="auto"/>
                <w:sz w:val="20"/>
                <w:vertAlign w:val="baseline"/>
                <w:lang w:val="en-US" w:eastAsia="zh-CN"/>
              </w:rPr>
              <w:t>Halteria grandinella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银灰膜袋虫 </w:t>
            </w:r>
            <w:r>
              <w:rPr>
                <w:rFonts w:hint="default"/>
                <w:i/>
                <w:iCs/>
                <w:color w:val="auto"/>
                <w:sz w:val="20"/>
                <w:vertAlign w:val="baseline"/>
                <w:lang w:val="en-US" w:eastAsia="zh-CN"/>
              </w:rPr>
              <w:t>Cyclidium glaucoma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b/>
                <w:bCs/>
                <w:color w:val="auto"/>
                <w:sz w:val="20"/>
                <w:vertAlign w:val="baseline"/>
                <w:lang w:val="en-US" w:eastAsia="zh-CN"/>
              </w:rPr>
              <w:t>轮虫</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萼花臂尾轮虫 </w:t>
            </w:r>
            <w:r>
              <w:rPr>
                <w:rFonts w:hint="default"/>
                <w:i/>
                <w:iCs/>
                <w:color w:val="auto"/>
                <w:sz w:val="20"/>
                <w:vertAlign w:val="baseline"/>
                <w:lang w:val="en-US" w:eastAsia="zh-CN"/>
              </w:rPr>
              <w:t>Brachionus calyciflorus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壶状臂尾轮虫 </w:t>
            </w:r>
            <w:r>
              <w:rPr>
                <w:rFonts w:hint="default"/>
                <w:i/>
                <w:iCs/>
                <w:color w:val="auto"/>
                <w:sz w:val="20"/>
                <w:vertAlign w:val="baseline"/>
                <w:lang w:val="en-US" w:eastAsia="zh-CN"/>
              </w:rPr>
              <w:t>B. Brachionus urceus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i/>
                <w:iCs/>
                <w:color w:val="auto"/>
                <w:sz w:val="20"/>
                <w:vertAlign w:val="baseline"/>
                <w:lang w:val="en-US" w:eastAsia="zh-CN"/>
              </w:rPr>
            </w:pPr>
            <w:r>
              <w:rPr>
                <w:rFonts w:hint="default"/>
                <w:i w:val="0"/>
                <w:iCs w:val="0"/>
                <w:color w:val="auto"/>
                <w:sz w:val="20"/>
                <w:vertAlign w:val="baseline"/>
                <w:lang w:val="en-US" w:eastAsia="zh-CN"/>
              </w:rPr>
              <w:t>角突臂尾轮虫</w:t>
            </w:r>
            <w:r>
              <w:rPr>
                <w:rFonts w:hint="default"/>
                <w:i/>
                <w:iCs/>
                <w:color w:val="auto"/>
                <w:sz w:val="20"/>
                <w:vertAlign w:val="baseline"/>
                <w:lang w:val="en-US" w:eastAsia="zh-CN"/>
              </w:rPr>
              <w:t xml:space="preserve"> Brachionus angularis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花箧臂尾轮虫 </w:t>
            </w:r>
            <w:r>
              <w:rPr>
                <w:rFonts w:hint="default"/>
                <w:i/>
                <w:iCs/>
                <w:color w:val="auto"/>
                <w:sz w:val="20"/>
                <w:vertAlign w:val="baseline"/>
                <w:lang w:val="en-US" w:eastAsia="zh-CN"/>
              </w:rPr>
              <w:t>Brachionus capsuliflorus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尾突臂尾轮虫 </w:t>
            </w:r>
            <w:r>
              <w:rPr>
                <w:rFonts w:hint="default"/>
                <w:i/>
                <w:iCs/>
                <w:color w:val="auto"/>
                <w:sz w:val="20"/>
                <w:vertAlign w:val="baseline"/>
                <w:lang w:val="en-US" w:eastAsia="zh-CN"/>
              </w:rPr>
              <w:t>Brachionus caudatus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镰状臂尾轮虫 </w:t>
            </w:r>
            <w:r>
              <w:rPr>
                <w:rFonts w:hint="default"/>
                <w:i/>
                <w:iCs/>
                <w:color w:val="auto"/>
                <w:sz w:val="20"/>
                <w:vertAlign w:val="baseline"/>
                <w:lang w:val="en-US" w:eastAsia="zh-CN"/>
              </w:rPr>
              <w:t>Brachionus falcatus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裂足臂尾轮虫 </w:t>
            </w:r>
            <w:r>
              <w:rPr>
                <w:rFonts w:hint="default"/>
                <w:i/>
                <w:iCs/>
                <w:color w:val="auto"/>
                <w:sz w:val="20"/>
                <w:vertAlign w:val="baseline"/>
                <w:lang w:val="en-US" w:eastAsia="zh-CN"/>
              </w:rPr>
              <w:t>Brachionus diversicornis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十指平甲轮虫 </w:t>
            </w:r>
            <w:r>
              <w:rPr>
                <w:rFonts w:hint="default"/>
                <w:i/>
                <w:iCs/>
                <w:color w:val="auto"/>
                <w:sz w:val="20"/>
                <w:vertAlign w:val="baseline"/>
                <w:lang w:val="en-US" w:eastAsia="zh-CN"/>
              </w:rPr>
              <w:t>Platyias militaris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螺形龟甲轮虫 </w:t>
            </w:r>
            <w:r>
              <w:rPr>
                <w:rFonts w:hint="default"/>
                <w:i/>
                <w:iCs/>
                <w:color w:val="auto"/>
                <w:sz w:val="20"/>
                <w:vertAlign w:val="baseline"/>
                <w:lang w:val="en-US" w:eastAsia="zh-CN"/>
              </w:rPr>
              <w:t>Keratella cochlearis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i w:val="0"/>
                <w:iCs w:val="0"/>
                <w:color w:val="auto"/>
                <w:sz w:val="20"/>
                <w:vertAlign w:val="baseline"/>
                <w:lang w:val="en-US" w:eastAsia="zh-CN"/>
              </w:rPr>
              <w:t>曲腿龟甲轮</w:t>
            </w:r>
            <w:r>
              <w:rPr>
                <w:rFonts w:hint="default"/>
                <w:color w:val="auto"/>
                <w:sz w:val="20"/>
                <w:vertAlign w:val="baseline"/>
                <w:lang w:val="en-US" w:eastAsia="zh-CN"/>
              </w:rPr>
              <w:t xml:space="preserve">虫 </w:t>
            </w:r>
            <w:r>
              <w:rPr>
                <w:rFonts w:hint="default"/>
                <w:i/>
                <w:iCs/>
                <w:color w:val="auto"/>
                <w:sz w:val="20"/>
                <w:vertAlign w:val="baseline"/>
                <w:lang w:val="en-US" w:eastAsia="zh-CN"/>
              </w:rPr>
              <w:t>Keratella valga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腔轮虫 </w:t>
            </w:r>
            <w:r>
              <w:rPr>
                <w:rFonts w:hint="default"/>
                <w:i/>
                <w:iCs/>
                <w:color w:val="auto"/>
                <w:sz w:val="20"/>
                <w:vertAlign w:val="baseline"/>
                <w:lang w:val="en-US" w:eastAsia="zh-CN"/>
              </w:rPr>
              <w:t>Lecane</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单趾轮虫 </w:t>
            </w:r>
            <w:r>
              <w:rPr>
                <w:rFonts w:hint="default"/>
                <w:i/>
                <w:iCs/>
                <w:color w:val="auto"/>
                <w:sz w:val="20"/>
                <w:vertAlign w:val="baseline"/>
                <w:lang w:val="en-US" w:eastAsia="zh-CN"/>
              </w:rPr>
              <w:t>Monostyla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卜氏晶囊轮虫 </w:t>
            </w:r>
            <w:r>
              <w:rPr>
                <w:rFonts w:hint="default"/>
                <w:i/>
                <w:iCs/>
                <w:color w:val="auto"/>
                <w:sz w:val="20"/>
                <w:vertAlign w:val="baseline"/>
                <w:lang w:val="en-US" w:eastAsia="zh-CN"/>
              </w:rPr>
              <w:t>Asplanchna brightwelli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前节晶囊轮虫 </w:t>
            </w:r>
            <w:r>
              <w:rPr>
                <w:rFonts w:hint="default"/>
                <w:i/>
                <w:iCs/>
                <w:color w:val="auto"/>
                <w:sz w:val="20"/>
                <w:vertAlign w:val="baseline"/>
                <w:lang w:val="en-US" w:eastAsia="zh-CN"/>
              </w:rPr>
              <w:t>Asplanchna priodont</w:t>
            </w:r>
            <w:r>
              <w:rPr>
                <w:rFonts w:hint="eastAsia"/>
                <w:i/>
                <w:iCs/>
                <w:color w:val="auto"/>
                <w:sz w:val="20"/>
                <w:vertAlign w:val="baseline"/>
                <w:lang w:val="en-US" w:eastAsia="zh-CN"/>
              </w:rPr>
              <w: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梳状疣毛轮虫 </w:t>
            </w:r>
            <w:r>
              <w:rPr>
                <w:rFonts w:hint="default"/>
                <w:i/>
                <w:iCs/>
                <w:color w:val="auto"/>
                <w:sz w:val="20"/>
                <w:vertAlign w:val="baseline"/>
                <w:lang w:val="en-US" w:eastAsia="zh-CN"/>
              </w:rPr>
              <w:t>Synchaeta pectinata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尖尾疣毛轮虫 </w:t>
            </w:r>
            <w:r>
              <w:rPr>
                <w:rFonts w:hint="default"/>
                <w:i/>
                <w:iCs/>
                <w:color w:val="auto"/>
                <w:sz w:val="20"/>
                <w:vertAlign w:val="baseline"/>
                <w:lang w:val="en-US" w:eastAsia="zh-CN"/>
              </w:rPr>
              <w:t>Synchaeta stylata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针簇多肢轮虫 </w:t>
            </w:r>
            <w:r>
              <w:rPr>
                <w:rFonts w:hint="default"/>
                <w:i/>
                <w:iCs/>
                <w:color w:val="auto"/>
                <w:sz w:val="20"/>
                <w:vertAlign w:val="baseline"/>
                <w:lang w:val="en-US" w:eastAsia="zh-CN"/>
              </w:rPr>
              <w:t>Polyarthra trigla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针簇多肢轮虫 </w:t>
            </w:r>
            <w:r>
              <w:rPr>
                <w:rFonts w:hint="default"/>
                <w:i/>
                <w:iCs/>
                <w:color w:val="auto"/>
                <w:sz w:val="20"/>
                <w:vertAlign w:val="baseline"/>
                <w:lang w:val="en-US" w:eastAsia="zh-CN"/>
              </w:rPr>
              <w:t>Polyarthra trigla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等刺异尾轮虫 </w:t>
            </w:r>
            <w:r>
              <w:rPr>
                <w:rFonts w:hint="default"/>
                <w:i/>
                <w:iCs/>
                <w:color w:val="auto"/>
                <w:sz w:val="20"/>
                <w:vertAlign w:val="baseline"/>
                <w:lang w:val="en-US" w:eastAsia="zh-CN"/>
              </w:rPr>
              <w:t>Trichocerca stylata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刺盖异尾轮虫 </w:t>
            </w:r>
            <w:r>
              <w:rPr>
                <w:rFonts w:hint="default"/>
                <w:i/>
                <w:iCs/>
                <w:color w:val="auto"/>
                <w:sz w:val="20"/>
                <w:vertAlign w:val="baseline"/>
                <w:lang w:val="en-US" w:eastAsia="zh-CN"/>
              </w:rPr>
              <w:t>Trichocerca capucina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圆筒异尾轮虫 </w:t>
            </w:r>
            <w:r>
              <w:rPr>
                <w:rFonts w:hint="default"/>
                <w:i/>
                <w:iCs/>
                <w:color w:val="auto"/>
                <w:sz w:val="20"/>
                <w:vertAlign w:val="baseline"/>
                <w:lang w:val="en-US" w:eastAsia="zh-CN"/>
              </w:rPr>
              <w:t>Trichocerca cylindrica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独角聚花轮虫 </w:t>
            </w:r>
            <w:r>
              <w:rPr>
                <w:rFonts w:hint="eastAsia"/>
                <w:i/>
                <w:iCs/>
                <w:color w:val="auto"/>
                <w:sz w:val="20"/>
                <w:vertAlign w:val="baseline"/>
                <w:lang w:val="en-US" w:eastAsia="zh-CN"/>
              </w:rPr>
              <w:t>Conochilus unicornis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b/>
                <w:bCs/>
                <w:color w:val="auto"/>
                <w:sz w:val="20"/>
                <w:vertAlign w:val="baseline"/>
                <w:lang w:val="en-US" w:eastAsia="zh-CN"/>
              </w:rPr>
              <w:t>枝角类</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短尾秀体溞 </w:t>
            </w:r>
            <w:r>
              <w:rPr>
                <w:rFonts w:hint="default"/>
                <w:i/>
                <w:iCs/>
                <w:color w:val="auto"/>
                <w:sz w:val="20"/>
                <w:vertAlign w:val="baseline"/>
                <w:lang w:val="en-US" w:eastAsia="zh-CN"/>
              </w:rPr>
              <w:t>Diaphanosoma brachyurum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eastAsia"/>
                <w:color w:val="auto"/>
                <w:sz w:val="20"/>
                <w:vertAlign w:val="baseline"/>
                <w:lang w:val="en-US" w:eastAsia="zh-CN"/>
              </w:rPr>
            </w:pPr>
            <w:r>
              <w:rPr>
                <w:rFonts w:hint="eastAsia"/>
                <w:color w:val="auto"/>
                <w:sz w:val="20"/>
                <w:vertAlign w:val="baseline"/>
                <w:lang w:val="en-US" w:eastAsia="zh-CN"/>
              </w:rPr>
              <w:t xml:space="preserve">长肢秀体溞 </w:t>
            </w:r>
            <w:r>
              <w:rPr>
                <w:rFonts w:hint="eastAsia"/>
                <w:i/>
                <w:iCs/>
                <w:color w:val="auto"/>
                <w:sz w:val="20"/>
                <w:vertAlign w:val="baseline"/>
                <w:lang w:val="en-US" w:eastAsia="zh-CN"/>
              </w:rPr>
              <w:t>Diaphanosoma leuchtenbergianum</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i w:val="0"/>
                <w:iCs w:val="0"/>
                <w:color w:val="auto"/>
                <w:sz w:val="20"/>
                <w:vertAlign w:val="baseline"/>
                <w:lang w:val="en-US" w:eastAsia="zh-CN"/>
              </w:rPr>
              <w:t>蚤状溞</w:t>
            </w:r>
            <w:r>
              <w:rPr>
                <w:rFonts w:hint="default"/>
                <w:i/>
                <w:iCs/>
                <w:color w:val="auto"/>
                <w:sz w:val="20"/>
                <w:vertAlign w:val="baseline"/>
                <w:lang w:val="en-US" w:eastAsia="zh-CN"/>
              </w:rPr>
              <w:t xml:space="preserve"> Daphnia pulex</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僧帽溞 </w:t>
            </w:r>
            <w:r>
              <w:rPr>
                <w:rFonts w:hint="default"/>
                <w:i/>
                <w:iCs/>
                <w:color w:val="auto"/>
                <w:sz w:val="20"/>
                <w:vertAlign w:val="baseline"/>
                <w:lang w:val="en-US" w:eastAsia="zh-CN"/>
              </w:rPr>
              <w:t>Daphnia cucullat</w:t>
            </w:r>
            <w:r>
              <w:rPr>
                <w:rFonts w:hint="eastAsia"/>
                <w:i/>
                <w:iCs/>
                <w:color w:val="auto"/>
                <w:sz w:val="20"/>
                <w:vertAlign w:val="baseline"/>
                <w:lang w:val="en-US" w:eastAsia="zh-CN"/>
              </w:rPr>
              <w: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透明溞</w:t>
            </w:r>
            <w:r>
              <w:rPr>
                <w:rFonts w:hint="default"/>
                <w:i/>
                <w:iCs/>
                <w:color w:val="auto"/>
                <w:sz w:val="20"/>
                <w:vertAlign w:val="baseline"/>
                <w:lang w:val="en-US" w:eastAsia="zh-CN"/>
              </w:rPr>
              <w:t xml:space="preserve"> Daphnia hyalina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老年低额溞 </w:t>
            </w:r>
            <w:r>
              <w:rPr>
                <w:rFonts w:hint="default"/>
                <w:i/>
                <w:iCs/>
                <w:color w:val="auto"/>
                <w:sz w:val="20"/>
                <w:vertAlign w:val="baseline"/>
                <w:lang w:val="en-US" w:eastAsia="zh-CN"/>
              </w:rPr>
              <w:t>Simocephalus vetulu</w:t>
            </w:r>
            <w:r>
              <w:rPr>
                <w:rFonts w:hint="eastAsia"/>
                <w:i/>
                <w:iCs/>
                <w:color w:val="auto"/>
                <w:sz w:val="20"/>
                <w:vertAlign w:val="baseline"/>
                <w:lang w:val="en-US" w:eastAsia="zh-CN"/>
              </w:rPr>
              <w:t>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平突船卵溞 </w:t>
            </w:r>
            <w:r>
              <w:rPr>
                <w:rFonts w:hint="default"/>
                <w:i/>
                <w:iCs/>
                <w:color w:val="auto"/>
                <w:sz w:val="20"/>
                <w:vertAlign w:val="baseline"/>
                <w:lang w:val="en-US" w:eastAsia="zh-CN"/>
              </w:rPr>
              <w:t>Scapholeberis mucronata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多刺裸腹溞 </w:t>
            </w:r>
            <w:r>
              <w:rPr>
                <w:rFonts w:hint="default"/>
                <w:i/>
                <w:iCs/>
                <w:color w:val="auto"/>
                <w:sz w:val="20"/>
                <w:vertAlign w:val="baseline"/>
                <w:lang w:val="en-US" w:eastAsia="zh-CN"/>
              </w:rPr>
              <w:t>Monia macrocopa</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微型裸腹溞 </w:t>
            </w:r>
            <w:r>
              <w:rPr>
                <w:rFonts w:hint="default"/>
                <w:i/>
                <w:iCs/>
                <w:color w:val="auto"/>
                <w:sz w:val="20"/>
                <w:vertAlign w:val="baseline"/>
                <w:lang w:val="en-US" w:eastAsia="zh-CN"/>
              </w:rPr>
              <w:t>Monia micrura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长额象鼻溞 </w:t>
            </w:r>
            <w:r>
              <w:rPr>
                <w:rFonts w:hint="default"/>
                <w:i/>
                <w:iCs/>
                <w:color w:val="auto"/>
                <w:sz w:val="20"/>
                <w:vertAlign w:val="baseline"/>
                <w:lang w:val="en-US" w:eastAsia="zh-CN"/>
              </w:rPr>
              <w:t>Bosmina longirostris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简弧象鼻溞 </w:t>
            </w:r>
            <w:r>
              <w:rPr>
                <w:rFonts w:hint="default"/>
                <w:i/>
                <w:iCs/>
                <w:color w:val="auto"/>
                <w:sz w:val="20"/>
                <w:vertAlign w:val="baseline"/>
                <w:lang w:val="en-US" w:eastAsia="zh-CN"/>
              </w:rPr>
              <w:t>Bosmina coregoni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颈沟基合溞 </w:t>
            </w:r>
            <w:r>
              <w:rPr>
                <w:rFonts w:hint="default"/>
                <w:i/>
                <w:iCs/>
                <w:color w:val="auto"/>
                <w:sz w:val="20"/>
                <w:vertAlign w:val="baseline"/>
                <w:lang w:val="en-US" w:eastAsia="zh-CN"/>
              </w:rPr>
              <w:t>Bosminopsis deitersi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尖额溞 </w:t>
            </w:r>
            <w:r>
              <w:rPr>
                <w:rFonts w:hint="default"/>
                <w:b w:val="0"/>
                <w:bCs w:val="0"/>
                <w:i/>
                <w:iCs/>
                <w:color w:val="auto"/>
                <w:sz w:val="20"/>
                <w:vertAlign w:val="baseline"/>
                <w:lang w:val="en-US" w:eastAsia="zh-CN"/>
              </w:rPr>
              <w:t>Alona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钩足平直溞 </w:t>
            </w:r>
            <w:r>
              <w:rPr>
                <w:rFonts w:hint="default"/>
                <w:i/>
                <w:iCs/>
                <w:color w:val="auto"/>
                <w:sz w:val="20"/>
                <w:vertAlign w:val="baseline"/>
                <w:lang w:val="en-US" w:eastAsia="zh-CN"/>
              </w:rPr>
              <w:t>Pleuroxus hamulatus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圆形盘肠溞 </w:t>
            </w:r>
            <w:r>
              <w:rPr>
                <w:rFonts w:hint="default"/>
                <w:i/>
                <w:iCs/>
                <w:color w:val="auto"/>
                <w:sz w:val="20"/>
                <w:vertAlign w:val="baseline"/>
                <w:lang w:val="en-US" w:eastAsia="zh-CN"/>
              </w:rPr>
              <w:t>Chydor</w:t>
            </w:r>
            <w:r>
              <w:rPr>
                <w:rFonts w:hint="default"/>
                <w:i w:val="0"/>
                <w:iCs w:val="0"/>
                <w:color w:val="auto"/>
                <w:sz w:val="20"/>
                <w:vertAlign w:val="baseline"/>
                <w:lang w:val="en-US" w:eastAsia="zh-CN"/>
              </w:rPr>
              <w:t>us sphaericus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直额弯尾溞 </w:t>
            </w:r>
            <w:r>
              <w:rPr>
                <w:rFonts w:hint="default"/>
                <w:i w:val="0"/>
                <w:iCs w:val="0"/>
                <w:color w:val="auto"/>
                <w:sz w:val="20"/>
                <w:vertAlign w:val="baseline"/>
                <w:lang w:val="en-US" w:eastAsia="zh-CN"/>
              </w:rPr>
              <w:t>Camptocercus rectirostris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b/>
                <w:bCs/>
                <w:color w:val="auto"/>
                <w:sz w:val="20"/>
                <w:vertAlign w:val="baseline"/>
                <w:lang w:val="en-US" w:eastAsia="zh-CN"/>
              </w:rPr>
              <w:t>桡足类</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汤匙华哲水蚤 </w:t>
            </w:r>
            <w:r>
              <w:rPr>
                <w:rFonts w:hint="default"/>
                <w:i/>
                <w:iCs/>
                <w:color w:val="auto"/>
                <w:sz w:val="20"/>
                <w:vertAlign w:val="baseline"/>
                <w:lang w:val="en-US" w:eastAsia="zh-CN"/>
              </w:rPr>
              <w:t>Sinocalanus dorrii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球状许水蚤 </w:t>
            </w:r>
            <w:r>
              <w:rPr>
                <w:rFonts w:hint="default"/>
                <w:i/>
                <w:iCs/>
                <w:color w:val="auto"/>
                <w:sz w:val="20"/>
                <w:vertAlign w:val="baseline"/>
                <w:lang w:val="en-US" w:eastAsia="zh-CN"/>
              </w:rPr>
              <w:t>Schmackeria forbesi</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右突新镖水蚤 </w:t>
            </w:r>
            <w:r>
              <w:rPr>
                <w:rFonts w:hint="default"/>
                <w:i/>
                <w:iCs/>
                <w:color w:val="auto"/>
                <w:sz w:val="20"/>
                <w:vertAlign w:val="baseline"/>
                <w:lang w:val="en-US" w:eastAsia="zh-CN"/>
              </w:rPr>
              <w:t>Neodiaptomus schmackeri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锯缘真剑水蚤 </w:t>
            </w:r>
            <w:r>
              <w:rPr>
                <w:rFonts w:hint="default"/>
                <w:i/>
                <w:iCs/>
                <w:color w:val="auto"/>
                <w:sz w:val="20"/>
                <w:vertAlign w:val="baseline"/>
                <w:lang w:val="en-US" w:eastAsia="zh-CN"/>
              </w:rPr>
              <w:t>Eucyclops serrulatus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广布中剑水蚤 </w:t>
            </w:r>
            <w:r>
              <w:rPr>
                <w:rFonts w:hint="default"/>
                <w:i/>
                <w:iCs/>
                <w:color w:val="auto"/>
                <w:sz w:val="20"/>
                <w:vertAlign w:val="baseline"/>
                <w:lang w:val="en-US" w:eastAsia="zh-CN"/>
              </w:rPr>
              <w:t>Mesocyclops leuckarti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近亲拟剑水蚤 </w:t>
            </w:r>
            <w:r>
              <w:rPr>
                <w:rFonts w:hint="default"/>
                <w:i/>
                <w:iCs/>
                <w:color w:val="auto"/>
                <w:sz w:val="20"/>
                <w:vertAlign w:val="baseline"/>
                <w:lang w:val="en-US" w:eastAsia="zh-CN"/>
              </w:rPr>
              <w:t>Paracyclops affini</w:t>
            </w:r>
            <w:r>
              <w:rPr>
                <w:rFonts w:hint="eastAsia"/>
                <w:i/>
                <w:iCs/>
                <w:color w:val="auto"/>
                <w:sz w:val="20"/>
                <w:vertAlign w:val="baseline"/>
                <w:lang w:val="en-US" w:eastAsia="zh-CN"/>
              </w:rPr>
              <w:t>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短尾温剑水蚤 </w:t>
            </w:r>
            <w:r>
              <w:rPr>
                <w:rFonts w:hint="default"/>
                <w:i/>
                <w:iCs/>
                <w:color w:val="auto"/>
                <w:sz w:val="20"/>
                <w:vertAlign w:val="baseline"/>
                <w:lang w:val="en-US" w:eastAsia="zh-CN"/>
              </w:rPr>
              <w:t>Thermocyclops brevifurcatus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透明温剑水蚤 </w:t>
            </w:r>
            <w:r>
              <w:rPr>
                <w:rFonts w:hint="default"/>
                <w:i/>
                <w:iCs/>
                <w:color w:val="auto"/>
                <w:sz w:val="20"/>
                <w:vertAlign w:val="baseline"/>
                <w:lang w:val="en-US" w:eastAsia="zh-CN"/>
              </w:rPr>
              <w:t>Thermocyclops hyalinus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eastAsia"/>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等刺温剑水蚤 </w:t>
            </w:r>
            <w:r>
              <w:rPr>
                <w:rFonts w:hint="default"/>
                <w:i/>
                <w:iCs/>
                <w:color w:val="auto"/>
                <w:sz w:val="20"/>
                <w:vertAlign w:val="baseline"/>
                <w:lang w:val="en-US" w:eastAsia="zh-CN"/>
              </w:rPr>
              <w:t>Thermocyclops kawamurai</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无节幼体 </w:t>
            </w:r>
            <w:r>
              <w:rPr>
                <w:rFonts w:hint="default"/>
                <w:i/>
                <w:iCs/>
                <w:color w:val="auto"/>
                <w:sz w:val="20"/>
                <w:vertAlign w:val="baseline"/>
                <w:lang w:val="en-US" w:eastAsia="zh-CN"/>
              </w:rPr>
              <w:t>Copepod nauplius</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 xml:space="preserve">桡足幼体 </w:t>
            </w:r>
            <w:r>
              <w:rPr>
                <w:rFonts w:hint="default"/>
                <w:i/>
                <w:iCs/>
                <w:color w:val="auto"/>
                <w:sz w:val="20"/>
                <w:vertAlign w:val="baseline"/>
                <w:lang w:val="en-US" w:eastAsia="zh-CN"/>
              </w:rPr>
              <w:t>Copepodite</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bl>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密度与生物量</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经过鉴定和计数，浮游动物的密度范围为3295~4885ind./L，平均密度为4038.93ind./L。其中6#断面的浮游动物密度最大为4885ind./L；1#断面的浮游动物密度最小为3295ind./L。</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浮游动物的生物量范围为2.07~6.35mg/L，平均生物量为3.9 mg/L。其中2#断面浮游动物生物量最大为6.35mg/L，1#断面浮游动物生物量最小为2.07mg/L。</w:t>
      </w:r>
    </w:p>
    <w:p>
      <w:pPr>
        <w:widowControl w:val="0"/>
        <w:spacing w:line="360" w:lineRule="auto"/>
        <w:jc w:val="center"/>
        <w:rPr>
          <w:rFonts w:hint="eastAsia" w:eastAsia="仿宋_GB2312"/>
          <w:color w:val="auto"/>
          <w:sz w:val="24"/>
        </w:rPr>
      </w:pPr>
      <w:r>
        <w:rPr>
          <w:color w:val="auto"/>
        </w:rPr>
        <w:drawing>
          <wp:inline distT="0" distB="0" distL="114300" distR="114300">
            <wp:extent cx="4274185" cy="2189480"/>
            <wp:effectExtent l="0" t="0" r="12065" b="1270"/>
            <wp:docPr id="5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0"/>
                    <pic:cNvPicPr>
                      <a:picLocks noChangeAspect="1"/>
                    </pic:cNvPicPr>
                  </pic:nvPicPr>
                  <pic:blipFill>
                    <a:blip r:embed="rId67"/>
                    <a:stretch>
                      <a:fillRect/>
                    </a:stretch>
                  </pic:blipFill>
                  <pic:spPr>
                    <a:xfrm>
                      <a:off x="0" y="0"/>
                      <a:ext cx="4274185" cy="218948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4.5-4</w:t>
      </w:r>
      <w:r>
        <w:rPr>
          <w:rFonts w:eastAsia="黑体"/>
          <w:b/>
          <w:color w:val="auto"/>
          <w:szCs w:val="21"/>
          <w:lang w:val="zh-CN"/>
        </w:rPr>
        <w:t xml:space="preserve">  </w:t>
      </w:r>
      <w:r>
        <w:rPr>
          <w:rFonts w:hint="eastAsia" w:eastAsia="黑体"/>
          <w:b/>
          <w:color w:val="auto"/>
          <w:szCs w:val="21"/>
          <w:lang w:val="en-US" w:eastAsia="zh-CN"/>
        </w:rPr>
        <w:t>浮游动物密度</w:t>
      </w:r>
    </w:p>
    <w:p>
      <w:pPr>
        <w:widowControl w:val="0"/>
        <w:spacing w:line="360" w:lineRule="auto"/>
        <w:jc w:val="center"/>
        <w:rPr>
          <w:rFonts w:hint="eastAsia" w:eastAsia="仿宋_GB2312"/>
          <w:color w:val="auto"/>
          <w:sz w:val="24"/>
        </w:rPr>
      </w:pPr>
      <w:r>
        <w:rPr>
          <w:color w:val="auto"/>
        </w:rPr>
        <w:drawing>
          <wp:inline distT="0" distB="0" distL="114300" distR="114300">
            <wp:extent cx="4227830" cy="2205990"/>
            <wp:effectExtent l="0" t="0" r="1270" b="3810"/>
            <wp:docPr id="5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1"/>
                    <pic:cNvPicPr>
                      <a:picLocks noChangeAspect="1"/>
                    </pic:cNvPicPr>
                  </pic:nvPicPr>
                  <pic:blipFill>
                    <a:blip r:embed="rId68"/>
                    <a:stretch>
                      <a:fillRect/>
                    </a:stretch>
                  </pic:blipFill>
                  <pic:spPr>
                    <a:xfrm>
                      <a:off x="0" y="0"/>
                      <a:ext cx="4227830" cy="220599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4.5-5</w:t>
      </w:r>
      <w:r>
        <w:rPr>
          <w:rFonts w:eastAsia="黑体"/>
          <w:b/>
          <w:color w:val="auto"/>
          <w:szCs w:val="21"/>
          <w:lang w:val="zh-CN"/>
        </w:rPr>
        <w:t xml:space="preserve">  </w:t>
      </w:r>
      <w:r>
        <w:rPr>
          <w:rFonts w:hint="eastAsia" w:eastAsia="黑体"/>
          <w:b/>
          <w:color w:val="auto"/>
          <w:szCs w:val="21"/>
          <w:lang w:val="en-US" w:eastAsia="zh-CN"/>
        </w:rPr>
        <w:t>浮游动物生物量</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4.5.2.4底栖动物</w:t>
      </w:r>
    </w:p>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种类组成</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共采集到底栖动物11种。其中环节动物2种，占总数的15.38%；软体动物7种，占总数的53.85%；节肢动物4种，占总数的30.77%</w:t>
      </w:r>
      <w:r>
        <w:rPr>
          <w:rFonts w:hint="eastAsia" w:eastAsia="仿宋_GB2312"/>
          <w:color w:val="auto"/>
          <w:sz w:val="24"/>
          <w:lang w:eastAsia="zh-CN"/>
        </w:rPr>
        <w:t>。</w:t>
      </w:r>
    </w:p>
    <w:p>
      <w:pPr>
        <w:widowControl w:val="0"/>
        <w:spacing w:line="360" w:lineRule="auto"/>
        <w:contextualSpacing/>
        <w:jc w:val="center"/>
        <w:rPr>
          <w:rFonts w:hint="default" w:eastAsia="黑体"/>
          <w:b/>
          <w:color w:val="auto"/>
          <w:szCs w:val="21"/>
          <w:lang w:val="en-US" w:eastAsia="zh-CN"/>
        </w:rPr>
      </w:pPr>
      <w:r>
        <w:rPr>
          <w:rFonts w:eastAsia="黑体"/>
          <w:b/>
          <w:color w:val="auto"/>
          <w:szCs w:val="21"/>
        </w:rPr>
        <w:t>表4.</w:t>
      </w:r>
      <w:r>
        <w:rPr>
          <w:rFonts w:hint="eastAsia" w:eastAsia="黑体"/>
          <w:b/>
          <w:color w:val="auto"/>
          <w:szCs w:val="21"/>
          <w:lang w:val="en-US" w:eastAsia="zh-CN"/>
        </w:rPr>
        <w:t>5</w:t>
      </w:r>
      <w:r>
        <w:rPr>
          <w:rFonts w:eastAsia="黑体"/>
          <w:b/>
          <w:color w:val="auto"/>
          <w:szCs w:val="21"/>
        </w:rPr>
        <w:t>-</w:t>
      </w:r>
      <w:r>
        <w:rPr>
          <w:rFonts w:hint="eastAsia" w:eastAsia="黑体"/>
          <w:b/>
          <w:color w:val="auto"/>
          <w:szCs w:val="21"/>
          <w:lang w:val="en-US" w:eastAsia="zh-CN"/>
        </w:rPr>
        <w:t>3</w:t>
      </w:r>
      <w:r>
        <w:rPr>
          <w:rFonts w:eastAsia="黑体"/>
          <w:b/>
          <w:color w:val="auto"/>
          <w:szCs w:val="21"/>
        </w:rPr>
        <w:t xml:space="preserve">  </w:t>
      </w:r>
      <w:r>
        <w:rPr>
          <w:rFonts w:hint="eastAsia" w:eastAsia="黑体"/>
          <w:b/>
          <w:color w:val="auto"/>
          <w:szCs w:val="21"/>
          <w:lang w:val="en-US" w:eastAsia="zh-CN"/>
        </w:rPr>
        <w:t>底栖动物种类名录</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651"/>
        <w:gridCol w:w="719"/>
        <w:gridCol w:w="705"/>
        <w:gridCol w:w="702"/>
        <w:gridCol w:w="690"/>
        <w:gridCol w:w="688"/>
        <w:gridCol w:w="707"/>
        <w:gridCol w:w="649"/>
        <w:gridCol w:w="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tcBorders>
              <w:top w:val="single" w:color="auto" w:sz="12" w:space="0"/>
              <w:bottom w:val="single" w:color="auto" w:sz="12" w:space="0"/>
            </w:tcBorders>
            <w:noWrap w:val="0"/>
            <w:vAlign w:val="center"/>
          </w:tcPr>
          <w:p>
            <w:pPr>
              <w:widowControl w:val="0"/>
              <w:spacing w:line="240" w:lineRule="atLeast"/>
              <w:jc w:val="center"/>
              <w:rPr>
                <w:b/>
                <w:bCs/>
                <w:color w:val="auto"/>
                <w:sz w:val="20"/>
              </w:rPr>
            </w:pPr>
            <w:r>
              <w:rPr>
                <w:rFonts w:hint="eastAsia"/>
                <w:b w:val="0"/>
                <w:bCs w:val="0"/>
                <w:color w:val="auto"/>
                <w:sz w:val="20"/>
                <w:lang w:val="en-US" w:eastAsia="zh-CN"/>
              </w:rPr>
              <w:t>种类</w:t>
            </w:r>
          </w:p>
        </w:tc>
        <w:tc>
          <w:tcPr>
            <w:tcW w:w="422" w:type="pct"/>
            <w:tcBorders>
              <w:top w:val="single" w:color="auto" w:sz="12" w:space="0"/>
              <w:bottom w:val="single" w:color="auto" w:sz="12" w:space="0"/>
            </w:tcBorders>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1#</w:t>
            </w:r>
          </w:p>
        </w:tc>
        <w:tc>
          <w:tcPr>
            <w:tcW w:w="41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rPr>
            </w:pPr>
            <w:r>
              <w:rPr>
                <w:rFonts w:hint="eastAsia"/>
                <w:color w:val="auto"/>
                <w:sz w:val="20"/>
                <w:lang w:val="en-US" w:eastAsia="zh-CN"/>
              </w:rPr>
              <w:t>2#</w:t>
            </w:r>
          </w:p>
        </w:tc>
        <w:tc>
          <w:tcPr>
            <w:tcW w:w="412"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3#</w:t>
            </w:r>
          </w:p>
        </w:tc>
        <w:tc>
          <w:tcPr>
            <w:tcW w:w="405" w:type="pct"/>
            <w:tcBorders>
              <w:top w:val="single" w:color="auto" w:sz="12" w:space="0"/>
              <w:bottom w:val="single" w:color="auto" w:sz="12" w:space="0"/>
            </w:tcBorders>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4#</w:t>
            </w:r>
          </w:p>
        </w:tc>
        <w:tc>
          <w:tcPr>
            <w:tcW w:w="404"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5#</w:t>
            </w:r>
          </w:p>
        </w:tc>
        <w:tc>
          <w:tcPr>
            <w:tcW w:w="415"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6#</w:t>
            </w:r>
          </w:p>
        </w:tc>
        <w:tc>
          <w:tcPr>
            <w:tcW w:w="381" w:type="pct"/>
            <w:tcBorders>
              <w:top w:val="single" w:color="auto" w:sz="12" w:space="0"/>
              <w:bottom w:val="single" w:color="auto" w:sz="12" w:space="0"/>
            </w:tcBorders>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44" w:type="pct"/>
            <w:tcBorders>
              <w:top w:val="single" w:color="auto" w:sz="12" w:space="0"/>
            </w:tcBorders>
            <w:noWrap w:val="0"/>
            <w:vAlign w:val="center"/>
          </w:tcPr>
          <w:p>
            <w:pPr>
              <w:widowControl w:val="0"/>
              <w:spacing w:line="240" w:lineRule="atLeast"/>
              <w:jc w:val="center"/>
              <w:rPr>
                <w:b/>
                <w:bCs/>
                <w:color w:val="auto"/>
                <w:sz w:val="20"/>
                <w:vertAlign w:val="baseline"/>
              </w:rPr>
            </w:pPr>
            <w:r>
              <w:rPr>
                <w:rFonts w:hint="eastAsia"/>
                <w:b/>
                <w:bCs/>
                <w:color w:val="auto"/>
                <w:sz w:val="20"/>
                <w:vertAlign w:val="baseline"/>
              </w:rPr>
              <w:t>环节动物门</w:t>
            </w:r>
          </w:p>
        </w:tc>
        <w:tc>
          <w:tcPr>
            <w:tcW w:w="422" w:type="pct"/>
            <w:tcBorders>
              <w:top w:val="single" w:color="auto" w:sz="12" w:space="0"/>
            </w:tcBorders>
            <w:noWrap w:val="0"/>
            <w:vAlign w:val="center"/>
          </w:tcPr>
          <w:p>
            <w:pPr>
              <w:widowControl w:val="0"/>
              <w:spacing w:line="240" w:lineRule="atLeast"/>
              <w:jc w:val="center"/>
              <w:rPr>
                <w:color w:val="auto"/>
                <w:sz w:val="20"/>
                <w:vertAlign w:val="baseline"/>
                <w:lang w:val="en-US" w:eastAsia="zh-CN"/>
              </w:rPr>
            </w:pPr>
          </w:p>
        </w:tc>
        <w:tc>
          <w:tcPr>
            <w:tcW w:w="414"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412"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05"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04" w:type="pct"/>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c>
          <w:tcPr>
            <w:tcW w:w="415" w:type="pct"/>
            <w:tcBorders>
              <w:top w:val="single" w:color="auto" w:sz="12" w:space="0"/>
            </w:tcBorders>
            <w:noWrap w:val="0"/>
            <w:vAlign w:val="center"/>
          </w:tcPr>
          <w:p>
            <w:pPr>
              <w:widowControl w:val="0"/>
              <w:spacing w:line="240" w:lineRule="atLeast"/>
              <w:jc w:val="center"/>
              <w:rPr>
                <w:rFonts w:hint="default" w:eastAsia="宋体"/>
                <w:color w:val="auto"/>
                <w:sz w:val="20"/>
                <w:lang w:val="en-US" w:eastAsia="zh-CN"/>
              </w:rPr>
            </w:pPr>
          </w:p>
        </w:tc>
        <w:tc>
          <w:tcPr>
            <w:tcW w:w="382" w:type="pct"/>
            <w:gridSpan w:val="2"/>
            <w:tcBorders>
              <w:top w:val="single" w:color="auto" w:sz="12" w:space="0"/>
            </w:tcBorders>
            <w:noWrap w:val="0"/>
            <w:vAlign w:val="center"/>
          </w:tcPr>
          <w:p>
            <w:pPr>
              <w:widowControl w:val="0"/>
              <w:spacing w:line="240" w:lineRule="atLeast"/>
              <w:jc w:val="center"/>
              <w:rPr>
                <w:rFonts w:hint="eastAsia" w:eastAsia="宋体"/>
                <w:color w:val="auto"/>
                <w:sz w:val="20"/>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eastAsia" w:eastAsia="宋体"/>
                <w:color w:val="auto"/>
                <w:sz w:val="20"/>
                <w:vertAlign w:val="baseline"/>
                <w:lang w:val="en-US" w:eastAsia="zh-CN"/>
              </w:rPr>
              <w:t xml:space="preserve">水丝蚓 </w:t>
            </w:r>
            <w:r>
              <w:rPr>
                <w:rFonts w:hint="eastAsia" w:eastAsia="宋体"/>
                <w:i/>
                <w:iCs/>
                <w:color w:val="auto"/>
                <w:sz w:val="20"/>
                <w:vertAlign w:val="baseline"/>
                <w:lang w:val="en-US" w:eastAsia="zh-CN"/>
              </w:rPr>
              <w:t>Limnodrilus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ascii="Times New Roman" w:hAnsi="Times New Roman" w:eastAsia="宋体" w:cs="Times New Roman"/>
                <w:color w:val="auto"/>
                <w:kern w:val="2"/>
                <w:sz w:val="20"/>
                <w:vertAlign w:val="baseline"/>
                <w:lang w:val="en-US" w:eastAsia="zh-CN" w:bidi="ar-SA"/>
              </w:rPr>
              <w:t>+</w:t>
            </w: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default" w:eastAsia="宋体"/>
                <w:color w:val="auto"/>
                <w:sz w:val="20"/>
                <w:vertAlign w:val="baseline"/>
                <w:lang w:val="en-US" w:eastAsia="zh-CN"/>
              </w:rPr>
              <w:t>中华颤蚓</w:t>
            </w:r>
            <w:r>
              <w:rPr>
                <w:rFonts w:hint="eastAsia" w:eastAsia="宋体"/>
                <w:color w:val="auto"/>
                <w:sz w:val="20"/>
                <w:vertAlign w:val="baseline"/>
                <w:lang w:val="en-US" w:eastAsia="zh-CN"/>
              </w:rPr>
              <w:t xml:space="preserve"> </w:t>
            </w:r>
            <w:r>
              <w:rPr>
                <w:rFonts w:hint="eastAsia" w:eastAsia="宋体"/>
                <w:i/>
                <w:iCs/>
                <w:color w:val="auto"/>
                <w:sz w:val="20"/>
                <w:vertAlign w:val="baseline"/>
                <w:lang w:val="en-US" w:eastAsia="zh-CN"/>
              </w:rPr>
              <w:t>Tubifex sinicus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ascii="Times New Roman" w:hAnsi="Times New Roman" w:eastAsia="宋体" w:cs="Times New Roman"/>
                <w:color w:val="auto"/>
                <w:kern w:val="2"/>
                <w:sz w:val="20"/>
                <w:vertAlign w:val="baseline"/>
                <w:lang w:val="en-US" w:eastAsia="zh-CN" w:bidi="ar-SA"/>
              </w:rPr>
              <w:t>+</w:t>
            </w:r>
          </w:p>
        </w:tc>
        <w:tc>
          <w:tcPr>
            <w:tcW w:w="41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eastAsia="宋体"/>
                <w:color w:val="auto"/>
                <w:sz w:val="20"/>
                <w:vertAlign w:val="baseline"/>
                <w:lang w:val="en-US" w:eastAsia="zh-CN"/>
              </w:rPr>
            </w:pPr>
            <w:r>
              <w:rPr>
                <w:rFonts w:hint="default" w:eastAsia="宋体"/>
                <w:b/>
                <w:bCs/>
                <w:color w:val="auto"/>
                <w:sz w:val="20"/>
                <w:vertAlign w:val="baseline"/>
                <w:lang w:val="en-US" w:eastAsia="zh-CN"/>
              </w:rPr>
              <w:t>软体动物门</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415"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p>
        </w:tc>
        <w:tc>
          <w:tcPr>
            <w:tcW w:w="381"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中华圆田螺 </w:t>
            </w:r>
            <w:r>
              <w:rPr>
                <w:rFonts w:hint="eastAsia"/>
                <w:i/>
                <w:iCs/>
                <w:color w:val="auto"/>
                <w:sz w:val="20"/>
                <w:vertAlign w:val="baseline"/>
                <w:lang w:val="en-US" w:eastAsia="zh-CN"/>
              </w:rPr>
              <w:t>Cipangopaludina cahayensis</w:t>
            </w:r>
          </w:p>
        </w:tc>
        <w:tc>
          <w:tcPr>
            <w:tcW w:w="422" w:type="pct"/>
            <w:noWrap w:val="0"/>
            <w:vAlign w:val="center"/>
          </w:tcPr>
          <w:p>
            <w:pPr>
              <w:widowControl w:val="0"/>
              <w:spacing w:line="240" w:lineRule="atLeast"/>
              <w:jc w:val="center"/>
              <w:rPr>
                <w:rFonts w:hint="default" w:ascii="Times New Roman" w:hAnsi="Times New Roman" w:eastAsia="宋体" w:cs="Times New Roman"/>
                <w:color w:val="auto"/>
                <w:kern w:val="2"/>
                <w:sz w:val="20"/>
                <w:vertAlign w:val="baseline"/>
                <w:lang w:val="en-US" w:eastAsia="zh-CN" w:bidi="ar-SA"/>
              </w:rPr>
            </w:pPr>
            <w:r>
              <w:rPr>
                <w:rFonts w:hint="eastAsia" w:ascii="Times New Roman" w:hAnsi="Times New Roman" w:eastAsia="宋体" w:cs="Times New Roman"/>
                <w:color w:val="auto"/>
                <w:kern w:val="2"/>
                <w:sz w:val="20"/>
                <w:vertAlign w:val="baseline"/>
                <w:lang w:val="en-US" w:eastAsia="zh-CN" w:bidi="ar-SA"/>
              </w:rPr>
              <w:t>+</w:t>
            </w: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c>
          <w:tcPr>
            <w:tcW w:w="404"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中国圆田螺</w:t>
            </w:r>
            <w:r>
              <w:rPr>
                <w:rFonts w:hint="eastAsia"/>
                <w:color w:val="auto"/>
                <w:sz w:val="20"/>
                <w:vertAlign w:val="baseline"/>
                <w:lang w:val="en-US" w:eastAsia="zh-CN"/>
              </w:rPr>
              <w:t xml:space="preserve"> </w:t>
            </w:r>
            <w:r>
              <w:rPr>
                <w:rFonts w:hint="default"/>
                <w:i/>
                <w:iCs/>
                <w:color w:val="auto"/>
                <w:sz w:val="20"/>
                <w:vertAlign w:val="baseline"/>
                <w:lang w:val="en-US" w:eastAsia="zh-CN"/>
              </w:rPr>
              <w:t>Cipangopaludina chinensis</w:t>
            </w:r>
          </w:p>
        </w:tc>
        <w:tc>
          <w:tcPr>
            <w:tcW w:w="422" w:type="pct"/>
            <w:noWrap w:val="0"/>
            <w:vAlign w:val="center"/>
          </w:tcPr>
          <w:p>
            <w:pPr>
              <w:widowControl w:val="0"/>
              <w:spacing w:line="240" w:lineRule="atLeast"/>
              <w:jc w:val="center"/>
              <w:rPr>
                <w:rFonts w:hint="eastAsia" w:ascii="Times New Roman" w:hAnsi="Times New Roman" w:eastAsia="宋体" w:cs="Times New Roman"/>
                <w:color w:val="auto"/>
                <w:kern w:val="2"/>
                <w:sz w:val="20"/>
                <w:vertAlign w:val="baseline"/>
                <w:lang w:val="en-US" w:eastAsia="zh-CN" w:bidi="ar-SA"/>
              </w:rPr>
            </w:pPr>
          </w:p>
        </w:tc>
        <w:tc>
          <w:tcPr>
            <w:tcW w:w="41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5"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c>
          <w:tcPr>
            <w:tcW w:w="404"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415" w:type="pct"/>
            <w:noWrap w:val="0"/>
            <w:vAlign w:val="center"/>
          </w:tcPr>
          <w:p>
            <w:pPr>
              <w:widowControl w:val="0"/>
              <w:spacing w:line="240" w:lineRule="atLeast"/>
              <w:jc w:val="center"/>
              <w:rPr>
                <w:rFonts w:hint="eastAsia" w:ascii="Times New Roman" w:hAnsi="Times New Roman" w:eastAsia="宋体" w:cs="Times New Roman"/>
                <w:color w:val="auto"/>
                <w:kern w:val="2"/>
                <w:sz w:val="20"/>
                <w:lang w:val="en-US" w:eastAsia="zh-CN" w:bidi="ar-SA"/>
              </w:rPr>
            </w:pPr>
          </w:p>
        </w:tc>
        <w:tc>
          <w:tcPr>
            <w:tcW w:w="381"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 xml:space="preserve">环棱螺 </w:t>
            </w:r>
            <w:r>
              <w:rPr>
                <w:rFonts w:hint="eastAsia"/>
                <w:i/>
                <w:iCs/>
                <w:color w:val="auto"/>
                <w:sz w:val="20"/>
                <w:vertAlign w:val="baseline"/>
                <w:lang w:val="en-US" w:eastAsia="zh-CN"/>
              </w:rPr>
              <w:t>Bellamya</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福寿螺</w:t>
            </w:r>
            <w:r>
              <w:rPr>
                <w:rFonts w:hint="eastAsia"/>
                <w:color w:val="auto"/>
                <w:sz w:val="20"/>
                <w:vertAlign w:val="baseline"/>
                <w:lang w:val="en-US" w:eastAsia="zh-CN"/>
              </w:rPr>
              <w:t xml:space="preserve"> </w:t>
            </w:r>
            <w:r>
              <w:rPr>
                <w:rFonts w:hint="eastAsia"/>
                <w:i/>
                <w:iCs/>
                <w:color w:val="auto"/>
                <w:sz w:val="20"/>
                <w:vertAlign w:val="baseline"/>
                <w:lang w:val="en-US" w:eastAsia="zh-CN"/>
              </w:rPr>
              <w:t>Pomacea canaliculata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圆顶珠蚌</w:t>
            </w:r>
            <w:r>
              <w:rPr>
                <w:rFonts w:hint="eastAsia"/>
                <w:color w:val="auto"/>
                <w:sz w:val="20"/>
                <w:vertAlign w:val="baseline"/>
                <w:lang w:val="en-US" w:eastAsia="zh-CN"/>
              </w:rPr>
              <w:t xml:space="preserve"> </w:t>
            </w:r>
            <w:r>
              <w:rPr>
                <w:rFonts w:hint="eastAsia"/>
                <w:i/>
                <w:iCs/>
                <w:color w:val="auto"/>
                <w:sz w:val="20"/>
                <w:vertAlign w:val="baseline"/>
                <w:lang w:val="en-US" w:eastAsia="zh-CN"/>
              </w:rPr>
              <w:t>Unio douglasiae</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淡水壳菜</w:t>
            </w:r>
            <w:r>
              <w:rPr>
                <w:rFonts w:hint="eastAsia"/>
                <w:color w:val="auto"/>
                <w:sz w:val="20"/>
                <w:vertAlign w:val="baseline"/>
                <w:lang w:val="en-US" w:eastAsia="zh-CN"/>
              </w:rPr>
              <w:t xml:space="preserve"> </w:t>
            </w:r>
            <w:r>
              <w:rPr>
                <w:rFonts w:hint="default"/>
                <w:i/>
                <w:iCs/>
                <w:color w:val="auto"/>
                <w:sz w:val="20"/>
                <w:vertAlign w:val="baseline"/>
                <w:lang w:val="en-US" w:eastAsia="zh-CN"/>
              </w:rPr>
              <w:t>Limnoperna lacustris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河蚬</w:t>
            </w:r>
            <w:r>
              <w:rPr>
                <w:rFonts w:hint="eastAsia"/>
                <w:color w:val="auto"/>
                <w:sz w:val="20"/>
                <w:vertAlign w:val="baseline"/>
                <w:lang w:val="en-US" w:eastAsia="zh-CN"/>
              </w:rPr>
              <w:t xml:space="preserve"> </w:t>
            </w:r>
            <w:r>
              <w:rPr>
                <w:rFonts w:hint="eastAsia"/>
                <w:i/>
                <w:iCs/>
                <w:color w:val="auto"/>
                <w:sz w:val="20"/>
                <w:vertAlign w:val="baseline"/>
                <w:lang w:val="en-US" w:eastAsia="zh-CN"/>
              </w:rPr>
              <w:t>Corbicula fluminea</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b/>
                <w:bCs/>
                <w:color w:val="auto"/>
                <w:sz w:val="20"/>
                <w:vertAlign w:val="baseline"/>
                <w:lang w:val="en-US" w:eastAsia="zh-CN"/>
              </w:rPr>
              <w:t>节肢动物门</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p>
        </w:tc>
        <w:tc>
          <w:tcPr>
            <w:tcW w:w="404" w:type="pct"/>
            <w:noWrap w:val="0"/>
            <w:vAlign w:val="center"/>
          </w:tcPr>
          <w:p>
            <w:pPr>
              <w:widowControl w:val="0"/>
              <w:spacing w:line="240" w:lineRule="atLeast"/>
              <w:jc w:val="center"/>
              <w:rPr>
                <w:rFonts w:hint="eastAsia"/>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eastAsia"/>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沼虾</w:t>
            </w:r>
            <w:r>
              <w:rPr>
                <w:rFonts w:hint="eastAsia"/>
                <w:color w:val="auto"/>
                <w:sz w:val="20"/>
                <w:vertAlign w:val="baseline"/>
                <w:lang w:val="en-US" w:eastAsia="zh-CN"/>
              </w:rPr>
              <w:t xml:space="preserve"> </w:t>
            </w:r>
            <w:r>
              <w:rPr>
                <w:rFonts w:hint="eastAsia"/>
                <w:i/>
                <w:iCs/>
                <w:color w:val="auto"/>
                <w:sz w:val="20"/>
                <w:vertAlign w:val="baseline"/>
                <w:lang w:val="en-US" w:eastAsia="zh-CN"/>
              </w:rPr>
              <w:t>Macrobrachium</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摇蚊幼虫</w:t>
            </w:r>
            <w:r>
              <w:rPr>
                <w:rFonts w:hint="eastAsia"/>
                <w:color w:val="auto"/>
                <w:sz w:val="20"/>
                <w:vertAlign w:val="baseline"/>
                <w:lang w:val="en-US" w:eastAsia="zh-CN"/>
              </w:rPr>
              <w:t xml:space="preserve"> </w:t>
            </w:r>
            <w:r>
              <w:rPr>
                <w:rFonts w:hint="eastAsia"/>
                <w:i/>
                <w:iCs/>
                <w:color w:val="auto"/>
                <w:sz w:val="20"/>
                <w:vertAlign w:val="baseline"/>
                <w:lang w:val="en-US" w:eastAsia="zh-CN"/>
              </w:rPr>
              <w:t>Chironomus</w:t>
            </w:r>
          </w:p>
        </w:tc>
        <w:tc>
          <w:tcPr>
            <w:tcW w:w="422" w:type="pct"/>
            <w:noWrap w:val="0"/>
            <w:vAlign w:val="center"/>
          </w:tcPr>
          <w:p>
            <w:pPr>
              <w:widowControl w:val="0"/>
              <w:spacing w:line="240" w:lineRule="atLeast"/>
              <w:jc w:val="center"/>
              <w:rPr>
                <w:rFonts w:hint="default"/>
                <w:color w:val="auto"/>
                <w:sz w:val="20"/>
                <w:vertAlign w:val="baseline"/>
                <w:lang w:val="en-US" w:eastAsia="zh-CN"/>
              </w:rPr>
            </w:pPr>
          </w:p>
        </w:tc>
        <w:tc>
          <w:tcPr>
            <w:tcW w:w="414"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12" w:type="pct"/>
            <w:noWrap w:val="0"/>
            <w:vAlign w:val="center"/>
          </w:tcPr>
          <w:p>
            <w:pPr>
              <w:widowControl w:val="0"/>
              <w:spacing w:line="240" w:lineRule="atLeast"/>
              <w:jc w:val="center"/>
              <w:rPr>
                <w:rFonts w:hint="eastAsia"/>
                <w:color w:val="auto"/>
                <w:sz w:val="20"/>
                <w:lang w:val="en-US" w:eastAsia="zh-CN"/>
              </w:rPr>
            </w:pPr>
          </w:p>
        </w:tc>
        <w:tc>
          <w:tcPr>
            <w:tcW w:w="405"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c>
          <w:tcPr>
            <w:tcW w:w="404" w:type="pct"/>
            <w:noWrap w:val="0"/>
            <w:vAlign w:val="center"/>
          </w:tcPr>
          <w:p>
            <w:pPr>
              <w:widowControl w:val="0"/>
              <w:spacing w:line="240" w:lineRule="atLeast"/>
              <w:jc w:val="center"/>
              <w:rPr>
                <w:rFonts w:hint="default"/>
                <w:color w:val="auto"/>
                <w:sz w:val="20"/>
                <w:lang w:val="en-US" w:eastAsia="zh-CN"/>
              </w:rPr>
            </w:pPr>
          </w:p>
        </w:tc>
        <w:tc>
          <w:tcPr>
            <w:tcW w:w="415" w:type="pct"/>
            <w:noWrap w:val="0"/>
            <w:vAlign w:val="center"/>
          </w:tcPr>
          <w:p>
            <w:pPr>
              <w:widowControl w:val="0"/>
              <w:spacing w:line="240" w:lineRule="atLeast"/>
              <w:jc w:val="center"/>
              <w:rPr>
                <w:rFonts w:hint="default"/>
                <w:color w:val="auto"/>
                <w:sz w:val="20"/>
                <w:lang w:val="en-US" w:eastAsia="zh-CN"/>
              </w:rPr>
            </w:pPr>
          </w:p>
        </w:tc>
        <w:tc>
          <w:tcPr>
            <w:tcW w:w="381" w:type="pct"/>
            <w:noWrap w:val="0"/>
            <w:vAlign w:val="center"/>
          </w:tcPr>
          <w:p>
            <w:pPr>
              <w:widowControl w:val="0"/>
              <w:spacing w:line="240" w:lineRule="atLeast"/>
              <w:jc w:val="center"/>
              <w:rPr>
                <w:rFonts w:hint="default"/>
                <w:color w:val="auto"/>
                <w:sz w:val="20"/>
                <w:lang w:val="en-US" w:eastAsia="zh-CN"/>
              </w:rPr>
            </w:pPr>
            <w:r>
              <w:rPr>
                <w:rFonts w:hint="eastAsia"/>
                <w:color w:val="auto"/>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水栉水虱</w:t>
            </w:r>
            <w:r>
              <w:rPr>
                <w:rFonts w:hint="eastAsia"/>
                <w:color w:val="auto"/>
                <w:sz w:val="20"/>
                <w:vertAlign w:val="baseline"/>
                <w:lang w:val="en-US" w:eastAsia="zh-CN"/>
              </w:rPr>
              <w:t xml:space="preserve"> </w:t>
            </w:r>
            <w:r>
              <w:rPr>
                <w:rFonts w:hint="eastAsia"/>
                <w:i/>
                <w:iCs/>
                <w:color w:val="auto"/>
                <w:sz w:val="20"/>
                <w:vertAlign w:val="baseline"/>
                <w:lang w:val="en-US" w:eastAsia="zh-CN"/>
              </w:rPr>
              <w:t>Asellus aquaticus</w:t>
            </w:r>
          </w:p>
        </w:tc>
        <w:tc>
          <w:tcPr>
            <w:tcW w:w="422" w:type="pct"/>
            <w:noWrap w:val="0"/>
            <w:vAlign w:val="center"/>
          </w:tcPr>
          <w:p>
            <w:pPr>
              <w:widowControl w:val="0"/>
              <w:spacing w:line="240" w:lineRule="atLeast"/>
              <w:jc w:val="center"/>
              <w:rPr>
                <w:rFonts w:hint="eastAsia"/>
                <w:color w:val="auto"/>
                <w:sz w:val="20"/>
                <w:vertAlign w:val="baseline"/>
                <w:lang w:val="en-US" w:eastAsia="zh-CN"/>
              </w:rPr>
            </w:pPr>
          </w:p>
        </w:tc>
        <w:tc>
          <w:tcPr>
            <w:tcW w:w="414" w:type="pct"/>
            <w:noWrap w:val="0"/>
            <w:vAlign w:val="center"/>
          </w:tcPr>
          <w:p>
            <w:pPr>
              <w:widowControl w:val="0"/>
              <w:spacing w:line="240" w:lineRule="atLeast"/>
              <w:jc w:val="center"/>
              <w:rPr>
                <w:rFonts w:hint="eastAsia"/>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eastAsia"/>
                <w:color w:val="auto"/>
                <w:sz w:val="20"/>
                <w:vertAlign w:val="baseline"/>
                <w:lang w:val="en-US" w:eastAsia="zh-CN"/>
              </w:rPr>
            </w:pPr>
          </w:p>
        </w:tc>
        <w:tc>
          <w:tcPr>
            <w:tcW w:w="415"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381" w:type="pct"/>
            <w:noWrap w:val="0"/>
            <w:vAlign w:val="center"/>
          </w:tcPr>
          <w:p>
            <w:pPr>
              <w:widowControl w:val="0"/>
              <w:spacing w:line="240" w:lineRule="atLeast"/>
              <w:jc w:val="center"/>
              <w:rPr>
                <w:rFonts w:hint="eastAsia"/>
                <w:color w:val="auto"/>
                <w:sz w:val="20"/>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pct"/>
          <w:trHeight w:val="369" w:hRule="atLeast"/>
          <w:jc w:val="center"/>
        </w:trPr>
        <w:tc>
          <w:tcPr>
            <w:tcW w:w="2144" w:type="pct"/>
            <w:noWrap w:val="0"/>
            <w:vAlign w:val="center"/>
          </w:tcPr>
          <w:p>
            <w:pPr>
              <w:widowControl w:val="0"/>
              <w:spacing w:line="240" w:lineRule="atLeast"/>
              <w:jc w:val="center"/>
              <w:rPr>
                <w:rFonts w:hint="default"/>
                <w:color w:val="auto"/>
                <w:sz w:val="20"/>
                <w:vertAlign w:val="baseline"/>
                <w:lang w:val="en-US" w:eastAsia="zh-CN"/>
              </w:rPr>
            </w:pPr>
            <w:r>
              <w:rPr>
                <w:rFonts w:hint="default"/>
                <w:color w:val="auto"/>
                <w:sz w:val="20"/>
                <w:vertAlign w:val="baseline"/>
                <w:lang w:val="en-US" w:eastAsia="zh-CN"/>
              </w:rPr>
              <w:t>克氏原螯虾</w:t>
            </w:r>
            <w:r>
              <w:rPr>
                <w:rFonts w:hint="eastAsia"/>
                <w:color w:val="auto"/>
                <w:sz w:val="20"/>
                <w:vertAlign w:val="baseline"/>
                <w:lang w:val="en-US" w:eastAsia="zh-CN"/>
              </w:rPr>
              <w:t xml:space="preserve"> </w:t>
            </w:r>
            <w:r>
              <w:rPr>
                <w:rFonts w:hint="eastAsia"/>
                <w:i/>
                <w:iCs/>
                <w:color w:val="auto"/>
                <w:sz w:val="20"/>
                <w:vertAlign w:val="baseline"/>
                <w:lang w:val="en-US" w:eastAsia="zh-CN"/>
              </w:rPr>
              <w:t>Procambarus clarkii</w:t>
            </w:r>
          </w:p>
        </w:tc>
        <w:tc>
          <w:tcPr>
            <w:tcW w:w="422"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4" w:type="pct"/>
            <w:noWrap w:val="0"/>
            <w:vAlign w:val="center"/>
          </w:tcPr>
          <w:p>
            <w:pPr>
              <w:widowControl w:val="0"/>
              <w:spacing w:line="240" w:lineRule="atLeast"/>
              <w:jc w:val="center"/>
              <w:rPr>
                <w:rFonts w:hint="default"/>
                <w:color w:val="auto"/>
                <w:sz w:val="20"/>
                <w:lang w:val="en-US" w:eastAsia="zh-CN"/>
              </w:rPr>
            </w:pPr>
          </w:p>
        </w:tc>
        <w:tc>
          <w:tcPr>
            <w:tcW w:w="412" w:type="pct"/>
            <w:noWrap w:val="0"/>
            <w:vAlign w:val="center"/>
          </w:tcPr>
          <w:p>
            <w:pPr>
              <w:widowControl w:val="0"/>
              <w:spacing w:line="240" w:lineRule="atLeast"/>
              <w:jc w:val="center"/>
              <w:rPr>
                <w:rFonts w:hint="default"/>
                <w:color w:val="auto"/>
                <w:sz w:val="20"/>
                <w:lang w:val="en-US" w:eastAsia="zh-CN"/>
              </w:rPr>
            </w:pPr>
          </w:p>
        </w:tc>
        <w:tc>
          <w:tcPr>
            <w:tcW w:w="405" w:type="pct"/>
            <w:noWrap w:val="0"/>
            <w:vAlign w:val="center"/>
          </w:tcPr>
          <w:p>
            <w:pPr>
              <w:widowControl w:val="0"/>
              <w:spacing w:line="240" w:lineRule="atLeast"/>
              <w:jc w:val="center"/>
              <w:rPr>
                <w:rFonts w:hint="eastAsia"/>
                <w:color w:val="auto"/>
                <w:sz w:val="20"/>
                <w:lang w:val="en-US" w:eastAsia="zh-CN"/>
              </w:rPr>
            </w:pPr>
          </w:p>
        </w:tc>
        <w:tc>
          <w:tcPr>
            <w:tcW w:w="404"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c>
          <w:tcPr>
            <w:tcW w:w="415" w:type="pct"/>
            <w:noWrap w:val="0"/>
            <w:vAlign w:val="center"/>
          </w:tcPr>
          <w:p>
            <w:pPr>
              <w:widowControl w:val="0"/>
              <w:spacing w:line="240" w:lineRule="atLeast"/>
              <w:jc w:val="center"/>
              <w:rPr>
                <w:rFonts w:hint="eastAsia"/>
                <w:color w:val="auto"/>
                <w:sz w:val="20"/>
                <w:vertAlign w:val="baseline"/>
                <w:lang w:val="en-US" w:eastAsia="zh-CN"/>
              </w:rPr>
            </w:pPr>
          </w:p>
        </w:tc>
        <w:tc>
          <w:tcPr>
            <w:tcW w:w="381" w:type="pct"/>
            <w:noWrap w:val="0"/>
            <w:vAlign w:val="center"/>
          </w:tcPr>
          <w:p>
            <w:pPr>
              <w:widowControl w:val="0"/>
              <w:spacing w:line="240" w:lineRule="atLeast"/>
              <w:jc w:val="center"/>
              <w:rPr>
                <w:rFonts w:hint="default"/>
                <w:color w:val="auto"/>
                <w:sz w:val="20"/>
                <w:vertAlign w:val="baseline"/>
                <w:lang w:val="en-US" w:eastAsia="zh-CN"/>
              </w:rPr>
            </w:pPr>
            <w:r>
              <w:rPr>
                <w:rFonts w:hint="eastAsia"/>
                <w:color w:val="auto"/>
                <w:sz w:val="20"/>
                <w:vertAlign w:val="baseline"/>
                <w:lang w:val="en-US" w:eastAsia="zh-CN"/>
              </w:rPr>
              <w:t>+</w:t>
            </w:r>
          </w:p>
        </w:tc>
      </w:tr>
    </w:tbl>
    <w:p>
      <w:pPr>
        <w:widowControl w:val="0"/>
        <w:spacing w:line="360" w:lineRule="auto"/>
        <w:ind w:firstLine="480" w:firstLineChars="200"/>
        <w:jc w:val="both"/>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密度与生物量</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底栖动物的密度范围为128-608ind./m</w:t>
      </w:r>
      <w:r>
        <w:rPr>
          <w:rFonts w:hint="eastAsia" w:eastAsia="仿宋_GB2312"/>
          <w:color w:val="auto"/>
          <w:sz w:val="24"/>
          <w:vertAlign w:val="superscript"/>
        </w:rPr>
        <w:t>2</w:t>
      </w:r>
      <w:r>
        <w:rPr>
          <w:rFonts w:hint="eastAsia" w:eastAsia="仿宋_GB2312"/>
          <w:color w:val="auto"/>
          <w:sz w:val="24"/>
        </w:rPr>
        <w:t>，平均密度为340.57ind./m</w:t>
      </w:r>
      <w:r>
        <w:rPr>
          <w:rFonts w:hint="eastAsia" w:eastAsia="仿宋_GB2312"/>
          <w:color w:val="auto"/>
          <w:sz w:val="24"/>
          <w:vertAlign w:val="superscript"/>
        </w:rPr>
        <w:t>2</w:t>
      </w:r>
      <w:r>
        <w:rPr>
          <w:rFonts w:hint="eastAsia" w:eastAsia="仿宋_GB2312"/>
          <w:color w:val="auto"/>
          <w:sz w:val="24"/>
        </w:rPr>
        <w:t>。其中6#断面底栖动物密度最高为608ind./m</w:t>
      </w:r>
      <w:r>
        <w:rPr>
          <w:rFonts w:hint="eastAsia" w:eastAsia="仿宋_GB2312"/>
          <w:color w:val="auto"/>
          <w:sz w:val="24"/>
          <w:vertAlign w:val="superscript"/>
        </w:rPr>
        <w:t>2</w:t>
      </w:r>
      <w:r>
        <w:rPr>
          <w:rFonts w:hint="eastAsia" w:eastAsia="仿宋_GB2312"/>
          <w:color w:val="auto"/>
          <w:sz w:val="24"/>
        </w:rPr>
        <w:t>；3#断面最小为128ind./m</w:t>
      </w:r>
      <w:r>
        <w:rPr>
          <w:rFonts w:hint="eastAsia" w:eastAsia="仿宋_GB2312"/>
          <w:color w:val="auto"/>
          <w:sz w:val="24"/>
          <w:vertAlign w:val="superscript"/>
        </w:rPr>
        <w:t>2</w:t>
      </w:r>
      <w:r>
        <w:rPr>
          <w:rFonts w:hint="eastAsia" w:eastAsia="仿宋_GB2312"/>
          <w:color w:val="auto"/>
          <w:sz w:val="24"/>
        </w:rPr>
        <w:t>。</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底栖动物的生物量为12.21~141.49g/m</w:t>
      </w:r>
      <w:r>
        <w:rPr>
          <w:rFonts w:hint="eastAsia" w:eastAsia="仿宋_GB2312"/>
          <w:color w:val="auto"/>
          <w:sz w:val="24"/>
          <w:vertAlign w:val="superscript"/>
        </w:rPr>
        <w:t>2</w:t>
      </w:r>
      <w:r>
        <w:rPr>
          <w:rFonts w:hint="eastAsia" w:eastAsia="仿宋_GB2312"/>
          <w:color w:val="auto"/>
          <w:sz w:val="24"/>
        </w:rPr>
        <w:t>，平均生物量为72.07g/m</w:t>
      </w:r>
      <w:r>
        <w:rPr>
          <w:rFonts w:hint="eastAsia" w:eastAsia="仿宋_GB2312"/>
          <w:color w:val="auto"/>
          <w:sz w:val="24"/>
          <w:vertAlign w:val="superscript"/>
        </w:rPr>
        <w:t>2</w:t>
      </w:r>
      <w:r>
        <w:rPr>
          <w:rFonts w:hint="eastAsia" w:eastAsia="仿宋_GB2312"/>
          <w:color w:val="auto"/>
          <w:sz w:val="24"/>
        </w:rPr>
        <w:t>。其中 6#断面的生物量最大为141.49g/m</w:t>
      </w:r>
      <w:r>
        <w:rPr>
          <w:rFonts w:hint="eastAsia" w:eastAsia="仿宋_GB2312"/>
          <w:color w:val="auto"/>
          <w:sz w:val="24"/>
          <w:vertAlign w:val="superscript"/>
        </w:rPr>
        <w:t>2</w:t>
      </w:r>
      <w:r>
        <w:rPr>
          <w:rFonts w:hint="eastAsia" w:eastAsia="仿宋_GB2312"/>
          <w:color w:val="auto"/>
          <w:sz w:val="24"/>
        </w:rPr>
        <w:t>，3#断面的生物量最小仅为12.21g/m</w:t>
      </w:r>
      <w:r>
        <w:rPr>
          <w:rFonts w:hint="eastAsia" w:eastAsia="仿宋_GB2312"/>
          <w:color w:val="auto"/>
          <w:sz w:val="24"/>
          <w:vertAlign w:val="superscript"/>
        </w:rPr>
        <w:t>2</w:t>
      </w:r>
      <w:r>
        <w:rPr>
          <w:rFonts w:hint="eastAsia" w:eastAsia="仿宋_GB2312"/>
          <w:color w:val="auto"/>
          <w:sz w:val="24"/>
        </w:rPr>
        <w:t>。</w:t>
      </w:r>
    </w:p>
    <w:p>
      <w:pPr>
        <w:widowControl w:val="0"/>
        <w:spacing w:line="360" w:lineRule="auto"/>
        <w:jc w:val="center"/>
        <w:rPr>
          <w:rFonts w:hint="eastAsia" w:eastAsia="仿宋_GB2312"/>
          <w:color w:val="auto"/>
          <w:sz w:val="24"/>
        </w:rPr>
      </w:pPr>
      <w:r>
        <w:rPr>
          <w:color w:val="auto"/>
        </w:rPr>
        <w:drawing>
          <wp:inline distT="0" distB="0" distL="114300" distR="114300">
            <wp:extent cx="4215765" cy="2058670"/>
            <wp:effectExtent l="0" t="0" r="13335" b="17780"/>
            <wp:docPr id="5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2"/>
                    <pic:cNvPicPr>
                      <a:picLocks noChangeAspect="1"/>
                    </pic:cNvPicPr>
                  </pic:nvPicPr>
                  <pic:blipFill>
                    <a:blip r:embed="rId69"/>
                    <a:stretch>
                      <a:fillRect/>
                    </a:stretch>
                  </pic:blipFill>
                  <pic:spPr>
                    <a:xfrm>
                      <a:off x="0" y="0"/>
                      <a:ext cx="4215765" cy="20586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4.5-6</w:t>
      </w:r>
      <w:r>
        <w:rPr>
          <w:rFonts w:eastAsia="黑体"/>
          <w:b/>
          <w:color w:val="auto"/>
          <w:szCs w:val="21"/>
          <w:lang w:val="zh-CN"/>
        </w:rPr>
        <w:t xml:space="preserve">  </w:t>
      </w:r>
      <w:r>
        <w:rPr>
          <w:rFonts w:hint="eastAsia" w:eastAsia="黑体"/>
          <w:b/>
          <w:color w:val="auto"/>
          <w:szCs w:val="21"/>
          <w:lang w:val="en-US" w:eastAsia="zh-CN"/>
        </w:rPr>
        <w:t>底栖动物密度</w:t>
      </w:r>
    </w:p>
    <w:p>
      <w:pPr>
        <w:widowControl w:val="0"/>
        <w:spacing w:line="360" w:lineRule="auto"/>
        <w:jc w:val="center"/>
        <w:rPr>
          <w:rFonts w:hint="eastAsia" w:eastAsia="仿宋_GB2312"/>
          <w:color w:val="auto"/>
          <w:sz w:val="24"/>
        </w:rPr>
      </w:pPr>
      <w:r>
        <w:rPr>
          <w:color w:val="auto"/>
        </w:rPr>
        <w:drawing>
          <wp:inline distT="0" distB="0" distL="114300" distR="114300">
            <wp:extent cx="4224020" cy="2157730"/>
            <wp:effectExtent l="0" t="0" r="5080" b="13970"/>
            <wp:docPr id="5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9"/>
                    <pic:cNvPicPr>
                      <a:picLocks noChangeAspect="1"/>
                    </pic:cNvPicPr>
                  </pic:nvPicPr>
                  <pic:blipFill>
                    <a:blip r:embed="rId66"/>
                    <a:stretch>
                      <a:fillRect/>
                    </a:stretch>
                  </pic:blipFill>
                  <pic:spPr>
                    <a:xfrm>
                      <a:off x="0" y="0"/>
                      <a:ext cx="4224020" cy="2157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4.5-7</w:t>
      </w:r>
      <w:r>
        <w:rPr>
          <w:rFonts w:eastAsia="黑体"/>
          <w:b/>
          <w:color w:val="auto"/>
          <w:szCs w:val="21"/>
          <w:lang w:val="zh-CN"/>
        </w:rPr>
        <w:t xml:space="preserve">  </w:t>
      </w:r>
      <w:r>
        <w:rPr>
          <w:rFonts w:hint="eastAsia" w:eastAsia="黑体"/>
          <w:b/>
          <w:color w:val="auto"/>
          <w:szCs w:val="21"/>
          <w:lang w:val="en-US" w:eastAsia="zh-CN"/>
        </w:rPr>
        <w:t>底栖动物生物量</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4.5.2.5鱼类资源</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lang w:eastAsia="zh-CN"/>
        </w:rPr>
        <w:t>）鱼类种类组成</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据《长江水系渔业资源》（1990）、《中国淡水鱼类原色图集1》（1982）等资料及历年调查结果，评价区域内分布有鱼类112种，包括国家一级保护动物白鲟、中华鲟、长江鲟，国家二级保护动物胭脂鱼，省级保护珍稀鱼类6种，分属11目23科74属。其中鲤形目种数最多，共有4科16亚科51属74种或亚种，占鱼类种数的66.07%，其次为鲇形目，4科7属18种，占鱼类种数的16.07%；鲱形目、胡瓜鱼目、鳗形目、颌针鱼目、鲑形目、鲀形目、合鳃鱼目种数最少，均为1科1属1种；其余为鲈形目6科7属10种、鲟形目2科2属3种。</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根据本单位2022年冬季在宜昌江段开展的渔业资源调查结果，调查期间共监测到鱼类41种，与历史调查结果相比，鱼类种类有所差异。调查主要是对工程影响河段进行的调查，并未对保护区流域进行全面调查，调查结果也受采样断面和调查强度等因素的限制</w:t>
      </w:r>
      <w:r>
        <w:rPr>
          <w:rFonts w:hint="eastAsia" w:ascii="Times New Roman" w:hAnsi="Times New Roman" w:eastAsia="仿宋_GB2312" w:cs="Times New Roman"/>
          <w:color w:val="auto"/>
          <w:sz w:val="24"/>
          <w:lang w:eastAsia="zh-CN"/>
        </w:rPr>
        <w:t>。</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2</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lang w:val="en-US" w:eastAsia="zh-CN"/>
        </w:rPr>
        <w:t>鱼类区域特性</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该区域内鱼类组成具有长江中游区系的特点，大致可归</w:t>
      </w:r>
      <w:r>
        <w:rPr>
          <w:rFonts w:hint="eastAsia" w:eastAsia="仿宋_GB2312"/>
          <w:color w:val="auto"/>
          <w:sz w:val="24"/>
          <w:lang w:val="en-US" w:eastAsia="zh-CN"/>
        </w:rPr>
        <w:t>为3</w:t>
      </w:r>
      <w:r>
        <w:rPr>
          <w:rFonts w:hint="eastAsia" w:eastAsia="仿宋_GB2312"/>
          <w:color w:val="auto"/>
          <w:sz w:val="24"/>
        </w:rPr>
        <w:t>类：</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①第三纪早期鱼类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此类群鱼类为第三纪中新世及以前残留下来的种类，这些鱼的代表种数量不多，但因适应性强，分布广，并是一些常见的鱼类，包括有白鲟、鲤（</w:t>
      </w:r>
      <w:r>
        <w:rPr>
          <w:rFonts w:hint="eastAsia" w:eastAsia="仿宋_GB2312"/>
          <w:i/>
          <w:iCs/>
          <w:color w:val="auto"/>
          <w:sz w:val="24"/>
        </w:rPr>
        <w:t>Cyprinus carpio</w:t>
      </w:r>
      <w:r>
        <w:rPr>
          <w:rFonts w:hint="eastAsia" w:eastAsia="仿宋_GB2312"/>
          <w:color w:val="auto"/>
          <w:sz w:val="24"/>
        </w:rPr>
        <w:t>）、鲫（</w:t>
      </w:r>
      <w:r>
        <w:rPr>
          <w:rFonts w:hint="eastAsia" w:eastAsia="仿宋_GB2312"/>
          <w:i/>
          <w:iCs/>
          <w:color w:val="auto"/>
          <w:sz w:val="24"/>
        </w:rPr>
        <w:t>Carassius auratus auratus</w:t>
      </w:r>
      <w:r>
        <w:rPr>
          <w:rFonts w:hint="eastAsia" w:eastAsia="仿宋_GB2312"/>
          <w:color w:val="auto"/>
          <w:sz w:val="24"/>
        </w:rPr>
        <w:t>）、胭脂鱼、鳑鮍类、泥鳅（</w:t>
      </w:r>
      <w:r>
        <w:rPr>
          <w:rFonts w:hint="eastAsia" w:eastAsia="仿宋_GB2312"/>
          <w:i/>
          <w:iCs/>
          <w:color w:val="auto"/>
          <w:sz w:val="24"/>
        </w:rPr>
        <w:t>Misgurnus anguillicaudatus</w:t>
      </w:r>
      <w:r>
        <w:rPr>
          <w:rFonts w:hint="eastAsia" w:eastAsia="仿宋_GB2312"/>
          <w:i w:val="0"/>
          <w:iCs w:val="0"/>
          <w:color w:val="auto"/>
          <w:sz w:val="24"/>
        </w:rPr>
        <w:t>）</w:t>
      </w:r>
      <w:r>
        <w:rPr>
          <w:rFonts w:hint="eastAsia" w:eastAsia="仿宋_GB2312"/>
          <w:color w:val="auto"/>
          <w:sz w:val="24"/>
        </w:rPr>
        <w:t>、鲇类、鳜类等。它们的体色多数具有河道色或拟草色。</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②古北区鱼类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此类群鱼类包含两个类群，一是中国江河平原区系类群，起源于我国东部，以老三纪的古北区原有的鱼类及其后裔为主，多数善泳、喜氧，适于开阔水域的中上层鱼类，包括有青鱼（</w:t>
      </w:r>
      <w:r>
        <w:rPr>
          <w:rFonts w:hint="eastAsia" w:eastAsia="仿宋_GB2312"/>
          <w:i/>
          <w:iCs/>
          <w:color w:val="auto"/>
          <w:sz w:val="24"/>
        </w:rPr>
        <w:t>Mylopharyngodon piceus</w:t>
      </w:r>
      <w:r>
        <w:rPr>
          <w:rFonts w:hint="eastAsia" w:eastAsia="仿宋_GB2312"/>
          <w:color w:val="auto"/>
          <w:sz w:val="24"/>
        </w:rPr>
        <w:t>）、草鱼（</w:t>
      </w:r>
      <w:r>
        <w:rPr>
          <w:rFonts w:hint="eastAsia" w:eastAsia="仿宋_GB2312"/>
          <w:b w:val="0"/>
          <w:bCs w:val="0"/>
          <w:i/>
          <w:iCs/>
          <w:color w:val="auto"/>
          <w:sz w:val="24"/>
        </w:rPr>
        <w:t>Ctenopharyngodon idellus</w:t>
      </w:r>
      <w:r>
        <w:rPr>
          <w:rFonts w:hint="eastAsia" w:eastAsia="仿宋_GB2312"/>
          <w:color w:val="auto"/>
          <w:sz w:val="24"/>
        </w:rPr>
        <w:t>）、鲢（</w:t>
      </w:r>
      <w:r>
        <w:rPr>
          <w:rFonts w:hint="eastAsia" w:eastAsia="仿宋_GB2312"/>
          <w:i/>
          <w:iCs/>
          <w:color w:val="auto"/>
          <w:sz w:val="24"/>
        </w:rPr>
        <w:t>Hypophthalmichthys molitrix</w:t>
      </w:r>
      <w:r>
        <w:rPr>
          <w:rFonts w:hint="eastAsia" w:eastAsia="仿宋_GB2312"/>
          <w:color w:val="auto"/>
          <w:sz w:val="24"/>
        </w:rPr>
        <w:t>）、鳙（</w:t>
      </w:r>
      <w:r>
        <w:rPr>
          <w:rFonts w:hint="eastAsia" w:eastAsia="仿宋_GB2312"/>
          <w:i/>
          <w:iCs/>
          <w:color w:val="auto"/>
          <w:sz w:val="24"/>
        </w:rPr>
        <w:t>Aristichthys nobilis</w:t>
      </w:r>
      <w:r>
        <w:rPr>
          <w:rFonts w:hint="eastAsia" w:eastAsia="仿宋_GB2312"/>
          <w:color w:val="auto"/>
          <w:sz w:val="24"/>
        </w:rPr>
        <w:t>）、鳊属、鲌属、鲴属和铜鱼属等，为该江段内优势种群，比例超过半数。二是北方山麓平原区系鱼类，形成于第四纪全新世冰川期，其主要生态特定是耐寒，喜清流水，喜高氧，体呈纺锤形，种类较少，只有中华鲟、达氏鲟和花鳅属鱼类等。</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③中印亚鱼类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此类群鱼类包括两个类群，一是印度平原区系类群，即亚热带低地沼泽区系鱼类，大多是体形较小，不善游泳，具有适高温、耐缺氧的特点，包括有鮠科和鲃亚科的一些种类以及青鳉（</w:t>
      </w:r>
      <w:r>
        <w:rPr>
          <w:rFonts w:hint="eastAsia" w:eastAsia="仿宋_GB2312"/>
          <w:i/>
          <w:iCs/>
          <w:color w:val="auto"/>
          <w:sz w:val="24"/>
        </w:rPr>
        <w:t>Oryzias latipes</w:t>
      </w:r>
      <w:r>
        <w:rPr>
          <w:rFonts w:hint="eastAsia" w:eastAsia="仿宋_GB2312"/>
          <w:color w:val="auto"/>
          <w:sz w:val="24"/>
        </w:rPr>
        <w:t>）、乌鳢 （</w:t>
      </w:r>
      <w:r>
        <w:rPr>
          <w:rFonts w:hint="eastAsia" w:eastAsia="仿宋_GB2312"/>
          <w:i/>
          <w:iCs/>
          <w:color w:val="auto"/>
          <w:sz w:val="24"/>
        </w:rPr>
        <w:t>Channa argus</w:t>
      </w:r>
      <w:r>
        <w:rPr>
          <w:rFonts w:hint="eastAsia" w:eastAsia="仿宋_GB2312"/>
          <w:color w:val="auto"/>
          <w:sz w:val="24"/>
        </w:rPr>
        <w:t>）、斗鱼、塘鳢（</w:t>
      </w:r>
      <w:r>
        <w:rPr>
          <w:rFonts w:hint="eastAsia" w:eastAsia="仿宋_GB2312"/>
          <w:i/>
          <w:iCs/>
          <w:color w:val="auto"/>
          <w:sz w:val="24"/>
        </w:rPr>
        <w:t>Eleotris acanthopoma</w:t>
      </w:r>
      <w:r>
        <w:rPr>
          <w:rFonts w:hint="eastAsia" w:eastAsia="仿宋_GB2312"/>
          <w:color w:val="auto"/>
          <w:sz w:val="24"/>
        </w:rPr>
        <w:t>）、黄鳝 （</w:t>
      </w:r>
      <w:r>
        <w:rPr>
          <w:rFonts w:hint="eastAsia" w:eastAsia="仿宋_GB2312"/>
          <w:i/>
          <w:iCs/>
          <w:color w:val="auto"/>
          <w:sz w:val="24"/>
        </w:rPr>
        <w:t>Monopterus albu</w:t>
      </w:r>
      <w:r>
        <w:rPr>
          <w:rFonts w:hint="eastAsia" w:eastAsia="仿宋_GB2312"/>
          <w:color w:val="auto"/>
          <w:sz w:val="24"/>
        </w:rPr>
        <w:t>s）和刺鳅（</w:t>
      </w:r>
      <w:r>
        <w:rPr>
          <w:rFonts w:hint="eastAsia" w:eastAsia="仿宋_GB2312"/>
          <w:i/>
          <w:iCs/>
          <w:color w:val="auto"/>
          <w:sz w:val="24"/>
        </w:rPr>
        <w:t>Mastacembelus aculeatus</w:t>
      </w:r>
      <w:r>
        <w:rPr>
          <w:rFonts w:hint="eastAsia" w:eastAsia="仿宋_GB2312"/>
          <w:color w:val="auto"/>
          <w:sz w:val="24"/>
        </w:rPr>
        <w:t>）等。二是中印山麓区系鱼类，适应山区急流生活，体多扁平，胸鳍水平展开，有特化的吸盘结构，包括平鳍鳅科和鮡科的鱼类。</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lang w:val="en-US" w:eastAsia="zh-CN"/>
        </w:rPr>
        <w:t>鱼类生态类型</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1）按鱼类的生活习性及其主要生活环境，可以将调查范围内分布的鱼类分为底栖性鱼类，中、下层鱼类和中、上层鱼类3种栖息习性，具体可以分成下列生态类群。</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①流水吸附生态类群：此类群部分种类具特化的吸盘或类似吸盘的附着结构，适于附着在急流河底物体上生活，以附着藻类、有机碎屑或以小型鱼类及软体动物等为食。这一类鱼类多分布于水流较急的支流及干流的激流段，能适应水流较快的流水滩河段，或到该生境摄食或产卵繁殖。通常来讲，这类群鱼类要么个体不大且身体扁平，或身体梭形并且尾鳍深分叉适应高流速环境。本生态类群种类不多，主要包括平鳍鳅科等部分种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②</w:t>
      </w:r>
      <w:r>
        <w:rPr>
          <w:rFonts w:hint="eastAsia" w:eastAsia="仿宋_GB2312"/>
          <w:color w:val="auto"/>
          <w:sz w:val="24"/>
        </w:rPr>
        <w:t>流水底层生态类群：为流水河沱、河槽底栖性鱼类，如铜鱼等。该类群鱼类身体呈纺缍型，尾柄发达，口横裂或弧形，有触须2对，适应于流水或急流水底穿行和觅食。</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③</w:t>
      </w:r>
      <w:r>
        <w:rPr>
          <w:rFonts w:hint="eastAsia" w:eastAsia="仿宋_GB2312"/>
          <w:color w:val="auto"/>
          <w:sz w:val="24"/>
        </w:rPr>
        <w:t>流水底层乱石、礁底栖性类群：栖息环境为流水深沱，底层多乱石，水流较缓，如南方鲇、鮠科的大部分种类。为大型凶猛的肉食性鱼类，生长快。</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④</w:t>
      </w:r>
      <w:r>
        <w:rPr>
          <w:rFonts w:hint="eastAsia" w:eastAsia="仿宋_GB2312"/>
          <w:color w:val="auto"/>
          <w:sz w:val="24"/>
        </w:rPr>
        <w:t>流水洞缝隙生态类群：包括大鳍鱯（</w:t>
      </w:r>
      <w:r>
        <w:rPr>
          <w:rFonts w:hint="eastAsia" w:eastAsia="仿宋_GB2312"/>
          <w:i/>
          <w:iCs/>
          <w:color w:val="auto"/>
          <w:sz w:val="24"/>
        </w:rPr>
        <w:t>Mystus macropterus</w:t>
      </w:r>
      <w:r>
        <w:rPr>
          <w:rFonts w:hint="eastAsia" w:eastAsia="仿宋_GB2312"/>
          <w:color w:val="auto"/>
          <w:sz w:val="24"/>
        </w:rPr>
        <w:t>）、鳜、大眼鳜（</w:t>
      </w:r>
      <w:r>
        <w:rPr>
          <w:rFonts w:hint="eastAsia" w:eastAsia="仿宋_GB2312"/>
          <w:i/>
          <w:iCs/>
          <w:color w:val="auto"/>
          <w:sz w:val="24"/>
        </w:rPr>
        <w:t>Siniperca kneri</w:t>
      </w:r>
      <w:r>
        <w:rPr>
          <w:rFonts w:hint="eastAsia" w:eastAsia="仿宋_GB2312"/>
          <w:color w:val="auto"/>
          <w:sz w:val="24"/>
        </w:rPr>
        <w:t>）等。</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⑤</w:t>
      </w:r>
      <w:r>
        <w:rPr>
          <w:rFonts w:hint="eastAsia" w:eastAsia="仿宋_GB2312"/>
          <w:color w:val="auto"/>
          <w:sz w:val="24"/>
        </w:rPr>
        <w:t>流水中、下层生态类群：此类群主要或完全生活在江河流水环境中，身体较长、侧扁，适应于流水、急流水中穿梭游泳，活动掠食；头部呈锥形，适应于破水前进，躯干部较长，是产生强大运动的动力源，各鳍发达，尾鳍深叉形，都是适应水体中、下层快速游泳，在急流水体中、下层穿梭翻滚捕食低等动物和流水急流水带来的有机食物。</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它们或以水底砾石等物体表面附着藻类为食，或以有机碎屑为食，或以底栖无脊椎动物为食，或以软体动物为食，或主要以水草为食，或主要以鱼虾类为食，甚或为杂食性，或以浮游动植物为食。该类群有长江鲟、白鲟、鯮、鳡、胭脂鱼、长薄鳅（</w:t>
      </w:r>
      <w:r>
        <w:rPr>
          <w:rFonts w:hint="eastAsia" w:eastAsia="仿宋_GB2312"/>
          <w:i/>
          <w:iCs/>
          <w:color w:val="auto"/>
          <w:sz w:val="24"/>
        </w:rPr>
        <w:t>Leptobotia elongata</w:t>
      </w:r>
      <w:r>
        <w:rPr>
          <w:rFonts w:hint="eastAsia" w:eastAsia="仿宋_GB2312"/>
          <w:color w:val="auto"/>
          <w:sz w:val="24"/>
        </w:rPr>
        <w:t>）、紫薄鳅（</w:t>
      </w:r>
      <w:r>
        <w:rPr>
          <w:rFonts w:hint="eastAsia" w:eastAsia="仿宋_GB2312"/>
          <w:i/>
          <w:iCs/>
          <w:color w:val="auto"/>
          <w:sz w:val="24"/>
        </w:rPr>
        <w:t>Leptobotia taeniops</w:t>
      </w:r>
      <w:r>
        <w:rPr>
          <w:rFonts w:hint="eastAsia" w:eastAsia="仿宋_GB2312"/>
          <w:color w:val="auto"/>
          <w:sz w:val="24"/>
        </w:rPr>
        <w:t>）、赤眼鳟、银鲴（</w:t>
      </w:r>
      <w:r>
        <w:rPr>
          <w:rFonts w:hint="eastAsia" w:eastAsia="仿宋_GB2312"/>
          <w:i/>
          <w:iCs/>
          <w:color w:val="auto"/>
          <w:sz w:val="24"/>
        </w:rPr>
        <w:t>Xenocypris argentea</w:t>
      </w:r>
      <w:r>
        <w:rPr>
          <w:rFonts w:hint="eastAsia" w:eastAsia="仿宋_GB2312"/>
          <w:color w:val="auto"/>
          <w:sz w:val="24"/>
        </w:rPr>
        <w:t>）、黄尾鲴（</w:t>
      </w:r>
      <w:r>
        <w:rPr>
          <w:rFonts w:hint="eastAsia" w:eastAsia="仿宋_GB2312"/>
          <w:i/>
          <w:iCs/>
          <w:color w:val="auto"/>
          <w:sz w:val="24"/>
        </w:rPr>
        <w:t>Xenocypris davidi</w:t>
      </w:r>
      <w:r>
        <w:rPr>
          <w:rFonts w:hint="eastAsia" w:eastAsia="仿宋_GB2312"/>
          <w:color w:val="auto"/>
          <w:sz w:val="24"/>
        </w:rPr>
        <w:t>）、青鱼、草鱼、岩原鲤（</w:t>
      </w:r>
      <w:r>
        <w:rPr>
          <w:rFonts w:hint="eastAsia" w:eastAsia="仿宋_GB2312"/>
          <w:i/>
          <w:iCs/>
          <w:color w:val="auto"/>
          <w:sz w:val="24"/>
        </w:rPr>
        <w:t xml:space="preserve">Procypris </w:t>
      </w:r>
      <w:r>
        <w:rPr>
          <w:rFonts w:hint="eastAsia" w:eastAsia="仿宋_GB2312"/>
          <w:color w:val="auto"/>
          <w:sz w:val="24"/>
        </w:rPr>
        <w:t>rabaudi）、铜鱼、圆口铜鱼（</w:t>
      </w:r>
      <w:r>
        <w:rPr>
          <w:rFonts w:hint="eastAsia" w:eastAsia="仿宋_GB2312"/>
          <w:i/>
          <w:iCs/>
          <w:color w:val="auto"/>
          <w:sz w:val="24"/>
        </w:rPr>
        <w:t>Coreius guichenoti</w:t>
      </w:r>
      <w:r>
        <w:rPr>
          <w:rFonts w:hint="eastAsia" w:eastAsia="仿宋_GB2312"/>
          <w:color w:val="auto"/>
          <w:sz w:val="24"/>
        </w:rPr>
        <w:t>）、蛇鮈（</w:t>
      </w:r>
      <w:r>
        <w:rPr>
          <w:rFonts w:hint="eastAsia" w:eastAsia="仿宋_GB2312"/>
          <w:i/>
          <w:iCs/>
          <w:color w:val="auto"/>
          <w:sz w:val="24"/>
          <w:u w:val="none"/>
        </w:rPr>
        <w:t>Saurogobio dabryi</w:t>
      </w:r>
      <w:r>
        <w:rPr>
          <w:rFonts w:hint="eastAsia" w:eastAsia="仿宋_GB2312"/>
          <w:color w:val="auto"/>
          <w:sz w:val="24"/>
        </w:rPr>
        <w:t>）、吻鮈（</w:t>
      </w:r>
      <w:r>
        <w:rPr>
          <w:rFonts w:hint="eastAsia" w:eastAsia="仿宋_GB2312"/>
          <w:i/>
          <w:iCs/>
          <w:color w:val="auto"/>
          <w:sz w:val="24"/>
        </w:rPr>
        <w:t>Rhinogobio typus</w:t>
      </w:r>
      <w:r>
        <w:rPr>
          <w:rFonts w:hint="eastAsia" w:eastAsia="仿宋_GB2312"/>
          <w:color w:val="auto"/>
          <w:sz w:val="24"/>
        </w:rPr>
        <w:t>）、长鳍吻鮈、宜昌鳅鮀（</w:t>
      </w:r>
      <w:r>
        <w:rPr>
          <w:rFonts w:hint="eastAsia" w:eastAsia="仿宋_GB2312"/>
          <w:i/>
          <w:iCs/>
          <w:color w:val="auto"/>
          <w:sz w:val="24"/>
          <w:u w:val="none"/>
        </w:rPr>
        <w:t>Gobiobotia filifer</w:t>
      </w:r>
      <w:r>
        <w:rPr>
          <w:rFonts w:hint="eastAsia" w:eastAsia="仿宋_GB2312"/>
          <w:color w:val="auto"/>
          <w:sz w:val="24"/>
        </w:rPr>
        <w:t>）、异鳔鳅鮀（</w:t>
      </w:r>
      <w:r>
        <w:rPr>
          <w:rFonts w:hint="eastAsia" w:eastAsia="仿宋_GB2312"/>
          <w:i/>
          <w:iCs/>
          <w:color w:val="auto"/>
          <w:sz w:val="24"/>
        </w:rPr>
        <w:t>Gobiobotia boulengeri</w:t>
      </w:r>
      <w:r>
        <w:rPr>
          <w:rFonts w:hint="eastAsia" w:eastAsia="仿宋_GB2312"/>
          <w:color w:val="auto"/>
          <w:sz w:val="24"/>
        </w:rPr>
        <w:t>）、长吻鮠、粗唇鮠（</w:t>
      </w:r>
      <w:r>
        <w:rPr>
          <w:rFonts w:hint="eastAsia" w:eastAsia="仿宋_GB2312"/>
          <w:i/>
          <w:iCs/>
          <w:color w:val="auto"/>
          <w:sz w:val="24"/>
          <w:u w:val="none"/>
        </w:rPr>
        <w:t>Leiocassis crassilabris</w:t>
      </w:r>
      <w:r>
        <w:rPr>
          <w:rFonts w:hint="eastAsia" w:eastAsia="仿宋_GB2312"/>
          <w:color w:val="auto"/>
          <w:sz w:val="24"/>
        </w:rPr>
        <w:t>）、南方鲇、大鳍鳠、鳜、大眼鳜等，为较大的江河中分布鱼类优势类群。</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val="en-US" w:eastAsia="zh-CN"/>
        </w:rPr>
        <w:t>⑥</w:t>
      </w:r>
      <w:r>
        <w:rPr>
          <w:rFonts w:hint="eastAsia" w:eastAsia="仿宋_GB2312"/>
          <w:color w:val="auto"/>
          <w:sz w:val="24"/>
        </w:rPr>
        <w:t>缓流水和静水生态类群：主要是一些小型种类，如䱗（</w:t>
      </w:r>
      <w:r>
        <w:rPr>
          <w:rFonts w:hint="eastAsia" w:eastAsia="仿宋_GB2312"/>
          <w:i/>
          <w:iCs/>
          <w:color w:val="auto"/>
          <w:sz w:val="24"/>
        </w:rPr>
        <w:t>Hemiculter leucisculus</w:t>
      </w:r>
      <w:r>
        <w:rPr>
          <w:rFonts w:hint="eastAsia" w:eastAsia="仿宋_GB2312"/>
          <w:color w:val="auto"/>
          <w:sz w:val="24"/>
        </w:rPr>
        <w:t>）、贝氏䱗（</w:t>
      </w:r>
      <w:r>
        <w:rPr>
          <w:rFonts w:hint="eastAsia" w:eastAsia="仿宋_GB2312"/>
          <w:i/>
          <w:iCs/>
          <w:color w:val="auto"/>
          <w:sz w:val="24"/>
        </w:rPr>
        <w:t>Hemiculter bleekeri</w:t>
      </w:r>
      <w:r>
        <w:rPr>
          <w:rFonts w:hint="eastAsia" w:eastAsia="仿宋_GB2312"/>
          <w:color w:val="auto"/>
          <w:sz w:val="24"/>
        </w:rPr>
        <w:t>）等。此类群是一群生活在侧流、缓流水的鱼类，个体小，或身体极侧扁，游泳能力不强，各鳍均不甚发达。</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val="en-US" w:eastAsia="zh-CN"/>
        </w:rPr>
        <w:t>⑦</w:t>
      </w:r>
      <w:r>
        <w:rPr>
          <w:rFonts w:hint="eastAsia" w:eastAsia="仿宋_GB2312"/>
          <w:color w:val="auto"/>
          <w:sz w:val="24"/>
        </w:rPr>
        <w:t>流水中、上层生态类群：栖息、摄食、繁殖等主要活动在水体的中、上层完成，包括红鲌、红鳍鲌（</w:t>
      </w:r>
      <w:r>
        <w:rPr>
          <w:rFonts w:hint="eastAsia" w:eastAsia="仿宋_GB2312"/>
          <w:i/>
          <w:iCs/>
          <w:color w:val="auto"/>
          <w:sz w:val="24"/>
        </w:rPr>
        <w:t>Culter erthropterus</w:t>
      </w:r>
      <w:r>
        <w:rPr>
          <w:rFonts w:hint="eastAsia" w:eastAsia="仿宋_GB2312"/>
          <w:color w:val="auto"/>
          <w:sz w:val="24"/>
        </w:rPr>
        <w:t>）、飘鱼（</w:t>
      </w:r>
      <w:r>
        <w:rPr>
          <w:rFonts w:hint="eastAsia" w:eastAsia="仿宋_GB2312"/>
          <w:i/>
          <w:iCs/>
          <w:color w:val="auto"/>
          <w:sz w:val="24"/>
        </w:rPr>
        <w:t>Pseudolaubuca sinensis</w:t>
      </w:r>
      <w:r>
        <w:rPr>
          <w:rFonts w:hint="eastAsia" w:eastAsia="仿宋_GB2312"/>
          <w:color w:val="auto"/>
          <w:sz w:val="24"/>
        </w:rPr>
        <w:t>）、䱗等属的种类。体长形，稍侧扁，腹部圆，适应于流水急流水体中、上层穿梭游泳，活动掠食；躯干部长，尾柄粗壮，是产生强大运动的动力源。</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val="en-US" w:eastAsia="zh-CN"/>
        </w:rPr>
        <w:t>⑧</w:t>
      </w:r>
      <w:r>
        <w:rPr>
          <w:rFonts w:hint="eastAsia" w:eastAsia="仿宋_GB2312"/>
          <w:color w:val="auto"/>
          <w:sz w:val="24"/>
        </w:rPr>
        <w:t>流水洞穴生态类群：该类群的鱼类主要或完全生活在流水水体底层的各种岩洞缝隙中，主要以发达的口须觅食底栖穴动物，种类往往是个体较小的鳅类等。主要包括泥鳅、黄鳝等</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2）根据鱼类产卵场的环境条件、产卵习性及卵粒特点，可以将鱼类的繁殖习性分成以下主要类型：</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①</w:t>
      </w:r>
      <w:r>
        <w:rPr>
          <w:rFonts w:hint="eastAsia" w:eastAsia="仿宋_GB2312"/>
          <w:color w:val="auto"/>
          <w:sz w:val="24"/>
        </w:rPr>
        <w:t>产漂流性卵：此繁殖类群对环境要求较高，必须满足一定的水温、水位、流速、流态、流程等水文条件才能完成繁殖和孵化。要求在多种急流水中上滩产卵排精，受精卵随水流漂浮发育，如急流水长度不够，受精卵将下沉窒息死亡。产漂流性卵鱼类需要湍急的水流条件，通常在汛期洪峰发生后产卵。这一类鱼卵比重略大于水，但产出后卵膜吸水膨胀，在水流的外力作用下，鱼卵悬浮在水层中顺水漂流。孵化出的早期仔鱼，仍然要顺水漂流，待身体发育到具备较强的溯游能力后，才能游到浅水或缓流处停歇。从卵产出到仔鱼具备溯游能力，一般需要30或40h以上，有的需要时间更长。</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这类群鱼类包括青鱼、草鱼、鲢、鳙等四大家鱼，还有长薄鳅、铜鱼、长鳍吻鮈、银鲴、花斑副沙鳅（</w:t>
      </w:r>
      <w:r>
        <w:rPr>
          <w:rFonts w:hint="eastAsia" w:eastAsia="仿宋_GB2312"/>
          <w:i/>
          <w:iCs/>
          <w:color w:val="auto"/>
          <w:sz w:val="24"/>
        </w:rPr>
        <w:t>Parabotia fasciata</w:t>
      </w:r>
      <w:r>
        <w:rPr>
          <w:rFonts w:hint="eastAsia" w:eastAsia="仿宋_GB2312"/>
          <w:color w:val="auto"/>
          <w:sz w:val="24"/>
        </w:rPr>
        <w:t>）、赤眼鳟、鳊、寡鳞飘鱼（</w:t>
      </w:r>
      <w:r>
        <w:rPr>
          <w:rFonts w:hint="eastAsia" w:eastAsia="仿宋_GB2312"/>
          <w:i/>
          <w:iCs/>
          <w:color w:val="auto"/>
          <w:sz w:val="24"/>
        </w:rPr>
        <w:t>Pseudolaubuca engraulis</w:t>
      </w:r>
      <w:r>
        <w:rPr>
          <w:rFonts w:hint="eastAsia" w:eastAsia="仿宋_GB2312"/>
          <w:color w:val="auto"/>
          <w:sz w:val="24"/>
        </w:rPr>
        <w:t>）、蛇鮈等。鱼类的产卵期主要集中为3~8月，多为4~6月。产卵水温在16~32℃之间。各主要经济鱼类多在18℃左右的水温时开始产卵。产卵高峰多在20~24℃间。</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产卵时除要求达到一定水温外，还需要一定的涨水刺激。总体分析，在产漂流性鱼类繁殖季节，江河的涨水过程包含着水位升高、流量增大、流速加快、流态紊乱和透明度减小等多种水文因素的变化，这些水文因素相互关联的，对鱼类繁殖刺激作用是综合的，但根据这些鱼类的繁殖活动是在水的上层，甚至表层进行的特点，其中流速的增大在促进鱼类繁殖的诸水文因素中，起主要作用。</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此外，鳜、大眼鳜的受精卵为微粘性，在发育过程中粘性逐步消失，由于卵黄具较大油球，也可随水漂流发育。</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②</w:t>
      </w:r>
      <w:r>
        <w:rPr>
          <w:rFonts w:hint="eastAsia" w:eastAsia="仿宋_GB2312"/>
          <w:color w:val="auto"/>
          <w:sz w:val="24"/>
        </w:rPr>
        <w:t>产粘性卵：本类群鱼类多在春夏间季节产卵，也有部分种类晚至秋季，且对产卵水域流态底质有不同的适应性，多数种类都需要一定的流水刺激。产出的卵或粘附于石砾、水草发育，或落于石缝间在激流冲击下发育。根据粘性程度不同又可以分为弱和强粘性卵两类，产弱粘性卵的种类包括胭脂鱼、南方鲇等，产强粘性卵的种类通常生活于激流浅滩或流速较大的河槽，产出的卵牢固地粘附在石砾表面，激流中孵化，如白鲟、长江鲟、瓦氏黄颡鱼、粗唇鮠、切尾拟鲿（</w:t>
      </w:r>
      <w:r>
        <w:rPr>
          <w:rFonts w:hint="eastAsia" w:eastAsia="仿宋_GB2312"/>
          <w:i/>
          <w:iCs/>
          <w:color w:val="auto"/>
          <w:sz w:val="24"/>
        </w:rPr>
        <w:t>Pseudobagrus truncatus</w:t>
      </w:r>
      <w:r>
        <w:rPr>
          <w:rFonts w:hint="eastAsia" w:eastAsia="仿宋_GB2312"/>
          <w:color w:val="auto"/>
          <w:sz w:val="24"/>
        </w:rPr>
        <w:t>）、大鳍鳠等。此外，鲇形目的黄颡鱼（</w:t>
      </w:r>
      <w:r>
        <w:rPr>
          <w:rFonts w:hint="eastAsia" w:eastAsia="仿宋_GB2312"/>
          <w:i/>
          <w:iCs/>
          <w:color w:val="auto"/>
          <w:sz w:val="24"/>
        </w:rPr>
        <w:t>Pelteobaggrus fulvidraco</w:t>
      </w:r>
      <w:r>
        <w:rPr>
          <w:rFonts w:hint="eastAsia" w:eastAsia="仿宋_GB2312"/>
          <w:color w:val="auto"/>
          <w:sz w:val="24"/>
        </w:rPr>
        <w:t>）、瓦氏黄颡鱼、光泽黄颡鱼（</w:t>
      </w:r>
      <w:r>
        <w:rPr>
          <w:rFonts w:hint="eastAsia" w:eastAsia="仿宋_GB2312"/>
          <w:i/>
          <w:iCs/>
          <w:color w:val="auto"/>
          <w:sz w:val="24"/>
        </w:rPr>
        <w:t>Pelteobaggrus nitidus</w:t>
      </w:r>
      <w:r>
        <w:rPr>
          <w:rFonts w:hint="eastAsia" w:eastAsia="仿宋_GB2312"/>
          <w:color w:val="auto"/>
          <w:sz w:val="24"/>
        </w:rPr>
        <w:t>）、长吻鮠、粗唇鮠、切尾拟鲿、细体拟鲿（</w:t>
      </w:r>
      <w:r>
        <w:rPr>
          <w:rFonts w:hint="eastAsia" w:eastAsia="仿宋_GB2312"/>
          <w:i/>
          <w:iCs/>
          <w:color w:val="auto"/>
          <w:sz w:val="24"/>
        </w:rPr>
        <w:t>Pseudobagrus pratti</w:t>
      </w:r>
      <w:r>
        <w:rPr>
          <w:rFonts w:hint="eastAsia" w:eastAsia="仿宋_GB2312"/>
          <w:color w:val="auto"/>
          <w:sz w:val="24"/>
        </w:rPr>
        <w:t>）、大鳍鳠、鲇、南方鲇等也属于本类群。</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在繁殖具体时间和对产卵基质要求上略有差异，例如胭脂鱼繁殖季节均在在3~4月，胭脂鱼产卵粘附于石块或其它物体上发育。唇䱻产卵期为3~5月，在底质为卵石或砾石，流速0.5~1.0m/s的流水滩产强粘性卵。红鳍原鲌（</w:t>
      </w:r>
      <w:r>
        <w:rPr>
          <w:rFonts w:hint="eastAsia" w:eastAsia="仿宋_GB2312"/>
          <w:i/>
          <w:iCs/>
          <w:color w:val="auto"/>
          <w:sz w:val="24"/>
        </w:rPr>
        <w:t>Cultrichthys erythropterus</w:t>
      </w:r>
      <w:r>
        <w:rPr>
          <w:rFonts w:hint="eastAsia" w:eastAsia="仿宋_GB2312"/>
          <w:color w:val="auto"/>
          <w:sz w:val="24"/>
        </w:rPr>
        <w:t>）等鲌亚科鱼类产卵期为5~7月，在湖泊等静水环境中繁殖，卵产出后粘附在马来眼子菜、聚草等水草上发育。黄颡鱼产卵期在5~6月，产卵前，雄鱼先在浅水区挖一浅坑，雌鱼产卵后雄鱼护巢发育。瓦氏黄颡鱼产卵期在4~5月，多在水流缓慢的浅水滩或水草多的岸边产卵，产卵后粘附于石头上育。粗唇鮠8~9月在浅水草丛中产卵，卵粘附于水草上孵化。大鳍鳠5~6月为产卵期，产卵于流水的浅滩上。少数鱼类可在静缓流水环境下繁殖，产粘性卵，其卵有的黏附于水草发育，如鲤、鲫、泥鳅等。</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③</w:t>
      </w:r>
      <w:r>
        <w:rPr>
          <w:rFonts w:hint="eastAsia" w:eastAsia="仿宋_GB2312"/>
          <w:color w:val="auto"/>
          <w:sz w:val="24"/>
        </w:rPr>
        <w:t>静水产浮性卵：包括乌鳢等。常产卵于缓流水体的草间，卵具油球，浮于水面，在水体中漂浮发育，亲鱼有护卵护幼的习性。</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④</w:t>
      </w:r>
      <w:r>
        <w:rPr>
          <w:rFonts w:hint="eastAsia" w:eastAsia="仿宋_GB2312"/>
          <w:color w:val="auto"/>
          <w:sz w:val="24"/>
        </w:rPr>
        <w:t>筑巢生殖：主要包括鮠类，在有流水的乱石或卵石处，较大的卵石或乱石挡住水流，水流绕石分流成小漩涡，多种黄颡鱼和鮠属鱼类常成对以卵石间隙为巢，产卵于小漩涡内，卵粒结成团，附着在石上，随微流水冲动发育。</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⑤</w:t>
      </w:r>
      <w:r>
        <w:rPr>
          <w:rFonts w:hint="eastAsia" w:eastAsia="仿宋_GB2312"/>
          <w:color w:val="auto"/>
          <w:sz w:val="24"/>
        </w:rPr>
        <w:t>产卵于软体动物体内：为鳑鮍亚科的种类，通常产卵于蚌、蚬、淡水壳菜等软体动物壳内。</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3）根据主要摄取的食物类别，可划分为5类：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①</w:t>
      </w:r>
      <w:r>
        <w:rPr>
          <w:rFonts w:hint="eastAsia" w:eastAsia="仿宋_GB2312"/>
          <w:color w:val="auto"/>
          <w:sz w:val="24"/>
        </w:rPr>
        <w:t>以着生藻类为主要食物的鱼类：在工程江段，以着生藻类为主要食物的鱼类口裂较宽、口横裂或近似横裂，下颌前缘有锋利的角质，用锋利角质刮取岩石上的周丛生物。主要有鲴类等鱼类。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②</w:t>
      </w:r>
      <w:r>
        <w:rPr>
          <w:rFonts w:hint="eastAsia" w:eastAsia="仿宋_GB2312"/>
          <w:color w:val="auto"/>
          <w:sz w:val="24"/>
        </w:rPr>
        <w:t>以浮游动植物为食的鱼类：在工程影响水域以游动植物为食的鱼类，口较大，鳃耙密而长，多栖息于湾沱以及开阔的水面，并且水流较缓，如鲢和鳙等鱼类。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③</w:t>
      </w:r>
      <w:r>
        <w:rPr>
          <w:rFonts w:hint="eastAsia" w:eastAsia="仿宋_GB2312"/>
          <w:color w:val="auto"/>
          <w:sz w:val="24"/>
        </w:rPr>
        <w:t>以底栖无脊椎动物为主要食物的鱼类：在工程影响水域以底栖无脊椎动物为主要食物的鱼类，口部常具发达的触须或唇较厚等特点。所摄取的食物主要是寡毛类等底栖无脊椎动物。常见的鱼类有鳅科、平鳍鳅科、鲿科、长江鲟、胭脂鱼等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④</w:t>
      </w:r>
      <w:r>
        <w:rPr>
          <w:rFonts w:hint="eastAsia" w:eastAsia="仿宋_GB2312"/>
          <w:color w:val="auto"/>
          <w:sz w:val="24"/>
        </w:rPr>
        <w:t>以鱼类为主要食物的鱼类：在工程影响水域以鱼类为主要食物的鱼类，口大，游泳速度快，常见的有近南方鲇和鳜类等鱼类。</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⑤</w:t>
      </w:r>
      <w:r>
        <w:rPr>
          <w:rFonts w:hint="eastAsia" w:eastAsia="仿宋_GB2312"/>
          <w:color w:val="auto"/>
          <w:sz w:val="24"/>
        </w:rPr>
        <w:t>杂食性鱼类：在工程影响水域，杂食性鱼类不仅食水生昆虫、虾类和淡水壳菜等动物性饲料，也食藻类、植物碎屑和种子等。常见的有圆筒吻鮈和长鳍吻鮈等鱼类。</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4.5.2.6鱼类三场一通道</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引用水利部中国科学院水工程生态研究所编制的《长江中游荆江河段水生生态现状调查及航道整治二期工程影响评价专题报告》（2016.9）中内容进行论述。</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鱼类早期资源监测选择四大家鱼自然繁殖较盛时段进行，调查时间为2014年</w:t>
      </w:r>
      <w:r>
        <w:rPr>
          <w:rFonts w:hint="eastAsia" w:eastAsia="仿宋_GB2312"/>
          <w:color w:val="auto"/>
          <w:sz w:val="24"/>
          <w:lang w:val="en-US" w:eastAsia="zh-CN"/>
        </w:rPr>
        <w:t>5</w:t>
      </w:r>
      <w:r>
        <w:rPr>
          <w:rFonts w:hint="eastAsia" w:eastAsia="仿宋_GB2312"/>
          <w:color w:val="auto"/>
          <w:sz w:val="24"/>
        </w:rPr>
        <w:t>月19日至</w:t>
      </w:r>
      <w:r>
        <w:rPr>
          <w:rFonts w:hint="eastAsia" w:eastAsia="仿宋_GB2312"/>
          <w:color w:val="auto"/>
          <w:sz w:val="24"/>
          <w:lang w:val="en-US" w:eastAsia="zh-CN"/>
        </w:rPr>
        <w:t>7</w:t>
      </w:r>
      <w:r>
        <w:rPr>
          <w:rFonts w:hint="eastAsia" w:eastAsia="仿宋_GB2312"/>
          <w:color w:val="auto"/>
          <w:sz w:val="24"/>
        </w:rPr>
        <w:t>月</w:t>
      </w:r>
      <w:r>
        <w:rPr>
          <w:rFonts w:hint="eastAsia" w:eastAsia="仿宋_GB2312"/>
          <w:color w:val="auto"/>
          <w:sz w:val="24"/>
          <w:lang w:val="en-US" w:eastAsia="zh-CN"/>
        </w:rPr>
        <w:t>17</w:t>
      </w:r>
      <w:r>
        <w:rPr>
          <w:rFonts w:hint="eastAsia" w:eastAsia="仿宋_GB2312"/>
          <w:color w:val="auto"/>
          <w:sz w:val="24"/>
        </w:rPr>
        <w:t>日和</w:t>
      </w:r>
      <w:r>
        <w:rPr>
          <w:rFonts w:hint="eastAsia" w:eastAsia="仿宋_GB2312"/>
          <w:color w:val="auto"/>
          <w:sz w:val="24"/>
          <w:lang w:val="en-US" w:eastAsia="zh-CN"/>
        </w:rPr>
        <w:t>2015</w:t>
      </w:r>
      <w:r>
        <w:rPr>
          <w:rFonts w:hint="eastAsia" w:eastAsia="仿宋_GB2312"/>
          <w:color w:val="auto"/>
          <w:sz w:val="24"/>
        </w:rPr>
        <w:t>年</w:t>
      </w:r>
      <w:r>
        <w:rPr>
          <w:rFonts w:hint="eastAsia" w:eastAsia="仿宋_GB2312"/>
          <w:color w:val="auto"/>
          <w:sz w:val="24"/>
          <w:lang w:val="en-US" w:eastAsia="zh-CN"/>
        </w:rPr>
        <w:t>5</w:t>
      </w:r>
      <w:r>
        <w:rPr>
          <w:rFonts w:hint="eastAsia" w:eastAsia="仿宋_GB2312"/>
          <w:color w:val="auto"/>
          <w:sz w:val="24"/>
        </w:rPr>
        <w:t>月18日至</w:t>
      </w:r>
      <w:r>
        <w:rPr>
          <w:rFonts w:hint="eastAsia" w:eastAsia="仿宋_GB2312"/>
          <w:color w:val="auto"/>
          <w:sz w:val="24"/>
          <w:lang w:val="en-US" w:eastAsia="zh-CN"/>
        </w:rPr>
        <w:t>7</w:t>
      </w:r>
      <w:r>
        <w:rPr>
          <w:rFonts w:hint="eastAsia" w:eastAsia="仿宋_GB2312"/>
          <w:color w:val="auto"/>
          <w:sz w:val="24"/>
        </w:rPr>
        <w:t>月</w:t>
      </w:r>
      <w:r>
        <w:rPr>
          <w:rFonts w:hint="eastAsia" w:eastAsia="仿宋_GB2312"/>
          <w:color w:val="auto"/>
          <w:sz w:val="24"/>
          <w:lang w:val="en-US" w:eastAsia="zh-CN"/>
        </w:rPr>
        <w:t>8</w:t>
      </w:r>
      <w:r>
        <w:rPr>
          <w:rFonts w:hint="eastAsia" w:eastAsia="仿宋_GB2312"/>
          <w:color w:val="auto"/>
          <w:sz w:val="24"/>
        </w:rPr>
        <w:t>日</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（1）产卵场</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①</w:t>
      </w:r>
      <w:r>
        <w:rPr>
          <w:rFonts w:hint="eastAsia" w:eastAsia="仿宋_GB2312"/>
          <w:color w:val="auto"/>
          <w:sz w:val="24"/>
        </w:rPr>
        <w:t>产漂流性卵鱼类产卵场</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历史资料，长江中游是四大家鱼等漂流性鱼类的主要产卵场所。“四大家鱼”等产漂流性卵鱼类产卵的条件除需要具备一定的水温条件外，还需要河流的涨水刺激和特定的水文情势。江河涨水实际上包含流量加大、水位上升、流速加快、透明度减小以及流态紊乱等一行列水文因素的变化过程。“四大家鱼”等产漂流性卵鱼类产卵场的河道特点为河道多弯曲、复杂，或者有矶头伸入江中处，江心多沙洲。这些特点可导致区域水文情势复杂，流速发生变化，水流紊乱，形成泡漩水面，鱼类的精液和鱼卵可随水流上下翻腾，充分结合授精，是产漂流性卵鱼类最为适宜的繁殖条件。产卵季节，当水文条件适宜时，便能刺激亲鱼在产卵场水域产卵。</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据易伯鲁等调查（1986），葛洲坝下宜昌至城陵矶江段分布有11个四大家鱼产卵场，其中工程所在枝江江段分布2个四大家鱼产卵场，分别为宜都和枝江产卵场，分别占长江干流总规模的0.5%和1.8%。</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2014年5月至7月和2015年5月至7月沙市设置断面开展鱼类产卵场现状调查，调查主要内容为产卵规模与产卵场位置。记录获得的卵苗采集时间、种类、发育期、数量、当时江水流速、网口流速、水温、透明度等数据；在苗汛期间，进行断面采集</w:t>
      </w:r>
      <w:r>
        <w:rPr>
          <w:rFonts w:hint="eastAsia" w:eastAsia="仿宋_GB2312"/>
          <w:color w:val="auto"/>
          <w:sz w:val="24"/>
          <w:lang w:eastAsia="zh-CN"/>
        </w:rPr>
        <w:t>。推算四大家鱼产卵场的位置与分布等。</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监测期间沙市断面共采集到各种鱼卵20419粒，鱼苗28334尾。经培养鉴定，共有近40种鱼类，其中鱼卵28种、鱼苗37种。鱼卵组成中，以银鮈、细鳞鲴占绝对优势，两者数量占比为66.95%；其次为副沙鳅（双斑、花斑2种）、蛇鮈、䱗、翘嘴鲌、鳊、银鲴、鳅鮀等（均大于1%），共占29.29%；其余18个种类仅占3.76%。鱼苗组成中，以细鳞鲴、飘鱼占绝对优势，两者数量占比高达87.62%；其次为银鲴，占5.55%；䱗、蛇鮈、银鮈、黄尾鲴、寡鳞飘鱼、鱤等，数量比均在0.5%-1%之间，共占4.84%；其余28个种类仅占1.99%。</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eastAsia="zh-CN"/>
        </w:rPr>
        <w:t>估算沙市断面的鱼卵总径流量为249.57亿粒，日径流量变化范围为0.51~34.26亿，日漂流密度变化范围为21~1447粒/1000m</w:t>
      </w:r>
      <w:r>
        <w:rPr>
          <w:rFonts w:hint="eastAsia" w:eastAsia="仿宋_GB2312"/>
          <w:color w:val="auto"/>
          <w:sz w:val="24"/>
          <w:vertAlign w:val="superscript"/>
          <w:lang w:eastAsia="zh-CN"/>
        </w:rPr>
        <w:t>3</w:t>
      </w:r>
      <w:r>
        <w:rPr>
          <w:rFonts w:hint="eastAsia" w:eastAsia="仿宋_GB2312"/>
          <w:color w:val="auto"/>
          <w:sz w:val="24"/>
          <w:lang w:eastAsia="zh-CN"/>
        </w:rPr>
        <w:t>。鱼苗总径流量为569.61亿尾，日径流量变化范围为21.03万~126.96亿尾，日漂流密度变化范围为0.23~7631尾/1000m</w:t>
      </w:r>
      <w:r>
        <w:rPr>
          <w:rFonts w:hint="eastAsia" w:eastAsia="仿宋_GB2312"/>
          <w:color w:val="auto"/>
          <w:sz w:val="24"/>
          <w:vertAlign w:val="superscript"/>
          <w:lang w:eastAsia="zh-CN"/>
        </w:rPr>
        <w:t>3</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根据采集到的鱼卵发育时期，结合当时的流速推算产卵场的位置。根据调查结果，工程江段下游四大家鱼的产卵场主要位于两处江段，</w:t>
      </w:r>
      <w:r>
        <w:rPr>
          <w:rFonts w:hint="eastAsia" w:eastAsia="仿宋_GB2312"/>
          <w:color w:val="auto"/>
          <w:sz w:val="24"/>
          <w:lang w:val="en-US" w:eastAsia="zh-CN"/>
        </w:rPr>
        <w:t>见表4.5-4及图4.5-8</w:t>
      </w:r>
      <w:r>
        <w:rPr>
          <w:rFonts w:hint="eastAsia" w:eastAsia="仿宋_GB2312"/>
          <w:color w:val="auto"/>
          <w:sz w:val="24"/>
          <w:lang w:eastAsia="zh-CN"/>
        </w:rPr>
        <w:t>。</w:t>
      </w:r>
    </w:p>
    <w:p>
      <w:pPr>
        <w:widowControl w:val="0"/>
        <w:spacing w:line="360" w:lineRule="auto"/>
        <w:ind w:firstLine="422" w:firstLineChars="200"/>
        <w:contextualSpacing/>
        <w:jc w:val="center"/>
        <w:rPr>
          <w:rFonts w:hint="eastAsia" w:eastAsia="黑体"/>
          <w:b/>
          <w:color w:val="auto"/>
          <w:szCs w:val="21"/>
        </w:rPr>
      </w:pPr>
      <w:r>
        <w:rPr>
          <w:rFonts w:eastAsia="黑体"/>
          <w:b/>
          <w:color w:val="auto"/>
          <w:szCs w:val="21"/>
        </w:rPr>
        <w:t>表4.</w:t>
      </w:r>
      <w:r>
        <w:rPr>
          <w:rFonts w:hint="eastAsia" w:eastAsia="黑体"/>
          <w:b/>
          <w:color w:val="auto"/>
          <w:szCs w:val="21"/>
          <w:lang w:val="en-US" w:eastAsia="zh-CN"/>
        </w:rPr>
        <w:t>5-4</w:t>
      </w:r>
      <w:r>
        <w:rPr>
          <w:rFonts w:eastAsia="黑体"/>
          <w:b/>
          <w:color w:val="auto"/>
          <w:szCs w:val="21"/>
        </w:rPr>
        <w:t xml:space="preserve">  </w:t>
      </w:r>
      <w:r>
        <w:rPr>
          <w:rFonts w:hint="eastAsia" w:eastAsia="黑体"/>
          <w:b/>
          <w:color w:val="auto"/>
          <w:szCs w:val="21"/>
          <w:lang w:val="en-US" w:eastAsia="zh-CN"/>
        </w:rPr>
        <w:t>枝江江段四大家鱼产卵场分布和规模一览</w:t>
      </w:r>
      <w:r>
        <w:rPr>
          <w:rFonts w:eastAsia="黑体"/>
          <w:b/>
          <w:color w:val="auto"/>
          <w:szCs w:val="21"/>
        </w:rPr>
        <w:t>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2352"/>
        <w:gridCol w:w="1679"/>
        <w:gridCol w:w="1618"/>
        <w:gridCol w:w="15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产卵场名称</w:t>
            </w:r>
          </w:p>
        </w:tc>
        <w:tc>
          <w:tcPr>
            <w:tcW w:w="1381"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与工程位置关系</w:t>
            </w:r>
          </w:p>
        </w:tc>
        <w:tc>
          <w:tcPr>
            <w:tcW w:w="986"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延伸长度（km）</w:t>
            </w:r>
          </w:p>
        </w:tc>
        <w:tc>
          <w:tcPr>
            <w:tcW w:w="950"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产卵规模（亿粒）</w:t>
            </w:r>
          </w:p>
        </w:tc>
        <w:tc>
          <w:tcPr>
            <w:tcW w:w="916" w:type="pct"/>
            <w:tcBorders>
              <w:top w:val="single" w:color="auto" w:sz="12" w:space="0"/>
              <w:bottom w:val="single" w:color="auto" w:sz="12" w:space="0"/>
            </w:tcBorders>
            <w:noWrap w:val="0"/>
            <w:vAlign w:val="center"/>
          </w:tcPr>
          <w:p>
            <w:pPr>
              <w:pStyle w:val="702"/>
              <w:widowControl w:val="0"/>
              <w:spacing w:line="240" w:lineRule="auto"/>
              <w:contextualSpacing/>
              <w:rPr>
                <w:rFonts w:hint="default"/>
                <w:color w:val="auto"/>
                <w:kern w:val="2"/>
                <w:sz w:val="20"/>
                <w:szCs w:val="20"/>
                <w:lang w:val="en-US" w:eastAsia="zh-CN"/>
              </w:rPr>
            </w:pPr>
            <w:r>
              <w:rPr>
                <w:rFonts w:hint="eastAsia"/>
                <w:color w:val="auto"/>
                <w:kern w:val="2"/>
                <w:sz w:val="20"/>
                <w:szCs w:val="20"/>
                <w:lang w:val="en-US" w:eastAsia="zh-CN"/>
              </w:rPr>
              <w:t>产卵种类组成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松滋河口</w:t>
            </w:r>
          </w:p>
        </w:tc>
        <w:tc>
          <w:tcPr>
            <w:tcW w:w="1381" w:type="pct"/>
            <w:noWrap w:val="0"/>
            <w:vAlign w:val="center"/>
          </w:tcPr>
          <w:p>
            <w:pPr>
              <w:widowControl w:val="0"/>
              <w:spacing w:line="240" w:lineRule="atLeast"/>
              <w:jc w:val="center"/>
              <w:rPr>
                <w:rFonts w:hint="default" w:eastAsia="宋体"/>
                <w:color w:val="auto"/>
                <w:sz w:val="20"/>
                <w:lang w:val="en-US" w:eastAsia="zh-CN"/>
              </w:rPr>
            </w:pPr>
            <w:r>
              <w:rPr>
                <w:rFonts w:hint="eastAsia"/>
                <w:color w:val="auto"/>
                <w:sz w:val="20"/>
                <w:lang w:val="en-US" w:eastAsia="zh-CN"/>
              </w:rPr>
              <w:t>位于工程下游，最近距离约7.7km</w:t>
            </w:r>
            <w:r>
              <w:rPr>
                <w:rFonts w:hint="eastAsia"/>
                <w:color w:val="auto"/>
                <w:sz w:val="20"/>
              </w:rPr>
              <w:t>处</w:t>
            </w:r>
          </w:p>
        </w:tc>
        <w:tc>
          <w:tcPr>
            <w:tcW w:w="986"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5</w:t>
            </w:r>
          </w:p>
        </w:tc>
        <w:tc>
          <w:tcPr>
            <w:tcW w:w="950" w:type="pct"/>
            <w:noWrap w:val="0"/>
            <w:vAlign w:val="center"/>
          </w:tcPr>
          <w:p>
            <w:pPr>
              <w:widowControl w:val="0"/>
              <w:contextualSpacing/>
              <w:jc w:val="center"/>
              <w:rPr>
                <w:rFonts w:hint="default" w:eastAsia="宋体"/>
                <w:color w:val="auto"/>
                <w:sz w:val="20"/>
                <w:lang w:val="en-US" w:eastAsia="zh-CN"/>
              </w:rPr>
            </w:pPr>
            <w:r>
              <w:rPr>
                <w:rFonts w:hint="eastAsia" w:eastAsia="宋体"/>
                <w:color w:val="auto"/>
                <w:sz w:val="20"/>
                <w:lang w:val="en-US" w:eastAsia="zh-CN"/>
              </w:rPr>
              <w:t>0.19</w:t>
            </w:r>
          </w:p>
        </w:tc>
        <w:tc>
          <w:tcPr>
            <w:tcW w:w="916"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草鱼、鲢、青鱼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董市</w:t>
            </w:r>
          </w:p>
        </w:tc>
        <w:tc>
          <w:tcPr>
            <w:tcW w:w="1381" w:type="pct"/>
            <w:noWrap w:val="0"/>
            <w:vAlign w:val="center"/>
          </w:tcPr>
          <w:p>
            <w:pPr>
              <w:widowControl w:val="0"/>
              <w:contextualSpacing/>
              <w:jc w:val="center"/>
              <w:rPr>
                <w:color w:val="auto"/>
                <w:sz w:val="20"/>
              </w:rPr>
            </w:pPr>
            <w:r>
              <w:rPr>
                <w:rFonts w:hint="eastAsia"/>
                <w:color w:val="auto"/>
                <w:sz w:val="20"/>
              </w:rPr>
              <w:t>位于工程下游，最近距离约</w:t>
            </w:r>
            <w:r>
              <w:rPr>
                <w:rFonts w:hint="eastAsia"/>
                <w:color w:val="auto"/>
                <w:sz w:val="20"/>
                <w:lang w:val="en-US" w:eastAsia="zh-CN"/>
              </w:rPr>
              <w:t>18.9</w:t>
            </w:r>
            <w:r>
              <w:rPr>
                <w:rFonts w:hint="eastAsia"/>
                <w:color w:val="auto"/>
                <w:sz w:val="20"/>
              </w:rPr>
              <w:t>km处</w:t>
            </w:r>
          </w:p>
        </w:tc>
        <w:tc>
          <w:tcPr>
            <w:tcW w:w="986"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10</w:t>
            </w:r>
          </w:p>
        </w:tc>
        <w:tc>
          <w:tcPr>
            <w:tcW w:w="950" w:type="pct"/>
            <w:noWrap w:val="0"/>
            <w:vAlign w:val="center"/>
          </w:tcPr>
          <w:p>
            <w:pPr>
              <w:widowControl w:val="0"/>
              <w:contextualSpacing/>
              <w:jc w:val="center"/>
              <w:rPr>
                <w:rFonts w:hint="default" w:eastAsia="宋体"/>
                <w:color w:val="auto"/>
                <w:sz w:val="20"/>
                <w:lang w:val="en-US" w:eastAsia="zh-CN"/>
              </w:rPr>
            </w:pPr>
            <w:r>
              <w:rPr>
                <w:rFonts w:hint="eastAsia" w:eastAsia="宋体"/>
                <w:color w:val="auto"/>
                <w:sz w:val="20"/>
                <w:lang w:val="en-US" w:eastAsia="zh-CN"/>
              </w:rPr>
              <w:t>0.27</w:t>
            </w:r>
          </w:p>
        </w:tc>
        <w:tc>
          <w:tcPr>
            <w:tcW w:w="916"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草鱼、鲢、鳙</w:t>
            </w:r>
          </w:p>
        </w:tc>
      </w:tr>
    </w:tbl>
    <w:p>
      <w:pPr>
        <w:widowControl w:val="0"/>
        <w:spacing w:before="120" w:beforeLines="50" w:line="360" w:lineRule="auto"/>
        <w:jc w:val="center"/>
        <w:rPr>
          <w:rFonts w:hint="eastAsia" w:eastAsia="仿宋_GB2312"/>
          <w:color w:val="auto"/>
          <w:sz w:val="24"/>
        </w:rPr>
      </w:pPr>
      <w:r>
        <w:rPr>
          <w:rFonts w:hint="eastAsia" w:eastAsia="仿宋_GB2312"/>
          <w:color w:val="auto"/>
          <w:sz w:val="24"/>
        </w:rPr>
        <w:object>
          <v:shape id="_x0000_i1040" o:spt="75" type="#_x0000_t75" style="height:237.6pt;width:334.45pt;" o:ole="t" filled="f" o:preferrelative="t" stroked="f" coordsize="21600,21600">
            <v:path/>
            <v:fill on="f" focussize="0,0"/>
            <v:stroke on="f"/>
            <v:imagedata r:id="rId71" o:title=""/>
            <o:lock v:ext="edit" aspectratio="f"/>
            <w10:wrap type="none"/>
            <w10:anchorlock/>
          </v:shape>
          <o:OLEObject Type="Embed" ProgID="Visio.Drawing.15" ShapeID="_x0000_i1040" DrawAspect="Content" ObjectID="_1468075740" r:id="rId70">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4.5-8</w:t>
      </w:r>
      <w:r>
        <w:rPr>
          <w:rFonts w:eastAsia="黑体"/>
          <w:b/>
          <w:color w:val="auto"/>
          <w:szCs w:val="21"/>
          <w:lang w:val="zh-CN"/>
        </w:rPr>
        <w:t xml:space="preserve">  </w:t>
      </w:r>
      <w:r>
        <w:rPr>
          <w:rFonts w:hint="eastAsia" w:eastAsia="黑体"/>
          <w:b/>
          <w:color w:val="auto"/>
          <w:szCs w:val="21"/>
          <w:lang w:val="en-US" w:eastAsia="zh-CN"/>
        </w:rPr>
        <w:t>工程所在江段四大家鱼产卵场位置图</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②产粘性、沉性卵鱼类产卵场</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产粘性、沉性卵的鱼类多以岸边的草丛、石基为产卵基质，从河道生境分布特点看，调查水域洲滩以粘砾石为主，粘砾石卵鱼类产卵水域较为丰富。产粘砾石卵鱼类产卵场主要分布在松滋河源口、董市河段等区域</w:t>
      </w:r>
      <w:r>
        <w:rPr>
          <w:rFonts w:hint="eastAsia" w:eastAsia="仿宋_GB2312"/>
          <w:color w:val="auto"/>
          <w:sz w:val="24"/>
          <w:lang w:eastAsia="zh-CN"/>
        </w:rPr>
        <w:t>，</w:t>
      </w:r>
      <w:r>
        <w:rPr>
          <w:rFonts w:hint="eastAsia" w:eastAsia="仿宋_GB2312"/>
          <w:color w:val="auto"/>
          <w:sz w:val="24"/>
          <w:lang w:val="en-US" w:eastAsia="zh-CN"/>
        </w:rPr>
        <w:t>见表4.5-5及图4.5-9</w:t>
      </w:r>
      <w:r>
        <w:rPr>
          <w:rFonts w:hint="eastAsia" w:eastAsia="仿宋_GB2312"/>
          <w:color w:val="auto"/>
          <w:sz w:val="24"/>
          <w:lang w:eastAsia="zh-CN"/>
        </w:rPr>
        <w:t>。</w:t>
      </w:r>
    </w:p>
    <w:p>
      <w:pPr>
        <w:widowControl w:val="0"/>
        <w:spacing w:line="360" w:lineRule="auto"/>
        <w:ind w:firstLine="422" w:firstLineChars="200"/>
        <w:contextualSpacing/>
        <w:jc w:val="center"/>
        <w:rPr>
          <w:rFonts w:hint="eastAsia" w:eastAsia="黑体"/>
          <w:b/>
          <w:color w:val="auto"/>
          <w:szCs w:val="21"/>
        </w:rPr>
      </w:pPr>
      <w:r>
        <w:rPr>
          <w:rFonts w:eastAsia="黑体"/>
          <w:b/>
          <w:color w:val="auto"/>
          <w:szCs w:val="21"/>
        </w:rPr>
        <w:t>表4.</w:t>
      </w:r>
      <w:r>
        <w:rPr>
          <w:rFonts w:hint="eastAsia" w:eastAsia="黑体"/>
          <w:b/>
          <w:color w:val="auto"/>
          <w:szCs w:val="21"/>
          <w:lang w:val="en-US" w:eastAsia="zh-CN"/>
        </w:rPr>
        <w:t>5-5</w:t>
      </w:r>
      <w:r>
        <w:rPr>
          <w:rFonts w:eastAsia="黑体"/>
          <w:b/>
          <w:color w:val="auto"/>
          <w:szCs w:val="21"/>
        </w:rPr>
        <w:t xml:space="preserve">  </w:t>
      </w:r>
      <w:r>
        <w:rPr>
          <w:rFonts w:hint="eastAsia" w:eastAsia="黑体"/>
          <w:b/>
          <w:color w:val="auto"/>
          <w:szCs w:val="21"/>
          <w:lang w:val="en-US" w:eastAsia="zh-CN"/>
        </w:rPr>
        <w:t>产粘沉型卵主要产卵场及其种类</w:t>
      </w:r>
      <w:r>
        <w:rPr>
          <w:rFonts w:eastAsia="黑体"/>
          <w:b/>
          <w:color w:val="auto"/>
          <w:szCs w:val="21"/>
        </w:rPr>
        <w:t>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1332"/>
        <w:gridCol w:w="2865"/>
        <w:gridCol w:w="3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产卵场名称</w:t>
            </w:r>
          </w:p>
        </w:tc>
        <w:tc>
          <w:tcPr>
            <w:tcW w:w="782"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产卵场性质</w:t>
            </w:r>
          </w:p>
        </w:tc>
        <w:tc>
          <w:tcPr>
            <w:tcW w:w="1682" w:type="pct"/>
            <w:tcBorders>
              <w:top w:val="single" w:color="auto" w:sz="12" w:space="0"/>
              <w:bottom w:val="single" w:color="auto" w:sz="12" w:space="0"/>
            </w:tcBorders>
            <w:noWrap w:val="0"/>
            <w:vAlign w:val="center"/>
          </w:tcPr>
          <w:p>
            <w:pPr>
              <w:widowControl w:val="0"/>
              <w:contextualSpacing/>
              <w:jc w:val="center"/>
              <w:rPr>
                <w:rFonts w:hint="default" w:eastAsia="宋体"/>
                <w:color w:val="auto"/>
                <w:sz w:val="20"/>
                <w:lang w:val="en-US" w:eastAsia="zh-CN"/>
              </w:rPr>
            </w:pPr>
            <w:r>
              <w:rPr>
                <w:rFonts w:hint="eastAsia" w:eastAsia="宋体"/>
                <w:color w:val="auto"/>
                <w:sz w:val="20"/>
                <w:lang w:val="en-US" w:eastAsia="zh-CN"/>
              </w:rPr>
              <w:t>与工程位置的关系</w:t>
            </w:r>
          </w:p>
        </w:tc>
        <w:tc>
          <w:tcPr>
            <w:tcW w:w="1769" w:type="pct"/>
            <w:tcBorders>
              <w:top w:val="single" w:color="auto" w:sz="12" w:space="0"/>
              <w:bottom w:val="single" w:color="auto" w:sz="12" w:space="0"/>
            </w:tcBorders>
            <w:noWrap w:val="0"/>
            <w:vAlign w:val="center"/>
          </w:tcPr>
          <w:p>
            <w:pPr>
              <w:pStyle w:val="702"/>
              <w:widowControl w:val="0"/>
              <w:spacing w:line="240" w:lineRule="auto"/>
              <w:contextualSpacing/>
              <w:rPr>
                <w:rFonts w:hint="default"/>
                <w:color w:val="auto"/>
                <w:kern w:val="2"/>
                <w:sz w:val="20"/>
                <w:szCs w:val="20"/>
                <w:lang w:val="en-US" w:eastAsia="zh-CN"/>
              </w:rPr>
            </w:pPr>
            <w:r>
              <w:rPr>
                <w:rFonts w:hint="eastAsia"/>
                <w:color w:val="auto"/>
                <w:kern w:val="2"/>
                <w:sz w:val="20"/>
                <w:szCs w:val="20"/>
                <w:lang w:val="en-US" w:eastAsia="zh-CN"/>
              </w:rPr>
              <w:t>产卵主要种类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松滋河口</w:t>
            </w:r>
          </w:p>
        </w:tc>
        <w:tc>
          <w:tcPr>
            <w:tcW w:w="782" w:type="pct"/>
            <w:noWrap w:val="0"/>
            <w:vAlign w:val="center"/>
          </w:tcPr>
          <w:p>
            <w:pPr>
              <w:widowControl w:val="0"/>
              <w:spacing w:line="240" w:lineRule="atLeast"/>
              <w:jc w:val="center"/>
              <w:rPr>
                <w:rFonts w:hint="default" w:eastAsia="宋体"/>
                <w:color w:val="auto"/>
                <w:sz w:val="20"/>
                <w:lang w:val="en-US" w:eastAsia="zh-CN"/>
              </w:rPr>
            </w:pPr>
            <w:r>
              <w:rPr>
                <w:rFonts w:hint="eastAsia" w:eastAsia="宋体"/>
                <w:color w:val="auto"/>
                <w:sz w:val="20"/>
                <w:lang w:val="en-US" w:eastAsia="zh-CN"/>
              </w:rPr>
              <w:t>粘砾石</w:t>
            </w:r>
          </w:p>
        </w:tc>
        <w:tc>
          <w:tcPr>
            <w:tcW w:w="1682" w:type="pct"/>
            <w:noWrap w:val="0"/>
            <w:vAlign w:val="center"/>
          </w:tcPr>
          <w:p>
            <w:pPr>
              <w:widowControl w:val="0"/>
              <w:spacing w:line="240" w:lineRule="atLeast"/>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位于工程下游，最近距离约8.5km</w:t>
            </w:r>
            <w:r>
              <w:rPr>
                <w:rFonts w:hint="eastAsia"/>
                <w:color w:val="auto"/>
                <w:sz w:val="20"/>
              </w:rPr>
              <w:t>处</w:t>
            </w:r>
          </w:p>
        </w:tc>
        <w:tc>
          <w:tcPr>
            <w:tcW w:w="1769"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鲇、黄颡鱼、花䱻、宽鳍鱲、大鳍鳠等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5" w:type="pct"/>
            <w:noWrap w:val="0"/>
            <w:vAlign w:val="center"/>
          </w:tcPr>
          <w:p>
            <w:pPr>
              <w:widowControl w:val="0"/>
              <w:contextualSpacing/>
              <w:jc w:val="center"/>
              <w:rPr>
                <w:rFonts w:hint="default" w:eastAsia="宋体"/>
                <w:color w:val="auto"/>
                <w:sz w:val="20"/>
                <w:lang w:val="en-US" w:eastAsia="zh-CN"/>
              </w:rPr>
            </w:pPr>
            <w:r>
              <w:rPr>
                <w:rFonts w:hint="eastAsia"/>
                <w:color w:val="auto"/>
                <w:sz w:val="20"/>
                <w:lang w:val="en-US" w:eastAsia="zh-CN"/>
              </w:rPr>
              <w:t>董市</w:t>
            </w:r>
          </w:p>
        </w:tc>
        <w:tc>
          <w:tcPr>
            <w:tcW w:w="782" w:type="pct"/>
            <w:noWrap w:val="0"/>
            <w:vAlign w:val="center"/>
          </w:tcPr>
          <w:p>
            <w:pPr>
              <w:widowControl w:val="0"/>
              <w:contextualSpacing/>
              <w:jc w:val="center"/>
              <w:rPr>
                <w:color w:val="auto"/>
                <w:sz w:val="20"/>
              </w:rPr>
            </w:pPr>
            <w:r>
              <w:rPr>
                <w:rFonts w:hint="eastAsia" w:eastAsia="宋体"/>
                <w:color w:val="auto"/>
                <w:sz w:val="20"/>
                <w:lang w:val="en-US" w:eastAsia="zh-CN"/>
              </w:rPr>
              <w:t>粘砾石</w:t>
            </w:r>
          </w:p>
        </w:tc>
        <w:tc>
          <w:tcPr>
            <w:tcW w:w="1682" w:type="pct"/>
            <w:noWrap w:val="0"/>
            <w:vAlign w:val="center"/>
          </w:tcPr>
          <w:p>
            <w:pPr>
              <w:widowControl w:val="0"/>
              <w:contextualSpacing/>
              <w:jc w:val="center"/>
              <w:rPr>
                <w:rFonts w:hint="default" w:ascii="Times New Roman" w:hAnsi="Times New Roman" w:eastAsia="宋体" w:cs="Times New Roman"/>
                <w:color w:val="auto"/>
                <w:kern w:val="2"/>
                <w:sz w:val="20"/>
                <w:lang w:val="en-US" w:eastAsia="zh-CN" w:bidi="ar-SA"/>
              </w:rPr>
            </w:pPr>
            <w:r>
              <w:rPr>
                <w:rFonts w:hint="eastAsia"/>
                <w:color w:val="auto"/>
                <w:sz w:val="20"/>
              </w:rPr>
              <w:t>位于工程下游，最近距离约</w:t>
            </w:r>
            <w:r>
              <w:rPr>
                <w:rFonts w:hint="eastAsia"/>
                <w:color w:val="auto"/>
                <w:sz w:val="20"/>
                <w:lang w:val="en-US" w:eastAsia="zh-CN"/>
              </w:rPr>
              <w:t>18.5</w:t>
            </w:r>
            <w:r>
              <w:rPr>
                <w:rFonts w:hint="eastAsia"/>
                <w:color w:val="auto"/>
                <w:sz w:val="20"/>
              </w:rPr>
              <w:t>km处</w:t>
            </w:r>
          </w:p>
        </w:tc>
        <w:tc>
          <w:tcPr>
            <w:tcW w:w="1769" w:type="pct"/>
            <w:noWrap w:val="0"/>
            <w:vAlign w:val="center"/>
          </w:tcPr>
          <w:p>
            <w:pPr>
              <w:widowControl w:val="0"/>
              <w:contextualSpacing/>
              <w:jc w:val="center"/>
              <w:rPr>
                <w:rFonts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鲇、黄颡鱼、瓦氏黄颡鱼、长吻鮠、宽鳍鱲、大鳍鳠等</w:t>
            </w:r>
          </w:p>
        </w:tc>
      </w:tr>
    </w:tbl>
    <w:p>
      <w:pPr>
        <w:widowControl w:val="0"/>
        <w:spacing w:before="120" w:beforeLines="50" w:line="360" w:lineRule="auto"/>
        <w:jc w:val="center"/>
        <w:rPr>
          <w:rFonts w:hint="eastAsia" w:eastAsia="仿宋_GB2312"/>
          <w:color w:val="auto"/>
          <w:sz w:val="24"/>
        </w:rPr>
      </w:pPr>
      <w:r>
        <w:rPr>
          <w:rFonts w:hint="eastAsia" w:eastAsia="仿宋_GB2312"/>
          <w:color w:val="auto"/>
          <w:sz w:val="24"/>
        </w:rPr>
        <w:object>
          <v:shape id="_x0000_i1041" o:spt="75" type="#_x0000_t75" style="height:237.6pt;width:334.45pt;" o:ole="t" filled="f" o:preferrelative="t" stroked="f" coordsize="21600,21600">
            <v:path/>
            <v:fill on="f" focussize="0,0"/>
            <v:stroke on="f"/>
            <v:imagedata r:id="rId73" o:title=""/>
            <o:lock v:ext="edit" aspectratio="f"/>
            <w10:wrap type="none"/>
            <w10:anchorlock/>
          </v:shape>
          <o:OLEObject Type="Embed" ProgID="Visio.Drawing.15" ShapeID="_x0000_i1041" DrawAspect="Content" ObjectID="_1468075741" r:id="rId72">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4.5-9</w:t>
      </w:r>
      <w:r>
        <w:rPr>
          <w:rFonts w:eastAsia="黑体"/>
          <w:b/>
          <w:color w:val="auto"/>
          <w:szCs w:val="21"/>
          <w:lang w:val="zh-CN"/>
        </w:rPr>
        <w:t xml:space="preserve">  </w:t>
      </w:r>
      <w:r>
        <w:rPr>
          <w:rFonts w:hint="eastAsia" w:eastAsia="黑体"/>
          <w:b/>
          <w:color w:val="auto"/>
          <w:szCs w:val="21"/>
          <w:lang w:val="en-US" w:eastAsia="zh-CN"/>
        </w:rPr>
        <w:t>工程所在江段四大家鱼产卵场位置图</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索饵场</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鱼类的索饵或育幼场，常取决于其食性。摄食浮游生物的种类，如鲢、鳙等，多以水清质肥的通江湖泊、故道作为其索饵场。摄食水生维管束植物的草鱼、团头鲂等，摄食螺蚌、水蚯蚓等底栖动物的青鱼、鲤等鱼类，水草丰盛的通江湖泊、故道是其最主要的索饵场。刮食性鱼类多以浅水边滩的礁石或砾石滩作为索饵场。杂食性鱼类的索饵场，常零散分布，除通江湖泊、故道外，城镇及村落沿岸，汇入长江的小支流末端，都是其重要索饵水域。鳡、乌鳢、鲌类、鲇科、鲿科鱼类等以鱼类为食的索饵场，与其生活习性及被摄食鱼群分布有关，有的在水体上层，有的在水体下层，有的在两岸及洲滩等浅水水域。鱼类幼苗多以浮游生物为食，通江湖泊、故道浮游生物丰富，鱼类育幼场主要为通江湖泊。干支流的浅水河湾也是鱼类重要的育幼场。工程所在区域未发现鱼类明显的索饵场</w:t>
      </w:r>
      <w:r>
        <w:rPr>
          <w:rFonts w:hint="eastAsia" w:eastAsia="仿宋_GB2312"/>
          <w:color w:val="auto"/>
          <w:sz w:val="24"/>
          <w:lang w:eastAsia="zh-CN"/>
        </w:rPr>
        <w:t>。</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lang w:val="en-US" w:eastAsia="zh-CN"/>
        </w:rPr>
        <w:t>越冬场</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每年进入冬季，随着气温下降，水量减少，水位降低，鱼类活动减少，食量降低，鱼类从支流、湖泊等浅水水域进入温度较为稳定的深水水域越冬。鱼类越冬场主要分布于深水的河道深槽中。河道深槽与河床底质，河流走势密切相关，常分布于有矶头伸入河床的上游段、洲头下端处或在弯曲型河道的凹岸区域</w:t>
      </w:r>
      <w:r>
        <w:rPr>
          <w:rFonts w:hint="eastAsia" w:eastAsia="仿宋_GB2312"/>
          <w:color w:val="auto"/>
          <w:sz w:val="24"/>
          <w:lang w:eastAsia="zh-CN"/>
        </w:rPr>
        <w:t>。</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4</w:t>
      </w:r>
      <w:r>
        <w:rPr>
          <w:rFonts w:hint="eastAsia" w:eastAsia="仿宋_GB2312"/>
          <w:color w:val="auto"/>
          <w:sz w:val="24"/>
          <w:lang w:eastAsia="zh-CN"/>
        </w:rPr>
        <w:t>）</w:t>
      </w:r>
      <w:r>
        <w:rPr>
          <w:rFonts w:hint="eastAsia" w:eastAsia="仿宋_GB2312"/>
          <w:color w:val="auto"/>
          <w:sz w:val="24"/>
          <w:lang w:val="en-US" w:eastAsia="zh-CN"/>
        </w:rPr>
        <w:t>洄游通道</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工程所处江段是中华鲟、胭脂鱼、四大家鱼、江豚等鱼类的洄游通道。</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鱼类的洄游是鱼类运动的一种特殊形式，是长期以来鱼类对外界环境条件变化的适应结果，也是鱼类内部胜利变化发展到一定程度，对外界刺激的一种必然的反应。洄游是鱼类主动、定向的运动，而且往往是集群的、具有种的特点的运动。随着鱼类生命周期各个环节的推移，每年重复进行，具有周期性。洄游是鱼类的一种基本属性，不能完成这种洄游或洄游受到阻碍，则鱼类的生命周期将遭到破坏，并影响群体的增殖，甚至危及种的生存。</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长江是我国最大的河流，在上海注入东海。已知有多种鱼类进行不同类型的洄游。保中华鲟平时在我国东海岸和长江三角洲地带肥育，生殖季节即上溯至长江干流作产卵洄游。多年来的监测表明，在葛洲坝下游的宜昌江段，中华鲟的性腺能够进一步发育成熟，并且在葛洲坝尾水区至古老背江段已形成了长约30km的新产卵场，是目前已知唯一的中华鲟天然产卵场。胭脂鱼有生殖洄游特性，在葛洲坝截流初期，坝下宜昌江段胭脂鱼的渔获量明显增多，群体中有一部分个体已达性成熟，并在坝下江段形成了新的产卵场。四大家鱼主要在通江湖泊育肥，繁殖季节则由湖泊进入长江干流，上溯到产卵场繁殖</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4.5.2.7主要保护对象及珍稀物种</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中华鲟</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中华鲟俗称鳇鱼、腊子，隶属于硬骨鱼纲、软骨硬鳞总目、鲟形目、鲟科、鲟属。根据《中国国家重点保护野生动物名录》，中华鲟属于国家Ⅰ级保护动物。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中华鲟被认为是长江水生动物保护的旗舰物种和长江水生态系统健康状况的指示物种。中华鲟属于溯河产卵洄游型鱼类，生活史的90%在海洋，因此其自然地理分布区为东亚大陆架及其主要注入河流，即我国黄海、渤海、东海及海南岛万宁以北的南海海域是中华鲟的主要索饵场，以东海为主；剩下的10%则溯江而上至金沙江下游和长江上游（葛洲坝截流前）或葛洲坝下（葛洲坝截流后）产卵繁殖。在长江，中华鲟曾是重要的渔业资源，但由于过度捕捞和环境污染，特别是1981年葛洲坝的修建切断了中华鲟洄游到长江上游进行繁殖的路线，被阻隔在葛洲坝下的繁殖群体一部分在坝下建立了新的产卵场，但已知的产卵场范围和面积不及原来的1%。</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1973-1980年，整个长江年捕捞量平均为517尾（77550kg），1981年和1982年由于大坝的拦截，上溯产卵的中华鲟在坝下大量聚集，两年的捕捞量达到历史的最高峰（1163尾），只有很少量的个体参与自然繁殖。1983年开始停止商业捕捞，只用于科研或者人工繁殖的捕捞数量控制在100尾左右。“长江渔业资源与环境调查”专项调查，每年在葛洲坝下对中华鲟洄游群体进行水声学监测，结果显示2017-2021年秋季，葛洲坝下游80km江段，疑似中华鲟数量分别为：2017年27尾、2018年20尾、2019年</w:t>
      </w:r>
      <w:r>
        <w:rPr>
          <w:rFonts w:hint="eastAsia" w:eastAsia="仿宋_GB2312"/>
          <w:color w:val="auto"/>
          <w:sz w:val="24"/>
          <w:lang w:val="en-US" w:eastAsia="zh-CN"/>
        </w:rPr>
        <w:t>1</w:t>
      </w:r>
      <w:r>
        <w:rPr>
          <w:rFonts w:hint="eastAsia" w:eastAsia="仿宋_GB2312"/>
          <w:color w:val="auto"/>
          <w:sz w:val="24"/>
          <w:lang w:eastAsia="zh-CN"/>
        </w:rPr>
        <w:t>6尾、2020年13尾和2021年15尾，5年平均为18.2尾。该数量与葛洲坝截留初期的评估结果2176尾相比，下降了99.16%，即目前的资源量不及20世纪80年代初的1%。</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在历史上，中华鲟自然产卵场分布在四川宜宾的新市镇冒水以下的金沙江下游及重庆以上江段，江段总长度800km，共19处中华鲟产卵场。每年都记录到中华鲟2~3批产卵，产卵时间在10月下旬至11月中旬。1981年</w:t>
      </w:r>
      <w:r>
        <w:rPr>
          <w:rFonts w:hint="eastAsia" w:eastAsia="仿宋_GB2312"/>
          <w:color w:val="auto"/>
          <w:sz w:val="24"/>
          <w:lang w:val="en-US" w:eastAsia="zh-CN"/>
        </w:rPr>
        <w:t>1</w:t>
      </w:r>
      <w:r>
        <w:rPr>
          <w:rFonts w:hint="eastAsia" w:eastAsia="仿宋_GB2312"/>
          <w:color w:val="auto"/>
          <w:sz w:val="24"/>
          <w:lang w:eastAsia="zh-CN"/>
        </w:rPr>
        <w:t>月葛洲坝水利工程截流后，1983—2002年每年都在葛洲坝下监测到了中华鲟自然繁殖，20年中15个年份有2批自然繁殖，只有5个年份为一批产卵；2003年（三峡蓄水）—2012年，只有1年（2012年）有2批繁殖，9年只有一批自然繁殖；2013—2021年9年中只有2年度（2014年和2016年）有一批次自然繁殖，其他年份无自然繁殖，2014年在葛洲坝下传统产卵场未监测到中华鲟产卵，但是根据水体和幼鲟鳍条骨微化学分析判断，产卵场位于清江口以上江段，推测该年度产卵场位于传统产卵场下游至清江口以上的长江干流上，可能在虎牙滩江段，2017-2021年繁殖连续5年中断。1970年代，每年洄游到长江的中华鲟繁殖群体数量达2000余尾，1980年代葛洲坝截流后，每年到达葛洲坝下产卵场的中华鲟繁殖亲鱼数量从2000余尾开始持续下降；到1996-2001年，每年洄游到坝下产卵场江段的中华鲟亲鱼数量下降至300余尾，2004-2008年，下降至200余尾，2009-2012年间，下降至100余尾，2013年以后进一步下降至100尾以下，2015年洄游到葛洲坝下产卵场江段的中华鲟亲鱼数量已不足50尾，2017-2020年葛洲坝下中华鲟繁殖群体数量分别为27、20、16和13尾（95%置信区间7~18尾）。</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科研人员通过数学模型的方法，推算长江和海洋野生中华鲟成体数量，2020年中华鲟成体数量相较于1981年之前下降了93.67%，预测2030年长江和海洋野生中华鲟成体数量约为757尾；推算野生中华鲟产卵群体数量，2020年野生中华鲟产卵群体数量相比于1989年下降了95.32%，并预测2030年野生中华鲟产卵群体数量约为20尾。据此推测，如果不采取有效措施，中华鲟自然种群将可能在未来10~20年内绝迹。</w:t>
      </w:r>
    </w:p>
    <w:p>
      <w:pPr>
        <w:widowControl w:val="0"/>
        <w:spacing w:line="360" w:lineRule="auto"/>
        <w:jc w:val="center"/>
        <w:rPr>
          <w:rFonts w:hint="eastAsia" w:eastAsia="仿宋_GB2312"/>
          <w:color w:val="auto"/>
          <w:sz w:val="24"/>
          <w:lang w:eastAsia="zh-CN"/>
        </w:rPr>
      </w:pPr>
      <w:r>
        <w:rPr>
          <w:color w:val="auto"/>
        </w:rPr>
        <w:drawing>
          <wp:inline distT="0" distB="0" distL="114300" distR="114300">
            <wp:extent cx="4384040" cy="1823720"/>
            <wp:effectExtent l="0" t="0" r="16510" b="5080"/>
            <wp:docPr id="6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3"/>
                    <pic:cNvPicPr>
                      <a:picLocks noChangeAspect="1"/>
                    </pic:cNvPicPr>
                  </pic:nvPicPr>
                  <pic:blipFill>
                    <a:blip r:embed="rId74"/>
                    <a:stretch>
                      <a:fillRect/>
                    </a:stretch>
                  </pic:blipFill>
                  <pic:spPr>
                    <a:xfrm>
                      <a:off x="0" y="0"/>
                      <a:ext cx="4384040" cy="182372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4.5-10</w:t>
      </w:r>
      <w:r>
        <w:rPr>
          <w:rFonts w:eastAsia="黑体"/>
          <w:b/>
          <w:color w:val="auto"/>
          <w:szCs w:val="21"/>
          <w:lang w:val="zh-CN"/>
        </w:rPr>
        <w:t xml:space="preserve">  </w:t>
      </w:r>
      <w:r>
        <w:rPr>
          <w:rFonts w:hint="eastAsia" w:eastAsia="黑体"/>
          <w:b/>
          <w:color w:val="auto"/>
          <w:szCs w:val="21"/>
          <w:lang w:val="en-US" w:eastAsia="zh-CN"/>
        </w:rPr>
        <w:t>中华鲟</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白鲟</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白鲟隶属于鲟形目、白鲟科、白鲟属。根据《中国国家重点保护野生动物名录》，属于国家Ⅰ级保护动物。</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白鲟及同属白鲟科的匙吻鲟是出现在上白垩纪的鱼类，在鱼类起源演化与地理分布上有重要的学术价值。白鲟最小性成熟年龄雌性为7-8龄，体重25kg以上，雄性较雌性稍早，体重也相应较小。产卵期为3-4月。产卵场主要分布在四川省宜宾市距柏溪镇8km的金沙江河段及四川省江安县附近的长江河段内。三块石产卵场河宽约360m；上游河道底质为砂质或泥质，下游河道底质为砾石；水深约10m，流速为0.72-0.92m/s，溶氧8-10mg/L，pH值8.2，透明度为39cm，产卵期水温18.3-20.0℃。白鲟体呈梭形，体表裸露无鳞，体色深灰或浅灰。吻特长，呈剑状，吻长为眼后头长的1.5～1.8倍，吻部由前到后逐渐变宽。先端钝尖，并角质化。眼甚小，圆形侧位，无眼睑。每侧有外鼻孔2个，前鼻孔较大，位于眼的前上方；后鼻孔较小，位于眼的正前方。皮须一对，细小，位于吻之腹面。口裂大，弧形，腹位。鳃盖膜发达，呈近三角形，向后延长达胸鳍中部背方，其上有许多陷器分布。尾歪形，上叶较下叶长。幼鱼形态与成鱼基本相似，其体长与体长/眼径及体长/吻须长呈明显的正相关。</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历史上，长江沿江各省均有白鲟的捕捞记录，但白鲟资源量长期较少且未对其做过专门的评估研究。初步估计在20世纪70年代中期以前，长江全流域白鲟的捕捞量在25t左右，其中川江约5t，1981年，葛洲坝截流后，坝下江段白鲟资源量急剧下降，建坝初期的1981</w:t>
      </w:r>
      <w:r>
        <w:rPr>
          <w:rFonts w:hint="eastAsia" w:eastAsia="仿宋_GB2312"/>
          <w:color w:val="auto"/>
          <w:sz w:val="24"/>
          <w:lang w:val="en-US" w:eastAsia="zh-CN"/>
        </w:rPr>
        <w:t>~</w:t>
      </w:r>
      <w:r>
        <w:rPr>
          <w:rFonts w:hint="eastAsia" w:eastAsia="仿宋_GB2312"/>
          <w:color w:val="auto"/>
          <w:sz w:val="24"/>
        </w:rPr>
        <w:t>1987年，每年可发现10~32尾成体，1988</w:t>
      </w:r>
      <w:r>
        <w:rPr>
          <w:rFonts w:hint="eastAsia" w:eastAsia="仿宋_GB2312"/>
          <w:color w:val="auto"/>
          <w:sz w:val="24"/>
          <w:lang w:val="en-US" w:eastAsia="zh-CN"/>
        </w:rPr>
        <w:t>~</w:t>
      </w:r>
      <w:r>
        <w:rPr>
          <w:rFonts w:hint="eastAsia" w:eastAsia="仿宋_GB2312"/>
          <w:color w:val="auto"/>
          <w:sz w:val="24"/>
        </w:rPr>
        <w:t>1993年每年只发现3~10尾，1994年仅发现1尾，1995年以后便很少再有发现。直到2002年，在江苏南京下关附近发现了1尾雌性白鲟成体。在葛洲坝以上的长江上游江段，白鲟资源也呈现急剧下降的趋势。据宜宾、泸州和重庆渔政站的不完全统计，1982~2000年的近20年时间内，长江上游白鲟的总误捕数为42尾。2003年1月，在长江上游四川宜宾江段误捕1尾白鲟成体，经成功救护后放流，这也是最后1尾有记录的白鲟活体。</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2020年统计了1981</w:t>
      </w:r>
      <w:r>
        <w:rPr>
          <w:rFonts w:hint="eastAsia" w:eastAsia="仿宋_GB2312"/>
          <w:color w:val="auto"/>
          <w:sz w:val="24"/>
          <w:lang w:val="en-US" w:eastAsia="zh-CN"/>
        </w:rPr>
        <w:t>~</w:t>
      </w:r>
      <w:r>
        <w:rPr>
          <w:rFonts w:hint="eastAsia" w:eastAsia="仿宋_GB2312"/>
          <w:color w:val="auto"/>
          <w:sz w:val="24"/>
        </w:rPr>
        <w:t>2003年在长江上游和葛洲坝以下江段白鲟的目击次数，统计显示20年间只有210次目击，其中有观察记录数据的45次，并结合2017</w:t>
      </w:r>
      <w:r>
        <w:rPr>
          <w:rFonts w:hint="eastAsia" w:eastAsia="仿宋_GB2312"/>
          <w:color w:val="auto"/>
          <w:sz w:val="24"/>
          <w:lang w:val="en-US" w:eastAsia="zh-CN"/>
        </w:rPr>
        <w:t>~</w:t>
      </w:r>
      <w:r>
        <w:rPr>
          <w:rFonts w:hint="eastAsia" w:eastAsia="仿宋_GB2312"/>
          <w:color w:val="auto"/>
          <w:sz w:val="24"/>
        </w:rPr>
        <w:t>2018年农业农村部财政专项“长江渔业资源与环境调查”，对长江干流和主要支流及鄱阳湖和洞庭湖以20km×20km网格普查未采集到白鲟的结果，用OLE模型推断白鲟在2005</w:t>
      </w:r>
      <w:r>
        <w:rPr>
          <w:rFonts w:hint="eastAsia" w:eastAsia="仿宋_GB2312"/>
          <w:color w:val="auto"/>
          <w:sz w:val="24"/>
          <w:lang w:val="en-US" w:eastAsia="zh-CN"/>
        </w:rPr>
        <w:t>~</w:t>
      </w:r>
      <w:r>
        <w:rPr>
          <w:rFonts w:hint="eastAsia" w:eastAsia="仿宋_GB2312"/>
          <w:color w:val="auto"/>
          <w:sz w:val="24"/>
        </w:rPr>
        <w:t>2010年已经灭绝。2019年9月14IUCN物种存活委员会鲟鱼专家组在上海召开对欧亚大陆鲟形目鱼类的濒危状况再评估会议，专家组对其评估结论是白鲟灭绝。国际自然保护联盟</w:t>
      </w:r>
      <w:r>
        <w:rPr>
          <w:rFonts w:hint="eastAsia" w:eastAsia="仿宋_GB2312"/>
          <w:color w:val="auto"/>
          <w:sz w:val="24"/>
          <w:lang w:eastAsia="zh-CN"/>
        </w:rPr>
        <w:t>（</w:t>
      </w:r>
      <w:r>
        <w:rPr>
          <w:rFonts w:hint="eastAsia" w:eastAsia="仿宋_GB2312"/>
          <w:color w:val="auto"/>
          <w:sz w:val="24"/>
        </w:rPr>
        <w:t>IUCN</w:t>
      </w:r>
      <w:r>
        <w:rPr>
          <w:rFonts w:hint="eastAsia" w:eastAsia="仿宋_GB2312"/>
          <w:color w:val="auto"/>
          <w:sz w:val="24"/>
          <w:lang w:eastAsia="zh-CN"/>
        </w:rPr>
        <w:t>）</w:t>
      </w:r>
      <w:r>
        <w:rPr>
          <w:rFonts w:hint="eastAsia" w:eastAsia="仿宋_GB2312"/>
          <w:color w:val="auto"/>
          <w:sz w:val="24"/>
        </w:rPr>
        <w:t>在2022年7月21日更新物种濒危状况，白鲟濒危等级由2009年的极危</w:t>
      </w:r>
      <w:r>
        <w:rPr>
          <w:rFonts w:hint="eastAsia" w:eastAsia="仿宋_GB2312"/>
          <w:color w:val="auto"/>
          <w:sz w:val="24"/>
          <w:lang w:eastAsia="zh-CN"/>
        </w:rPr>
        <w:t>（</w:t>
      </w:r>
      <w:r>
        <w:rPr>
          <w:rFonts w:hint="eastAsia" w:eastAsia="仿宋_GB2312"/>
          <w:color w:val="auto"/>
          <w:sz w:val="24"/>
        </w:rPr>
        <w:t>可能灭绝</w:t>
      </w:r>
      <w:r>
        <w:rPr>
          <w:rFonts w:hint="eastAsia" w:eastAsia="仿宋_GB2312"/>
          <w:color w:val="auto"/>
          <w:sz w:val="24"/>
          <w:lang w:eastAsia="zh-CN"/>
        </w:rPr>
        <w:t>）</w:t>
      </w:r>
      <w:r>
        <w:rPr>
          <w:rFonts w:hint="eastAsia" w:eastAsia="仿宋_GB2312"/>
          <w:color w:val="auto"/>
          <w:sz w:val="24"/>
        </w:rPr>
        <w:t>提级至灭绝</w:t>
      </w:r>
      <w:r>
        <w:rPr>
          <w:rFonts w:hint="eastAsia" w:eastAsia="仿宋_GB2312"/>
          <w:color w:val="auto"/>
          <w:sz w:val="24"/>
          <w:lang w:eastAsia="zh-CN"/>
        </w:rPr>
        <w:t>。</w:t>
      </w:r>
    </w:p>
    <w:p>
      <w:pPr>
        <w:widowControl w:val="0"/>
        <w:spacing w:line="360" w:lineRule="auto"/>
        <w:jc w:val="center"/>
        <w:rPr>
          <w:rFonts w:hint="eastAsia" w:eastAsia="仿宋_GB2312"/>
          <w:color w:val="auto"/>
          <w:sz w:val="24"/>
          <w:lang w:eastAsia="zh-CN"/>
        </w:rPr>
      </w:pPr>
      <w:r>
        <w:rPr>
          <w:color w:val="auto"/>
        </w:rPr>
        <w:drawing>
          <wp:inline distT="0" distB="0" distL="114300" distR="114300">
            <wp:extent cx="4384040" cy="2108835"/>
            <wp:effectExtent l="0" t="0" r="16510" b="5715"/>
            <wp:docPr id="6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4"/>
                    <pic:cNvPicPr>
                      <a:picLocks noChangeAspect="1"/>
                    </pic:cNvPicPr>
                  </pic:nvPicPr>
                  <pic:blipFill>
                    <a:blip r:embed="rId75"/>
                    <a:stretch>
                      <a:fillRect/>
                    </a:stretch>
                  </pic:blipFill>
                  <pic:spPr>
                    <a:xfrm>
                      <a:off x="0" y="0"/>
                      <a:ext cx="4384040" cy="2108835"/>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4.5-11</w:t>
      </w:r>
      <w:r>
        <w:rPr>
          <w:rFonts w:eastAsia="黑体"/>
          <w:b/>
          <w:color w:val="auto"/>
          <w:szCs w:val="21"/>
          <w:lang w:val="zh-CN"/>
        </w:rPr>
        <w:t xml:space="preserve">  </w:t>
      </w:r>
      <w:r>
        <w:rPr>
          <w:rFonts w:hint="eastAsia" w:eastAsia="黑体"/>
          <w:b/>
          <w:color w:val="auto"/>
          <w:szCs w:val="21"/>
          <w:lang w:val="en-US" w:eastAsia="zh-CN"/>
        </w:rPr>
        <w:t>白鲟</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lang w:val="en-US" w:eastAsia="zh-CN"/>
        </w:rPr>
        <w:t>胭脂鱼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胭脂鱼隶属于鲤形目、胭脂鱼科、胭脂鱼属。根据《中国国家重点保护野生动物名录》，胭脂鱼属于国家Ⅱ级保护动物。</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胭脂鱼体侧扁，背部在背鳍起点处特别隆起。吻钝圆，口小，下位，呈马蹄形。背鳍无硬刺，其基部很长，延伸至臀鳍基部后上方。</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在不同生长阶段形态特征变化较大。在仔鱼阶段，体形细长，体长约为提高的4.7倍；幼鱼阶段体长约为提高的2.5倍；成鱼体长约为体高的3.4倍。仔鱼体呈灰白色；幼鱼体呈深褐色，体侧各有3条黑色横条纹；背鳍、臀鳍、胸鳍、腹鳍略呈淡红色，并有黑色斑点，尾鳍上叶灰白色，下叶下缘灰黑色；成熟雄鱼体侧为胭脂红色，成熟雌鱼体侧为青紫色，背鳍、尾鳍均呈淡红色。</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胭脂鱼主要摄食底栖无脊椎动物，有摇蚊科、蜉蝣目、蜻蜓目、襀翅目、毛翅目等昆虫的幼虫河段族类，以及蚬和淡水壳菜等软体动物。食物团中也混有大量的泥沙、腐屑、高等植物碎片及部分硅藻和丝状藻类。一般在江河中的胭脂鱼主要摄食水生昆虫，其中摇蚊幼虫约占80%以上。在湖泊中则以软体动物为主，其中蚬和淡水壳菜约占90%以上。胭脂鱼常栖息于江河的中下层，幼鱼行动缓慢，成鱼行动矫健。2月中旬洄游至长江上游的金沙江、岷江、嘉陵江等急流中繁殖，秋季退水时期回到长江干流越冬。仔鱼漂流至中下游及其附属水体生长，性成熟后洄游到上游繁殖。</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胭脂鱼繁殖季节为3月上旬至4月下旬，繁殖产卵多集中于晴天早晨进行，受精卵粘性，黄色，吸水后粘附在石砾上发育。胭脂鱼的繁殖水温为14～22℃，以18～20℃为最佳。自然条件下，其产卵场多选择于水流急、水质清澈、具石滩、多砾石的江段。胭脂鱼属一次产卵类型，葛洲坝上游江段6龄可达性成熟。葛洲坝下江段雌鱼7龄达性成熟，雄鱼5龄达性成熟。葛洲坝下雌鱼的平均相对繁殖力约为16.89粒/g。长江上游江段生殖季节为3</w:t>
      </w:r>
      <w:r>
        <w:rPr>
          <w:rFonts w:hint="eastAsia" w:eastAsia="仿宋_GB2312"/>
          <w:color w:val="auto"/>
          <w:sz w:val="24"/>
          <w:lang w:val="en-US" w:eastAsia="zh-CN"/>
        </w:rPr>
        <w:t>~</w:t>
      </w:r>
      <w:r>
        <w:rPr>
          <w:rFonts w:hint="eastAsia" w:eastAsia="仿宋_GB2312"/>
          <w:color w:val="auto"/>
          <w:sz w:val="24"/>
        </w:rPr>
        <w:t>4月，由于水温差异，葛洲坝下游江段较上游江段繁殖期迟。葛洲坝枢纽建成前产卵场主要分布于长江上游，特别是岷江及嘉陵江。葛洲坝枢纽建成后葛洲坝下游产卵场分布在大江枢纽下至孝子岩、胭脂坝至虎牙滩、红花套至后江沱、白洋至楼子河、枝城上下等江段。</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历史上，胭脂鱼曾是长江重要的经济鱼类之一，据四川省宜宾市渔业社1958年的统计，胭脂鱼在岷江曾占渔获总量的13%以上；60年代在宜宾扁窗子库区，渔获量占13%；但到70年代胭脂鱼资源量就已明显减少，70年代中期渔获量已降至2%；现今只有零星误捕报道，从目前记录的误捕量、出现频度和分布情况看，胭脂鱼在长江已处于非常濒危的程度，特别是上游误捕的胭脂鱼主要为体型较大的性成熟个体，又几乎全部在繁殖季节捕获。1981年葛洲坝水利枢纽建成后，阻隔了亲鱼产卵的通道。由于产卵场遭到破坏，捕捞过度等人为和自然因素，胭脂鱼资源量已明显减少。</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在宜昌江段，偶有误捕的胭脂鱼个体，均为人工增殖放流个体</w:t>
      </w:r>
      <w:r>
        <w:rPr>
          <w:rFonts w:hint="eastAsia" w:eastAsia="仿宋_GB2312"/>
          <w:color w:val="auto"/>
          <w:sz w:val="24"/>
          <w:lang w:eastAsia="zh-CN"/>
        </w:rPr>
        <w:t>。</w:t>
      </w:r>
    </w:p>
    <w:p>
      <w:pPr>
        <w:widowControl w:val="0"/>
        <w:spacing w:line="360" w:lineRule="auto"/>
        <w:jc w:val="center"/>
        <w:rPr>
          <w:rFonts w:hint="eastAsia" w:eastAsia="仿宋_GB2312"/>
          <w:color w:val="auto"/>
          <w:sz w:val="24"/>
          <w:lang w:eastAsia="zh-CN"/>
        </w:rPr>
      </w:pPr>
      <w:r>
        <w:rPr>
          <w:color w:val="auto"/>
        </w:rPr>
        <w:drawing>
          <wp:inline distT="0" distB="0" distL="114300" distR="114300">
            <wp:extent cx="4407535" cy="2086610"/>
            <wp:effectExtent l="0" t="0" r="12065" b="8890"/>
            <wp:docPr id="6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5"/>
                    <pic:cNvPicPr>
                      <a:picLocks noChangeAspect="1"/>
                    </pic:cNvPicPr>
                  </pic:nvPicPr>
                  <pic:blipFill>
                    <a:blip r:embed="rId76"/>
                    <a:stretch>
                      <a:fillRect/>
                    </a:stretch>
                  </pic:blipFill>
                  <pic:spPr>
                    <a:xfrm>
                      <a:off x="0" y="0"/>
                      <a:ext cx="4407535" cy="208661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4.5-12  胭脂鱼</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4</w:t>
      </w:r>
      <w:r>
        <w:rPr>
          <w:rFonts w:hint="eastAsia" w:eastAsia="仿宋_GB2312"/>
          <w:color w:val="auto"/>
          <w:sz w:val="24"/>
          <w:lang w:eastAsia="zh-CN"/>
        </w:rPr>
        <w:t>）</w:t>
      </w:r>
      <w:r>
        <w:rPr>
          <w:rFonts w:hint="eastAsia" w:eastAsia="仿宋_GB2312"/>
          <w:color w:val="auto"/>
          <w:sz w:val="24"/>
          <w:lang w:val="en-US" w:eastAsia="zh-CN"/>
        </w:rPr>
        <w:t>长江鲟</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长江鲟隶属于鲟形目、鲟科、鲟属。根据《中国国家重点保护野生动物名录》，长江鲟属于国家Ⅰ级保护动物。</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长江鲟又称达氏鲟，四川俗名沙腊子，是长江3种鲟类中个体最小的，野生雌性一般全长120cm以内、体重在15kg以下，雌性略大于雄性，雌性8龄开始性成熟，雄性略早。养殖个体规格可超过野生个体，一般可达20kg，最大雌性全长可达160cm、体重45kg。该物种与中华鲟形态极为接近，仅鳃耙数量有显著差异</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体长&gt;17cm的个体，长江鲟鳃耙数&gt;30，中华鲟鳃耙数&lt;26</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外部色泽方面，暗光养殖条件下，长江鲟幼鱼骨板偏白、侧骨板上下体色分界明显，上部为青灰色，下部为乳白色，而中华鲟幼鱼骨板一般不偏白，侧骨板以下灰色过渡到白色分界线不明显，表皮带金属铜光泽。长江鲟和中华鲟在分布区域与生态习性有明显区别，长江鲟主要分布在长江上游，偶见于长江中游，长江下游和长江口及海洋无分布，没有明显的江海洄游习性，属于淡水定居种类，一般常栖于江河中下游，这些场所一般离河岸10~20m、水深8~10m、流速1m/s左右，底质为沙质或碛滩，有较多的腐殖质和底栖生物。长江鲟为淡水定居性鱼类，不进行远距离洄游。</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长江鲟是川江重要经济鱼类，20世纪60年代，长江鲟曾经占合江县捕捞总产量10%，70年代，宜宾江段长江鲟的春季捕捞量就达到5t。1981年葛洲坝水电站建立后，阻断了长江鲟的洄游路线，也使得长江鲟的生存空间被迫分离，导致长江鲟的栖息地缩减，再加上受过度捕捞、航道整治、挖沙采石及水资源污染等影响，致使长江鲟的资源量显著下降。据相关资料表明，1984</w:t>
      </w:r>
      <w:r>
        <w:rPr>
          <w:rFonts w:hint="eastAsia" w:ascii="Times New Roman" w:hAnsi="Times New Roman" w:eastAsia="仿宋_GB2312" w:cs="Times New Roman"/>
          <w:color w:val="auto"/>
          <w:sz w:val="24"/>
          <w:lang w:val="en-US" w:eastAsia="zh-CN"/>
        </w:rPr>
        <w:t>~</w:t>
      </w:r>
      <w:r>
        <w:rPr>
          <w:rFonts w:hint="eastAsia" w:ascii="Times New Roman" w:hAnsi="Times New Roman" w:eastAsia="仿宋_GB2312" w:cs="Times New Roman"/>
          <w:color w:val="auto"/>
          <w:sz w:val="24"/>
        </w:rPr>
        <w:t>1996年，在长江上游泸州及宜宾段共调查到长江鲟151尾，到2000年只有零星误捕。2000年以后未见野生仔鱼，且至今未监测到其自然繁殖活动发生，推测其停止了自然繁殖。据统计，2006</w:t>
      </w:r>
      <w:r>
        <w:rPr>
          <w:rFonts w:hint="eastAsia" w:ascii="Times New Roman" w:hAnsi="Times New Roman" w:eastAsia="仿宋_GB2312" w:cs="Times New Roman"/>
          <w:color w:val="auto"/>
          <w:sz w:val="24"/>
          <w:lang w:val="en-US" w:eastAsia="zh-CN"/>
        </w:rPr>
        <w:t>~</w:t>
      </w:r>
      <w:r>
        <w:rPr>
          <w:rFonts w:hint="eastAsia" w:ascii="Times New Roman" w:hAnsi="Times New Roman" w:eastAsia="仿宋_GB2312" w:cs="Times New Roman"/>
          <w:color w:val="auto"/>
          <w:sz w:val="24"/>
        </w:rPr>
        <w:t>2010年在长江上游监测到39尾长江鲟，2010</w:t>
      </w:r>
      <w:r>
        <w:rPr>
          <w:rFonts w:hint="eastAsia" w:ascii="Times New Roman" w:hAnsi="Times New Roman" w:eastAsia="仿宋_GB2312" w:cs="Times New Roman"/>
          <w:color w:val="auto"/>
          <w:sz w:val="24"/>
          <w:lang w:val="en-US" w:eastAsia="zh-CN"/>
        </w:rPr>
        <w:t>~</w:t>
      </w:r>
      <w:r>
        <w:rPr>
          <w:rFonts w:hint="eastAsia" w:ascii="Times New Roman" w:hAnsi="Times New Roman" w:eastAsia="仿宋_GB2312" w:cs="Times New Roman"/>
          <w:color w:val="auto"/>
          <w:sz w:val="24"/>
        </w:rPr>
        <w:t>2012年中国水产科学研究院长江水产研究所分别监测到长江鲟29尾、17尾、35尾，分布的江段依次为宜宾、重庆</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江津</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、泸州，后经鉴定全部为放流个体。</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2019</w:t>
      </w:r>
      <w:r>
        <w:rPr>
          <w:rFonts w:hint="eastAsia" w:ascii="Times New Roman" w:hAnsi="Times New Roman" w:eastAsia="仿宋_GB2312" w:cs="Times New Roman"/>
          <w:color w:val="auto"/>
          <w:sz w:val="24"/>
          <w:lang w:val="en-US" w:eastAsia="zh-CN"/>
        </w:rPr>
        <w:t>~</w:t>
      </w:r>
      <w:r>
        <w:rPr>
          <w:rFonts w:hint="eastAsia" w:ascii="Times New Roman" w:hAnsi="Times New Roman" w:eastAsia="仿宋_GB2312" w:cs="Times New Roman"/>
          <w:color w:val="auto"/>
          <w:sz w:val="24"/>
        </w:rPr>
        <w:t>2020年“长江渔业资源与环境调查”专项项目组在长江上游开展了2次长江鲟自然繁殖专项调查，调查结果表明，增殖放流的长江鲟个体在放流后主要集中于宜宾三江口以上江段，部分放流个体已观测到摄食，能较好地适应放流后的水域环境。但2年的早期资源监测未发现长江鲟自然繁殖发生。在全流域65个固定站位的监测中，2017</w:t>
      </w:r>
      <w:r>
        <w:rPr>
          <w:rFonts w:hint="eastAsia" w:ascii="Times New Roman" w:hAnsi="Times New Roman" w:eastAsia="仿宋_GB2312" w:cs="Times New Roman"/>
          <w:color w:val="auto"/>
          <w:sz w:val="24"/>
          <w:lang w:val="en-US" w:eastAsia="zh-CN"/>
        </w:rPr>
        <w:t>~</w:t>
      </w:r>
      <w:r>
        <w:rPr>
          <w:rFonts w:hint="eastAsia" w:ascii="Times New Roman" w:hAnsi="Times New Roman" w:eastAsia="仿宋_GB2312" w:cs="Times New Roman"/>
          <w:color w:val="auto"/>
          <w:sz w:val="24"/>
        </w:rPr>
        <w:t>2020年共记录到长江鲟350尾，其中2017年共记录到9尾，2018年记录到117尾，2019年记录11尾，2020年记录到213尾。所有记录个体均为增殖放流个体。1981年葛洲坝截流以来，葛洲坝下长江鲟自然资源逐渐减少，至2000年左右自然繁殖活动停止，自然种群已无法自我维持，2022年7月国际自然保护联盟</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IUCN</w:t>
      </w:r>
      <w:r>
        <w:rPr>
          <w:rFonts w:hint="eastAsia" w:ascii="Times New Roman" w:hAnsi="Times New Roman" w:eastAsia="仿宋_GB2312" w:cs="Times New Roman"/>
          <w:color w:val="auto"/>
          <w:sz w:val="24"/>
          <w:lang w:eastAsia="zh-CN"/>
        </w:rPr>
        <w:t>）</w:t>
      </w:r>
      <w:r>
        <w:rPr>
          <w:rFonts w:hint="eastAsia" w:ascii="Times New Roman" w:hAnsi="Times New Roman" w:eastAsia="仿宋_GB2312" w:cs="Times New Roman"/>
          <w:color w:val="auto"/>
          <w:sz w:val="24"/>
        </w:rPr>
        <w:t>宣布长江鲟野外种群灭绝</w:t>
      </w:r>
      <w:r>
        <w:rPr>
          <w:rFonts w:hint="eastAsia" w:ascii="Times New Roman" w:hAnsi="Times New Roman" w:eastAsia="仿宋_GB2312" w:cs="Times New Roman"/>
          <w:color w:val="auto"/>
          <w:sz w:val="24"/>
          <w:lang w:eastAsia="zh-CN"/>
        </w:rPr>
        <w:t>。</w:t>
      </w:r>
    </w:p>
    <w:p>
      <w:pPr>
        <w:widowControl w:val="0"/>
        <w:spacing w:line="360" w:lineRule="auto"/>
        <w:jc w:val="center"/>
        <w:rPr>
          <w:rFonts w:hint="eastAsia" w:eastAsia="仿宋_GB2312"/>
          <w:color w:val="auto"/>
          <w:sz w:val="24"/>
          <w:lang w:eastAsia="zh-CN"/>
        </w:rPr>
      </w:pPr>
      <w:r>
        <w:rPr>
          <w:color w:val="auto"/>
        </w:rPr>
        <w:drawing>
          <wp:inline distT="0" distB="0" distL="114300" distR="114300">
            <wp:extent cx="4447540" cy="2052320"/>
            <wp:effectExtent l="0" t="0" r="10160" b="5080"/>
            <wp:docPr id="6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6"/>
                    <pic:cNvPicPr>
                      <a:picLocks noChangeAspect="1"/>
                    </pic:cNvPicPr>
                  </pic:nvPicPr>
                  <pic:blipFill>
                    <a:blip r:embed="rId77"/>
                    <a:stretch>
                      <a:fillRect/>
                    </a:stretch>
                  </pic:blipFill>
                  <pic:spPr>
                    <a:xfrm>
                      <a:off x="0" y="0"/>
                      <a:ext cx="4447540" cy="205232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4.5-13  长江鲟</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5</w:t>
      </w:r>
      <w:r>
        <w:rPr>
          <w:rFonts w:hint="eastAsia" w:eastAsia="仿宋_GB2312"/>
          <w:color w:val="auto"/>
          <w:sz w:val="24"/>
          <w:lang w:eastAsia="zh-CN"/>
        </w:rPr>
        <w:t>）</w:t>
      </w:r>
      <w:r>
        <w:rPr>
          <w:rFonts w:hint="eastAsia" w:eastAsia="仿宋_GB2312"/>
          <w:color w:val="auto"/>
          <w:sz w:val="24"/>
          <w:lang w:val="en-US" w:eastAsia="zh-CN"/>
        </w:rPr>
        <w:t>长江江豚</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长江江豚隶属于哺乳纲，鲸目，齿鲸亚目，鼠长江江豚科，俗名：江猪，是仅分布于长江中下游的我国特有的水生哺乳动物，根据《中国国家重点保护野生动物名录》，2021年长江江豚升级为国家Ⅰ级重点保护野生动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江豚体长一般为1.5m左右，大的也可达2m以上，体重50-100kg。江豚平时多在河口、沙洲或江岸附近活动觅食，一般三五头结成小群活动，偶见结成数十乃至数百头的大群。平时多在晨昏活动，早晚有两次活动高峰，尤其是傍晚，活动最为频繁。食物主要有鱼、虾、甲壳类和其他水生动物。交配期在春、秋两季，怀孕期约11.5个月，每胎产1仔。长江江豚的抚幼行为大致都发生在每年的4～5月份和9～10月份之后。长江豚类在长江内大范围迁移与鱼类洄游习性有关，江豚迁移范围较小，在弯曲河道的边滩缓水区、分叉河道的干支流交汇水域的分离区和滞留区，以及洲心滩的分流区之间往返迁移。原因是这些水区流速相对缓些，而且有鱼类活动。张先锋等于1984年</w:t>
      </w:r>
      <w:r>
        <w:rPr>
          <w:rFonts w:hint="eastAsia" w:eastAsia="仿宋_GB2312"/>
          <w:color w:val="auto"/>
          <w:sz w:val="24"/>
          <w:lang w:val="en-US" w:eastAsia="zh-CN"/>
        </w:rPr>
        <w:t>~</w:t>
      </w:r>
      <w:r>
        <w:rPr>
          <w:rFonts w:hint="eastAsia" w:eastAsia="仿宋_GB2312"/>
          <w:color w:val="auto"/>
          <w:sz w:val="24"/>
          <w:lang w:eastAsia="zh-CN"/>
        </w:rPr>
        <w:t>1991年间进行了11次生态考察，其范围覆盖了长江干流自宜昌至长江口江段及洞庭湖和鄱阳湖湖区，经过估算，推测当时长江江豚的种群数量约为2700头。其后的考察也都表明长江江豚种群数量在长江各江段均呈现下降趋势。</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2006年，水生所组织了长江豚类7国联合考察，采用截线抽样法和声学考察相结合的考察方法，估计长江干流长江江豚的种群数量为1000-1200头，再结合洞庭湖和鄱阳湖的考察数据，估计当时长江江豚约为1800头。2012年，水生所组织了第二次长江淡水豚考察，考察方法与2006年类似，结果表明长江江豚种群数量约为1040头，其中干流约500头。如今长江江豚分布呈片段化，不同群体之间的隔离程度日益严重，IUCN最新评估报告拟将长江江豚列为“极度濒危”级别。</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根据2018年国家农业农村部公布的数据，2017年“长江江豚生态科学考察”于2017年</w:t>
      </w:r>
      <w:r>
        <w:rPr>
          <w:rFonts w:hint="eastAsia" w:eastAsia="仿宋_GB2312"/>
          <w:color w:val="auto"/>
          <w:sz w:val="24"/>
          <w:lang w:val="en-US" w:eastAsia="zh-CN"/>
        </w:rPr>
        <w:t>11</w:t>
      </w:r>
      <w:r>
        <w:rPr>
          <w:rFonts w:hint="eastAsia" w:eastAsia="仿宋_GB2312"/>
          <w:color w:val="auto"/>
          <w:sz w:val="24"/>
          <w:lang w:eastAsia="zh-CN"/>
        </w:rPr>
        <w:t>月</w:t>
      </w:r>
      <w:r>
        <w:rPr>
          <w:rFonts w:hint="eastAsia" w:eastAsia="仿宋_GB2312"/>
          <w:color w:val="auto"/>
          <w:sz w:val="24"/>
          <w:lang w:val="en-US" w:eastAsia="zh-CN"/>
        </w:rPr>
        <w:t>10</w:t>
      </w:r>
      <w:r>
        <w:rPr>
          <w:rFonts w:hint="eastAsia" w:eastAsia="仿宋_GB2312"/>
          <w:color w:val="auto"/>
          <w:sz w:val="24"/>
          <w:lang w:eastAsia="zh-CN"/>
        </w:rPr>
        <w:t>日至</w:t>
      </w:r>
      <w:r>
        <w:rPr>
          <w:rFonts w:hint="eastAsia" w:eastAsia="仿宋_GB2312"/>
          <w:color w:val="auto"/>
          <w:sz w:val="24"/>
          <w:lang w:val="en-US" w:eastAsia="zh-CN"/>
        </w:rPr>
        <w:t>12</w:t>
      </w:r>
      <w:r>
        <w:rPr>
          <w:rFonts w:hint="eastAsia" w:eastAsia="仿宋_GB2312"/>
          <w:color w:val="auto"/>
          <w:sz w:val="24"/>
          <w:lang w:eastAsia="zh-CN"/>
        </w:rPr>
        <w:t>月</w:t>
      </w:r>
      <w:r>
        <w:rPr>
          <w:rFonts w:hint="eastAsia" w:eastAsia="仿宋_GB2312"/>
          <w:color w:val="auto"/>
          <w:sz w:val="24"/>
          <w:lang w:val="en-US" w:eastAsia="zh-CN"/>
        </w:rPr>
        <w:t>31</w:t>
      </w:r>
      <w:r>
        <w:rPr>
          <w:rFonts w:hint="eastAsia" w:eastAsia="仿宋_GB2312"/>
          <w:color w:val="auto"/>
          <w:sz w:val="24"/>
          <w:lang w:eastAsia="zh-CN"/>
        </w:rPr>
        <w:t>日实施，历时52天，覆盖了宜昌至上海1669公里的长江干流及洞庭湖和鄱阳湖，估算长江江豚数量约为1012头，其中，干流约为445头，种群趋于向受人为扰动较少的江段集中，过半数水域种群持续下降或没有发现，种群分布呈碎片化特征。</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根据中国科学院水生生物研究所近年对长江江豚分布的调查结果，葛洲坝下主要存在两个长江江豚群体，其主要活动范围为葛洲坝下近坝水域和胭脂坝水域。根据农业农村部组织开展的2022年全流域长江江豚科学考察，长江江豚种群数量为1249头，其中，长江干流约</w:t>
      </w:r>
      <w:r>
        <w:rPr>
          <w:rFonts w:hint="eastAsia" w:eastAsia="仿宋_GB2312"/>
          <w:color w:val="auto"/>
          <w:sz w:val="24"/>
          <w:lang w:val="en-US" w:eastAsia="zh-CN"/>
        </w:rPr>
        <w:t>5</w:t>
      </w:r>
      <w:r>
        <w:rPr>
          <w:rFonts w:hint="eastAsia" w:eastAsia="仿宋_GB2312"/>
          <w:color w:val="auto"/>
          <w:sz w:val="24"/>
          <w:lang w:eastAsia="zh-CN"/>
        </w:rPr>
        <w:t>95头、鄱阳湖约492头、洞庭湖约162头，长江江豚数量较2017年有所回升。</w:t>
      </w:r>
    </w:p>
    <w:p>
      <w:pPr>
        <w:widowControl w:val="0"/>
        <w:spacing w:line="360" w:lineRule="auto"/>
        <w:jc w:val="center"/>
        <w:rPr>
          <w:rFonts w:hint="eastAsia" w:eastAsia="仿宋_GB2312"/>
          <w:color w:val="auto"/>
          <w:sz w:val="24"/>
          <w:lang w:eastAsia="zh-CN"/>
        </w:rPr>
      </w:pPr>
      <w:r>
        <w:rPr>
          <w:color w:val="auto"/>
        </w:rPr>
        <w:drawing>
          <wp:inline distT="0" distB="0" distL="114300" distR="114300">
            <wp:extent cx="4286250" cy="2007870"/>
            <wp:effectExtent l="0" t="0" r="0" b="11430"/>
            <wp:docPr id="66"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7"/>
                    <pic:cNvPicPr>
                      <a:picLocks noChangeAspect="1"/>
                    </pic:cNvPicPr>
                  </pic:nvPicPr>
                  <pic:blipFill>
                    <a:blip r:embed="rId78"/>
                    <a:stretch>
                      <a:fillRect/>
                    </a:stretch>
                  </pic:blipFill>
                  <pic:spPr>
                    <a:xfrm>
                      <a:off x="0" y="0"/>
                      <a:ext cx="4286250" cy="2007870"/>
                    </a:xfrm>
                    <a:prstGeom prst="rect">
                      <a:avLst/>
                    </a:prstGeom>
                    <a:noFill/>
                    <a:ln>
                      <a:noFill/>
                    </a:ln>
                  </pic:spPr>
                </pic:pic>
              </a:graphicData>
            </a:graphic>
          </wp:inline>
        </w:drawing>
      </w:r>
    </w:p>
    <w:p>
      <w:pPr>
        <w:widowControl w:val="0"/>
        <w:spacing w:before="120" w:beforeLines="50" w:line="360" w:lineRule="auto"/>
        <w:jc w:val="center"/>
        <w:rPr>
          <w:rFonts w:hint="default" w:eastAsia="黑体"/>
          <w:b/>
          <w:color w:val="auto"/>
          <w:szCs w:val="21"/>
          <w:lang w:val="en-US" w:eastAsia="zh-CN"/>
        </w:rPr>
      </w:pPr>
      <w:r>
        <w:rPr>
          <w:rFonts w:eastAsia="黑体"/>
          <w:b/>
          <w:color w:val="auto"/>
          <w:szCs w:val="21"/>
          <w:lang w:val="zh-CN"/>
        </w:rPr>
        <w:t>图</w:t>
      </w:r>
      <w:r>
        <w:rPr>
          <w:rFonts w:hint="eastAsia" w:eastAsia="黑体"/>
          <w:b/>
          <w:color w:val="auto"/>
          <w:szCs w:val="21"/>
          <w:lang w:val="en-US" w:eastAsia="zh-CN"/>
        </w:rPr>
        <w:t>4.5-14  长江江豚</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6</w:t>
      </w:r>
      <w:r>
        <w:rPr>
          <w:rFonts w:hint="eastAsia" w:eastAsia="仿宋_GB2312"/>
          <w:color w:val="auto"/>
          <w:sz w:val="24"/>
          <w:lang w:eastAsia="zh-CN"/>
        </w:rPr>
        <w:t>）</w:t>
      </w:r>
      <w:r>
        <w:rPr>
          <w:rFonts w:hint="eastAsia" w:eastAsia="仿宋_GB2312"/>
          <w:color w:val="auto"/>
          <w:sz w:val="24"/>
          <w:lang w:val="en-US" w:eastAsia="zh-CN"/>
        </w:rPr>
        <w:t>四大家鱼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四大家鱼是我国主要的经济鱼类，广泛分布于我国的江河、湖泊、水库中。草鱼俗名鲩、草鲩</w:t>
      </w:r>
      <w:r>
        <w:rPr>
          <w:rFonts w:hint="eastAsia" w:eastAsia="仿宋_GB2312"/>
          <w:color w:val="auto"/>
          <w:sz w:val="24"/>
          <w:lang w:eastAsia="zh-CN"/>
        </w:rPr>
        <w:t>、</w:t>
      </w:r>
      <w:r>
        <w:rPr>
          <w:rFonts w:hint="eastAsia" w:eastAsia="仿宋_GB2312"/>
          <w:color w:val="auto"/>
          <w:sz w:val="24"/>
        </w:rPr>
        <w:t>草根、混子，隶属于鲤形目（</w:t>
      </w:r>
      <w:r>
        <w:rPr>
          <w:rFonts w:hint="eastAsia" w:eastAsia="仿宋_GB2312"/>
          <w:i/>
          <w:iCs/>
          <w:color w:val="auto"/>
          <w:sz w:val="24"/>
        </w:rPr>
        <w:t>Cypriniformes</w:t>
      </w:r>
      <w:r>
        <w:rPr>
          <w:rFonts w:hint="eastAsia" w:eastAsia="仿宋_GB2312"/>
          <w:color w:val="auto"/>
          <w:sz w:val="24"/>
        </w:rPr>
        <w:t>），鲤科（</w:t>
      </w:r>
      <w:r>
        <w:rPr>
          <w:rFonts w:hint="eastAsia" w:eastAsia="仿宋_GB2312"/>
          <w:i/>
          <w:iCs/>
          <w:color w:val="auto"/>
          <w:sz w:val="24"/>
        </w:rPr>
        <w:t>Cyprinidae</w:t>
      </w:r>
      <w:r>
        <w:rPr>
          <w:rFonts w:hint="eastAsia" w:eastAsia="仿宋_GB2312"/>
          <w:color w:val="auto"/>
          <w:sz w:val="24"/>
        </w:rPr>
        <w:t>），雅罗鱼亚科（</w:t>
      </w:r>
      <w:r>
        <w:rPr>
          <w:rFonts w:hint="eastAsia" w:eastAsia="仿宋_GB2312"/>
          <w:i/>
          <w:iCs/>
          <w:color w:val="auto"/>
          <w:sz w:val="24"/>
        </w:rPr>
        <w:t>Leuciscinae</w:t>
      </w:r>
      <w:r>
        <w:rPr>
          <w:rFonts w:hint="eastAsia" w:eastAsia="仿宋_GB2312"/>
          <w:color w:val="auto"/>
          <w:sz w:val="24"/>
        </w:rPr>
        <w:t>），草鱼属（</w:t>
      </w:r>
      <w:r>
        <w:rPr>
          <w:rFonts w:hint="eastAsia" w:eastAsia="仿宋_GB2312"/>
          <w:i/>
          <w:iCs/>
          <w:color w:val="auto"/>
          <w:sz w:val="24"/>
        </w:rPr>
        <w:t>Ctenopharyngodon</w:t>
      </w:r>
      <w:r>
        <w:rPr>
          <w:rFonts w:hint="eastAsia" w:eastAsia="仿宋_GB2312"/>
          <w:color w:val="auto"/>
          <w:sz w:val="24"/>
        </w:rPr>
        <w:t>）。草鱼广泛分布于我国除新疆和青藏高原以外的广东至东北的平原地区。草鱼为典型的草食性鱼类，只在鱼苗和鱼种阶段摄食浮游动物、摇蚊幼虫、桡足类和无节幼体、藻类等。一般喜欢生活在水体的中下层，摄食时也常成群在水上层及近岸多水草区活动，性情活泼，游泳迅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青鱼俗名青鲩、黑鲩、青根鱼等，隶属于鲤形目（</w:t>
      </w:r>
      <w:r>
        <w:rPr>
          <w:rFonts w:hint="eastAsia" w:eastAsia="仿宋_GB2312"/>
          <w:i/>
          <w:iCs/>
          <w:color w:val="auto"/>
          <w:sz w:val="24"/>
        </w:rPr>
        <w:t>Cypriniformes</w:t>
      </w:r>
      <w:r>
        <w:rPr>
          <w:rFonts w:hint="eastAsia" w:eastAsia="仿宋_GB2312"/>
          <w:color w:val="auto"/>
          <w:sz w:val="24"/>
        </w:rPr>
        <w:t>），鲤科（</w:t>
      </w:r>
      <w:r>
        <w:rPr>
          <w:rFonts w:hint="eastAsia" w:eastAsia="仿宋_GB2312"/>
          <w:i/>
          <w:iCs/>
          <w:color w:val="auto"/>
          <w:sz w:val="24"/>
        </w:rPr>
        <w:t>Cyprinidae</w:t>
      </w:r>
      <w:r>
        <w:rPr>
          <w:rFonts w:hint="eastAsia" w:eastAsia="仿宋_GB2312"/>
          <w:color w:val="auto"/>
          <w:sz w:val="24"/>
        </w:rPr>
        <w:t>），雅罗鱼亚科（</w:t>
      </w:r>
      <w:r>
        <w:rPr>
          <w:rFonts w:hint="eastAsia" w:eastAsia="仿宋_GB2312"/>
          <w:i/>
          <w:iCs/>
          <w:color w:val="auto"/>
          <w:sz w:val="24"/>
        </w:rPr>
        <w:t>Leuciscinae</w:t>
      </w:r>
      <w:r>
        <w:rPr>
          <w:rFonts w:hint="eastAsia" w:eastAsia="仿宋_GB2312"/>
          <w:color w:val="auto"/>
          <w:sz w:val="24"/>
        </w:rPr>
        <w:t>），青鱼属（</w:t>
      </w:r>
      <w:r>
        <w:rPr>
          <w:rFonts w:hint="eastAsia" w:eastAsia="仿宋_GB2312"/>
          <w:i/>
          <w:iCs/>
          <w:color w:val="auto"/>
          <w:sz w:val="24"/>
        </w:rPr>
        <w:t>Mylopharyngodon</w:t>
      </w:r>
      <w:r>
        <w:rPr>
          <w:rFonts w:hint="eastAsia" w:eastAsia="仿宋_GB2312"/>
          <w:color w:val="auto"/>
          <w:sz w:val="24"/>
        </w:rPr>
        <w:t>）。青鱼仔稚鱼阶段主要摄食浮游动物，转食后主要以螺丝、蚬、蚌等软体动物为食。青鱼一般喜欢在水体的中下层生活，平时常在江河河湾、通江湖泊以及附属水体中摄食肥育，冬季常集中到江河及湖泊等水体深处过冬。</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鲢俗称白鲢，隶属于鲤形目（</w:t>
      </w:r>
      <w:r>
        <w:rPr>
          <w:rFonts w:hint="eastAsia" w:eastAsia="仿宋_GB2312"/>
          <w:i/>
          <w:iCs/>
          <w:color w:val="auto"/>
          <w:sz w:val="24"/>
        </w:rPr>
        <w:t>Cypriniformes</w:t>
      </w:r>
      <w:r>
        <w:rPr>
          <w:rFonts w:hint="eastAsia" w:eastAsia="仿宋_GB2312"/>
          <w:color w:val="auto"/>
          <w:sz w:val="24"/>
        </w:rPr>
        <w:t>），鲤科（</w:t>
      </w:r>
      <w:r>
        <w:rPr>
          <w:rFonts w:hint="eastAsia" w:eastAsia="仿宋_GB2312"/>
          <w:i/>
          <w:iCs/>
          <w:color w:val="auto"/>
          <w:sz w:val="24"/>
        </w:rPr>
        <w:t>Cyprinidae</w:t>
      </w:r>
      <w:r>
        <w:rPr>
          <w:rFonts w:hint="eastAsia" w:eastAsia="仿宋_GB2312"/>
          <w:color w:val="auto"/>
          <w:sz w:val="24"/>
        </w:rPr>
        <w:t>），鲢亚科（</w:t>
      </w:r>
      <w:r>
        <w:rPr>
          <w:rFonts w:hint="eastAsia" w:eastAsia="仿宋_GB2312"/>
          <w:i/>
          <w:iCs/>
          <w:color w:val="auto"/>
          <w:sz w:val="24"/>
        </w:rPr>
        <w:t>Hypophthalmichthyinae</w:t>
      </w:r>
      <w:r>
        <w:rPr>
          <w:rFonts w:hint="eastAsia" w:eastAsia="仿宋_GB2312"/>
          <w:color w:val="auto"/>
          <w:sz w:val="24"/>
        </w:rPr>
        <w:t>），鲢属</w:t>
      </w:r>
      <w:r>
        <w:rPr>
          <w:rFonts w:hint="eastAsia" w:eastAsia="仿宋_GB2312"/>
          <w:i/>
          <w:iCs/>
          <w:color w:val="auto"/>
          <w:sz w:val="24"/>
        </w:rPr>
        <w:t>（Hypophthalmichthys</w:t>
      </w:r>
      <w:r>
        <w:rPr>
          <w:rFonts w:hint="eastAsia" w:eastAsia="仿宋_GB2312"/>
          <w:color w:val="auto"/>
          <w:sz w:val="24"/>
        </w:rPr>
        <w:t>）。鲢属典型的滤食性鱼类，成鱼以滤食浮游植物为食。池塘培育的鲢仔稚鱼（6.8-32.2mm）食性存在从浮游动物向浮游植物转化的现象。食性的转化取决于消化系统各器官的发育分化，全长15mm左右为食性转化阶段。全长27.9-32.2mm的食性接近成鱼（冯晓宇和周玉竹，1995）。鲢一般喜欢生活在水域的中上层，性活泼、善跳跃，稍受惊动，就向四处逃游。</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鳙俗称花鲢、胖头，隶属于鲤形目（</w:t>
      </w:r>
      <w:r>
        <w:rPr>
          <w:rFonts w:hint="eastAsia" w:eastAsia="仿宋_GB2312"/>
          <w:i/>
          <w:iCs/>
          <w:color w:val="auto"/>
          <w:sz w:val="24"/>
        </w:rPr>
        <w:t>Cypriniformes</w:t>
      </w:r>
      <w:r>
        <w:rPr>
          <w:rFonts w:hint="eastAsia" w:eastAsia="仿宋_GB2312"/>
          <w:color w:val="auto"/>
          <w:sz w:val="24"/>
        </w:rPr>
        <w:t>），鲤科（</w:t>
      </w:r>
      <w:r>
        <w:rPr>
          <w:rFonts w:hint="eastAsia" w:eastAsia="仿宋_GB2312"/>
          <w:i/>
          <w:iCs/>
          <w:color w:val="auto"/>
          <w:sz w:val="24"/>
        </w:rPr>
        <w:t>Cyprinidae</w:t>
      </w:r>
      <w:r>
        <w:rPr>
          <w:rFonts w:hint="eastAsia" w:eastAsia="仿宋_GB2312"/>
          <w:color w:val="auto"/>
          <w:sz w:val="24"/>
        </w:rPr>
        <w:t>），鲢亚科（</w:t>
      </w:r>
      <w:r>
        <w:rPr>
          <w:rFonts w:hint="eastAsia" w:eastAsia="仿宋_GB2312"/>
          <w:i/>
          <w:iCs/>
          <w:color w:val="auto"/>
          <w:sz w:val="24"/>
        </w:rPr>
        <w:t>Hypophthalmichthyinae</w:t>
      </w:r>
      <w:r>
        <w:rPr>
          <w:rFonts w:hint="eastAsia" w:eastAsia="仿宋_GB2312"/>
          <w:color w:val="auto"/>
          <w:sz w:val="24"/>
        </w:rPr>
        <w:t>），鳙属（</w:t>
      </w:r>
      <w:r>
        <w:rPr>
          <w:rFonts w:hint="eastAsia" w:eastAsia="仿宋_GB2312"/>
          <w:i/>
          <w:iCs/>
          <w:color w:val="auto"/>
          <w:sz w:val="24"/>
        </w:rPr>
        <w:t>Aristichthys</w:t>
      </w:r>
      <w:r>
        <w:rPr>
          <w:rFonts w:hint="eastAsia" w:eastAsia="仿宋_GB2312"/>
          <w:color w:val="auto"/>
          <w:sz w:val="24"/>
        </w:rPr>
        <w:t>）。鳙从鱼苗到成鱼阶段都是以浮游动物为主食，兼食浮游植物，是典型的浮游生物食性的鱼类。鳙喜欢生活在水体的中上层，但不同于鲢鱼接近水面，性情温驯，易于捕获</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青鱼每年春夏季在江河流水中产卵，孵化出的鱼苗及产后的亲鱼又到河湾、湖泊及附属水体内肥育。繁殖季节5</w:t>
      </w:r>
      <w:r>
        <w:rPr>
          <w:rFonts w:hint="eastAsia" w:eastAsia="仿宋_GB2312"/>
          <w:color w:val="auto"/>
          <w:sz w:val="24"/>
          <w:lang w:val="en-US" w:eastAsia="zh-CN"/>
        </w:rPr>
        <w:t>~</w:t>
      </w:r>
      <w:r>
        <w:rPr>
          <w:rFonts w:hint="eastAsia" w:eastAsia="仿宋_GB2312"/>
          <w:color w:val="auto"/>
          <w:sz w:val="24"/>
        </w:rPr>
        <w:t>7月。产卵要求的水文条件（江水上涨和流速加大）不如其它家鱼严格，一般稍有涨水即刺激产卵，和其它三种家鱼比较，青鱼具有产卵活动比较分散、零星、繁殖季节较迟，延续时间较长等特点。另外，排卵受精活动一般不在水面而在水的下层进行。</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草鱼繁殖季节成熟亲鱼有溯流习性，到江河适当江段流水中产卵，鱼苗和产后亲鱼通常到江河的干、支流及附属湖泊、小河、港道、河湾等水草丛生处摄食肥育。产卵季节一般较青鱼稍早，常在4月底或5月初开始，6月底或7月上旬结束。草鱼产卵要求的外界条件和其它家鱼基本相同。在繁殖季节到来时，产卵场的水温达到18℃以上，只要江水突然上涨，都可刺激产卵，在产卵盛期，草鱼除涨水产卵外，有时在平水或退水也能产卵，这多为局部地区降雨后地表水进入产卵江段而引起。鲢常在江河、湖泊及各类附属水体中肥育，性成熟后洄游到江河流水中产卵，产卵后的亲鱼和鱼苗大多进入通江湖泊生长。</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冬季在江河、湖泊深水处越冬，很少活动。繁殖季节一般在</w:t>
      </w:r>
      <w:r>
        <w:rPr>
          <w:rFonts w:hint="eastAsia" w:eastAsia="仿宋_GB2312"/>
          <w:color w:val="auto"/>
          <w:sz w:val="24"/>
          <w:lang w:val="en-US" w:eastAsia="zh-CN"/>
        </w:rPr>
        <w:t>4</w:t>
      </w:r>
      <w:r>
        <w:rPr>
          <w:rFonts w:hint="eastAsia" w:eastAsia="仿宋_GB2312"/>
          <w:color w:val="auto"/>
          <w:sz w:val="24"/>
        </w:rPr>
        <w:t>月下旬至7月上旬，以5月中旬至6</w:t>
      </w:r>
      <w:r>
        <w:rPr>
          <w:rFonts w:hint="eastAsia" w:eastAsia="仿宋_GB2312"/>
          <w:color w:val="auto"/>
          <w:sz w:val="24"/>
          <w:lang w:val="en-US" w:eastAsia="zh-CN"/>
        </w:rPr>
        <w:t>月</w:t>
      </w:r>
      <w:r>
        <w:rPr>
          <w:rFonts w:hint="eastAsia" w:eastAsia="仿宋_GB2312"/>
          <w:color w:val="auto"/>
          <w:sz w:val="24"/>
        </w:rPr>
        <w:t>中旬较集中。鲢鱼产卵和其它家鱼一样，水温达到18℃以上时，每到江水上涨，流速增大，均可刺激产卵排精。当水位下降，产卵活动停止。产卵在水上层进行，此时，雌雄鱼相互追逐，异常活跃，时常露出水面掀起浪花，产卵时有时可见雌鱼腹部向上剧烈抖动。鳙繁殖习性与鲢相似，产卵后的亲鱼和鱼苗大多进入通江湖泊中摄食肥育，冬季在长江和湖泊深水处越冬，以浮游动物为食。和其它家鱼一样，在江河流水中繁殖，繁殖期一般在5</w:t>
      </w:r>
      <w:r>
        <w:rPr>
          <w:rFonts w:hint="eastAsia" w:eastAsia="仿宋_GB2312"/>
          <w:color w:val="auto"/>
          <w:sz w:val="24"/>
          <w:lang w:val="en-US" w:eastAsia="zh-CN"/>
        </w:rPr>
        <w:t>~</w:t>
      </w:r>
      <w:r>
        <w:rPr>
          <w:rFonts w:hint="eastAsia" w:eastAsia="仿宋_GB2312"/>
          <w:color w:val="auto"/>
          <w:sz w:val="24"/>
        </w:rPr>
        <w:t>7月，比鲢产卵稍晚。产卵场广泛分布于长江中游以支流，产卵时对外界水文条件的要求比其它家鱼要高，即产卵时大多发生在水位陡涨的情况下，水位下降、流速平稳时，产卵活动立即停止。产卵时雌雄鱼相互追逐，但没有鲢那样强烈，大多在水下产卵。</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宜昌江段具有四大家鱼的产卵场，也具有一定的资源量。</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4.5.2.8工程区域渔业资源现状</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eastAsia="zh-CN"/>
        </w:rPr>
        <w:t>调查统计渔获物共计3642尾，共948.69kg，累计调查42天，共计160船次，564网次，合计捕捞努力量649728平方米*小时。调查期间共监测到鱼类41种，其中银鲴最多，共</w:t>
      </w:r>
      <w:r>
        <w:rPr>
          <w:rFonts w:hint="eastAsia" w:ascii="Times New Roman" w:hAnsi="Times New Roman" w:eastAsia="仿宋_GB2312" w:cs="Times New Roman"/>
          <w:color w:val="auto"/>
          <w:sz w:val="24"/>
          <w:lang w:val="en-US" w:eastAsia="zh-CN"/>
        </w:rPr>
        <w:t>8</w:t>
      </w:r>
      <w:r>
        <w:rPr>
          <w:rFonts w:hint="eastAsia" w:ascii="Times New Roman" w:hAnsi="Times New Roman" w:eastAsia="仿宋_GB2312" w:cs="Times New Roman"/>
          <w:color w:val="auto"/>
          <w:sz w:val="24"/>
          <w:lang w:eastAsia="zh-CN"/>
        </w:rPr>
        <w:t>83尾，占渔获物总数的24.24%；其次为吻鮈和铜鱼，分别为632尾和559尾，占渔获物总数的17.35%和15.35%。</w:t>
      </w:r>
    </w:p>
    <w:p>
      <w:pPr>
        <w:pStyle w:val="9"/>
        <w:keepNext w:val="0"/>
        <w:keepLines w:val="0"/>
        <w:widowControl w:val="0"/>
        <w:spacing w:before="120" w:after="120" w:line="360" w:lineRule="auto"/>
        <w:rPr>
          <w:rFonts w:hint="default" w:eastAsia="黑体"/>
          <w:b w:val="0"/>
          <w:color w:val="auto"/>
          <w:sz w:val="24"/>
          <w:lang w:val="en-US" w:eastAsia="zh-CN"/>
        </w:rPr>
      </w:pPr>
      <w:bookmarkStart w:id="368" w:name="_Toc5739"/>
      <w:r>
        <w:rPr>
          <w:rFonts w:eastAsia="黑体"/>
          <w:b w:val="0"/>
          <w:color w:val="auto"/>
          <w:sz w:val="24"/>
        </w:rPr>
        <w:t>4.</w:t>
      </w:r>
      <w:r>
        <w:rPr>
          <w:rFonts w:hint="eastAsia" w:eastAsia="黑体"/>
          <w:b w:val="0"/>
          <w:color w:val="auto"/>
          <w:sz w:val="24"/>
          <w:lang w:val="en-US" w:eastAsia="zh-CN"/>
        </w:rPr>
        <w:t>5.3长江湖北宜昌中华鲟自然保护区</w:t>
      </w:r>
      <w:bookmarkEnd w:id="368"/>
    </w:p>
    <w:p>
      <w:pPr>
        <w:widowControl w:val="0"/>
        <w:spacing w:line="360" w:lineRule="auto"/>
        <w:ind w:firstLine="480" w:firstLineChars="200"/>
        <w:rPr>
          <w:rFonts w:hint="eastAsia" w:eastAsia="仿宋_GB2312"/>
          <w:color w:val="auto"/>
          <w:sz w:val="24"/>
        </w:rPr>
      </w:pPr>
      <w:r>
        <w:rPr>
          <w:rFonts w:hint="eastAsia" w:eastAsia="仿宋_GB2312"/>
          <w:color w:val="auto"/>
          <w:sz w:val="24"/>
        </w:rPr>
        <w:t>2018年1月，湖北省环保厅发布了鄂环函[2018]3号文《省环保厅关于长江湖北宜昌中华鲟自然保护区范围及功能区划调整的复函》：同意长江湖北宜昌中华鲟自然保护区范围及功能区调整。调整后保护区的总长度从调整前的50公里增加至60公里，总面积从调整前的5143.80公顷增加至6735.88公顷，其中核心区长度24公里，面积2265.62公顷；缓冲区长度14公里，面积1131.61公顷；实验区长度22公里，面积3338.65公顷</w:t>
      </w:r>
      <w:r>
        <w:rPr>
          <w:rFonts w:hint="eastAsia" w:ascii="Times New Roman" w:hAnsi="Times New Roman" w:eastAsia="仿宋_GB2312" w:cs="Times New Roman"/>
          <w:color w:val="auto"/>
          <w:sz w:val="24"/>
        </w:rPr>
        <w:t>。根据最新的中华鲟自然保护区岸线及功能区，本项目位于</w:t>
      </w:r>
      <w:r>
        <w:rPr>
          <w:rFonts w:hint="eastAsia" w:ascii="Times New Roman" w:hAnsi="Times New Roman" w:eastAsia="仿宋_GB2312" w:cs="Times New Roman"/>
          <w:b/>
          <w:bCs/>
          <w:color w:val="auto"/>
          <w:sz w:val="24"/>
        </w:rPr>
        <w:t>外围保护地带内</w:t>
      </w:r>
      <w:r>
        <w:rPr>
          <w:rFonts w:hint="eastAsia" w:ascii="Times New Roman" w:hAnsi="Times New Roman" w:eastAsia="仿宋_GB2312" w:cs="Times New Roman"/>
          <w:color w:val="auto"/>
          <w:sz w:val="24"/>
        </w:rPr>
        <w:t>。具体分析详见章节</w:t>
      </w:r>
      <w:r>
        <w:rPr>
          <w:rFonts w:hint="eastAsia" w:ascii="Times New Roman" w:hAnsi="Times New Roman" w:eastAsia="仿宋_GB2312" w:cs="Times New Roman"/>
          <w:color w:val="auto"/>
          <w:sz w:val="24"/>
          <w:lang w:val="en-US" w:eastAsia="zh-CN"/>
        </w:rPr>
        <w:t>6</w:t>
      </w:r>
      <w:r>
        <w:rPr>
          <w:rFonts w:hint="eastAsia" w:ascii="Times New Roman" w:hAnsi="Times New Roman" w:eastAsia="仿宋_GB2312" w:cs="Times New Roman"/>
          <w:color w:val="auto"/>
          <w:sz w:val="24"/>
        </w:rPr>
        <w:t>。</w:t>
      </w:r>
    </w:p>
    <w:p>
      <w:pPr>
        <w:pStyle w:val="8"/>
        <w:keepNext w:val="0"/>
        <w:keepLines w:val="0"/>
        <w:widowControl w:val="0"/>
        <w:spacing w:before="120" w:after="120" w:line="360" w:lineRule="auto"/>
        <w:rPr>
          <w:rFonts w:hint="eastAsia" w:ascii="Times New Roman" w:hAnsi="Times New Roman"/>
          <w:b w:val="0"/>
          <w:color w:val="auto"/>
          <w:szCs w:val="32"/>
        </w:rPr>
      </w:pPr>
      <w:bookmarkStart w:id="369" w:name="_Toc8102"/>
      <w:r>
        <w:rPr>
          <w:rFonts w:hint="eastAsia" w:ascii="Times New Roman" w:hAnsi="Times New Roman"/>
          <w:b w:val="0"/>
          <w:color w:val="auto"/>
          <w:szCs w:val="32"/>
        </w:rPr>
        <w:t>4.</w:t>
      </w:r>
      <w:r>
        <w:rPr>
          <w:rFonts w:hint="eastAsia" w:ascii="Times New Roman" w:hAnsi="Times New Roman"/>
          <w:b w:val="0"/>
          <w:color w:val="auto"/>
          <w:szCs w:val="32"/>
          <w:lang w:val="en-US" w:eastAsia="zh-CN"/>
        </w:rPr>
        <w:t>6</w:t>
      </w:r>
      <w:r>
        <w:rPr>
          <w:rFonts w:hint="eastAsia" w:ascii="Times New Roman" w:hAnsi="Times New Roman"/>
          <w:b w:val="0"/>
          <w:color w:val="auto"/>
          <w:szCs w:val="32"/>
        </w:rPr>
        <w:t>区域环境质量现状小结</w:t>
      </w:r>
      <w:bookmarkEnd w:id="369"/>
    </w:p>
    <w:p>
      <w:pPr>
        <w:widowControl w:val="0"/>
        <w:spacing w:line="360" w:lineRule="auto"/>
        <w:ind w:firstLine="480" w:firstLineChars="200"/>
        <w:rPr>
          <w:rFonts w:hint="eastAsia" w:eastAsia="仿宋_GB2312"/>
          <w:color w:val="auto"/>
          <w:sz w:val="24"/>
        </w:rPr>
      </w:pPr>
      <w:r>
        <w:rPr>
          <w:rFonts w:hint="eastAsia" w:eastAsia="仿宋_GB2312"/>
          <w:color w:val="auto"/>
          <w:sz w:val="24"/>
        </w:rPr>
        <w:t>通过对项目区域环境现状调查及监测，得到如下结果：</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（1）根据《202</w:t>
      </w:r>
      <w:r>
        <w:rPr>
          <w:rFonts w:hint="eastAsia" w:eastAsia="仿宋_GB2312"/>
          <w:color w:val="auto"/>
          <w:sz w:val="24"/>
          <w:lang w:val="en-US" w:eastAsia="zh-CN"/>
        </w:rPr>
        <w:t>2</w:t>
      </w:r>
      <w:r>
        <w:rPr>
          <w:rFonts w:hint="eastAsia" w:eastAsia="仿宋_GB2312"/>
          <w:color w:val="auto"/>
          <w:sz w:val="24"/>
        </w:rPr>
        <w:t>年宜昌市环境质量年报》，</w:t>
      </w:r>
      <w:r>
        <w:rPr>
          <w:rFonts w:eastAsia="仿宋_GB2312"/>
          <w:color w:val="auto"/>
          <w:sz w:val="24"/>
        </w:rPr>
        <w:t>20</w:t>
      </w:r>
      <w:r>
        <w:rPr>
          <w:rFonts w:hint="eastAsia" w:eastAsia="仿宋_GB2312"/>
          <w:color w:val="auto"/>
          <w:sz w:val="24"/>
          <w:lang w:val="en-US" w:eastAsia="zh-CN"/>
        </w:rPr>
        <w:t>22</w:t>
      </w:r>
      <w:r>
        <w:rPr>
          <w:rFonts w:eastAsia="仿宋_GB2312"/>
          <w:color w:val="auto"/>
          <w:sz w:val="24"/>
        </w:rPr>
        <w:t>年长期监测数据表明</w:t>
      </w:r>
      <w:r>
        <w:rPr>
          <w:rFonts w:hint="eastAsia" w:eastAsia="仿宋_GB2312"/>
          <w:color w:val="auto"/>
          <w:sz w:val="24"/>
        </w:rPr>
        <w:t>：</w:t>
      </w:r>
      <w:r>
        <w:rPr>
          <w:rFonts w:eastAsia="仿宋_GB2312"/>
          <w:color w:val="auto"/>
          <w:sz w:val="24"/>
        </w:rPr>
        <w:t>PM</w:t>
      </w:r>
      <w:r>
        <w:rPr>
          <w:rFonts w:eastAsia="仿宋_GB2312"/>
          <w:color w:val="auto"/>
          <w:sz w:val="24"/>
          <w:vertAlign w:val="subscript"/>
        </w:rPr>
        <w:t>10</w:t>
      </w:r>
      <w:r>
        <w:rPr>
          <w:rFonts w:eastAsia="仿宋_GB2312"/>
          <w:color w:val="auto"/>
          <w:sz w:val="24"/>
        </w:rPr>
        <w:t>年均浓度、SO</w:t>
      </w:r>
      <w:r>
        <w:rPr>
          <w:rFonts w:eastAsia="仿宋_GB2312"/>
          <w:color w:val="auto"/>
          <w:sz w:val="24"/>
          <w:vertAlign w:val="subscript"/>
        </w:rPr>
        <w:t>2</w:t>
      </w:r>
      <w:r>
        <w:rPr>
          <w:rFonts w:eastAsia="仿宋_GB2312"/>
          <w:color w:val="auto"/>
          <w:sz w:val="24"/>
        </w:rPr>
        <w:t>年均浓度、NO</w:t>
      </w:r>
      <w:r>
        <w:rPr>
          <w:rFonts w:eastAsia="仿宋_GB2312"/>
          <w:color w:val="auto"/>
          <w:sz w:val="24"/>
          <w:vertAlign w:val="subscript"/>
        </w:rPr>
        <w:t>2</w:t>
      </w:r>
      <w:r>
        <w:rPr>
          <w:rFonts w:eastAsia="仿宋_GB2312"/>
          <w:color w:val="auto"/>
          <w:sz w:val="24"/>
        </w:rPr>
        <w:t>年均浓度、CO 24小时平均第95百分位数浓度、O</w:t>
      </w:r>
      <w:r>
        <w:rPr>
          <w:rFonts w:eastAsia="仿宋_GB2312"/>
          <w:color w:val="auto"/>
          <w:sz w:val="24"/>
          <w:vertAlign w:val="subscript"/>
        </w:rPr>
        <w:t>3</w:t>
      </w:r>
      <w:r>
        <w:rPr>
          <w:rFonts w:eastAsia="仿宋_GB2312"/>
          <w:color w:val="auto"/>
          <w:sz w:val="24"/>
        </w:rPr>
        <w:t>日最大8小时平均值第90百分位浓度能满足《环境空气质量标准》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w:t>
      </w:r>
      <w:r>
        <w:rPr>
          <w:rFonts w:hint="eastAsia" w:eastAsia="仿宋_GB2312"/>
          <w:color w:val="auto"/>
          <w:sz w:val="24"/>
          <w:lang w:eastAsia="zh-CN"/>
        </w:rPr>
        <w:t>；</w:t>
      </w:r>
      <w:r>
        <w:rPr>
          <w:rFonts w:eastAsia="仿宋_GB2312"/>
          <w:color w:val="auto"/>
          <w:sz w:val="24"/>
        </w:rPr>
        <w:t>PM</w:t>
      </w:r>
      <w:r>
        <w:rPr>
          <w:rFonts w:eastAsia="仿宋_GB2312"/>
          <w:color w:val="auto"/>
          <w:sz w:val="24"/>
          <w:vertAlign w:val="subscript"/>
        </w:rPr>
        <w:t>2.5</w:t>
      </w:r>
      <w:r>
        <w:rPr>
          <w:rFonts w:eastAsia="仿宋_GB2312"/>
          <w:color w:val="auto"/>
          <w:sz w:val="24"/>
        </w:rPr>
        <w:t>年均浓度</w:t>
      </w:r>
      <w:r>
        <w:rPr>
          <w:rFonts w:hint="eastAsia" w:eastAsia="仿宋_GB2312"/>
          <w:color w:val="auto"/>
          <w:sz w:val="24"/>
          <w:lang w:val="en-US" w:eastAsia="zh-CN"/>
        </w:rPr>
        <w:t>不</w:t>
      </w:r>
      <w:r>
        <w:rPr>
          <w:rFonts w:eastAsia="仿宋_GB2312"/>
          <w:color w:val="auto"/>
          <w:sz w:val="24"/>
        </w:rPr>
        <w:t>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二级标准。经判定，项目所在区为环境空气质量</w:t>
      </w:r>
      <w:r>
        <w:rPr>
          <w:rFonts w:hint="eastAsia" w:eastAsia="仿宋_GB2312"/>
          <w:color w:val="auto"/>
          <w:sz w:val="24"/>
          <w:lang w:val="en-US" w:eastAsia="zh-CN"/>
        </w:rPr>
        <w:t>不</w:t>
      </w:r>
      <w:r>
        <w:rPr>
          <w:rFonts w:eastAsia="仿宋_GB2312"/>
          <w:color w:val="auto"/>
          <w:sz w:val="24"/>
        </w:rPr>
        <w:t>达标区域。</w:t>
      </w:r>
    </w:p>
    <w:p>
      <w:pPr>
        <w:widowControl w:val="0"/>
        <w:spacing w:line="360" w:lineRule="auto"/>
        <w:ind w:firstLine="482" w:firstLineChars="200"/>
        <w:jc w:val="both"/>
        <w:rPr>
          <w:rFonts w:hint="eastAsia" w:eastAsia="仿宋_GB2312"/>
          <w:b/>
          <w:bCs/>
          <w:color w:val="auto"/>
          <w:sz w:val="24"/>
        </w:rPr>
      </w:pPr>
      <w:r>
        <w:rPr>
          <w:rFonts w:hint="eastAsia" w:eastAsia="仿宋_GB2312"/>
          <w:b/>
          <w:bCs/>
          <w:color w:val="auto"/>
          <w:sz w:val="24"/>
        </w:rPr>
        <w:t>区域大气环境综合治理规划：</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为改善宜昌市环境空气质量，宜昌市人民代表大会常务委员会根据《中华人民共和国环境保护法》、《中华人民共和国大气污染防治法》、《湖北省大气污染防治条例》等法律法规，结合本市实际制定了《宜昌市扬尘污染防治条例》，通过制定9条防治措施有效防治扬尘污染，改善大气环境质量，主要城区环境空气质量重污染天气大幅减少。2023年3月10日，宜昌市生态环境保护委员会办公室发布了《宜昌市2023年大气污染防治及应对气候变化工作实施方案》，深入推进面源污染治理，制定空气质量改善目标，各县市环境空气持续改善。</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根据现状补充监测结果，监测点位的环境空气质量</w:t>
      </w:r>
      <w:r>
        <w:rPr>
          <w:rFonts w:hint="eastAsia" w:eastAsia="仿宋_GB2312"/>
          <w:color w:val="auto"/>
          <w:sz w:val="24"/>
          <w:lang w:val="en-US" w:eastAsia="zh-CN"/>
        </w:rPr>
        <w:t>TSP日均值浓度</w:t>
      </w:r>
      <w:r>
        <w:rPr>
          <w:rFonts w:hint="eastAsia" w:eastAsia="仿宋_GB2312"/>
          <w:color w:val="auto"/>
          <w:sz w:val="24"/>
        </w:rPr>
        <w:t>满足</w:t>
      </w:r>
      <w:r>
        <w:rPr>
          <w:rFonts w:eastAsia="仿宋_GB2312"/>
          <w:color w:val="auto"/>
          <w:sz w:val="24"/>
        </w:rPr>
        <w:t>《环境空气质量标准》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根据《202</w:t>
      </w:r>
      <w:r>
        <w:rPr>
          <w:rFonts w:hint="eastAsia" w:eastAsia="仿宋_GB2312"/>
          <w:color w:val="auto"/>
          <w:sz w:val="24"/>
          <w:lang w:val="en-US" w:eastAsia="zh-CN"/>
        </w:rPr>
        <w:t>2</w:t>
      </w:r>
      <w:r>
        <w:rPr>
          <w:rFonts w:hint="eastAsia" w:eastAsia="仿宋_GB2312"/>
          <w:color w:val="auto"/>
          <w:sz w:val="24"/>
        </w:rPr>
        <w:t>年宜昌市环境质量年报》，</w:t>
      </w:r>
      <w:r>
        <w:rPr>
          <w:rFonts w:hint="default" w:eastAsia="仿宋_GB2312"/>
          <w:color w:val="auto"/>
          <w:sz w:val="24"/>
          <w:lang w:eastAsia="zh-CN"/>
        </w:rPr>
        <w:t>202</w:t>
      </w:r>
      <w:r>
        <w:rPr>
          <w:rFonts w:hint="eastAsia" w:eastAsia="仿宋_GB2312"/>
          <w:color w:val="auto"/>
          <w:sz w:val="24"/>
          <w:lang w:val="en-US" w:eastAsia="zh-CN"/>
        </w:rPr>
        <w:t>2</w:t>
      </w:r>
      <w:r>
        <w:rPr>
          <w:rFonts w:hint="default" w:eastAsia="仿宋_GB2312"/>
          <w:color w:val="auto"/>
          <w:sz w:val="24"/>
          <w:lang w:eastAsia="zh-CN"/>
        </w:rPr>
        <w:t>年长江枝城洋溪村（右）断面水质达到Ⅱ类水质标准</w:t>
      </w:r>
      <w:r>
        <w:rPr>
          <w:rFonts w:hint="default" w:eastAsia="仿宋_GB2312"/>
          <w:color w:val="auto"/>
          <w:sz w:val="24"/>
          <w:lang w:val="en-US" w:eastAsia="zh-CN"/>
        </w:rPr>
        <w:t>要求</w:t>
      </w:r>
      <w:r>
        <w:rPr>
          <w:rFonts w:hint="eastAsia" w:eastAsia="仿宋_GB2312"/>
          <w:color w:val="auto"/>
          <w:sz w:val="24"/>
        </w:rPr>
        <w:t>。根据地表水补充监测断面现状监测结果，长江各监测断面水质监测因子均满足《地表水环境质量标准》（GB3838-2002）Ⅱ类标准限值。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w:t>
      </w:r>
      <w:r>
        <w:rPr>
          <w:rFonts w:hint="eastAsia" w:eastAsia="仿宋_GB2312"/>
          <w:color w:val="auto"/>
          <w:sz w:val="24"/>
          <w:lang w:val="en-US" w:eastAsia="zh-CN"/>
        </w:rPr>
        <w:t>3</w:t>
      </w:r>
      <w:r>
        <w:rPr>
          <w:rFonts w:hint="eastAsia" w:eastAsia="仿宋_GB2312"/>
          <w:color w:val="auto"/>
          <w:sz w:val="24"/>
        </w:rPr>
        <w:t>）根据噪声环境质量现状监测结果，</w:t>
      </w:r>
      <w:r>
        <w:rPr>
          <w:rFonts w:hint="eastAsia" w:eastAsia="仿宋_GB2312"/>
          <w:color w:val="auto"/>
          <w:sz w:val="24"/>
          <w:lang w:val="en-US" w:eastAsia="zh-CN"/>
        </w:rPr>
        <w:t>港区</w:t>
      </w:r>
      <w:r>
        <w:rPr>
          <w:rFonts w:hint="eastAsia" w:eastAsia="仿宋_GB2312"/>
          <w:color w:val="auto"/>
          <w:sz w:val="24"/>
        </w:rPr>
        <w:t>厂区临</w:t>
      </w:r>
      <w:r>
        <w:rPr>
          <w:rFonts w:hint="eastAsia" w:eastAsia="仿宋_GB2312"/>
          <w:color w:val="auto"/>
          <w:sz w:val="24"/>
          <w:lang w:val="en-US" w:eastAsia="zh-CN"/>
        </w:rPr>
        <w:t>红东公路侧</w:t>
      </w:r>
      <w:r>
        <w:rPr>
          <w:rFonts w:hint="eastAsia" w:eastAsia="仿宋_GB2312"/>
          <w:color w:val="auto"/>
          <w:sz w:val="24"/>
        </w:rPr>
        <w:t>昼夜监测值满足《声环境质量标准》（GB3096-2008）中4a标准，其余</w:t>
      </w:r>
      <w:r>
        <w:rPr>
          <w:rFonts w:hint="eastAsia" w:eastAsia="仿宋_GB2312"/>
          <w:color w:val="auto"/>
          <w:sz w:val="24"/>
          <w:lang w:val="en-US" w:eastAsia="zh-CN"/>
        </w:rPr>
        <w:t>厂界</w:t>
      </w:r>
      <w:r>
        <w:rPr>
          <w:rFonts w:hint="eastAsia" w:eastAsia="仿宋_GB2312"/>
          <w:color w:val="auto"/>
          <w:sz w:val="24"/>
        </w:rPr>
        <w:t>噪声昼夜间监测值均满足《声环境质量标准》（GB3096-2008）中3类标准要求。</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w:t>
      </w:r>
      <w:r>
        <w:rPr>
          <w:rFonts w:hint="eastAsia" w:eastAsia="仿宋_GB2312"/>
          <w:color w:val="auto"/>
          <w:sz w:val="24"/>
          <w:lang w:val="en-US" w:eastAsia="zh-CN"/>
        </w:rPr>
        <w:t>4</w:t>
      </w:r>
      <w:r>
        <w:rPr>
          <w:rFonts w:hint="eastAsia" w:eastAsia="仿宋_GB2312"/>
          <w:color w:val="auto"/>
          <w:sz w:val="24"/>
        </w:rPr>
        <w:t>）生态环境现状</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①陆生生态现状调查</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项目所在地区为丘陵地带，地带性植被为落叶阔叶—常绿阔叶和针叶混交林，受人类干扰影响，评价范围植被没有原始植被，主要分布有藤黄，构树，蒲公英，狗尾草，狗牙根以及农作物等栽培植被。</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评价范围内由于现有港区作业导致受人为干扰严重，野生动物种类稀少，多为与人类关系密切两栖、小型兽类和雀形目鸟类，如多疣壁虎、黄鼬、褐家鼠、黄胸鼠、小家鼠和[树]麻雀等，没有国家和湖北省重点保护野生动物分布</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②水生生态环境</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本次调查共采集到浮游植物7门108种。其中绿藻门最多43种，占总数39.81%；其次为硅藻门28种，占总数25.93%；蓝藻门25种，占总数的23.15%；金藻门最少，仅1种，占总数的1.85%。</w:t>
      </w:r>
    </w:p>
    <w:p>
      <w:pPr>
        <w:widowControl w:val="0"/>
        <w:spacing w:line="360" w:lineRule="auto"/>
        <w:ind w:firstLine="480" w:firstLineChars="200"/>
        <w:rPr>
          <w:rFonts w:hint="eastAsia" w:eastAsia="仿宋_GB2312" w:cs="Times New Roman"/>
          <w:color w:val="auto"/>
          <w:sz w:val="24"/>
          <w:lang w:eastAsia="zh-CN"/>
        </w:rPr>
      </w:pPr>
      <w:r>
        <w:rPr>
          <w:rFonts w:hint="eastAsia" w:ascii="Times New Roman" w:hAnsi="Times New Roman" w:eastAsia="仿宋_GB2312" w:cs="Times New Roman"/>
          <w:color w:val="auto"/>
          <w:sz w:val="24"/>
          <w:lang w:eastAsia="zh-CN"/>
        </w:rPr>
        <w:t>本次调查共采集到浮游动物65种，其中轮虫种类数最多为22种，占总数的33.84%；其次原生动物和枝角类16种，占总数的24.62%；桡足类各11种，占总数的16.92%</w:t>
      </w:r>
      <w:r>
        <w:rPr>
          <w:rFonts w:hint="eastAsia" w:eastAsia="仿宋_GB2312" w:cs="Times New Roman"/>
          <w:color w:val="auto"/>
          <w:sz w:val="24"/>
          <w:lang w:eastAsia="zh-CN"/>
        </w:rPr>
        <w:t>。</w:t>
      </w:r>
    </w:p>
    <w:p>
      <w:pPr>
        <w:widowControl w:val="0"/>
        <w:spacing w:line="360" w:lineRule="auto"/>
        <w:ind w:firstLine="480" w:firstLineChars="200"/>
        <w:rPr>
          <w:rFonts w:hint="eastAsia" w:eastAsia="仿宋_GB2312" w:cs="Times New Roman"/>
          <w:color w:val="auto"/>
          <w:sz w:val="24"/>
          <w:lang w:eastAsia="zh-CN"/>
        </w:rPr>
      </w:pPr>
      <w:r>
        <w:rPr>
          <w:rFonts w:hint="eastAsia" w:ascii="Times New Roman" w:hAnsi="Times New Roman" w:eastAsia="仿宋_GB2312" w:cs="Times New Roman"/>
          <w:color w:val="auto"/>
          <w:sz w:val="24"/>
          <w:lang w:eastAsia="zh-CN"/>
        </w:rPr>
        <w:t>共</w:t>
      </w:r>
      <w:r>
        <w:rPr>
          <w:rFonts w:hint="eastAsia" w:eastAsia="仿宋_GB2312"/>
          <w:color w:val="auto"/>
          <w:sz w:val="24"/>
        </w:rPr>
        <w:t>采集到底栖动物11种。其中环节动物2种，占总数的15.38%；软体动物7种，占总数的53.85%；节肢动物4种，占总数的30.77%</w:t>
      </w:r>
      <w:r>
        <w:rPr>
          <w:rFonts w:hint="eastAsia" w:eastAsia="仿宋_GB2312"/>
          <w:color w:val="auto"/>
          <w:sz w:val="24"/>
          <w:lang w:eastAsia="zh-CN"/>
        </w:rPr>
        <w:t>。</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据《长江水系渔业资源》（1990）、《中国淡水鱼类原色图集1》（1982）等资料及历年调查结果，评价区域内分布有鱼类112种，包括国家一级保护动物白鲟、中华鲟、长江鲟，国家二级保护动物胭脂鱼，省级保护珍稀鱼类6种，分属11目23科74属。其中鲤形目种数最多，共有4科16亚科51属74种或亚种，占鱼类种数的66.07%，其次为鲇形目，4科7属18种，占鱼类种数的16.07%；鲱形目、胡瓜鱼目、鳗形目、颌针鱼目、鲑形目、鲀形目、合鳃鱼目种数最少，均为1科1属1种；其余为鲈形目6科7属10种、鲟形目2科2属3种。</w:t>
      </w:r>
    </w:p>
    <w:p>
      <w:pPr>
        <w:widowControl w:val="0"/>
        <w:spacing w:line="360" w:lineRule="auto"/>
        <w:ind w:firstLine="480" w:firstLineChars="200"/>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根据本单位2022年冬季在宜昌江段开展的渔业资源调查结果，调查期间共监测到鱼类41种，与历史调查结果相比，鱼类种类有所差异。调查主要是对工程影响河段进行的调查，并未对保护区流域进行全面调查，调查结果也受采样断面和调查强度等因素的限制</w:t>
      </w:r>
      <w:r>
        <w:rPr>
          <w:rFonts w:hint="eastAsia" w:ascii="Times New Roman" w:hAnsi="Times New Roman" w:eastAsia="仿宋_GB2312" w:cs="Times New Roman"/>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根据调查结果，最近的产卵场为下游约</w:t>
      </w:r>
      <w:r>
        <w:rPr>
          <w:rFonts w:hint="eastAsia" w:eastAsia="仿宋_GB2312"/>
          <w:color w:val="auto"/>
          <w:sz w:val="24"/>
          <w:lang w:val="en-US" w:eastAsia="zh-CN"/>
        </w:rPr>
        <w:t>7</w:t>
      </w:r>
      <w:r>
        <w:rPr>
          <w:rFonts w:hint="eastAsia" w:eastAsia="仿宋_GB2312"/>
          <w:color w:val="auto"/>
          <w:sz w:val="24"/>
        </w:rPr>
        <w:t>.7km处的松滋河口漂流性卵产卵场，项目现有码头所在江段是江海洄游水生动物的洄游通道，可能分布有中华鲟、江豚等大型洄游鱼类及胭脂鱼等国家重点保护野生动物。</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根据最新的中华鲟自然保护区岸线及功能区，本项目位于</w:t>
      </w:r>
      <w:r>
        <w:rPr>
          <w:rFonts w:hint="eastAsia" w:ascii="Times New Roman" w:hAnsi="Times New Roman" w:eastAsia="仿宋_GB2312" w:cs="Times New Roman"/>
          <w:b/>
          <w:bCs/>
          <w:color w:val="auto"/>
          <w:sz w:val="24"/>
        </w:rPr>
        <w:t>外围保护地带内</w:t>
      </w: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见附图10</w:t>
      </w:r>
      <w:r>
        <w:rPr>
          <w:rFonts w:hint="eastAsia" w:eastAsia="仿宋_GB2312"/>
          <w:color w:val="auto"/>
          <w:sz w:val="24"/>
        </w:rPr>
        <w:t>。</w:t>
      </w:r>
    </w:p>
    <w:p>
      <w:pPr>
        <w:rPr>
          <w:color w:val="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widowControl w:val="0"/>
        <w:spacing w:before="240" w:after="240" w:line="360" w:lineRule="auto"/>
        <w:jc w:val="center"/>
        <w:outlineLvl w:val="0"/>
        <w:rPr>
          <w:rFonts w:eastAsia="黑体"/>
          <w:color w:val="auto"/>
          <w:sz w:val="44"/>
          <w:szCs w:val="44"/>
        </w:rPr>
      </w:pPr>
      <w:bookmarkStart w:id="370" w:name="_Toc343702813"/>
      <w:bookmarkStart w:id="371" w:name="_Toc4045"/>
      <w:bookmarkStart w:id="372" w:name="_Toc305859515"/>
      <w:bookmarkStart w:id="373" w:name="_Toc145206184"/>
      <w:r>
        <w:rPr>
          <w:rFonts w:eastAsia="黑体"/>
          <w:color w:val="auto"/>
          <w:sz w:val="44"/>
          <w:szCs w:val="44"/>
        </w:rPr>
        <w:t>5环境影响预测与评价</w:t>
      </w:r>
      <w:bookmarkEnd w:id="370"/>
      <w:bookmarkEnd w:id="371"/>
      <w:bookmarkEnd w:id="372"/>
    </w:p>
    <w:p>
      <w:pPr>
        <w:pStyle w:val="8"/>
        <w:widowControl w:val="0"/>
        <w:spacing w:before="120" w:after="120" w:line="360" w:lineRule="auto"/>
        <w:rPr>
          <w:rFonts w:ascii="Times New Roman" w:hAnsi="Times New Roman"/>
          <w:b w:val="0"/>
          <w:color w:val="auto"/>
          <w:szCs w:val="32"/>
        </w:rPr>
      </w:pPr>
      <w:bookmarkStart w:id="374" w:name="_Toc305859521"/>
      <w:bookmarkStart w:id="375" w:name="_Toc343702820"/>
      <w:bookmarkStart w:id="376" w:name="_Toc25667"/>
      <w:r>
        <w:rPr>
          <w:rFonts w:ascii="Times New Roman" w:hAnsi="Times New Roman"/>
          <w:b w:val="0"/>
          <w:color w:val="auto"/>
          <w:szCs w:val="32"/>
        </w:rPr>
        <w:t>5.</w:t>
      </w:r>
      <w:r>
        <w:rPr>
          <w:rFonts w:hint="eastAsia" w:ascii="Times New Roman" w:hAnsi="Times New Roman"/>
          <w:b w:val="0"/>
          <w:color w:val="auto"/>
          <w:szCs w:val="32"/>
          <w:lang w:val="en-US" w:eastAsia="zh-CN"/>
        </w:rPr>
        <w:t>1施工期</w:t>
      </w:r>
      <w:r>
        <w:rPr>
          <w:rFonts w:ascii="Times New Roman" w:hAnsi="Times New Roman"/>
          <w:b w:val="0"/>
          <w:color w:val="auto"/>
          <w:szCs w:val="32"/>
        </w:rPr>
        <w:t>环境影响</w:t>
      </w:r>
      <w:bookmarkEnd w:id="374"/>
      <w:bookmarkEnd w:id="375"/>
      <w:r>
        <w:rPr>
          <w:rFonts w:ascii="Times New Roman" w:hAnsi="Times New Roman"/>
          <w:b w:val="0"/>
          <w:color w:val="auto"/>
          <w:szCs w:val="32"/>
        </w:rPr>
        <w:t>分析</w:t>
      </w:r>
      <w:bookmarkEnd w:id="376"/>
    </w:p>
    <w:p>
      <w:pPr>
        <w:pStyle w:val="9"/>
        <w:widowControl w:val="0"/>
        <w:spacing w:before="120" w:after="120" w:line="360" w:lineRule="auto"/>
        <w:rPr>
          <w:rFonts w:hint="default" w:eastAsia="黑体"/>
          <w:b w:val="0"/>
          <w:color w:val="auto"/>
          <w:sz w:val="24"/>
          <w:lang w:val="en-US" w:eastAsia="zh-CN"/>
        </w:rPr>
      </w:pPr>
      <w:bookmarkStart w:id="377" w:name="_Toc24274"/>
      <w:bookmarkStart w:id="378" w:name="_Toc305859525"/>
      <w:bookmarkStart w:id="379" w:name="_Toc343702825"/>
      <w:r>
        <w:rPr>
          <w:rFonts w:eastAsia="黑体"/>
          <w:b w:val="0"/>
          <w:color w:val="auto"/>
          <w:sz w:val="24"/>
        </w:rPr>
        <w:t>5.</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1施工期地表水环境影响分析</w:t>
      </w:r>
      <w:bookmarkEnd w:id="377"/>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1.1</w:t>
      </w:r>
      <w:r>
        <w:rPr>
          <w:rFonts w:eastAsia="黑体"/>
          <w:color w:val="auto"/>
          <w:sz w:val="24"/>
        </w:rPr>
        <w:t>.1</w:t>
      </w:r>
      <w:r>
        <w:rPr>
          <w:rFonts w:hint="eastAsia" w:eastAsia="黑体"/>
          <w:color w:val="auto"/>
          <w:sz w:val="24"/>
          <w:lang w:val="en-US" w:eastAsia="zh-CN"/>
        </w:rPr>
        <w:t>码头桩基施工对</w:t>
      </w:r>
      <w:r>
        <w:rPr>
          <w:rFonts w:hint="eastAsia" w:eastAsia="黑体"/>
          <w:b w:val="0"/>
          <w:color w:val="auto"/>
          <w:sz w:val="24"/>
          <w:lang w:val="en-US" w:eastAsia="zh-CN"/>
        </w:rPr>
        <w:t>地表</w:t>
      </w:r>
      <w:r>
        <w:rPr>
          <w:rFonts w:hint="eastAsia" w:eastAsia="黑体"/>
          <w:color w:val="auto"/>
          <w:sz w:val="24"/>
          <w:lang w:val="en-US" w:eastAsia="zh-CN"/>
        </w:rPr>
        <w:t>水环境影响分析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码头散货泊位采用浮码头结构形式，有引桥和转运站组成。活动钢引桥采用桁架式结构。散货泊位后方设置转运站及变电所平台，平台采用高桩</w:t>
      </w:r>
      <w:r>
        <w:rPr>
          <w:rFonts w:hint="eastAsia" w:eastAsia="仿宋_GB2312"/>
          <w:color w:val="auto"/>
          <w:sz w:val="24"/>
          <w:lang w:val="en-US" w:eastAsia="zh-CN"/>
        </w:rPr>
        <w:t>墩</w:t>
      </w:r>
      <w:r>
        <w:rPr>
          <w:rFonts w:hint="eastAsia" w:eastAsia="仿宋_GB2312"/>
          <w:color w:val="auto"/>
          <w:sz w:val="24"/>
        </w:rPr>
        <w:t>板结构，桩基采用钻孔灌注桩，上部为现浇钢筋混凝土墩台。</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陆上引桥桩基采用钻孔灌注桩，桩基位于岸上，不在水下施工。在钻孔灌注桩桩基钻孔施工作业时，产生少量的泥浆，需要设置泥浆池，本项目拟在堤外设置钢板箱泥浆池、堤内设置开挖式泥浆池，从泥浆池中抽出泥浆水注入钻孔内，对钻孔壁进行保护，泥浆水通过泥浆泵的抽压在泥浆池和钻孔内循环回用。钻孔作业完成时，泥浆池内的泥浆经自然风干后就地回填至引桥四周，泥浆池回填。</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灌注桩施工过程若遇降雨，由于雨水的进入，泥浆池泥浆水可能会溢出外流至</w:t>
      </w:r>
      <w:r>
        <w:rPr>
          <w:rFonts w:hint="eastAsia" w:eastAsia="仿宋_GB2312"/>
          <w:color w:val="auto"/>
          <w:sz w:val="24"/>
          <w:lang w:val="en-US" w:eastAsia="zh-CN"/>
        </w:rPr>
        <w:t>长江</w:t>
      </w:r>
      <w:r>
        <w:rPr>
          <w:rFonts w:hint="eastAsia" w:eastAsia="仿宋_GB2312"/>
          <w:color w:val="auto"/>
          <w:sz w:val="24"/>
        </w:rPr>
        <w:t>中，对工程</w:t>
      </w:r>
      <w:r>
        <w:rPr>
          <w:rFonts w:hint="eastAsia" w:eastAsia="仿宋_GB2312"/>
          <w:color w:val="auto"/>
          <w:sz w:val="24"/>
          <w:lang w:val="en-US" w:eastAsia="zh-CN"/>
        </w:rPr>
        <w:t>长江宜都</w:t>
      </w:r>
      <w:r>
        <w:rPr>
          <w:rFonts w:hint="eastAsia" w:eastAsia="仿宋_GB2312"/>
          <w:color w:val="auto"/>
          <w:sz w:val="24"/>
        </w:rPr>
        <w:t>段水体产生污染影响。为此，评价提出了在开挖式泥浆池四周采用土堤加高围护，并在泥浆池上方设置遮盖装置，防止地面径流雨污水或雨水进入泥浆池后造成的废水溢出。同时在泥浆池设置溢流口并在溢流口布设土工布，降低由于暴雨等因素造成泥浆废水溢出带来的SS污染</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1.1</w:t>
      </w:r>
      <w:r>
        <w:rPr>
          <w:rFonts w:eastAsia="黑体"/>
          <w:color w:val="auto"/>
          <w:sz w:val="24"/>
        </w:rPr>
        <w:t>.</w:t>
      </w:r>
      <w:r>
        <w:rPr>
          <w:rFonts w:hint="eastAsia" w:eastAsia="黑体"/>
          <w:color w:val="auto"/>
          <w:sz w:val="24"/>
          <w:lang w:val="en-US" w:eastAsia="zh-CN"/>
        </w:rPr>
        <w:t>2施工船舶污水对</w:t>
      </w:r>
      <w:r>
        <w:rPr>
          <w:rFonts w:hint="eastAsia" w:eastAsia="黑体"/>
          <w:b w:val="0"/>
          <w:color w:val="auto"/>
          <w:sz w:val="24"/>
          <w:lang w:val="en-US" w:eastAsia="zh-CN"/>
        </w:rPr>
        <w:t>地表</w:t>
      </w:r>
      <w:r>
        <w:rPr>
          <w:rFonts w:hint="eastAsia" w:eastAsia="黑体"/>
          <w:color w:val="auto"/>
          <w:sz w:val="24"/>
          <w:lang w:val="en-US" w:eastAsia="zh-CN"/>
        </w:rPr>
        <w:t>水环境影响分析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施工船舶污水包括船舶舱底油污水和船舶生活污水，施工期船舶舱底油污水产生量为</w:t>
      </w:r>
      <w:r>
        <w:rPr>
          <w:rFonts w:hint="eastAsia" w:eastAsia="仿宋_GB2312"/>
          <w:color w:val="auto"/>
          <w:sz w:val="24"/>
          <w:lang w:val="en-US" w:eastAsia="zh-CN"/>
        </w:rPr>
        <w:t>81t</w:t>
      </w:r>
      <w:r>
        <w:rPr>
          <w:rFonts w:hint="eastAsia" w:eastAsia="仿宋_GB2312"/>
          <w:color w:val="auto"/>
          <w:sz w:val="24"/>
        </w:rPr>
        <w:t>，船舶生活污水发生量为</w:t>
      </w:r>
      <w:r>
        <w:rPr>
          <w:rFonts w:hint="eastAsia" w:eastAsia="仿宋_GB2312"/>
          <w:color w:val="auto"/>
          <w:sz w:val="24"/>
          <w:lang w:val="en-US" w:eastAsia="zh-CN"/>
        </w:rPr>
        <w:t>60t</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根据交通部有关规定，施工船舶不得向施工水域排放舱底油污水或生活污水。舱底油污水、生活污水由船舶随船带走。如需排放的，由海事部门认可的有资质的单位接收处理，码头水域不受施工船舶污水影响。</w:t>
      </w:r>
    </w:p>
    <w:p>
      <w:pPr>
        <w:pStyle w:val="9"/>
        <w:widowControl w:val="0"/>
        <w:spacing w:before="120" w:after="120" w:line="360" w:lineRule="auto"/>
        <w:rPr>
          <w:rFonts w:hint="default" w:eastAsia="黑体"/>
          <w:b w:val="0"/>
          <w:color w:val="auto"/>
          <w:sz w:val="24"/>
          <w:lang w:val="en-US" w:eastAsia="zh-CN"/>
        </w:rPr>
      </w:pPr>
      <w:bookmarkStart w:id="380" w:name="_Toc4927"/>
      <w:r>
        <w:rPr>
          <w:rFonts w:eastAsia="黑体"/>
          <w:b w:val="0"/>
          <w:color w:val="auto"/>
          <w:sz w:val="24"/>
        </w:rPr>
        <w:t>5.</w:t>
      </w:r>
      <w:r>
        <w:rPr>
          <w:rFonts w:hint="eastAsia" w:eastAsia="黑体"/>
          <w:b w:val="0"/>
          <w:color w:val="auto"/>
          <w:sz w:val="24"/>
          <w:lang w:val="en-US" w:eastAsia="zh-CN"/>
        </w:rPr>
        <w:t>1</w:t>
      </w:r>
      <w:r>
        <w:rPr>
          <w:rFonts w:eastAsia="黑体"/>
          <w:b w:val="0"/>
          <w:color w:val="auto"/>
          <w:sz w:val="24"/>
        </w:rPr>
        <w:t>.</w:t>
      </w:r>
      <w:r>
        <w:rPr>
          <w:rFonts w:hint="eastAsia" w:eastAsia="黑体"/>
          <w:b w:val="0"/>
          <w:color w:val="auto"/>
          <w:sz w:val="24"/>
          <w:lang w:val="en-US" w:eastAsia="zh-CN"/>
        </w:rPr>
        <w:t>2施工期大气环境影响分析</w:t>
      </w:r>
      <w:bookmarkEnd w:id="380"/>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rPr>
        <w:t>根据拟建工程施工特点，施工过程中产生的主要大气污染物是粉尘，主要起尘环节有：①砂石料等易起尘物料堆存过程中的风蚀起尘；②汽车在装卸、运输砂石料过程中，由于振动、自然外力等因素引起的物料洒落起尘；③</w:t>
      </w:r>
      <w:r>
        <w:rPr>
          <w:rFonts w:hint="eastAsia" w:eastAsia="仿宋_GB2312"/>
          <w:color w:val="auto"/>
          <w:sz w:val="24"/>
          <w:szCs w:val="24"/>
          <w:lang w:val="en-US" w:eastAsia="zh-CN"/>
        </w:rPr>
        <w:t>现有船舶拆除、拟建项目</w:t>
      </w:r>
      <w:r>
        <w:rPr>
          <w:rFonts w:hint="eastAsia" w:eastAsia="仿宋_GB2312"/>
          <w:color w:val="auto"/>
          <w:sz w:val="24"/>
          <w:szCs w:val="24"/>
        </w:rPr>
        <w:t>施工船舶、运输车辆及载重车、挖掘机、装载机等施工机械排放少量燃油废气</w:t>
      </w:r>
      <w:r>
        <w:rPr>
          <w:rFonts w:hint="eastAsia" w:eastAsia="仿宋_GB2312"/>
          <w:color w:val="auto"/>
          <w:sz w:val="24"/>
          <w:szCs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1.2.1施工扬尘对大气环境影响分析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rPr>
        <w:t>陆上施工过程中沙石料堆存、卡车卸料、场地扬尘以及水泥拆包等起尘环节多属无组织排放，在时间及空间上均较为零散，本次评价采用类比调查的方法进行分析。类比长江同类码头施工现场环境空气质量监测结果进行分析，通常在距污染源100m处，各总悬浮微粒值在0.12～0.79mg/m</w:t>
      </w:r>
      <w:r>
        <w:rPr>
          <w:rFonts w:hint="eastAsia" w:eastAsia="仿宋_GB2312"/>
          <w:color w:val="auto"/>
          <w:sz w:val="24"/>
          <w:szCs w:val="24"/>
          <w:vertAlign w:val="superscript"/>
        </w:rPr>
        <w:t>3</w:t>
      </w:r>
      <w:r>
        <w:rPr>
          <w:rFonts w:hint="eastAsia" w:eastAsia="仿宋_GB2312"/>
          <w:color w:val="auto"/>
          <w:sz w:val="24"/>
          <w:szCs w:val="24"/>
        </w:rPr>
        <w:t>之间；浓度影响随风速的变化而变化，总的趋势是小风、静风天气作业时，影响范围较小，大风天气作业时污染较大，但是对于500m以外的环境空气影响较小。施工场地洒水增加颗粒物湿度是施工场地扬尘的环保措施之一，在采取洒水抑尘情况下，施工扬尘对场界外100m范围内的局部区域有一定影响，在距离施工场地100m处总悬浮微粒值下降为0.265mg/m</w:t>
      </w:r>
      <w:r>
        <w:rPr>
          <w:rFonts w:hint="eastAsia" w:eastAsia="仿宋_GB2312"/>
          <w:color w:val="auto"/>
          <w:sz w:val="24"/>
          <w:szCs w:val="24"/>
          <w:vertAlign w:val="superscript"/>
        </w:rPr>
        <w:t>3</w:t>
      </w:r>
      <w:r>
        <w:rPr>
          <w:rFonts w:hint="eastAsia" w:eastAsia="仿宋_GB2312"/>
          <w:color w:val="auto"/>
          <w:sz w:val="24"/>
          <w:szCs w:val="24"/>
        </w:rPr>
        <w:t>，环境中总悬浮微粒值浓度符合二级标准要求。根据本工程的场地布置，码头</w:t>
      </w:r>
      <w:r>
        <w:rPr>
          <w:rFonts w:hint="eastAsia" w:eastAsia="仿宋_GB2312"/>
          <w:color w:val="auto"/>
          <w:sz w:val="24"/>
          <w:szCs w:val="24"/>
          <w:lang w:val="en-US" w:eastAsia="zh-CN"/>
        </w:rPr>
        <w:t>施工场地隔红东公路</w:t>
      </w:r>
      <w:r>
        <w:rPr>
          <w:rFonts w:hint="eastAsia" w:eastAsia="仿宋_GB2312"/>
          <w:color w:val="auto"/>
          <w:sz w:val="24"/>
          <w:szCs w:val="24"/>
        </w:rPr>
        <w:t>南侧</w:t>
      </w:r>
      <w:r>
        <w:rPr>
          <w:rFonts w:hint="eastAsia" w:eastAsia="仿宋_GB2312"/>
          <w:color w:val="auto"/>
          <w:sz w:val="24"/>
          <w:szCs w:val="24"/>
          <w:lang w:val="en-US" w:eastAsia="zh-CN"/>
        </w:rPr>
        <w:t>69</w:t>
      </w:r>
      <w:r>
        <w:rPr>
          <w:rFonts w:hint="eastAsia" w:eastAsia="仿宋_GB2312"/>
          <w:color w:val="auto"/>
          <w:sz w:val="24"/>
          <w:szCs w:val="24"/>
        </w:rPr>
        <w:t>m处有</w:t>
      </w:r>
      <w:r>
        <w:rPr>
          <w:rFonts w:hint="eastAsia" w:eastAsia="仿宋_GB2312"/>
          <w:color w:val="auto"/>
          <w:sz w:val="24"/>
          <w:szCs w:val="24"/>
          <w:lang w:val="en-US" w:eastAsia="zh-CN"/>
        </w:rPr>
        <w:t>5户洋溪社区</w:t>
      </w:r>
      <w:r>
        <w:rPr>
          <w:rFonts w:hint="eastAsia" w:eastAsia="仿宋_GB2312"/>
          <w:color w:val="auto"/>
          <w:sz w:val="24"/>
          <w:szCs w:val="24"/>
        </w:rPr>
        <w:t>散户居民，因此建议建设单位加强堆场施工的洒水措施</w:t>
      </w:r>
      <w:r>
        <w:rPr>
          <w:rFonts w:hint="eastAsia" w:eastAsia="仿宋_GB2312"/>
          <w:color w:val="auto"/>
          <w:sz w:val="24"/>
          <w:szCs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1.2.2汽车运输粉尘对大气环境影响分析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本次评价过程中，汽车运输沙石料对运输路线的粉尘污染以同类码头建设时运输线路两侧的监测结果作类比分析。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运输线路两侧20～25m、车流量400辆/d的TSP监测结果，TSP增加量为0.072～0.158mg/m</w:t>
      </w:r>
      <w:r>
        <w:rPr>
          <w:rFonts w:hint="eastAsia" w:eastAsia="仿宋_GB2312"/>
          <w:color w:val="auto"/>
          <w:sz w:val="24"/>
          <w:szCs w:val="24"/>
          <w:vertAlign w:val="superscript"/>
          <w:lang w:eastAsia="zh-CN"/>
        </w:rPr>
        <w:t>3</w:t>
      </w:r>
      <w:r>
        <w:rPr>
          <w:rFonts w:hint="eastAsia" w:eastAsia="仿宋_GB2312"/>
          <w:color w:val="auto"/>
          <w:sz w:val="24"/>
          <w:szCs w:val="24"/>
          <w:lang w:eastAsia="zh-CN"/>
        </w:rPr>
        <w:t>之间，平均增加量为0.115mg/m</w:t>
      </w:r>
      <w:r>
        <w:rPr>
          <w:rFonts w:hint="eastAsia" w:eastAsia="仿宋_GB2312"/>
          <w:color w:val="auto"/>
          <w:sz w:val="24"/>
          <w:szCs w:val="24"/>
          <w:vertAlign w:val="superscript"/>
          <w:lang w:eastAsia="zh-CN"/>
        </w:rPr>
        <w:t>3</w:t>
      </w:r>
      <w:r>
        <w:rPr>
          <w:rFonts w:hint="eastAsia" w:eastAsia="仿宋_GB2312"/>
          <w:color w:val="auto"/>
          <w:sz w:val="24"/>
          <w:szCs w:val="24"/>
          <w:lang w:eastAsia="zh-CN"/>
        </w:rPr>
        <w:t>。根据现状监测资料表明，工程建设区环境空气质量较好，PM</w:t>
      </w:r>
      <w:r>
        <w:rPr>
          <w:rFonts w:hint="eastAsia" w:eastAsia="仿宋_GB2312"/>
          <w:color w:val="auto"/>
          <w:sz w:val="24"/>
          <w:szCs w:val="24"/>
          <w:vertAlign w:val="subscript"/>
          <w:lang w:eastAsia="zh-CN"/>
        </w:rPr>
        <w:t>10</w:t>
      </w:r>
      <w:r>
        <w:rPr>
          <w:rFonts w:hint="eastAsia" w:eastAsia="仿宋_GB2312"/>
          <w:color w:val="auto"/>
          <w:sz w:val="24"/>
          <w:szCs w:val="24"/>
          <w:lang w:eastAsia="zh-CN"/>
        </w:rPr>
        <w:t>浓度低于《环境空气质量标准》（GB3095-2012）二级标准的限值。目前工程附近区域TSP监测最大值为0.118mg/m</w:t>
      </w:r>
      <w:r>
        <w:rPr>
          <w:rFonts w:hint="eastAsia" w:eastAsia="仿宋_GB2312"/>
          <w:color w:val="auto"/>
          <w:sz w:val="24"/>
          <w:szCs w:val="24"/>
          <w:vertAlign w:val="superscript"/>
          <w:lang w:eastAsia="zh-CN"/>
        </w:rPr>
        <w:t>3</w:t>
      </w:r>
      <w:r>
        <w:rPr>
          <w:rFonts w:hint="eastAsia" w:eastAsia="仿宋_GB2312"/>
          <w:color w:val="auto"/>
          <w:sz w:val="24"/>
          <w:szCs w:val="24"/>
          <w:lang w:eastAsia="zh-CN"/>
        </w:rPr>
        <w:t>，因沙石料运输所带来的TSP增量与该地区空气中TSP本底值叠加后不超过二级标准限值，因此施工期运输沙石料的车辆所造成的路面二次扬尘，对运输路线附近环境空气影响较小。</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1.2.3技改项目施工船舶、车辆废气对大气环境影响分析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由于码头施工作业均在岸边或江面上进行，施工作业又具有流动性和间歇性的特点，施工船舶、施工机械及运输车辆排放燃油废气将迅速扩散，对周围环境影响有限。但该类污染物对环境的影响是暂时的，施工结束后，施工机械废气影响随即消失。</w:t>
      </w:r>
    </w:p>
    <w:p>
      <w:pPr>
        <w:pStyle w:val="9"/>
        <w:widowControl w:val="0"/>
        <w:spacing w:before="120" w:after="120" w:line="360" w:lineRule="auto"/>
        <w:rPr>
          <w:rFonts w:hint="default" w:eastAsia="黑体"/>
          <w:b w:val="0"/>
          <w:color w:val="auto"/>
          <w:sz w:val="24"/>
          <w:lang w:val="en-US" w:eastAsia="zh-CN"/>
        </w:rPr>
      </w:pPr>
      <w:bookmarkStart w:id="381" w:name="_Toc9692"/>
      <w:r>
        <w:rPr>
          <w:rFonts w:eastAsia="黑体"/>
          <w:b w:val="0"/>
          <w:color w:val="auto"/>
          <w:sz w:val="24"/>
        </w:rPr>
        <w:t>5</w:t>
      </w:r>
      <w:r>
        <w:rPr>
          <w:rFonts w:hint="eastAsia" w:eastAsia="黑体"/>
          <w:b w:val="0"/>
          <w:color w:val="auto"/>
          <w:sz w:val="24"/>
          <w:lang w:val="en-US" w:eastAsia="zh-CN"/>
        </w:rPr>
        <w:t>.1.3施工期声环境影响分析</w:t>
      </w:r>
      <w:bookmarkEnd w:id="381"/>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1.3.1施工机械声环境影响分析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（1）预测方法</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施工机械噪声采用如下模式进行预测计算：</w:t>
      </w:r>
    </w:p>
    <w:p>
      <w:pPr>
        <w:widowControl w:val="0"/>
        <w:spacing w:line="360" w:lineRule="auto"/>
        <w:jc w:val="center"/>
        <w:rPr>
          <w:rFonts w:hint="eastAsia" w:eastAsia="仿宋_GB2312"/>
          <w:color w:val="auto"/>
          <w:sz w:val="24"/>
          <w:szCs w:val="24"/>
          <w:lang w:eastAsia="zh-CN"/>
        </w:rPr>
      </w:pPr>
      <w:r>
        <w:rPr>
          <w:rFonts w:hint="eastAsia" w:eastAsia="仿宋_GB2312"/>
          <w:color w:val="auto"/>
          <w:position w:val="-10"/>
          <w:sz w:val="24"/>
          <w:szCs w:val="24"/>
        </w:rPr>
        <w:object>
          <v:shape id="_x0000_i1042" o:spt="75" type="#_x0000_t75" style="height:16pt;width:142pt;" o:ole="t" filled="f" o:preferrelative="t" stroked="f" coordsize="21600,21600">
            <v:path/>
            <v:fill on="f" focussize="0,0"/>
            <v:stroke on="f"/>
            <v:imagedata r:id="rId80" o:title=""/>
            <o:lock v:ext="edit" aspectratio="t"/>
            <w10:wrap type="none"/>
            <w10:anchorlock/>
          </v:shape>
          <o:OLEObject Type="Embed" ProgID="Equation.KSEE3" ShapeID="_x0000_i1042" DrawAspect="Content" ObjectID="_1468075742" r:id="rId79">
            <o:LockedField>false</o:LockedField>
          </o:OLEObject>
        </w:objec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式中：L</w:t>
      </w:r>
      <w:r>
        <w:rPr>
          <w:rFonts w:hint="eastAsia" w:eastAsia="仿宋_GB2312"/>
          <w:color w:val="auto"/>
          <w:sz w:val="24"/>
          <w:szCs w:val="24"/>
          <w:vertAlign w:val="baseline"/>
        </w:rPr>
        <w:t>i</w:t>
      </w:r>
      <w:r>
        <w:rPr>
          <w:rFonts w:hint="eastAsia" w:eastAsia="仿宋_GB2312"/>
          <w:color w:val="auto"/>
          <w:sz w:val="24"/>
          <w:szCs w:val="24"/>
        </w:rPr>
        <w:t>——距声源ri处的声级，dB(A)；</w:t>
      </w:r>
    </w:p>
    <w:p>
      <w:pPr>
        <w:widowControl w:val="0"/>
        <w:spacing w:line="360" w:lineRule="auto"/>
        <w:ind w:firstLine="1200" w:firstLineChars="500"/>
        <w:jc w:val="both"/>
        <w:rPr>
          <w:rFonts w:hint="eastAsia" w:eastAsia="仿宋_GB2312"/>
          <w:color w:val="auto"/>
          <w:sz w:val="24"/>
          <w:szCs w:val="24"/>
        </w:rPr>
      </w:pPr>
      <w:r>
        <w:rPr>
          <w:rFonts w:hint="eastAsia" w:eastAsia="仿宋_GB2312"/>
          <w:color w:val="auto"/>
          <w:sz w:val="24"/>
          <w:szCs w:val="24"/>
        </w:rPr>
        <w:t>L</w:t>
      </w:r>
      <w:r>
        <w:rPr>
          <w:rFonts w:hint="eastAsia" w:eastAsia="仿宋_GB2312"/>
          <w:color w:val="auto"/>
          <w:sz w:val="24"/>
          <w:szCs w:val="24"/>
          <w:vertAlign w:val="baseline"/>
        </w:rPr>
        <w:t>0</w:t>
      </w:r>
      <w:r>
        <w:rPr>
          <w:rFonts w:hint="eastAsia" w:eastAsia="仿宋_GB2312"/>
          <w:color w:val="auto"/>
          <w:sz w:val="24"/>
          <w:szCs w:val="24"/>
        </w:rPr>
        <w:t>——距声源r</w:t>
      </w:r>
      <w:r>
        <w:rPr>
          <w:rFonts w:hint="eastAsia" w:eastAsia="仿宋_GB2312"/>
          <w:color w:val="auto"/>
          <w:sz w:val="24"/>
          <w:szCs w:val="24"/>
          <w:vertAlign w:val="baseline"/>
        </w:rPr>
        <w:t>0</w:t>
      </w:r>
      <w:r>
        <w:rPr>
          <w:rFonts w:hint="eastAsia" w:eastAsia="仿宋_GB2312"/>
          <w:color w:val="auto"/>
          <w:sz w:val="24"/>
          <w:szCs w:val="24"/>
        </w:rPr>
        <w:t>处的声级，dB(A)；</w:t>
      </w:r>
    </w:p>
    <w:p>
      <w:pPr>
        <w:widowControl w:val="0"/>
        <w:spacing w:line="360" w:lineRule="auto"/>
        <w:ind w:firstLine="1200" w:firstLineChars="500"/>
        <w:jc w:val="both"/>
        <w:rPr>
          <w:rFonts w:hint="eastAsia" w:eastAsia="仿宋_GB2312"/>
          <w:color w:val="auto"/>
          <w:sz w:val="24"/>
          <w:szCs w:val="24"/>
        </w:rPr>
      </w:pPr>
      <w:r>
        <w:rPr>
          <w:rFonts w:hint="eastAsia" w:eastAsia="仿宋_GB2312"/>
          <w:color w:val="auto"/>
          <w:sz w:val="24"/>
          <w:szCs w:val="24"/>
        </w:rPr>
        <w:t>△L——其它因素引起的噪声衰减量，dB(A)。</w:t>
      </w:r>
    </w:p>
    <w:p>
      <w:pPr>
        <w:widowControl w:val="0"/>
        <w:spacing w:line="360" w:lineRule="auto"/>
        <w:ind w:firstLine="480" w:firstLineChars="200"/>
        <w:jc w:val="both"/>
        <w:rPr>
          <w:rFonts w:eastAsia="仿宋_GB2312"/>
          <w:color w:val="auto"/>
          <w:sz w:val="24"/>
          <w:szCs w:val="24"/>
        </w:rPr>
      </w:pPr>
      <w:r>
        <w:rPr>
          <w:rFonts w:hint="eastAsia" w:eastAsia="仿宋_GB2312"/>
          <w:color w:val="auto"/>
          <w:sz w:val="24"/>
          <w:szCs w:val="24"/>
        </w:rPr>
        <w:t>各声源在预测点产生的合成声级采用以下计算模式：</w:t>
      </w:r>
    </w:p>
    <w:p>
      <w:pPr>
        <w:widowControl w:val="0"/>
        <w:spacing w:line="360" w:lineRule="auto"/>
        <w:jc w:val="center"/>
        <w:rPr>
          <w:rFonts w:hint="eastAsia" w:eastAsia="仿宋_GB2312"/>
          <w:color w:val="auto"/>
          <w:sz w:val="24"/>
          <w:szCs w:val="24"/>
          <w:lang w:eastAsia="zh-CN"/>
        </w:rPr>
      </w:pPr>
      <w:r>
        <w:rPr>
          <w:rFonts w:hint="eastAsia" w:eastAsia="仿宋_GB2312"/>
          <w:color w:val="auto"/>
          <w:position w:val="-30"/>
          <w:sz w:val="24"/>
          <w:szCs w:val="24"/>
          <w:lang w:eastAsia="zh-CN"/>
        </w:rPr>
        <w:object>
          <v:shape id="_x0000_i1043" o:spt="75" type="#_x0000_t75" style="height:36pt;width:108pt;" o:ole="t" filled="f" o:preferrelative="t" stroked="f" coordsize="21600,21600">
            <v:path/>
            <v:fill on="f" focussize="0,0"/>
            <v:stroke on="f"/>
            <v:imagedata r:id="rId82" o:title=""/>
            <o:lock v:ext="edit" aspectratio="t"/>
            <w10:wrap type="none"/>
            <w10:anchorlock/>
          </v:shape>
          <o:OLEObject Type="Embed" ProgID="Equation.KSEE3" ShapeID="_x0000_i1043" DrawAspect="Content" ObjectID="_1468075743" r:id="rId81">
            <o:LockedField>false</o:LockedField>
          </o:OLEObject>
        </w:objec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预测结果</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在不考虑任何声屏障情况下，根据点声源模式计算出单台设备随距离衰减量见</w:t>
      </w:r>
      <w:r>
        <w:rPr>
          <w:rFonts w:hint="eastAsia" w:eastAsia="仿宋_GB2312"/>
          <w:color w:val="auto"/>
          <w:sz w:val="24"/>
          <w:szCs w:val="24"/>
          <w:lang w:val="en-US" w:eastAsia="zh-CN"/>
        </w:rPr>
        <w:t>下</w:t>
      </w:r>
      <w:r>
        <w:rPr>
          <w:rFonts w:hint="eastAsia" w:eastAsia="仿宋_GB2312"/>
          <w:color w:val="auto"/>
          <w:sz w:val="24"/>
          <w:szCs w:val="24"/>
          <w:lang w:eastAsia="zh-CN"/>
        </w:rPr>
        <w:t>表。</w:t>
      </w:r>
    </w:p>
    <w:p>
      <w:pPr>
        <w:widowControl w:val="0"/>
        <w:spacing w:line="360" w:lineRule="auto"/>
        <w:jc w:val="center"/>
        <w:rPr>
          <w:rFonts w:hint="default" w:eastAsia="黑体"/>
          <w:b/>
          <w:color w:val="auto"/>
          <w:szCs w:val="21"/>
          <w:lang w:val="en-US" w:eastAsia="zh-CN"/>
        </w:rPr>
      </w:pPr>
      <w:r>
        <w:rPr>
          <w:color w:val="auto"/>
          <w:sz w:val="20"/>
        </w:rPr>
        <mc:AlternateContent>
          <mc:Choice Requires="wps">
            <w:drawing>
              <wp:anchor distT="0" distB="0" distL="114300" distR="114300" simplePos="0" relativeHeight="251666432" behindDoc="0" locked="0" layoutInCell="1" allowOverlap="1">
                <wp:simplePos x="0" y="0"/>
                <wp:positionH relativeFrom="column">
                  <wp:posOffset>-60325</wp:posOffset>
                </wp:positionH>
                <wp:positionV relativeFrom="paragraph">
                  <wp:posOffset>305435</wp:posOffset>
                </wp:positionV>
                <wp:extent cx="1273175" cy="304165"/>
                <wp:effectExtent l="1270" t="4445" r="1905" b="15240"/>
                <wp:wrapNone/>
                <wp:docPr id="6" name="直接连接符 6"/>
                <wp:cNvGraphicFramePr/>
                <a:graphic xmlns:a="http://schemas.openxmlformats.org/drawingml/2006/main">
                  <a:graphicData uri="http://schemas.microsoft.com/office/word/2010/wordprocessingShape">
                    <wps:wsp>
                      <wps:cNvCnPr/>
                      <wps:spPr>
                        <a:xfrm flipH="1" flipV="1">
                          <a:off x="1058545" y="941070"/>
                          <a:ext cx="1273175" cy="3041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4.75pt;margin-top:24.05pt;height:23.95pt;width:100.25pt;z-index:251666432;mso-width-relative:page;mso-height-relative:page;" filled="f" stroked="t" coordsize="21600,21600" o:gfxdata="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bM+qO1AAAAAgBAAAPAAAAAAAAAAEAIAAAACIAAABk&#10;cnMvZG93bnJldi54bWxQSwECFAAUAAAACACHTuJAmcn4PQoCAAD3AwAADgAAAAAAAAABACAAAAAj&#10;AQAAZHJzL2Uyb0RvYy54bWxQSwUGAAAAAAYABgBZAQAAnwUAAAAA&#10;">
                <v:fill on="f" focussize="0,0"/>
                <v:stroke color="#000000 [3200]" joinstyle="round"/>
                <v:imagedata o:title=""/>
                <o:lock v:ext="edit" aspectratio="f"/>
              </v:line>
            </w:pict>
          </mc:Fallback>
        </mc:AlternateContent>
      </w:r>
      <w:r>
        <w:rPr>
          <w:rFonts w:eastAsia="黑体"/>
          <w:b/>
          <w:color w:val="auto"/>
          <w:szCs w:val="21"/>
        </w:rPr>
        <w:t>表5.</w:t>
      </w:r>
      <w:r>
        <w:rPr>
          <w:rFonts w:hint="eastAsia" w:eastAsia="黑体"/>
          <w:b/>
          <w:color w:val="auto"/>
          <w:szCs w:val="21"/>
          <w:lang w:val="en-US" w:eastAsia="zh-CN"/>
        </w:rPr>
        <w:t>1</w:t>
      </w:r>
      <w:r>
        <w:rPr>
          <w:rFonts w:eastAsia="黑体"/>
          <w:b/>
          <w:color w:val="auto"/>
          <w:szCs w:val="21"/>
        </w:rPr>
        <w:t xml:space="preserve">-1  </w:t>
      </w:r>
      <w:r>
        <w:rPr>
          <w:rFonts w:hint="eastAsia" w:eastAsia="黑体"/>
          <w:b/>
          <w:color w:val="auto"/>
          <w:szCs w:val="21"/>
          <w:lang w:val="en-US" w:eastAsia="zh-CN"/>
        </w:rPr>
        <w:t>不同距离处施工噪声值</w:t>
      </w:r>
      <w:r>
        <w:rPr>
          <w:rFonts w:eastAsia="黑体"/>
          <w:b/>
          <w:color w:val="auto"/>
          <w:szCs w:val="21"/>
        </w:rPr>
        <w:t>表</w:t>
      </w:r>
      <w:r>
        <w:rPr>
          <w:rFonts w:hint="eastAsia" w:eastAsia="黑体"/>
          <w:b/>
          <w:color w:val="auto"/>
          <w:szCs w:val="21"/>
          <w:lang w:val="en-US" w:eastAsia="zh-CN"/>
        </w:rPr>
        <w:t xml:space="preserve">    单位：dB（A）</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975"/>
        <w:gridCol w:w="644"/>
        <w:gridCol w:w="658"/>
        <w:gridCol w:w="643"/>
        <w:gridCol w:w="643"/>
        <w:gridCol w:w="644"/>
        <w:gridCol w:w="629"/>
        <w:gridCol w:w="627"/>
        <w:gridCol w:w="684"/>
        <w:gridCol w:w="684"/>
        <w:gridCol w:w="68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tcBorders>
              <w:top w:val="single" w:color="auto" w:sz="12" w:space="0"/>
              <w:bottom w:val="single" w:color="auto" w:sz="2"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 xml:space="preserve">    距声源距离（m）</w:t>
            </w:r>
          </w:p>
          <w:p>
            <w:pPr>
              <w:widowControl w:val="0"/>
              <w:jc w:val="both"/>
              <w:rPr>
                <w:rFonts w:hint="default" w:eastAsia="宋体"/>
                <w:color w:val="auto"/>
                <w:sz w:val="20"/>
                <w:szCs w:val="21"/>
                <w:lang w:val="en-US" w:eastAsia="zh-CN"/>
              </w:rPr>
            </w:pPr>
            <w:r>
              <w:rPr>
                <w:rFonts w:hint="eastAsia"/>
                <w:color w:val="auto"/>
                <w:sz w:val="20"/>
                <w:szCs w:val="21"/>
                <w:lang w:val="en-US" w:eastAsia="zh-CN"/>
              </w:rPr>
              <w:t>机械类型</w:t>
            </w:r>
          </w:p>
        </w:tc>
        <w:tc>
          <w:tcPr>
            <w:tcW w:w="378"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w:t>
            </w:r>
          </w:p>
        </w:tc>
        <w:tc>
          <w:tcPr>
            <w:tcW w:w="386" w:type="pct"/>
            <w:tcBorders>
              <w:top w:val="single" w:color="auto" w:sz="12" w:space="0"/>
              <w:left w:val="single" w:color="auto" w:sz="6"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w:t>
            </w:r>
          </w:p>
        </w:tc>
        <w:tc>
          <w:tcPr>
            <w:tcW w:w="377"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50</w:t>
            </w:r>
          </w:p>
        </w:tc>
        <w:tc>
          <w:tcPr>
            <w:tcW w:w="377"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100</w:t>
            </w:r>
          </w:p>
        </w:tc>
        <w:tc>
          <w:tcPr>
            <w:tcW w:w="378"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150</w:t>
            </w:r>
          </w:p>
        </w:tc>
        <w:tc>
          <w:tcPr>
            <w:tcW w:w="369"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200</w:t>
            </w:r>
          </w:p>
        </w:tc>
        <w:tc>
          <w:tcPr>
            <w:tcW w:w="368"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300</w:t>
            </w:r>
          </w:p>
        </w:tc>
        <w:tc>
          <w:tcPr>
            <w:tcW w:w="401"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400</w:t>
            </w:r>
          </w:p>
        </w:tc>
        <w:tc>
          <w:tcPr>
            <w:tcW w:w="401"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500</w:t>
            </w:r>
          </w:p>
        </w:tc>
        <w:tc>
          <w:tcPr>
            <w:tcW w:w="402"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打桩机</w:t>
            </w:r>
          </w:p>
        </w:tc>
        <w:tc>
          <w:tcPr>
            <w:tcW w:w="378"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90</w:t>
            </w:r>
          </w:p>
        </w:tc>
        <w:tc>
          <w:tcPr>
            <w:tcW w:w="386" w:type="pct"/>
            <w:tcBorders>
              <w:top w:val="single" w:color="auto" w:sz="12" w:space="0"/>
              <w:left w:val="single" w:color="auto" w:sz="6"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84</w:t>
            </w:r>
          </w:p>
        </w:tc>
        <w:tc>
          <w:tcPr>
            <w:tcW w:w="377"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80</w:t>
            </w:r>
          </w:p>
        </w:tc>
        <w:tc>
          <w:tcPr>
            <w:tcW w:w="377"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70</w:t>
            </w:r>
          </w:p>
        </w:tc>
        <w:tc>
          <w:tcPr>
            <w:tcW w:w="378"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66</w:t>
            </w:r>
          </w:p>
        </w:tc>
        <w:tc>
          <w:tcPr>
            <w:tcW w:w="369"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64</w:t>
            </w:r>
          </w:p>
        </w:tc>
        <w:tc>
          <w:tcPr>
            <w:tcW w:w="368"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60</w:t>
            </w:r>
          </w:p>
        </w:tc>
        <w:tc>
          <w:tcPr>
            <w:tcW w:w="401"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58</w:t>
            </w:r>
          </w:p>
        </w:tc>
        <w:tc>
          <w:tcPr>
            <w:tcW w:w="401"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56</w:t>
            </w:r>
          </w:p>
        </w:tc>
        <w:tc>
          <w:tcPr>
            <w:tcW w:w="40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载重机</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90</w:t>
            </w:r>
          </w:p>
        </w:tc>
        <w:tc>
          <w:tcPr>
            <w:tcW w:w="386" w:type="pct"/>
            <w:tcBorders>
              <w:left w:val="single" w:color="auto" w:sz="6" w:space="0"/>
            </w:tcBorders>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84</w:t>
            </w:r>
          </w:p>
        </w:tc>
        <w:tc>
          <w:tcPr>
            <w:tcW w:w="377"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80</w:t>
            </w:r>
          </w:p>
        </w:tc>
        <w:tc>
          <w:tcPr>
            <w:tcW w:w="377"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70</w:t>
            </w:r>
          </w:p>
        </w:tc>
        <w:tc>
          <w:tcPr>
            <w:tcW w:w="37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66</w:t>
            </w:r>
          </w:p>
        </w:tc>
        <w:tc>
          <w:tcPr>
            <w:tcW w:w="369"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64</w:t>
            </w:r>
          </w:p>
        </w:tc>
        <w:tc>
          <w:tcPr>
            <w:tcW w:w="368"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60</w:t>
            </w:r>
          </w:p>
        </w:tc>
        <w:tc>
          <w:tcPr>
            <w:tcW w:w="401"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58</w:t>
            </w:r>
          </w:p>
        </w:tc>
        <w:tc>
          <w:tcPr>
            <w:tcW w:w="401"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56</w:t>
            </w:r>
          </w:p>
        </w:tc>
        <w:tc>
          <w:tcPr>
            <w:tcW w:w="402"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noWrap w:val="0"/>
            <w:vAlign w:val="center"/>
          </w:tcPr>
          <w:p>
            <w:pPr>
              <w:widowControl w:val="0"/>
              <w:jc w:val="center"/>
              <w:rPr>
                <w:color w:val="auto"/>
                <w:sz w:val="20"/>
                <w:szCs w:val="21"/>
              </w:rPr>
            </w:pPr>
            <w:r>
              <w:rPr>
                <w:rFonts w:hint="eastAsia"/>
                <w:color w:val="auto"/>
                <w:sz w:val="20"/>
                <w:szCs w:val="21"/>
                <w:lang w:val="en-US" w:eastAsia="zh-CN"/>
              </w:rPr>
              <w:t>挖掘机</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80</w:t>
            </w:r>
          </w:p>
        </w:tc>
        <w:tc>
          <w:tcPr>
            <w:tcW w:w="386" w:type="pct"/>
            <w:tcBorders>
              <w:left w:val="single" w:color="auto" w:sz="6"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74</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66</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60</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56</w:t>
            </w:r>
          </w:p>
        </w:tc>
        <w:tc>
          <w:tcPr>
            <w:tcW w:w="369"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54</w:t>
            </w:r>
          </w:p>
        </w:tc>
        <w:tc>
          <w:tcPr>
            <w:tcW w:w="3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50</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48</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46</w:t>
            </w:r>
          </w:p>
        </w:tc>
        <w:tc>
          <w:tcPr>
            <w:tcW w:w="4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装载机</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85</w:t>
            </w:r>
          </w:p>
        </w:tc>
        <w:tc>
          <w:tcPr>
            <w:tcW w:w="386" w:type="pct"/>
            <w:tcBorders>
              <w:left w:val="single" w:color="auto" w:sz="6"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79</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71</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65</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61</w:t>
            </w:r>
          </w:p>
        </w:tc>
        <w:tc>
          <w:tcPr>
            <w:tcW w:w="369"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59</w:t>
            </w:r>
          </w:p>
        </w:tc>
        <w:tc>
          <w:tcPr>
            <w:tcW w:w="3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55</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53</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51</w:t>
            </w:r>
          </w:p>
        </w:tc>
        <w:tc>
          <w:tcPr>
            <w:tcW w:w="4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推土机</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90</w:t>
            </w:r>
          </w:p>
        </w:tc>
        <w:tc>
          <w:tcPr>
            <w:tcW w:w="386" w:type="pct"/>
            <w:tcBorders>
              <w:left w:val="single" w:color="auto" w:sz="6" w:space="0"/>
            </w:tcBorders>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84</w:t>
            </w:r>
          </w:p>
        </w:tc>
        <w:tc>
          <w:tcPr>
            <w:tcW w:w="377"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80</w:t>
            </w:r>
          </w:p>
        </w:tc>
        <w:tc>
          <w:tcPr>
            <w:tcW w:w="377"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70</w:t>
            </w:r>
          </w:p>
        </w:tc>
        <w:tc>
          <w:tcPr>
            <w:tcW w:w="37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66</w:t>
            </w:r>
          </w:p>
        </w:tc>
        <w:tc>
          <w:tcPr>
            <w:tcW w:w="369"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64</w:t>
            </w:r>
          </w:p>
        </w:tc>
        <w:tc>
          <w:tcPr>
            <w:tcW w:w="368"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60</w:t>
            </w:r>
          </w:p>
        </w:tc>
        <w:tc>
          <w:tcPr>
            <w:tcW w:w="401"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58</w:t>
            </w:r>
          </w:p>
        </w:tc>
        <w:tc>
          <w:tcPr>
            <w:tcW w:w="401"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56</w:t>
            </w:r>
          </w:p>
        </w:tc>
        <w:tc>
          <w:tcPr>
            <w:tcW w:w="402"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9"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上述机械同时作业</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95</w:t>
            </w:r>
          </w:p>
        </w:tc>
        <w:tc>
          <w:tcPr>
            <w:tcW w:w="386" w:type="pct"/>
            <w:tcBorders>
              <w:left w:val="single" w:color="auto" w:sz="6"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89</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81</w:t>
            </w:r>
          </w:p>
        </w:tc>
        <w:tc>
          <w:tcPr>
            <w:tcW w:w="37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75</w:t>
            </w:r>
          </w:p>
        </w:tc>
        <w:tc>
          <w:tcPr>
            <w:tcW w:w="37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71</w:t>
            </w:r>
          </w:p>
        </w:tc>
        <w:tc>
          <w:tcPr>
            <w:tcW w:w="369"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69</w:t>
            </w:r>
          </w:p>
        </w:tc>
        <w:tc>
          <w:tcPr>
            <w:tcW w:w="368"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65</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63</w:t>
            </w:r>
          </w:p>
        </w:tc>
        <w:tc>
          <w:tcPr>
            <w:tcW w:w="401"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61</w:t>
            </w:r>
          </w:p>
        </w:tc>
        <w:tc>
          <w:tcPr>
            <w:tcW w:w="4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59</w:t>
            </w:r>
          </w:p>
        </w:tc>
      </w:tr>
    </w:tbl>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5</w:t>
      </w:r>
      <w:r>
        <w:rPr>
          <w:rFonts w:eastAsia="黑体"/>
          <w:b/>
          <w:color w:val="auto"/>
          <w:szCs w:val="21"/>
        </w:rPr>
        <w:t>.</w:t>
      </w:r>
      <w:r>
        <w:rPr>
          <w:rFonts w:hint="eastAsia" w:eastAsia="黑体"/>
          <w:b/>
          <w:color w:val="auto"/>
          <w:szCs w:val="21"/>
          <w:lang w:val="en-US" w:eastAsia="zh-CN"/>
        </w:rPr>
        <w:t>1</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施工机械噪声衰减至标准值距离</w:t>
      </w:r>
      <w:r>
        <w:rPr>
          <w:rFonts w:eastAsia="黑体"/>
          <w:b/>
          <w:color w:val="auto"/>
          <w:szCs w:val="21"/>
        </w:rPr>
        <w:t>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95"/>
        <w:gridCol w:w="2801"/>
        <w:gridCol w:w="29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vMerge w:val="restart"/>
            <w:tcBorders>
              <w:top w:val="single" w:color="auto" w:sz="12" w:space="0"/>
              <w:bottom w:val="single" w:color="auto" w:sz="6" w:space="0"/>
            </w:tcBorders>
            <w:noWrap w:val="0"/>
            <w:vAlign w:val="center"/>
          </w:tcPr>
          <w:p>
            <w:pPr>
              <w:jc w:val="center"/>
              <w:rPr>
                <w:rFonts w:hint="default" w:ascii="宋体" w:hAnsi="宋体" w:eastAsia="宋体" w:cs="宋体"/>
                <w:color w:val="auto"/>
                <w:kern w:val="0"/>
                <w:sz w:val="20"/>
                <w:lang w:val="en-US" w:eastAsia="zh-CN"/>
              </w:rPr>
            </w:pPr>
            <w:r>
              <w:rPr>
                <w:rFonts w:hint="eastAsia" w:ascii="宋体" w:hAnsi="宋体" w:cs="宋体"/>
                <w:color w:val="auto"/>
                <w:kern w:val="0"/>
                <w:sz w:val="20"/>
                <w:lang w:val="en-US" w:eastAsia="zh-CN"/>
              </w:rPr>
              <w:t>机械类型</w:t>
            </w:r>
          </w:p>
        </w:tc>
        <w:tc>
          <w:tcPr>
            <w:tcW w:w="3358" w:type="pct"/>
            <w:gridSpan w:val="2"/>
            <w:tcBorders>
              <w:top w:val="single" w:color="auto" w:sz="12" w:space="0"/>
              <w:bottom w:val="single" w:color="auto" w:sz="6" w:space="0"/>
            </w:tcBorders>
            <w:noWrap w:val="0"/>
            <w:vAlign w:val="center"/>
          </w:tcPr>
          <w:p>
            <w:pPr>
              <w:jc w:val="center"/>
              <w:rPr>
                <w:rFonts w:ascii="宋体" w:hAnsi="宋体" w:cs="宋体"/>
                <w:color w:val="auto"/>
                <w:kern w:val="0"/>
                <w:sz w:val="20"/>
              </w:rPr>
            </w:pPr>
            <w:r>
              <w:rPr>
                <w:rFonts w:hint="eastAsia" w:ascii="宋体" w:hAnsi="宋体" w:cs="宋体"/>
                <w:color w:val="auto"/>
                <w:kern w:val="0"/>
                <w:sz w:val="20"/>
              </w:rPr>
              <w:t>衰减至《建筑施工场界环境噪声排放标准》噪声值的距离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vMerge w:val="continue"/>
            <w:tcBorders>
              <w:top w:val="single" w:color="auto" w:sz="6" w:space="0"/>
              <w:bottom w:val="single" w:color="auto" w:sz="12" w:space="0"/>
            </w:tcBorders>
            <w:noWrap w:val="0"/>
            <w:vAlign w:val="center"/>
          </w:tcPr>
          <w:p>
            <w:pPr>
              <w:rPr>
                <w:rFonts w:ascii="宋体" w:hAnsi="宋体" w:cs="宋体"/>
                <w:color w:val="auto"/>
                <w:kern w:val="0"/>
                <w:sz w:val="20"/>
              </w:rPr>
            </w:pPr>
          </w:p>
        </w:tc>
        <w:tc>
          <w:tcPr>
            <w:tcW w:w="1644" w:type="pct"/>
            <w:tcBorders>
              <w:top w:val="single" w:color="auto" w:sz="6" w:space="0"/>
              <w:bottom w:val="single" w:color="auto" w:sz="12" w:space="0"/>
            </w:tcBorders>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70dB（A）</w:t>
            </w:r>
          </w:p>
        </w:tc>
        <w:tc>
          <w:tcPr>
            <w:tcW w:w="1714" w:type="pct"/>
            <w:tcBorders>
              <w:top w:val="single" w:color="auto" w:sz="6" w:space="0"/>
              <w:bottom w:val="single" w:color="auto" w:sz="12" w:space="0"/>
            </w:tcBorders>
            <w:noWrap w:val="0"/>
            <w:vAlign w:val="center"/>
          </w:tcPr>
          <w:p>
            <w:pPr>
              <w:jc w:val="center"/>
              <w:rPr>
                <w:rFonts w:ascii="宋体" w:hAnsi="宋体" w:cs="宋体"/>
                <w:color w:val="auto"/>
                <w:kern w:val="0"/>
                <w:sz w:val="20"/>
              </w:rPr>
            </w:pPr>
            <w:r>
              <w:rPr>
                <w:rFonts w:hint="eastAsia"/>
                <w:color w:val="auto"/>
                <w:kern w:val="0"/>
                <w:sz w:val="20"/>
                <w:lang w:val="en-US" w:eastAsia="zh-CN"/>
              </w:rPr>
              <w:t>55dB（A）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tcBorders>
              <w:top w:val="single" w:color="auto" w:sz="12" w:space="0"/>
            </w:tcBorders>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打桩机</w:t>
            </w:r>
          </w:p>
        </w:tc>
        <w:tc>
          <w:tcPr>
            <w:tcW w:w="1644" w:type="pct"/>
            <w:tcBorders>
              <w:top w:val="single" w:color="auto" w:sz="12" w:space="0"/>
            </w:tcBorders>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100</w:t>
            </w:r>
          </w:p>
        </w:tc>
        <w:tc>
          <w:tcPr>
            <w:tcW w:w="1714" w:type="pct"/>
            <w:tcBorders>
              <w:top w:val="single" w:color="auto" w:sz="12" w:space="0"/>
            </w:tcBorders>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563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载重机</w:t>
            </w:r>
          </w:p>
        </w:tc>
        <w:tc>
          <w:tcPr>
            <w:tcW w:w="1644" w:type="pct"/>
            <w:noWrap w:val="0"/>
            <w:vAlign w:val="center"/>
          </w:tcPr>
          <w:p>
            <w:pPr>
              <w:jc w:val="center"/>
              <w:rPr>
                <w:rFonts w:hint="default"/>
                <w:color w:val="auto"/>
                <w:kern w:val="0"/>
                <w:sz w:val="20"/>
                <w:lang w:val="en-US" w:eastAsia="zh-CN"/>
              </w:rPr>
            </w:pPr>
            <w:r>
              <w:rPr>
                <w:rFonts w:hint="eastAsia"/>
                <w:color w:val="auto"/>
                <w:kern w:val="0"/>
                <w:sz w:val="20"/>
                <w:lang w:val="en-US" w:eastAsia="zh-CN"/>
              </w:rPr>
              <w:t>100</w:t>
            </w:r>
          </w:p>
        </w:tc>
        <w:tc>
          <w:tcPr>
            <w:tcW w:w="1714" w:type="pct"/>
            <w:noWrap w:val="0"/>
            <w:vAlign w:val="center"/>
          </w:tcPr>
          <w:p>
            <w:pPr>
              <w:jc w:val="center"/>
              <w:rPr>
                <w:rFonts w:hint="default"/>
                <w:color w:val="auto"/>
                <w:kern w:val="0"/>
                <w:sz w:val="20"/>
                <w:lang w:val="en-US" w:eastAsia="zh-CN"/>
              </w:rPr>
            </w:pPr>
            <w:r>
              <w:rPr>
                <w:rFonts w:hint="eastAsia"/>
                <w:color w:val="auto"/>
                <w:kern w:val="0"/>
                <w:sz w:val="20"/>
                <w:lang w:val="en-US" w:eastAsia="zh-CN"/>
              </w:rPr>
              <w:t>563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noWrap w:val="0"/>
            <w:vAlign w:val="center"/>
          </w:tcPr>
          <w:p>
            <w:pPr>
              <w:widowControl w:val="0"/>
              <w:jc w:val="center"/>
              <w:rPr>
                <w:rFonts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挖掘机</w:t>
            </w:r>
          </w:p>
        </w:tc>
        <w:tc>
          <w:tcPr>
            <w:tcW w:w="164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32</w:t>
            </w:r>
          </w:p>
        </w:tc>
        <w:tc>
          <w:tcPr>
            <w:tcW w:w="171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178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装载机</w:t>
            </w:r>
          </w:p>
        </w:tc>
        <w:tc>
          <w:tcPr>
            <w:tcW w:w="164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57</w:t>
            </w:r>
          </w:p>
        </w:tc>
        <w:tc>
          <w:tcPr>
            <w:tcW w:w="171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推土机</w:t>
            </w:r>
          </w:p>
        </w:tc>
        <w:tc>
          <w:tcPr>
            <w:tcW w:w="164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100</w:t>
            </w:r>
          </w:p>
        </w:tc>
        <w:tc>
          <w:tcPr>
            <w:tcW w:w="171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563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41"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上述机械同时作业</w:t>
            </w:r>
          </w:p>
        </w:tc>
        <w:tc>
          <w:tcPr>
            <w:tcW w:w="164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178</w:t>
            </w:r>
          </w:p>
        </w:tc>
        <w:tc>
          <w:tcPr>
            <w:tcW w:w="1714" w:type="pct"/>
            <w:noWrap w:val="0"/>
            <w:vAlign w:val="center"/>
          </w:tcPr>
          <w:p>
            <w:pPr>
              <w:jc w:val="center"/>
              <w:rPr>
                <w:rFonts w:hint="default" w:eastAsia="宋体"/>
                <w:color w:val="auto"/>
                <w:kern w:val="0"/>
                <w:sz w:val="20"/>
                <w:lang w:val="en-US" w:eastAsia="zh-CN"/>
              </w:rPr>
            </w:pPr>
            <w:r>
              <w:rPr>
                <w:rFonts w:hint="eastAsia"/>
                <w:color w:val="auto"/>
                <w:kern w:val="0"/>
                <w:sz w:val="20"/>
                <w:lang w:val="en-US" w:eastAsia="zh-CN"/>
              </w:rPr>
              <w:t>1000</w:t>
            </w:r>
          </w:p>
        </w:tc>
      </w:tr>
    </w:tbl>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预测分析</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由表</w:t>
      </w:r>
      <w:r>
        <w:rPr>
          <w:rFonts w:hint="eastAsia" w:eastAsia="仿宋_GB2312"/>
          <w:color w:val="auto"/>
          <w:sz w:val="24"/>
          <w:szCs w:val="24"/>
          <w:lang w:val="en-US" w:eastAsia="zh-CN"/>
        </w:rPr>
        <w:t>5</w:t>
      </w:r>
      <w:r>
        <w:rPr>
          <w:rFonts w:hint="eastAsia" w:eastAsia="仿宋_GB2312"/>
          <w:color w:val="auto"/>
          <w:sz w:val="24"/>
          <w:szCs w:val="24"/>
        </w:rPr>
        <w:t>.1-</w:t>
      </w:r>
      <w:r>
        <w:rPr>
          <w:rFonts w:hint="eastAsia" w:eastAsia="仿宋_GB2312"/>
          <w:color w:val="auto"/>
          <w:sz w:val="24"/>
          <w:szCs w:val="24"/>
          <w:lang w:val="en-US" w:eastAsia="zh-CN"/>
        </w:rPr>
        <w:t>1</w:t>
      </w:r>
      <w:r>
        <w:rPr>
          <w:rFonts w:hint="eastAsia" w:eastAsia="仿宋_GB2312"/>
          <w:color w:val="auto"/>
          <w:sz w:val="24"/>
          <w:szCs w:val="24"/>
        </w:rPr>
        <w:t>，表</w:t>
      </w:r>
      <w:r>
        <w:rPr>
          <w:rFonts w:hint="eastAsia" w:eastAsia="仿宋_GB2312"/>
          <w:color w:val="auto"/>
          <w:sz w:val="24"/>
          <w:szCs w:val="24"/>
          <w:lang w:val="en-US" w:eastAsia="zh-CN"/>
        </w:rPr>
        <w:t>5</w:t>
      </w:r>
      <w:r>
        <w:rPr>
          <w:rFonts w:hint="eastAsia" w:eastAsia="仿宋_GB2312"/>
          <w:color w:val="auto"/>
          <w:sz w:val="24"/>
          <w:szCs w:val="24"/>
        </w:rPr>
        <w:t>.1-</w:t>
      </w:r>
      <w:r>
        <w:rPr>
          <w:rFonts w:hint="eastAsia" w:eastAsia="仿宋_GB2312"/>
          <w:color w:val="auto"/>
          <w:sz w:val="24"/>
          <w:szCs w:val="24"/>
          <w:lang w:val="en-US" w:eastAsia="zh-CN"/>
        </w:rPr>
        <w:t>2</w:t>
      </w:r>
      <w:r>
        <w:rPr>
          <w:rFonts w:hint="eastAsia" w:eastAsia="仿宋_GB2312"/>
          <w:color w:val="auto"/>
          <w:sz w:val="24"/>
          <w:szCs w:val="24"/>
        </w:rPr>
        <w:t>可知：</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①单机噪声最大在昼间</w:t>
      </w:r>
      <w:r>
        <w:rPr>
          <w:rFonts w:hint="eastAsia" w:eastAsia="仿宋_GB2312"/>
          <w:color w:val="auto"/>
          <w:sz w:val="24"/>
          <w:szCs w:val="24"/>
          <w:lang w:val="en-US" w:eastAsia="zh-CN"/>
        </w:rPr>
        <w:t>100</w:t>
      </w:r>
      <w:r>
        <w:rPr>
          <w:rFonts w:hint="eastAsia" w:eastAsia="仿宋_GB2312"/>
          <w:color w:val="auto"/>
          <w:sz w:val="24"/>
          <w:szCs w:val="24"/>
        </w:rPr>
        <w:t>m、夜间</w:t>
      </w:r>
      <w:r>
        <w:rPr>
          <w:rFonts w:hint="eastAsia" w:eastAsia="仿宋_GB2312"/>
          <w:color w:val="auto"/>
          <w:sz w:val="24"/>
          <w:szCs w:val="24"/>
          <w:lang w:val="en-US" w:eastAsia="zh-CN"/>
        </w:rPr>
        <w:t>563</w:t>
      </w:r>
      <w:r>
        <w:rPr>
          <w:rFonts w:hint="eastAsia" w:eastAsia="仿宋_GB2312"/>
          <w:color w:val="auto"/>
          <w:sz w:val="24"/>
          <w:szCs w:val="24"/>
        </w:rPr>
        <w:t>m以外可满足《建筑施工场界环境噪声排放标准》中昼间70dB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、夜间</w:t>
      </w:r>
      <w:r>
        <w:rPr>
          <w:rFonts w:hint="eastAsia" w:eastAsia="仿宋_GB2312"/>
          <w:color w:val="auto"/>
          <w:sz w:val="24"/>
          <w:szCs w:val="24"/>
          <w:lang w:val="en-US" w:eastAsia="zh-CN"/>
        </w:rPr>
        <w:t>55</w:t>
      </w:r>
      <w:r>
        <w:rPr>
          <w:rFonts w:hint="eastAsia" w:eastAsia="仿宋_GB2312"/>
          <w:color w:val="auto"/>
          <w:sz w:val="24"/>
          <w:szCs w:val="24"/>
        </w:rPr>
        <w:t>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要求。</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②据上述预测，多种施工机械同时作业时，在昼间</w:t>
      </w:r>
      <w:r>
        <w:rPr>
          <w:rFonts w:hint="eastAsia" w:eastAsia="仿宋_GB2312"/>
          <w:color w:val="auto"/>
          <w:sz w:val="24"/>
          <w:szCs w:val="24"/>
          <w:lang w:val="en-US" w:eastAsia="zh-CN"/>
        </w:rPr>
        <w:t>178</w:t>
      </w:r>
      <w:r>
        <w:rPr>
          <w:rFonts w:hint="eastAsia" w:eastAsia="仿宋_GB2312"/>
          <w:color w:val="auto"/>
          <w:sz w:val="24"/>
          <w:szCs w:val="24"/>
        </w:rPr>
        <w:t>m、夜间</w:t>
      </w:r>
      <w:r>
        <w:rPr>
          <w:rFonts w:hint="eastAsia" w:eastAsia="仿宋_GB2312"/>
          <w:color w:val="auto"/>
          <w:sz w:val="24"/>
          <w:szCs w:val="24"/>
          <w:lang w:val="en-US" w:eastAsia="zh-CN"/>
        </w:rPr>
        <w:t>1000</w:t>
      </w:r>
      <w:r>
        <w:rPr>
          <w:rFonts w:hint="eastAsia" w:eastAsia="仿宋_GB2312"/>
          <w:color w:val="auto"/>
          <w:sz w:val="24"/>
          <w:szCs w:val="24"/>
        </w:rPr>
        <w:t>m以外可满足《建筑施工场界环境噪声排放标准》中昼间70dB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、夜间55dB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要求。</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③据现场勘查，目前距离码头陆域施工边界最近距离为</w:t>
      </w:r>
      <w:r>
        <w:rPr>
          <w:rFonts w:hint="eastAsia" w:eastAsia="仿宋_GB2312"/>
          <w:color w:val="auto"/>
          <w:sz w:val="24"/>
          <w:szCs w:val="24"/>
          <w:lang w:val="en-US" w:eastAsia="zh-CN"/>
        </w:rPr>
        <w:t>隔红东公路</w:t>
      </w:r>
      <w:r>
        <w:rPr>
          <w:rFonts w:hint="eastAsia" w:eastAsia="仿宋_GB2312"/>
          <w:color w:val="auto"/>
          <w:sz w:val="24"/>
          <w:szCs w:val="24"/>
        </w:rPr>
        <w:t>南侧</w:t>
      </w:r>
      <w:r>
        <w:rPr>
          <w:rFonts w:hint="eastAsia" w:eastAsia="仿宋_GB2312"/>
          <w:color w:val="auto"/>
          <w:sz w:val="24"/>
          <w:szCs w:val="24"/>
          <w:lang w:val="en-US" w:eastAsia="zh-CN"/>
        </w:rPr>
        <w:t>69</w:t>
      </w:r>
      <w:r>
        <w:rPr>
          <w:rFonts w:hint="eastAsia" w:eastAsia="仿宋_GB2312"/>
          <w:color w:val="auto"/>
          <w:sz w:val="24"/>
          <w:szCs w:val="24"/>
        </w:rPr>
        <w:t>m处</w:t>
      </w:r>
      <w:r>
        <w:rPr>
          <w:rFonts w:hint="eastAsia" w:eastAsia="仿宋_GB2312"/>
          <w:color w:val="auto"/>
          <w:sz w:val="24"/>
          <w:szCs w:val="24"/>
          <w:lang w:val="en-US" w:eastAsia="zh-CN"/>
        </w:rPr>
        <w:t>5户洋溪社区</w:t>
      </w:r>
      <w:r>
        <w:rPr>
          <w:rFonts w:hint="eastAsia" w:eastAsia="仿宋_GB2312"/>
          <w:color w:val="auto"/>
          <w:sz w:val="24"/>
          <w:szCs w:val="24"/>
        </w:rPr>
        <w:t>散户居民，故项目施工期机械噪声会对上述村民产生一定的影响。需采取一定的降噪措施，如选用低噪声设备、在施工区域设置隔声屏障、禁止夜间施工等。</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rPr>
        <w:t>综上所述，在采取一定的降噪措施后，项目对周围环境和敏感点的影响可降至最低。</w:t>
      </w:r>
      <w:r>
        <w:rPr>
          <w:rFonts w:hint="eastAsia" w:eastAsia="仿宋_GB2312"/>
          <w:color w:val="auto"/>
          <w:sz w:val="24"/>
          <w:szCs w:val="24"/>
          <w:lang w:val="en-US" w:eastAsia="zh-CN"/>
        </w:rPr>
        <w:t>且</w:t>
      </w:r>
      <w:r>
        <w:rPr>
          <w:rFonts w:hint="eastAsia" w:eastAsia="仿宋_GB2312"/>
          <w:color w:val="auto"/>
          <w:sz w:val="24"/>
          <w:szCs w:val="24"/>
        </w:rPr>
        <w:t>施工时间是短暂的，且随着施工的结束，项目施工机械噪声对周围环境的影响也将随着消失</w:t>
      </w:r>
      <w:r>
        <w:rPr>
          <w:rFonts w:hint="eastAsia" w:eastAsia="仿宋_GB2312"/>
          <w:color w:val="auto"/>
          <w:sz w:val="24"/>
          <w:szCs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1.3.2施工交通</w:t>
      </w:r>
      <w:r>
        <w:rPr>
          <w:rFonts w:hint="eastAsia"/>
          <w:color w:val="auto"/>
          <w:lang w:val="en-US" w:eastAsia="zh-CN"/>
        </w:rPr>
        <w:t>噪</w:t>
      </w:r>
      <w:r>
        <w:rPr>
          <w:rFonts w:hint="eastAsia" w:eastAsia="黑体"/>
          <w:color w:val="auto"/>
          <w:sz w:val="24"/>
          <w:lang w:val="en-US" w:eastAsia="zh-CN"/>
        </w:rPr>
        <w:t>声环境影响分析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施工期土石方的运出及建筑材料的运进，将使区域道路车流量增多，经估算运输车辆将增加50台次/日，均系高吨位货车，其声级值可达85dB（A）以上，由于是间断运输，对交通噪声贡献量不会很大，但为避免道路两侧居民受到这些高噪声干扰，因此要严格禁止夜间22:00～6:00运输施工材料，避免增加夜间交通噪声幅度，同时还要避开车流高峰期，以免造成交通阻塞。</w:t>
      </w:r>
    </w:p>
    <w:p>
      <w:pPr>
        <w:pStyle w:val="9"/>
        <w:widowControl w:val="0"/>
        <w:spacing w:before="120" w:after="120" w:line="360" w:lineRule="auto"/>
        <w:rPr>
          <w:rFonts w:hint="default" w:eastAsia="黑体"/>
          <w:b w:val="0"/>
          <w:color w:val="auto"/>
          <w:sz w:val="24"/>
          <w:lang w:val="en-US" w:eastAsia="zh-CN"/>
        </w:rPr>
      </w:pPr>
      <w:bookmarkStart w:id="382" w:name="_Toc18889"/>
      <w:r>
        <w:rPr>
          <w:rFonts w:eastAsia="黑体"/>
          <w:b w:val="0"/>
          <w:color w:val="auto"/>
          <w:sz w:val="24"/>
        </w:rPr>
        <w:t>5</w:t>
      </w:r>
      <w:r>
        <w:rPr>
          <w:rFonts w:hint="eastAsia" w:eastAsia="黑体"/>
          <w:b w:val="0"/>
          <w:color w:val="auto"/>
          <w:sz w:val="24"/>
          <w:lang w:val="en-US" w:eastAsia="zh-CN"/>
        </w:rPr>
        <w:t>.1.4施工期固体废物环境影响分析</w:t>
      </w:r>
      <w:bookmarkEnd w:id="382"/>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施工期固体废物主要包括施工人员生活垃圾、建筑垃圾和拆除现有码头产生的废旧设备等。</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1</w:t>
      </w:r>
      <w:r>
        <w:rPr>
          <w:rFonts w:hint="eastAsia" w:eastAsia="仿宋_GB2312"/>
          <w:color w:val="auto"/>
          <w:sz w:val="24"/>
          <w:szCs w:val="24"/>
          <w:lang w:eastAsia="zh-CN"/>
        </w:rPr>
        <w:t>）施工人员</w:t>
      </w:r>
      <w:r>
        <w:rPr>
          <w:rFonts w:hint="eastAsia" w:eastAsia="仿宋_GB2312"/>
          <w:color w:val="auto"/>
          <w:sz w:val="24"/>
          <w:szCs w:val="24"/>
          <w:lang w:val="en-US" w:eastAsia="zh-CN"/>
        </w:rPr>
        <w:t>生活垃圾</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按每人每天产生1kg生活垃圾计，整个施工期生活垃圾产生量为15t。施工期建筑垃圾产生量约为100t。拆除现有码头废旧设备的产生量约为3t。</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生活垃圾在厂区设有垃圾桶，定期有环卫部门清运统一处理。</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建筑垃圾</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建筑垃圾主要包括施工产生的钻孔废渣以及拆除现有码头废旧设备等。经估算，施工期建筑垃圾产生量约为60t，收集后交由渣土办进行处置不外排。</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建筑垃圾用于道路的填筑。报废的废旧设备最终经物资回收单位回收处理。</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）拆除现有码头产生的废旧设备</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项目施工期间拟拆除拆除现有码头，趸船、皮带机及其配套的接料漏斗外售</w:t>
      </w:r>
      <w:r>
        <w:rPr>
          <w:rFonts w:hint="eastAsia" w:eastAsia="仿宋_GB2312"/>
          <w:color w:val="auto"/>
          <w:sz w:val="24"/>
          <w:szCs w:val="24"/>
        </w:rPr>
        <w:t>给物资回收单位回收处置</w:t>
      </w:r>
      <w:r>
        <w:rPr>
          <w:rFonts w:hint="eastAsia" w:eastAsia="仿宋_GB2312"/>
          <w:color w:val="auto"/>
          <w:sz w:val="24"/>
          <w:szCs w:val="24"/>
          <w:lang w:eastAsia="zh-CN"/>
        </w:rPr>
        <w:t>。</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各类废物均合理处置，不会对环境造成二次污染。</w:t>
      </w:r>
    </w:p>
    <w:p>
      <w:pPr>
        <w:pStyle w:val="9"/>
        <w:widowControl w:val="0"/>
        <w:spacing w:before="120" w:after="120" w:line="360" w:lineRule="auto"/>
        <w:rPr>
          <w:rFonts w:hint="default" w:eastAsia="黑体"/>
          <w:b w:val="0"/>
          <w:color w:val="auto"/>
          <w:sz w:val="24"/>
          <w:lang w:val="en-US" w:eastAsia="zh-CN"/>
        </w:rPr>
      </w:pPr>
      <w:bookmarkStart w:id="383" w:name="_Toc18535"/>
      <w:r>
        <w:rPr>
          <w:rFonts w:eastAsia="黑体"/>
          <w:b w:val="0"/>
          <w:color w:val="auto"/>
          <w:sz w:val="24"/>
        </w:rPr>
        <w:t>5</w:t>
      </w:r>
      <w:r>
        <w:rPr>
          <w:rFonts w:hint="eastAsia" w:eastAsia="黑体"/>
          <w:b w:val="0"/>
          <w:color w:val="auto"/>
          <w:sz w:val="24"/>
          <w:lang w:val="en-US" w:eastAsia="zh-CN"/>
        </w:rPr>
        <w:t>.1.5施工期生态环境环境影响分析</w:t>
      </w:r>
      <w:bookmarkEnd w:id="383"/>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项目建设对水生生态的影响主要发生在施工期，施工期水生生态影响包括直接影响和间接影响两个方面。直接影响主要限定在建构筑物、港池施工的范围之内。直接影响主要是水下施工作业过程，将直接破坏生物生境，掩埋生物栖息地；间接影响则是由于施工扰动使得施工局部水域的悬浮物浓度增加以及施工行动的干扰等。</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1.5.1对水生生态环境影响分析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（1）对水生植物的影响分析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在工程江段水生维管束植物的生物量较小，水生植物主要是分布零散的挺水植物和依附于浅滩石砾的少量沉水植物。由于沉水植物的茎叶完全沉没于水中，与水充分接触，水质对其影响巨大。水质污染不仅会降低水体的透明度，减弱水下光照；而且污染物附着在植物茎叶表面，直接影响光合作用，并滋生细菌和附着藻类而致其死亡。工程的建设，改变了河床地质，占据了沉水植物原来的生长基质。虽然工程的建设会占用大量的水生植物生长基质，并且在施工工程中，抛石使近岸水域水质变差，透明度下降，对水生维管束植物特别是沉水植物具有破坏作用。但施工区域江段的河漫滩上，水生维管束植物特别沉水植物是在江段季节性变动大，类群数量也不多，只是零星分布。而挺水植物并不能全年生长，这类植物的生长与分布早已受到限制。因此，工程建设对水生植物影响有限。而工程建设区面积有限，施工区以外的其它区域并不受工程建设的任何影响，故而工程建设对影响区内水生维管束植物的影响不大。且这些水生植物种类为长江中游广泛分布种类，工程施工不会导致这些物种的消亡。施工结束后，工程以外区域，只要条件合适，水生植物能迅速在这些区域重新分布。</w:t>
      </w:r>
    </w:p>
    <w:p>
      <w:pPr>
        <w:widowControl w:val="0"/>
        <w:spacing w:line="360" w:lineRule="auto"/>
        <w:ind w:firstLine="480" w:firstLineChars="200"/>
        <w:jc w:val="both"/>
        <w:rPr>
          <w:rFonts w:hint="eastAsia" w:eastAsia="仿宋_GB2312"/>
          <w:color w:val="auto"/>
          <w:sz w:val="24"/>
          <w:szCs w:val="24"/>
          <w:lang w:val="en-US" w:eastAsia="zh-CN"/>
        </w:rPr>
      </w:pPr>
      <w:r>
        <w:rPr>
          <w:rFonts w:hint="eastAsia" w:eastAsia="仿宋_GB2312"/>
          <w:color w:val="auto"/>
          <w:sz w:val="24"/>
          <w:szCs w:val="24"/>
          <w:lang w:val="en-US" w:eastAsia="zh-CN"/>
        </w:rPr>
        <w:t>（2）对浮游动物的影响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浮游动物作为长江水域重要的次级生产力，其大部分种类是长江鱼类的天然优质饵料，而工程施工将不可避免的对区域内的浮游动物生长发育产生威胁，进而对区域内渔业资源产生一定的影响。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施工作业会引起水中悬浮物的增加，降低了水质透光率，因而影响浮游植物的光合作用，降低局部水域内的初级生产力水平，同时也会打乱一些靠光线强度变化而进行上下垂直迁移的动物的生活规律；悬浮物还会粘附在浮游生物体表，因而使其运动、摄食等活动受到影响，严重时会造成死亡，从而使局部水域内浮游生物的数量减少。</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本工程码头前沿占用水域宽度32.</w:t>
      </w:r>
      <w:r>
        <w:rPr>
          <w:rFonts w:hint="eastAsia" w:eastAsia="仿宋_GB2312"/>
          <w:color w:val="auto"/>
          <w:sz w:val="24"/>
          <w:szCs w:val="24"/>
          <w:lang w:val="en-US" w:eastAsia="zh-CN"/>
        </w:rPr>
        <w:t>4</w:t>
      </w:r>
      <w:r>
        <w:rPr>
          <w:rFonts w:hint="eastAsia" w:eastAsia="仿宋_GB2312"/>
          <w:color w:val="auto"/>
          <w:sz w:val="24"/>
          <w:szCs w:val="24"/>
          <w:lang w:eastAsia="zh-CN"/>
        </w:rPr>
        <w:t>m，相对该处江面最小宽度（约</w:t>
      </w:r>
      <w:r>
        <w:rPr>
          <w:rFonts w:hint="eastAsia" w:eastAsia="仿宋_GB2312"/>
          <w:color w:val="auto"/>
          <w:sz w:val="24"/>
          <w:szCs w:val="24"/>
          <w:lang w:val="en-US" w:eastAsia="zh-CN"/>
        </w:rPr>
        <w:t>15</w:t>
      </w:r>
      <w:r>
        <w:rPr>
          <w:rFonts w:hint="eastAsia" w:eastAsia="仿宋_GB2312"/>
          <w:color w:val="auto"/>
          <w:sz w:val="24"/>
          <w:szCs w:val="24"/>
          <w:lang w:eastAsia="zh-CN"/>
        </w:rPr>
        <w:t>00m）较小，因此施工对浮游生物的影响比较小，并且浮游生物具有普生性和水体具有自净能力，因此只要采取必要的环保措施，加强建设点和施工的管理，对浮游生物多样性的影响不会很大。码头水域施工时间短暂，施工作业产生的悬浮物对水生生物的影响只是局部的、暂时的和可逆的，施工结束后浮游生物可基本恢复到施工前的水平。</w:t>
      </w:r>
    </w:p>
    <w:p>
      <w:pPr>
        <w:widowControl w:val="0"/>
        <w:spacing w:line="360" w:lineRule="auto"/>
        <w:ind w:firstLine="480" w:firstLineChars="200"/>
        <w:jc w:val="both"/>
        <w:rPr>
          <w:rFonts w:hint="eastAsia" w:eastAsia="仿宋_GB2312"/>
          <w:color w:val="auto"/>
          <w:sz w:val="24"/>
          <w:szCs w:val="24"/>
          <w:lang w:val="en-US" w:eastAsia="zh-CN"/>
        </w:rPr>
      </w:pPr>
      <w:r>
        <w:rPr>
          <w:rFonts w:hint="eastAsia" w:eastAsia="仿宋_GB2312"/>
          <w:color w:val="auto"/>
          <w:sz w:val="24"/>
          <w:szCs w:val="24"/>
          <w:lang w:val="en-US" w:eastAsia="zh-CN"/>
        </w:rPr>
        <w:t>（3）对底栖动物的影响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本工程</w:t>
      </w:r>
      <w:r>
        <w:rPr>
          <w:rFonts w:hint="eastAsia" w:eastAsia="仿宋_GB2312"/>
          <w:color w:val="auto"/>
          <w:sz w:val="24"/>
          <w:szCs w:val="24"/>
          <w:lang w:val="en-US" w:eastAsia="zh-CN"/>
        </w:rPr>
        <w:t>墩台</w:t>
      </w:r>
      <w:r>
        <w:rPr>
          <w:rFonts w:hint="eastAsia" w:eastAsia="仿宋_GB2312"/>
          <w:color w:val="auto"/>
          <w:sz w:val="24"/>
          <w:szCs w:val="24"/>
          <w:lang w:eastAsia="zh-CN"/>
        </w:rPr>
        <w:t>桩基施工，将影响施工区域内的底栖动物的数量和分布。但沿线水生底栖动物在附近其它地区相似的环境中亦有分布，并非是本地区的特有种，因此从物种保护的角度看，工程的建设不会导致这些物种的消亡。并且工程施工扰动河床面积较小，相对于整个工程所在河段的河床面积几乎可以忽略不计，所以工程建成对河床的扰动或固化造成的底栖生物损失相对较小，而且随着施工结束，底栖生物的分布和数量可得到逐渐恢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总体而言，工程施工期对水体中底栖生物的影响较小，且大多是暂时性的，施工结束后可逐渐恢复。</w:t>
      </w:r>
    </w:p>
    <w:p>
      <w:pPr>
        <w:widowControl w:val="0"/>
        <w:spacing w:line="360" w:lineRule="auto"/>
        <w:ind w:firstLine="480" w:firstLineChars="200"/>
        <w:jc w:val="both"/>
        <w:rPr>
          <w:rFonts w:hint="eastAsia" w:eastAsia="仿宋_GB2312"/>
          <w:color w:val="auto"/>
          <w:sz w:val="24"/>
          <w:szCs w:val="24"/>
          <w:lang w:val="en-US" w:eastAsia="zh-CN"/>
        </w:rPr>
      </w:pPr>
      <w:r>
        <w:rPr>
          <w:rFonts w:hint="eastAsia" w:eastAsia="仿宋_GB2312"/>
          <w:color w:val="auto"/>
          <w:sz w:val="24"/>
          <w:szCs w:val="24"/>
          <w:lang w:val="en-US" w:eastAsia="zh-CN"/>
        </w:rPr>
        <w:t>（4）对渔业资源的影响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施工江段主要分布有青鱼、草鱼、鲢、鳙、鳊、鲤、鲫、铜鱼、南方鲇、黄颡鱼、瓦氏黄颡鱼等主要经济鱼类。工程施工过程中会产生噪音、废水，这些对江段鱼类都会产生不同程度的影响。噪音和废水污染物将影响所在水域鱼类的正常觅食和繁衍，鱼类将被迫寻找新的适宜栖息场所，其后果是直接影响江段的鱼类组成、生物链断裂，导致江段水生生物多样性降低。</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由于项目码头采用浮码头结构形式，基本不阻挡鱼类的洄游通道。工程施工期的影响主要是施工作业对水生生物的驱赶效应，采取施工期避开鱼类产卵季节等措施后，施工对鱼类影响不大，工程施工范围较小，所以基本不会影响鱼类物种资源的保护。工程所在长江右岸是宜昌市规划的港口使用岸线，根据本项目现状调查资料，在本工程相关江段，未发现集中形成的产卵场、越冬场以及具有规模的索饵场。工程完成后，原有的鱼类资源及其生息环境不会有太大的变化，评价范围鱼类种类、数量的影响不大。</w:t>
      </w:r>
    </w:p>
    <w:p>
      <w:pPr>
        <w:widowControl w:val="0"/>
        <w:spacing w:line="360" w:lineRule="auto"/>
        <w:ind w:firstLine="480" w:firstLineChars="200"/>
        <w:jc w:val="both"/>
        <w:rPr>
          <w:rFonts w:hint="eastAsia" w:eastAsia="仿宋_GB2312"/>
          <w:color w:val="auto"/>
          <w:sz w:val="24"/>
          <w:szCs w:val="24"/>
          <w:lang w:val="en-US" w:eastAsia="zh-CN"/>
        </w:rPr>
      </w:pPr>
      <w:r>
        <w:rPr>
          <w:rFonts w:hint="eastAsia" w:eastAsia="仿宋_GB2312"/>
          <w:color w:val="auto"/>
          <w:sz w:val="24"/>
          <w:szCs w:val="24"/>
          <w:lang w:val="en-US" w:eastAsia="zh-CN"/>
        </w:rPr>
        <w:t>（5）对鱼类三场一通道的影响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根据调查，距本工程最近的漂流性卵产卵场在松滋河口，位于工程下游约</w:t>
      </w:r>
      <w:r>
        <w:rPr>
          <w:rFonts w:hint="eastAsia" w:eastAsia="仿宋_GB2312"/>
          <w:color w:val="auto"/>
          <w:sz w:val="24"/>
          <w:szCs w:val="24"/>
          <w:lang w:val="en-US" w:eastAsia="zh-CN"/>
        </w:rPr>
        <w:t>7</w:t>
      </w:r>
      <w:r>
        <w:rPr>
          <w:rFonts w:hint="eastAsia" w:eastAsia="仿宋_GB2312"/>
          <w:color w:val="auto"/>
          <w:sz w:val="24"/>
          <w:szCs w:val="24"/>
          <w:lang w:eastAsia="zh-CN"/>
        </w:rPr>
        <w:t>.7km处（见图</w:t>
      </w:r>
      <w:r>
        <w:rPr>
          <w:rFonts w:hint="eastAsia" w:eastAsia="仿宋_GB2312"/>
          <w:color w:val="auto"/>
          <w:sz w:val="24"/>
          <w:szCs w:val="24"/>
          <w:lang w:val="en-US" w:eastAsia="zh-CN"/>
        </w:rPr>
        <w:t>4.5-8</w:t>
      </w:r>
      <w:r>
        <w:rPr>
          <w:rFonts w:hint="eastAsia" w:eastAsia="仿宋_GB2312"/>
          <w:color w:val="auto"/>
          <w:sz w:val="24"/>
          <w:szCs w:val="24"/>
          <w:lang w:eastAsia="zh-CN"/>
        </w:rPr>
        <w:t>），施工江段不涉及鱼类产卵场，由于水下施工安排在10-2月进行，避开了四大家鱼等鱼类主要繁殖期4~7月，因此，工程水下施工对鱼类产卵几乎无影响。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工程下游</w:t>
      </w:r>
      <w:r>
        <w:rPr>
          <w:rFonts w:hint="eastAsia" w:eastAsia="仿宋_GB2312"/>
          <w:color w:val="auto"/>
          <w:sz w:val="24"/>
          <w:szCs w:val="24"/>
          <w:lang w:val="en-US" w:eastAsia="zh-CN"/>
        </w:rPr>
        <w:t>8</w:t>
      </w:r>
      <w:r>
        <w:rPr>
          <w:rFonts w:hint="eastAsia" w:eastAsia="仿宋_GB2312"/>
          <w:color w:val="auto"/>
          <w:sz w:val="24"/>
          <w:szCs w:val="24"/>
          <w:lang w:eastAsia="zh-CN"/>
        </w:rPr>
        <w:t>.5km（见图</w:t>
      </w:r>
      <w:r>
        <w:rPr>
          <w:rFonts w:hint="eastAsia" w:eastAsia="仿宋_GB2312"/>
          <w:color w:val="auto"/>
          <w:sz w:val="24"/>
          <w:szCs w:val="24"/>
          <w:lang w:val="en-US" w:eastAsia="zh-CN"/>
        </w:rPr>
        <w:t>4.5-9</w:t>
      </w:r>
      <w:r>
        <w:rPr>
          <w:rFonts w:hint="eastAsia" w:eastAsia="仿宋_GB2312"/>
          <w:color w:val="auto"/>
          <w:sz w:val="24"/>
          <w:szCs w:val="24"/>
          <w:lang w:eastAsia="zh-CN"/>
        </w:rPr>
        <w:t>）为松滋河口粘沉性产卵场，工程水下施工区域不在产粘沉性卵鱼类产卵场范围内，因此不会对产粘沉性卵鱼类造成影响。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鱼类越冬场主要分布于深水的河道深槽中。本河段深槽主要在主航道，而拟建工程为近岸码头，施工期间码头建设对鱼类越冬影响较小。</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由于</w:t>
      </w:r>
      <w:r>
        <w:rPr>
          <w:rFonts w:hint="eastAsia" w:eastAsia="仿宋_GB2312"/>
          <w:color w:val="auto"/>
          <w:sz w:val="24"/>
          <w:szCs w:val="24"/>
          <w:lang w:val="en-US" w:eastAsia="zh-CN"/>
        </w:rPr>
        <w:t>技改</w:t>
      </w:r>
      <w:r>
        <w:rPr>
          <w:rFonts w:hint="eastAsia" w:eastAsia="仿宋_GB2312"/>
          <w:color w:val="auto"/>
          <w:sz w:val="24"/>
          <w:szCs w:val="24"/>
          <w:lang w:eastAsia="zh-CN"/>
        </w:rPr>
        <w:t>项目码头采用</w:t>
      </w:r>
      <w:r>
        <w:rPr>
          <w:rFonts w:hint="eastAsia" w:eastAsia="仿宋_GB2312"/>
          <w:color w:val="auto"/>
          <w:sz w:val="24"/>
          <w:szCs w:val="24"/>
          <w:lang w:val="en-US" w:eastAsia="zh-CN"/>
        </w:rPr>
        <w:t>浮码头</w:t>
      </w:r>
      <w:r>
        <w:rPr>
          <w:rFonts w:hint="eastAsia" w:eastAsia="仿宋_GB2312"/>
          <w:color w:val="auto"/>
          <w:sz w:val="24"/>
          <w:szCs w:val="24"/>
          <w:lang w:eastAsia="zh-CN"/>
        </w:rPr>
        <w:t>结构，基本不阻挡鱼类的洄游通道。工程施工期的影响主要是码头建设期间施工作业对鱼类的驱赶效应，工程施工范围较小，基本不会影响鱼类物种资源的保护。</w:t>
      </w:r>
    </w:p>
    <w:p>
      <w:pPr>
        <w:widowControl w:val="0"/>
        <w:spacing w:line="360" w:lineRule="auto"/>
        <w:ind w:firstLine="480" w:firstLineChars="200"/>
        <w:jc w:val="both"/>
        <w:rPr>
          <w:rFonts w:hint="eastAsia" w:eastAsia="仿宋_GB2312"/>
          <w:color w:val="auto"/>
          <w:sz w:val="24"/>
          <w:szCs w:val="24"/>
          <w:lang w:val="en-US" w:eastAsia="zh-CN"/>
        </w:rPr>
      </w:pPr>
      <w:r>
        <w:rPr>
          <w:rFonts w:hint="eastAsia" w:eastAsia="仿宋_GB2312"/>
          <w:color w:val="auto"/>
          <w:sz w:val="24"/>
          <w:szCs w:val="24"/>
          <w:lang w:val="en-US" w:eastAsia="zh-CN"/>
        </w:rPr>
        <w:t>（6）对珍稀水生动物的影响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评价范围所在江段是中华鲟、江豚等国家重点保护水生动物的迁移通道。工程对中华鲟的影响分析</w:t>
      </w:r>
      <w:r>
        <w:rPr>
          <w:rFonts w:hint="eastAsia" w:eastAsia="仿宋_GB2312"/>
          <w:b/>
          <w:bCs/>
          <w:color w:val="auto"/>
          <w:sz w:val="24"/>
          <w:lang w:eastAsia="zh-CN"/>
        </w:rPr>
        <w:t>见第</w:t>
      </w:r>
      <w:r>
        <w:rPr>
          <w:rFonts w:hint="eastAsia" w:eastAsia="仿宋_GB2312"/>
          <w:b/>
          <w:bCs/>
          <w:color w:val="auto"/>
          <w:sz w:val="24"/>
          <w:lang w:val="en-US" w:eastAsia="zh-CN"/>
        </w:rPr>
        <w:t>6</w:t>
      </w:r>
      <w:r>
        <w:rPr>
          <w:rFonts w:hint="eastAsia" w:eastAsia="仿宋_GB2312"/>
          <w:b/>
          <w:bCs/>
          <w:color w:val="auto"/>
          <w:sz w:val="24"/>
          <w:lang w:eastAsia="zh-CN"/>
        </w:rPr>
        <w:t>章节</w:t>
      </w:r>
      <w:r>
        <w:rPr>
          <w:rFonts w:hint="eastAsia" w:eastAsia="仿宋_GB2312"/>
          <w:color w:val="auto"/>
          <w:sz w:val="24"/>
          <w:lang w:eastAsia="zh-CN"/>
        </w:rPr>
        <w:t>；下面重点分析工程施工期对江豚的影响。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①总体影响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对江豚的影响主要包括施工船舶机械噪声、水下作业噪音和水下施工作业悬浮物。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根据江豚的生活习性分析，噪音污染会在一定程度上改变江豚在该江段的游走方向和分布，但不会导致个体死亡，对其资源量不会产生影响。施工产生的悬浮物，对活动在施工下游的江豚会有暂时的影响，但由于污染物浓度增加不多且沉降速度较快，江豚具有灵敏的主动回避行为，水下施工作业产生的悬浮物对江豚造成的影响是短暂的、有限的。</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②江豚活动空间受到挤压</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江豚喜群聚生活，活动范围较广，由于主要以鱼类为食，所以其分布区域通常根据鱼汛的分布情况而定，尤其是定居性鱼类，如鲤、鲫、䱗的分布区域。在工程河段，洪水期江豚通常栖息于主航道，枯水期江豚在本河段觅食活动主要集中于沙洲头、浅水滩附近水域，如关洲和碛坝洲都是江豚喜爱栖息的区域。而施工地点在江边，人为活动较多，不是江豚喜爱的区域。</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③噪音影响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水下噪声的强弱是评价江豚栖息地环境状况的重要指标之一。主要包括水体运动噪声（水流）、航行船舶噪声（螺旋桨旋转、发动机振动等）、水下工程噪声（打桩等）、水面工程噪声（船舶发动机、撞击等）、地面噪声（通过土壤等传播到水下）等。江豚是依赖回声定位能力生存的物种，水下声环境对其生存和繁衍有着重要的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本项目噪声主要来自于机械作业噪声，主要包括船舶、打桩机等。由于工程施工面有限，施工期较短，江豚受干扰后，可以短暂逃到干流深水中，总体而言桩基工程造成的噪声对江豚的影响有限。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施工期间施工船舶增多，对江豚误伤的几率增大，施工期间应采取措施驱赶江豚，使其远离施工船舶主要活动区域，并在施工期间严密监控，一旦发现江豚接近施工区域，应暂停施工，采取相应措施，尽可能的降低和避免误伤。</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④江豚活动水域水质略受污染</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桩基工程为涉水作业，施工作业</w:t>
      </w:r>
      <w:r>
        <w:rPr>
          <w:rFonts w:hint="eastAsia" w:eastAsia="仿宋_GB2312"/>
          <w:color w:val="auto"/>
          <w:sz w:val="24"/>
          <w:lang w:val="en-US" w:eastAsia="zh-CN"/>
        </w:rPr>
        <w:t>尽量选择枯水期作业。如实在需进行涉水作业，</w:t>
      </w:r>
      <w:r>
        <w:rPr>
          <w:rFonts w:hint="eastAsia" w:eastAsia="仿宋_GB2312"/>
          <w:color w:val="auto"/>
          <w:sz w:val="24"/>
          <w:lang w:eastAsia="zh-CN"/>
        </w:rPr>
        <w:t>将会扰动作业区域水体，造成局部区域悬浮物浓度增高，透明度降低，导致分离区或浅滩浮游生物量减小，江豚在作业水域觅食活动受影响。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⑤江豚的繁殖</w:t>
      </w:r>
    </w:p>
    <w:p>
      <w:pPr>
        <w:widowControl w:val="0"/>
        <w:spacing w:before="120" w:after="120" w:line="360" w:lineRule="auto"/>
        <w:outlineLvl w:val="3"/>
        <w:rPr>
          <w:rFonts w:eastAsia="黑体"/>
          <w:color w:val="auto"/>
          <w:sz w:val="24"/>
        </w:rPr>
      </w:pPr>
      <w:r>
        <w:rPr>
          <w:rFonts w:hint="eastAsia" w:eastAsia="仿宋_GB2312"/>
          <w:color w:val="auto"/>
          <w:sz w:val="24"/>
          <w:lang w:eastAsia="zh-CN"/>
        </w:rPr>
        <w:t>刚出生的幼年江豚成长至3个月以后出现捕食小鱼行为，至少半年后才能掌控野外摄食技能，这期间幼豚跟随母豚在流速较缓，小型鱼类较多的水域捕食，因此碛坝洲分流区和关洲边滩分离区是其抚幼地点。本工程在岸边，远离关洲洲滩，对江豚的繁殖影响较小。</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1</w:t>
      </w:r>
      <w:r>
        <w:rPr>
          <w:rFonts w:eastAsia="黑体"/>
          <w:color w:val="auto"/>
          <w:sz w:val="24"/>
        </w:rPr>
        <w:t>.</w:t>
      </w:r>
      <w:r>
        <w:rPr>
          <w:rFonts w:hint="eastAsia" w:eastAsia="黑体"/>
          <w:color w:val="auto"/>
          <w:sz w:val="24"/>
          <w:lang w:val="en-US" w:eastAsia="zh-CN"/>
        </w:rPr>
        <w:t>5.2对陆生生态环境影响分析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（1）对陆生植物的影响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本工程在施工期对陆生植物的影响主要有：工程占地、水土流失、扬尘、施工扰动。</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具体如下：</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①施工期占地对陆生植物的影响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本码头水域工程占地1.</w:t>
      </w:r>
      <w:r>
        <w:rPr>
          <w:rFonts w:hint="eastAsia" w:eastAsia="仿宋_GB2312"/>
          <w:color w:val="auto"/>
          <w:sz w:val="24"/>
          <w:lang w:val="en-US" w:eastAsia="zh-CN"/>
        </w:rPr>
        <w:t>02</w:t>
      </w:r>
      <w:r>
        <w:rPr>
          <w:rFonts w:hint="eastAsia" w:eastAsia="仿宋_GB2312"/>
          <w:color w:val="auto"/>
          <w:sz w:val="24"/>
        </w:rPr>
        <w:t>hm</w:t>
      </w:r>
      <w:r>
        <w:rPr>
          <w:rFonts w:hint="eastAsia" w:eastAsia="仿宋_GB2312"/>
          <w:color w:val="auto"/>
          <w:sz w:val="24"/>
          <w:vertAlign w:val="superscript"/>
        </w:rPr>
        <w:t>2</w:t>
      </w:r>
      <w:r>
        <w:rPr>
          <w:rFonts w:hint="eastAsia" w:eastAsia="仿宋_GB2312"/>
          <w:color w:val="auto"/>
          <w:sz w:val="24"/>
        </w:rPr>
        <w:t>。永久占地使植被生境破坏，使植物生物量减小，生物个体失去生长环境，影响的程度是不可逆的。结合现场调查，陆域占地区土地利用类型以林地、草地为主，常见的群系有马尾松林、盐肤木灌丛、斑茅灌草丛等，常见的植物有化香树、栓皮栎、杉木、慈竹、枫杨、构树、牡荆、八角枫、五节芒、狗尾草等，受永久占地影响的植物均为常见种，植被均为常见类型，因此，永久占地对评价区内植物及植被影响较小，仅为个体损失、植被生物量减少，且施工结束后，生产辅助区和生活辅助区植被绿化等措施会在一定程度上缓解其影响。因此，工程占地对植物种类、植被类型影响较小</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②水土流失的影响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施工期占地区开挖、施工场地平整、检修道路开挖等扰动地表，造成大面积的土壤裸露，受雨水冲击时易造成水土流失，将对植物及其生境造成不利影响。同时，水土流失易导致土壤中的有机质也不断流失，从而破坏了土壤的结构，增加植被复垦工作的难度。</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③扬尘对陆生植物的影响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施工扬尘主要是由码头施工期占地区开挖及回填</w:t>
      </w:r>
      <w:r>
        <w:rPr>
          <w:rFonts w:hint="eastAsia" w:eastAsia="仿宋_GB2312"/>
          <w:color w:val="auto"/>
          <w:sz w:val="24"/>
          <w:lang w:val="en-US" w:eastAsia="zh-CN"/>
        </w:rPr>
        <w:t>产生的扬尘</w:t>
      </w:r>
      <w:r>
        <w:rPr>
          <w:rFonts w:hint="eastAsia" w:eastAsia="仿宋_GB2312"/>
          <w:color w:val="auto"/>
          <w:sz w:val="24"/>
        </w:rPr>
        <w:t>、车辆行驶等过程产生的汽车尾气</w:t>
      </w:r>
      <w:r>
        <w:rPr>
          <w:rFonts w:hint="eastAsia" w:eastAsia="仿宋_GB2312"/>
          <w:color w:val="auto"/>
          <w:sz w:val="24"/>
          <w:lang w:val="en-US" w:eastAsia="zh-CN"/>
        </w:rPr>
        <w:t>及</w:t>
      </w:r>
      <w:r>
        <w:rPr>
          <w:rFonts w:hint="eastAsia" w:eastAsia="仿宋_GB2312"/>
          <w:color w:val="auto"/>
          <w:sz w:val="24"/>
        </w:rPr>
        <w:t>汽车道路扬尘等。扬尘对植被的影响范围主要是码头建设范围周边一定范围内的植被。</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漂浮的扬尘会附着在植被的叶子上，使植被的光合作用和呼吸能力降低，影响植物的新陈代谢，进而影响植物的生长发育和正常繁殖。但这影响的程度不大，一般不会造成植物的死亡，并可以通过相应的洒水等措施降低其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④施工活动对陆生植物的影响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施工期工程区人流、车流量加大，人员出入及材料的运输等传播途径可能带来其它外来物种，外来物种在一定范围内形成优势群落，这可能对土著物种产生一定的排斥，对区域内植被类型造成一定影响。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港区</w:t>
      </w:r>
      <w:r>
        <w:rPr>
          <w:rFonts w:hint="eastAsia" w:eastAsia="仿宋_GB2312"/>
          <w:color w:val="auto"/>
          <w:sz w:val="24"/>
        </w:rPr>
        <w:t>占用</w:t>
      </w:r>
      <w:r>
        <w:rPr>
          <w:rFonts w:hint="eastAsia" w:eastAsia="仿宋_GB2312"/>
          <w:color w:val="auto"/>
          <w:sz w:val="24"/>
          <w:lang w:val="en-US" w:eastAsia="zh-CN"/>
        </w:rPr>
        <w:t>陆域</w:t>
      </w:r>
      <w:r>
        <w:rPr>
          <w:rFonts w:hint="eastAsia" w:eastAsia="仿宋_GB2312"/>
          <w:color w:val="auto"/>
          <w:sz w:val="24"/>
        </w:rPr>
        <w:t>面积约</w:t>
      </w:r>
      <w:r>
        <w:rPr>
          <w:rFonts w:hint="eastAsia" w:eastAsia="仿宋_GB2312"/>
          <w:color w:val="auto"/>
          <w:sz w:val="24"/>
          <w:lang w:val="en-US" w:eastAsia="zh-CN"/>
        </w:rPr>
        <w:t>500</w:t>
      </w:r>
      <w:r>
        <w:rPr>
          <w:rFonts w:hint="eastAsia" w:eastAsia="仿宋_GB2312"/>
          <w:color w:val="auto"/>
          <w:sz w:val="24"/>
        </w:rPr>
        <w:t>m</w:t>
      </w:r>
      <w:r>
        <w:rPr>
          <w:rFonts w:hint="eastAsia" w:eastAsia="仿宋_GB2312"/>
          <w:color w:val="auto"/>
          <w:sz w:val="24"/>
          <w:vertAlign w:val="superscript"/>
        </w:rPr>
        <w:t>2</w:t>
      </w:r>
      <w:r>
        <w:rPr>
          <w:rFonts w:hint="eastAsia" w:eastAsia="仿宋_GB2312"/>
          <w:color w:val="auto"/>
          <w:sz w:val="24"/>
        </w:rPr>
        <w:t>，主要包括</w:t>
      </w:r>
      <w:r>
        <w:rPr>
          <w:rFonts w:hint="eastAsia" w:eastAsia="仿宋_GB2312"/>
          <w:color w:val="auto"/>
          <w:sz w:val="24"/>
          <w:lang w:val="en-US" w:eastAsia="zh-CN"/>
        </w:rPr>
        <w:t>转运楼及墩台</w:t>
      </w:r>
      <w:r>
        <w:rPr>
          <w:rFonts w:hint="eastAsia" w:eastAsia="仿宋_GB2312"/>
          <w:color w:val="auto"/>
          <w:sz w:val="24"/>
        </w:rPr>
        <w:t>等，占地</w:t>
      </w:r>
      <w:r>
        <w:rPr>
          <w:rFonts w:hint="eastAsia" w:eastAsia="仿宋_GB2312"/>
          <w:color w:val="auto"/>
          <w:sz w:val="24"/>
          <w:lang w:val="en-US" w:eastAsia="zh-CN"/>
        </w:rPr>
        <w:t>现状以水泥硬化，</w:t>
      </w:r>
      <w:r>
        <w:rPr>
          <w:rFonts w:hint="eastAsia" w:eastAsia="仿宋_GB2312"/>
          <w:color w:val="auto"/>
          <w:sz w:val="24"/>
        </w:rPr>
        <w:t>不存在因局部植被破坏而导致植物种群消失或灭绝，生态系统</w:t>
      </w:r>
      <w:r>
        <w:rPr>
          <w:rFonts w:hint="eastAsia" w:eastAsia="仿宋_GB2312"/>
          <w:color w:val="auto"/>
          <w:sz w:val="24"/>
          <w:lang w:val="en-US" w:eastAsia="zh-CN"/>
        </w:rPr>
        <w:t>及生物多样性</w:t>
      </w:r>
      <w:r>
        <w:rPr>
          <w:rFonts w:hint="eastAsia" w:eastAsia="仿宋_GB2312"/>
          <w:color w:val="auto"/>
          <w:sz w:val="24"/>
        </w:rPr>
        <w:t>发生改变。</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总的来说，施工活动对陆生植物的影响较小，只要在施工期间对相关人员进行相关宣传教育，同时加强管理，这种影响就可以降至最低。</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（2）对陆生动物的影响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本工程在施工期对陆生动物的影响主要有：工程占地、噪声、水污染、废渣、人类活动等。具体如下：</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①工程占地对陆生动物的影响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w:t>
      </w:r>
      <w:r>
        <w:rPr>
          <w:rFonts w:hint="eastAsia" w:eastAsia="仿宋_GB2312"/>
          <w:color w:val="auto"/>
          <w:sz w:val="24"/>
          <w:lang w:val="en-US" w:eastAsia="zh-CN"/>
        </w:rPr>
        <w:t>为</w:t>
      </w:r>
      <w:r>
        <w:rPr>
          <w:rFonts w:hint="eastAsia" w:eastAsia="仿宋_GB2312"/>
          <w:color w:val="auto"/>
          <w:sz w:val="24"/>
        </w:rPr>
        <w:t>码头工程</w:t>
      </w:r>
      <w:r>
        <w:rPr>
          <w:rFonts w:hint="eastAsia" w:eastAsia="仿宋_GB2312"/>
          <w:color w:val="auto"/>
          <w:sz w:val="24"/>
          <w:lang w:val="en-US" w:eastAsia="zh-CN"/>
        </w:rPr>
        <w:t>技术改造项目</w:t>
      </w:r>
      <w:r>
        <w:rPr>
          <w:rFonts w:hint="eastAsia" w:eastAsia="仿宋_GB2312"/>
          <w:color w:val="auto"/>
          <w:sz w:val="24"/>
        </w:rPr>
        <w:t>，水域工程占地1.</w:t>
      </w:r>
      <w:r>
        <w:rPr>
          <w:rFonts w:hint="eastAsia" w:eastAsia="仿宋_GB2312"/>
          <w:color w:val="auto"/>
          <w:sz w:val="24"/>
          <w:lang w:val="en-US" w:eastAsia="zh-CN"/>
        </w:rPr>
        <w:t>02</w:t>
      </w:r>
      <w:r>
        <w:rPr>
          <w:rFonts w:hint="eastAsia" w:eastAsia="仿宋_GB2312"/>
          <w:color w:val="auto"/>
          <w:sz w:val="24"/>
        </w:rPr>
        <w:t>hm</w:t>
      </w:r>
      <w:r>
        <w:rPr>
          <w:rFonts w:hint="eastAsia" w:eastAsia="仿宋_GB2312"/>
          <w:color w:val="auto"/>
          <w:sz w:val="24"/>
          <w:vertAlign w:val="superscript"/>
        </w:rPr>
        <w:t>2</w:t>
      </w:r>
      <w:r>
        <w:rPr>
          <w:rFonts w:hint="eastAsia" w:eastAsia="仿宋_GB2312"/>
          <w:color w:val="auto"/>
          <w:sz w:val="24"/>
        </w:rPr>
        <w:t>。占地区分布的动物种类和数量不甚丰富，同时评价区及其附近存在大面积的适宜生境，可以供这些动物转移，占用生境影响较小。施工活动结束后，随着水土保持工程的开展，植被的恢复，临时占地处的动物生存环境将会逐步得到恢复。</w:t>
      </w:r>
    </w:p>
    <w:p>
      <w:pPr>
        <w:widowControl w:val="0"/>
        <w:spacing w:line="360" w:lineRule="auto"/>
        <w:ind w:firstLine="480" w:firstLineChars="200"/>
        <w:rPr>
          <w:rFonts w:eastAsia="仿宋_GB2312"/>
          <w:color w:val="auto"/>
          <w:sz w:val="24"/>
        </w:rPr>
      </w:pPr>
      <w:r>
        <w:rPr>
          <w:rFonts w:hint="eastAsia" w:eastAsia="仿宋_GB2312"/>
          <w:color w:val="auto"/>
          <w:sz w:val="24"/>
        </w:rPr>
        <w:t>②噪声对陆生动物的影响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鸟类的感官非常灵敏，对噪声和震动反应较为敏感。本工程评价区的鸟类多为林缘或水域附近的鸟类。根据现场调查发现，评价区林缘分布的物种多为对噪声有一定适应的常见物种，如黄臀鹎、白鹡鸰、珠颈斑鸠、鹊鸲等，适应了现有道路的交通噪声。施工期间挖掘机、推土机和混凝土拌合设备等的机械噪声，装卸汽车、载重汽车在运输和装卸过程中产生的噪声将对鸟类产生一定影响。由于鸟类的迁移能力强，调查区内鸟类适宜生境较多，且噪声影响是暂时的，随着施工的结束而消失，因此，在做好科学合理的施工进度安排，采取适当的保护措施的前提下，噪声对林缘鸟类的影响不大。水域附近的鸟类多为夏候鸟或者冬候鸟，主要出现在长江及干支流的洲滩或水域，远离现有道路区，本工程施工对其产生一定的惊扰，但由于其分布距离施工现场相对较远，因此影响有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项目区的兽类多为小型啮齿目鼠科或者松鼠科的物种，受施工噪声的惊吓，将使其远离工程影响区，施工噪声仅对局部分布格局产生影响，不会导致区域物种多样性的锐减。</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③水质污染对陆生动物的影响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水质污染对两栖和爬行类动物的影响主要是施工期产生的生活废水污染水环境，将破坏水栖型两栖类和乌龟等部分爬行类的生境，造成工程区周围水栖型两栖类和爬行类数量减少或向工程区外迁移。但这些污染影响是暂时的，施工结束后，由于水体的自净能力，水质净化后，两栖类和爬行类可以继续回到原生境生活。</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④人为活动对陆生动物的影响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评价区有食用药用价值的两栖类、爬行类如中华蟾蜍、乌梢蛇等；有食用价值、经济价值、观赏价值以及研究价值的鸟类如环颈雉、灰胸竹鸡、珠颈斑鸠等；列入《国家保护的有益的或者有重要经济、科学研究价值的陆生野生动物名录》的兽类如草兔等。以上这些物种容易受到施工人员的捕杀，进而造成其个体数量的下降。</w:t>
      </w:r>
    </w:p>
    <w:p>
      <w:pPr>
        <w:widowControl w:val="0"/>
        <w:spacing w:line="360" w:lineRule="auto"/>
        <w:ind w:firstLine="480" w:firstLineChars="200"/>
        <w:rPr>
          <w:rFonts w:eastAsia="仿宋_GB2312"/>
          <w:color w:val="auto"/>
          <w:sz w:val="24"/>
        </w:rPr>
      </w:pPr>
      <w:r>
        <w:rPr>
          <w:rFonts w:hint="eastAsia" w:eastAsia="仿宋_GB2312"/>
          <w:color w:val="auto"/>
          <w:sz w:val="24"/>
        </w:rPr>
        <w:t>评价区域占用场地较小，且人为活动显著，且周边区域有大量可替代的类似生境，受到施工活动惊扰的动物可迁徙至周边区域，项目施工对区域内该物种的生存不会造成威胁，因此工程对评价区域内的动物影响较小。</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384" w:name="_Toc21582"/>
      <w:r>
        <w:rPr>
          <w:rFonts w:ascii="Times New Roman" w:hAnsi="Times New Roman"/>
          <w:b w:val="0"/>
          <w:color w:val="auto"/>
          <w:szCs w:val="32"/>
        </w:rPr>
        <w:t>5.</w:t>
      </w:r>
      <w:r>
        <w:rPr>
          <w:rFonts w:hint="eastAsia" w:ascii="Times New Roman" w:hAnsi="Times New Roman"/>
          <w:b w:val="0"/>
          <w:color w:val="auto"/>
          <w:szCs w:val="32"/>
          <w:lang w:val="en-US" w:eastAsia="zh-CN"/>
        </w:rPr>
        <w:t>2运营期环境影响分析</w:t>
      </w:r>
      <w:bookmarkEnd w:id="384"/>
    </w:p>
    <w:p>
      <w:pPr>
        <w:pStyle w:val="9"/>
        <w:widowControl w:val="0"/>
        <w:spacing w:before="120" w:after="120" w:line="360" w:lineRule="auto"/>
        <w:rPr>
          <w:rFonts w:hint="eastAsia" w:eastAsia="黑体"/>
          <w:b w:val="0"/>
          <w:color w:val="auto"/>
          <w:sz w:val="24"/>
        </w:rPr>
      </w:pPr>
      <w:bookmarkStart w:id="385" w:name="_Toc1158"/>
      <w:r>
        <w:rPr>
          <w:rFonts w:hint="eastAsia" w:eastAsia="黑体"/>
          <w:b w:val="0"/>
          <w:color w:val="auto"/>
          <w:sz w:val="24"/>
        </w:rPr>
        <w:t>5</w:t>
      </w:r>
      <w:r>
        <w:rPr>
          <w:rFonts w:eastAsia="黑体"/>
          <w:b w:val="0"/>
          <w:color w:val="auto"/>
          <w:sz w:val="24"/>
        </w:rPr>
        <w:t>.2.1</w:t>
      </w:r>
      <w:r>
        <w:rPr>
          <w:rFonts w:hint="eastAsia" w:eastAsia="黑体"/>
          <w:b w:val="0"/>
          <w:color w:val="auto"/>
          <w:sz w:val="24"/>
          <w:lang w:eastAsia="zh-CN"/>
        </w:rPr>
        <w:t>运营期</w:t>
      </w:r>
      <w:r>
        <w:rPr>
          <w:rFonts w:hint="eastAsia" w:eastAsia="黑体"/>
          <w:b w:val="0"/>
          <w:color w:val="auto"/>
          <w:sz w:val="24"/>
          <w:lang w:val="en-US" w:eastAsia="zh-CN"/>
        </w:rPr>
        <w:t>地表水环境</w:t>
      </w:r>
      <w:r>
        <w:rPr>
          <w:rFonts w:hint="eastAsia" w:eastAsia="黑体"/>
          <w:b w:val="0"/>
          <w:color w:val="auto"/>
          <w:sz w:val="24"/>
        </w:rPr>
        <w:t>影响分析</w:t>
      </w:r>
      <w:bookmarkEnd w:id="385"/>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本项目属于水污染要素、水文要素综合影响型项目，因此环评根据实际情况进行水污染影响分析及水文要素影响分析</w:t>
      </w:r>
      <w:r>
        <w:rPr>
          <w:rFonts w:hint="eastAsia" w:eastAsia="仿宋_GB2312" w:cs="Times New Roman"/>
          <w:bCs w:val="0"/>
          <w:snapToGrid/>
          <w:color w:val="auto"/>
          <w:kern w:val="2"/>
          <w:sz w:val="24"/>
          <w:szCs w:val="24"/>
          <w:lang w:val="en-US" w:eastAsia="zh-CN" w:bidi="ar-SA"/>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rPr>
        <w:t>5</w:t>
      </w:r>
      <w:r>
        <w:rPr>
          <w:rFonts w:eastAsia="黑体"/>
          <w:color w:val="auto"/>
          <w:sz w:val="24"/>
        </w:rPr>
        <w:t>.2.1.</w:t>
      </w:r>
      <w:r>
        <w:rPr>
          <w:rFonts w:hint="eastAsia" w:eastAsia="黑体"/>
          <w:color w:val="auto"/>
          <w:sz w:val="24"/>
          <w:lang w:val="en-US" w:eastAsia="zh-CN"/>
        </w:rPr>
        <w:t>1项目地表水影响水文要素影响分析</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根据《环境影响评价技术导则  地表水环境》（HJ2.3-2018）要求，水文要素影响型建设项目水文情势预测分析主要包括水域形态、径流条件、水文条件以及冲淤变化等内容。根据码头工程特点，码头工程对径流过程、水量、水温、水面宽等水文要素影响较小，主要针对水位、流速及泥沙冲淤等水文要素进行预测与分析。本报告采用二维水流模型，主要通过分析拟建码头工程实施前后河道水位和流速的变化，进而分析泥沙冲淤情况，来分析拟建工程对水文情势的变化影响。</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（1）数学模型的建立</w:t>
      </w:r>
    </w:p>
    <w:p>
      <w:pPr>
        <w:adjustRightInd w:val="0"/>
        <w:snapToGrid w:val="0"/>
        <w:spacing w:line="360" w:lineRule="auto"/>
        <w:ind w:firstLine="480" w:firstLineChars="200"/>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码头工程采用趸船式浮码头结构，由于码头的阻水对水流产生一定影响，我们建立了二维水流数学模型，进行了专门的研究。</w:t>
      </w:r>
    </w:p>
    <w:p>
      <w:pPr>
        <w:adjustRightInd w:val="0"/>
        <w:snapToGrid w:val="0"/>
        <w:spacing w:line="360" w:lineRule="auto"/>
        <w:ind w:firstLine="480" w:firstLineChars="200"/>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对于天然河道的水流运动，为适应复杂多变的河道边界形态，对所关注的水域范围进行局部加密处理，同时也为了提高数值计算成果的精度，多采用基于三角形网格的有限体积法进行数值模拟。</w:t>
      </w:r>
    </w:p>
    <w:p>
      <w:pPr>
        <w:adjustRightInd w:val="0"/>
        <w:snapToGrid w:val="0"/>
        <w:spacing w:line="360" w:lineRule="auto"/>
        <w:ind w:firstLine="480" w:firstLineChars="200"/>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1）二维水流运动数学模型基本方程组</w:t>
      </w:r>
    </w:p>
    <w:p>
      <w:pPr>
        <w:adjustRightInd w:val="0"/>
        <w:snapToGrid w:val="0"/>
        <w:spacing w:line="360" w:lineRule="auto"/>
        <w:ind w:firstLine="480" w:firstLineChars="200"/>
        <w:jc w:val="both"/>
        <w:rPr>
          <w:rFonts w:hint="eastAsia" w:ascii="Times New Roman" w:hAnsi="Times New Roman" w:eastAsia="仿宋_GB2312" w:cs="Times New Roman"/>
          <w:bCs w:val="0"/>
          <w:snapToGrid/>
          <w:color w:val="auto"/>
          <w:kern w:val="2"/>
          <w:sz w:val="24"/>
          <w:szCs w:val="24"/>
          <w:lang w:val="en-US" w:eastAsia="zh-CN" w:bidi="ar-SA"/>
        </w:rPr>
      </w:pPr>
      <w:bookmarkStart w:id="386" w:name="_Toc65933020"/>
      <w:bookmarkStart w:id="387" w:name="_Toc54792477"/>
      <w:bookmarkStart w:id="388" w:name="_Toc84949160"/>
      <w:r>
        <w:rPr>
          <w:rFonts w:hint="eastAsia" w:ascii="Times New Roman" w:hAnsi="Times New Roman" w:eastAsia="仿宋_GB2312" w:cs="Times New Roman"/>
          <w:bCs w:val="0"/>
          <w:snapToGrid/>
          <w:color w:val="auto"/>
          <w:kern w:val="2"/>
          <w:sz w:val="24"/>
          <w:szCs w:val="24"/>
          <w:lang w:val="en-US" w:eastAsia="zh-CN" w:bidi="ar-SA"/>
        </w:rPr>
        <w:t>二维水动力控制方程为笛卡尔坐标系（Cartesian Coordinates）下的纳维—斯托克斯方程组（Navier-Stokes Equations），该方程组由水流连续性方程、沿水流方向（x方向）的动量方程和垂直水流方向（y方向）的动量方程组成。</w:t>
      </w:r>
    </w:p>
    <w:p>
      <w:pPr>
        <w:adjustRightInd w:val="0"/>
        <w:snapToGrid w:val="0"/>
        <w:spacing w:line="360" w:lineRule="auto"/>
        <w:jc w:val="center"/>
        <w:rPr>
          <w:color w:val="auto"/>
          <w:kern w:val="0"/>
          <w:sz w:val="24"/>
        </w:rPr>
      </w:pPr>
      <w:r>
        <w:rPr>
          <w:color w:val="auto"/>
          <w:kern w:val="0"/>
          <w:sz w:val="24"/>
        </w:rPr>
        <w:object>
          <v:shape id="_x0000_i1044" o:spt="75" type="#_x0000_t75" style="height:36.3pt;width:100.2pt;" o:ole="t" filled="f" o:preferrelative="t" stroked="f" coordsize="21600,21600">
            <v:path/>
            <v:fill on="f" focussize="0,0"/>
            <v:stroke on="f" joinstyle="miter"/>
            <v:imagedata r:id="rId84" o:title=""/>
            <o:lock v:ext="edit" aspectratio="t"/>
            <w10:wrap type="none"/>
            <w10:anchorlock/>
          </v:shape>
          <o:OLEObject Type="Embed" ProgID="Equation.DSMT4" ShapeID="_x0000_i1044" DrawAspect="Content" ObjectID="_1468075744" r:id="rId83">
            <o:LockedField>false</o:LockedField>
          </o:OLEObject>
        </w:object>
      </w:r>
    </w:p>
    <w:p>
      <w:pPr>
        <w:adjustRightInd w:val="0"/>
        <w:snapToGrid w:val="0"/>
        <w:spacing w:line="360" w:lineRule="auto"/>
        <w:jc w:val="center"/>
        <w:rPr>
          <w:color w:val="auto"/>
          <w:kern w:val="0"/>
          <w:sz w:val="24"/>
        </w:rPr>
      </w:pPr>
      <w:bookmarkStart w:id="389" w:name="_Hlk76235179"/>
      <w:r>
        <w:rPr>
          <w:color w:val="auto"/>
          <w:kern w:val="0"/>
          <w:sz w:val="24"/>
        </w:rPr>
        <w:object>
          <v:shape id="_x0000_i1045" o:spt="75" type="#_x0000_t75" style="height:79.5pt;width:338.7pt;" o:ole="t" filled="f" o:preferrelative="t" stroked="f" coordsize="21600,21600">
            <v:path/>
            <v:fill on="f" focussize="0,0"/>
            <v:stroke on="f" joinstyle="miter"/>
            <v:imagedata r:id="rId86" o:title=""/>
            <o:lock v:ext="edit" aspectratio="t"/>
            <w10:wrap type="none"/>
            <w10:anchorlock/>
          </v:shape>
          <o:OLEObject Type="Embed" ProgID="Equation.DSMT4" ShapeID="_x0000_i1045" DrawAspect="Content" ObjectID="_1468075745" r:id="rId85">
            <o:LockedField>false</o:LockedField>
          </o:OLEObject>
        </w:object>
      </w:r>
      <w:bookmarkEnd w:id="389"/>
    </w:p>
    <w:p>
      <w:pPr>
        <w:adjustRightInd w:val="0"/>
        <w:snapToGrid w:val="0"/>
        <w:spacing w:line="360" w:lineRule="auto"/>
        <w:jc w:val="center"/>
        <w:rPr>
          <w:color w:val="auto"/>
          <w:kern w:val="0"/>
          <w:sz w:val="24"/>
        </w:rPr>
      </w:pPr>
      <w:bookmarkStart w:id="390" w:name="_Hlk76235187"/>
      <w:r>
        <w:rPr>
          <w:color w:val="auto"/>
          <w:kern w:val="0"/>
          <w:sz w:val="24"/>
        </w:rPr>
        <w:object>
          <v:shape id="_x0000_i1046" o:spt="75" type="#_x0000_t75" style="height:79.5pt;width:345.6pt;" o:ole="t" filled="f" o:preferrelative="t" stroked="f" coordsize="21600,21600">
            <v:path/>
            <v:fill on="f" focussize="0,0"/>
            <v:stroke on="f" joinstyle="miter"/>
            <v:imagedata r:id="rId88" o:title=""/>
            <o:lock v:ext="edit" aspectratio="t"/>
            <w10:wrap type="none"/>
            <w10:anchorlock/>
          </v:shape>
          <o:OLEObject Type="Embed" ProgID="Equation.DSMT4" ShapeID="_x0000_i1046" DrawAspect="Content" ObjectID="_1468075746" r:id="rId87">
            <o:LockedField>false</o:LockedField>
          </o:OLEObject>
        </w:object>
      </w:r>
      <w:bookmarkEnd w:id="390"/>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bookmarkStart w:id="391" w:name="_Hlk76235200"/>
      <w:r>
        <w:rPr>
          <w:rFonts w:hint="default" w:ascii="Times New Roman" w:hAnsi="Times New Roman" w:eastAsia="仿宋_GB2312" w:cs="Times New Roman"/>
          <w:bCs w:val="0"/>
          <w:snapToGrid/>
          <w:color w:val="auto"/>
          <w:kern w:val="2"/>
          <w:sz w:val="24"/>
          <w:szCs w:val="24"/>
          <w:lang w:val="en-US" w:eastAsia="zh-CN" w:bidi="ar-SA"/>
        </w:rPr>
        <w:t>上述各式中，</w:t>
      </w:r>
      <w:r>
        <w:rPr>
          <w:rFonts w:hint="default" w:ascii="Times New Roman" w:hAnsi="Times New Roman" w:eastAsia="仿宋_GB2312" w:cs="Times New Roman"/>
          <w:bCs w:val="0"/>
          <w:snapToGrid/>
          <w:color w:val="auto"/>
          <w:kern w:val="2"/>
          <w:sz w:val="24"/>
          <w:szCs w:val="24"/>
          <w:lang w:val="en-US" w:eastAsia="zh-CN" w:bidi="ar-SA"/>
        </w:rPr>
        <w:object>
          <v:shape id="_x0000_i1047" o:spt="75" type="#_x0000_t75" style="height:14.4pt;width:14.4pt;" o:ole="t" filled="f" o:preferrelative="t" stroked="f" coordsize="21600,21600">
            <v:path/>
            <v:fill on="f" focussize="0,0"/>
            <v:stroke on="f" joinstyle="miter"/>
            <v:imagedata r:id="rId90" o:title=""/>
            <o:lock v:ext="edit" aspectratio="t"/>
            <w10:wrap type="none"/>
            <w10:anchorlock/>
          </v:shape>
          <o:OLEObject Type="Embed" ProgID="Equation.DSMT4" ShapeID="_x0000_i1047" DrawAspect="Content" ObjectID="_1468075747" r:id="rId8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为水面高程，</w:t>
      </w:r>
      <w:r>
        <w:rPr>
          <w:rFonts w:hint="default" w:ascii="Times New Roman" w:hAnsi="Times New Roman" w:eastAsia="仿宋_GB2312" w:cs="Times New Roman"/>
          <w:bCs w:val="0"/>
          <w:snapToGrid/>
          <w:color w:val="auto"/>
          <w:kern w:val="2"/>
          <w:sz w:val="24"/>
          <w:szCs w:val="24"/>
          <w:lang w:val="en-US" w:eastAsia="zh-CN" w:bidi="ar-SA"/>
        </w:rPr>
        <w:object>
          <v:shape id="_x0000_i1048" o:spt="75" type="#_x0000_t75" style="height:14.4pt;width:14.4pt;" o:ole="t" filled="f" o:preferrelative="t" stroked="f" coordsize="21600,21600">
            <v:path/>
            <v:fill on="f" focussize="0,0"/>
            <v:stroke on="f" joinstyle="miter"/>
            <v:imagedata r:id="rId92" o:title=""/>
            <o:lock v:ext="edit" aspectratio="t"/>
            <w10:wrap type="none"/>
            <w10:anchorlock/>
          </v:shape>
          <o:OLEObject Type="Embed" ProgID="Equation.DSMT4" ShapeID="_x0000_i1048" DrawAspect="Content" ObjectID="_1468075748" r:id="rId9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为总水深，</w:t>
      </w:r>
      <w:r>
        <w:rPr>
          <w:rFonts w:hint="default" w:ascii="Times New Roman" w:hAnsi="Times New Roman" w:eastAsia="仿宋_GB2312" w:cs="Times New Roman"/>
          <w:bCs w:val="0"/>
          <w:snapToGrid/>
          <w:color w:val="auto"/>
          <w:kern w:val="2"/>
          <w:sz w:val="24"/>
          <w:szCs w:val="24"/>
          <w:lang w:val="en-US" w:eastAsia="zh-CN" w:bidi="ar-SA"/>
        </w:rPr>
        <w:object>
          <v:shape id="_x0000_i1049" o:spt="75" type="#_x0000_t75" style="height:14.4pt;width:14.4pt;" o:ole="t" filled="f" o:preferrelative="t" stroked="f" coordsize="21600,21600">
            <v:path/>
            <v:fill on="f" focussize="0,0"/>
            <v:stroke on="f" joinstyle="miter"/>
            <v:imagedata r:id="rId94" o:title=""/>
            <o:lock v:ext="edit" aspectratio="t"/>
            <w10:wrap type="none"/>
            <w10:anchorlock/>
          </v:shape>
          <o:OLEObject Type="Embed" ProgID="Equation.DSMT4" ShapeID="_x0000_i1049" DrawAspect="Content" ObjectID="_1468075749" r:id="rId9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为重力加速度，</w:t>
      </w:r>
      <w:r>
        <w:rPr>
          <w:rFonts w:hint="default" w:ascii="Times New Roman" w:hAnsi="Times New Roman" w:eastAsia="仿宋_GB2312" w:cs="Times New Roman"/>
          <w:bCs w:val="0"/>
          <w:snapToGrid/>
          <w:color w:val="auto"/>
          <w:kern w:val="2"/>
          <w:sz w:val="24"/>
          <w:szCs w:val="24"/>
          <w:lang w:val="en-US" w:eastAsia="zh-CN" w:bidi="ar-SA"/>
        </w:rPr>
        <w:object>
          <v:shape id="_x0000_i1050" o:spt="75" type="#_x0000_t75" style="height:14.4pt;width:14.4pt;" o:ole="t" filled="f" o:preferrelative="t" stroked="f" coordsize="21600,21600">
            <v:path/>
            <v:fill on="f" focussize="0,0"/>
            <v:stroke on="f" joinstyle="miter"/>
            <v:imagedata r:id="rId96" o:title=""/>
            <o:lock v:ext="edit" aspectratio="t"/>
            <w10:wrap type="none"/>
            <w10:anchorlock/>
          </v:shape>
          <o:OLEObject Type="Embed" ProgID="Equation.DSMT4" ShapeID="_x0000_i1050" DrawAspect="Content" ObjectID="_1468075750" r:id="rId9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为水的密度，</w:t>
      </w:r>
      <w:r>
        <w:rPr>
          <w:rFonts w:hint="default" w:ascii="Times New Roman" w:hAnsi="Times New Roman" w:eastAsia="仿宋_GB2312" w:cs="Times New Roman"/>
          <w:bCs w:val="0"/>
          <w:snapToGrid/>
          <w:color w:val="auto"/>
          <w:kern w:val="2"/>
          <w:sz w:val="24"/>
          <w:szCs w:val="24"/>
          <w:lang w:val="en-US" w:eastAsia="zh-CN" w:bidi="ar-SA"/>
        </w:rPr>
        <w:object>
          <v:shape id="_x0000_i1051" o:spt="75" type="#_x0000_t75" style="height:21.3pt;width:14.4pt;" o:ole="t" filled="f" o:preferrelative="t" stroked="f" coordsize="21600,21600">
            <v:path/>
            <v:fill on="f" focussize="0,0"/>
            <v:stroke on="f" joinstyle="miter"/>
            <v:imagedata r:id="rId98" o:title=""/>
            <o:lock v:ext="edit" aspectratio="t"/>
            <w10:wrap type="none"/>
            <w10:anchorlock/>
          </v:shape>
          <o:OLEObject Type="Embed" ProgID="Equation.DSMT4" ShapeID="_x0000_i1051" DrawAspect="Content" ObjectID="_1468075751" r:id="rId9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为（淡）水的参考密度。</w:t>
      </w:r>
      <w:r>
        <w:rPr>
          <w:rFonts w:hint="default" w:ascii="Times New Roman" w:hAnsi="Times New Roman" w:eastAsia="仿宋_GB2312" w:cs="Times New Roman"/>
          <w:bCs w:val="0"/>
          <w:snapToGrid/>
          <w:color w:val="auto"/>
          <w:kern w:val="2"/>
          <w:sz w:val="24"/>
          <w:szCs w:val="24"/>
          <w:lang w:val="en-US" w:eastAsia="zh-CN" w:bidi="ar-SA"/>
        </w:rPr>
        <w:object>
          <v:shape id="_x0000_i1052" o:spt="75" type="#_x0000_t75" style="height:14.4pt;width:64.5pt;" o:ole="t" filled="f" o:preferrelative="t" stroked="f" coordsize="21600,21600">
            <v:path/>
            <v:fill on="f" focussize="0,0"/>
            <v:stroke on="f" joinstyle="miter"/>
            <v:imagedata r:id="rId100" o:title=""/>
            <o:lock v:ext="edit" aspectratio="t"/>
            <w10:wrap type="none"/>
            <w10:anchorlock/>
          </v:shape>
          <o:OLEObject Type="Embed" ProgID="Equation.DSMT4" ShapeID="_x0000_i1052" DrawAspect="Content" ObjectID="_1468075752" r:id="rId9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为科氏力系数（</w:t>
      </w:r>
      <w:r>
        <w:rPr>
          <w:rFonts w:hint="default" w:ascii="Times New Roman" w:hAnsi="Times New Roman" w:eastAsia="仿宋_GB2312" w:cs="Times New Roman"/>
          <w:bCs w:val="0"/>
          <w:snapToGrid/>
          <w:color w:val="auto"/>
          <w:kern w:val="2"/>
          <w:sz w:val="24"/>
          <w:szCs w:val="24"/>
          <w:lang w:val="en-US" w:eastAsia="zh-CN" w:bidi="ar-SA"/>
        </w:rPr>
        <w:object>
          <v:shape id="_x0000_i1053" o:spt="75" type="#_x0000_t75" style="height:14.4pt;width:14.4pt;" o:ole="t" filled="f" o:preferrelative="t" stroked="f" coordsize="21600,21600">
            <v:path/>
            <v:fill on="f" focussize="0,0"/>
            <v:stroke on="f" joinstyle="miter"/>
            <v:imagedata r:id="rId102" o:title=""/>
            <o:lock v:ext="edit" aspectratio="t"/>
            <w10:wrap type="none"/>
            <w10:anchorlock/>
          </v:shape>
          <o:OLEObject Type="Embed" ProgID="Equation.DSMT4" ShapeID="_x0000_i1053" DrawAspect="Content" ObjectID="_1468075753" r:id="rId10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为旋转角速率，</w:t>
      </w:r>
      <w:r>
        <w:rPr>
          <w:rFonts w:hint="default" w:ascii="Times New Roman" w:hAnsi="Times New Roman" w:eastAsia="仿宋_GB2312" w:cs="Times New Roman"/>
          <w:bCs w:val="0"/>
          <w:snapToGrid/>
          <w:color w:val="auto"/>
          <w:kern w:val="2"/>
          <w:sz w:val="24"/>
          <w:szCs w:val="24"/>
          <w:lang w:val="en-US" w:eastAsia="zh-CN" w:bidi="ar-SA"/>
        </w:rPr>
        <w:object>
          <v:shape id="_x0000_i1054" o:spt="75" type="#_x0000_t75" style="height:14.4pt;width:14.4pt;" o:ole="t" filled="f" o:preferrelative="t" stroked="f" coordsize="21600,21600">
            <v:path/>
            <v:fill on="f" focussize="0,0"/>
            <v:stroke on="f" joinstyle="miter"/>
            <v:imagedata r:id="rId104" o:title=""/>
            <o:lock v:ext="edit" aspectratio="t"/>
            <w10:wrap type="none"/>
            <w10:anchorlock/>
          </v:shape>
          <o:OLEObject Type="Embed" ProgID="Equation.DSMT4" ShapeID="_x0000_i1054" DrawAspect="Content" ObjectID="_1468075754" r:id="rId10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地理纬度），</w:t>
      </w:r>
      <w:r>
        <w:rPr>
          <w:rFonts w:hint="default" w:ascii="Times New Roman" w:hAnsi="Times New Roman" w:eastAsia="仿宋_GB2312" w:cs="Times New Roman"/>
          <w:bCs w:val="0"/>
          <w:snapToGrid/>
          <w:color w:val="auto"/>
          <w:kern w:val="2"/>
          <w:sz w:val="24"/>
          <w:szCs w:val="24"/>
          <w:lang w:val="en-US" w:eastAsia="zh-CN" w:bidi="ar-SA"/>
        </w:rPr>
        <w:object>
          <v:shape id="_x0000_i1055" o:spt="75" type="#_x0000_t75" style="height:21.3pt;width:14.4pt;" o:ole="t" filled="f" o:preferrelative="t" stroked="f" coordsize="21600,21600">
            <v:path/>
            <v:fill on="f" focussize="0,0"/>
            <v:stroke on="f" joinstyle="miter"/>
            <v:imagedata r:id="rId106" o:title=""/>
            <o:lock v:ext="edit" aspectratio="t"/>
            <w10:wrap type="none"/>
            <w10:anchorlock/>
          </v:shape>
          <o:OLEObject Type="Embed" ProgID="Equation.DSMT4" ShapeID="_x0000_i1055" DrawAspect="Content" ObjectID="_1468075755" r:id="rId10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为大气压强，</w:t>
      </w:r>
      <w:r>
        <w:rPr>
          <w:rFonts w:hint="default" w:ascii="Times New Roman" w:hAnsi="Times New Roman" w:eastAsia="仿宋_GB2312" w:cs="Times New Roman"/>
          <w:bCs w:val="0"/>
          <w:snapToGrid/>
          <w:color w:val="auto"/>
          <w:kern w:val="2"/>
          <w:sz w:val="24"/>
          <w:szCs w:val="24"/>
          <w:lang w:val="en-US" w:eastAsia="zh-CN" w:bidi="ar-SA"/>
        </w:rPr>
        <w:object>
          <v:shape id="_x0000_i1056" o:spt="75" type="#_x0000_t75" style="height:14.4pt;width:14.4pt;" o:ole="t" filled="f" o:preferrelative="t" stroked="f" coordsize="21600,21600">
            <v:path/>
            <v:fill on="f" focussize="0,0"/>
            <v:stroke on="f" joinstyle="miter"/>
            <v:imagedata r:id="rId108" o:title=""/>
            <o:lock v:ext="edit" aspectratio="t"/>
            <w10:wrap type="none"/>
            <w10:anchorlock/>
          </v:shape>
          <o:OLEObject Type="Embed" ProgID="Equation.DSMT4" ShapeID="_x0000_i1056" DrawAspect="Content" ObjectID="_1468075756" r:id="rId10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为辐射应力张量。</w:t>
      </w:r>
      <w:r>
        <w:rPr>
          <w:rFonts w:hint="default" w:ascii="Times New Roman" w:hAnsi="Times New Roman" w:eastAsia="仿宋_GB2312" w:cs="Times New Roman"/>
          <w:bCs w:val="0"/>
          <w:snapToGrid/>
          <w:color w:val="auto"/>
          <w:kern w:val="2"/>
          <w:sz w:val="24"/>
          <w:szCs w:val="24"/>
          <w:lang w:val="en-US" w:eastAsia="zh-CN" w:bidi="ar-SA"/>
        </w:rPr>
        <w:object>
          <v:shape id="_x0000_i1057" o:spt="75" type="#_x0000_t75" style="height:14.4pt;width:14.4pt;" o:ole="t" filled="f" o:preferrelative="t" stroked="f" coordsize="21600,21600">
            <v:path/>
            <v:fill on="f" focussize="0,0"/>
            <v:stroke on="f" joinstyle="miter"/>
            <v:imagedata r:id="rId110" o:title=""/>
            <o:lock v:ext="edit" aspectratio="t"/>
            <w10:wrap type="none"/>
            <w10:anchorlock/>
          </v:shape>
          <o:OLEObject Type="Embed" ProgID="Equation.DSMT4" ShapeID="_x0000_i1057" DrawAspect="Content" ObjectID="_1468075757" r:id="rId10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和</w:t>
      </w:r>
      <w:r>
        <w:rPr>
          <w:rFonts w:hint="default" w:ascii="Times New Roman" w:hAnsi="Times New Roman" w:eastAsia="仿宋_GB2312" w:cs="Times New Roman"/>
          <w:bCs w:val="0"/>
          <w:snapToGrid/>
          <w:color w:val="auto"/>
          <w:kern w:val="2"/>
          <w:sz w:val="24"/>
          <w:szCs w:val="24"/>
          <w:lang w:val="en-US" w:eastAsia="zh-CN" w:bidi="ar-SA"/>
        </w:rPr>
        <w:object>
          <v:shape id="_x0000_i1058" o:spt="75" type="#_x0000_t75" style="height:21.3pt;width:36.3pt;" o:ole="t" filled="f" o:preferrelative="t" stroked="f" coordsize="21600,21600">
            <v:path/>
            <v:fill on="f" focussize="0,0"/>
            <v:stroke on="f" joinstyle="miter"/>
            <v:imagedata r:id="rId112" o:title=""/>
            <o:lock v:ext="edit" aspectratio="t"/>
            <w10:wrap type="none"/>
            <w10:anchorlock/>
          </v:shape>
          <o:OLEObject Type="Embed" ProgID="Equation.DSMT4" ShapeID="_x0000_i1058" DrawAspect="Content" ObjectID="_1468075758" r:id="rId11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分别为点源的排放量和速度。</w:t>
      </w:r>
      <w:r>
        <w:rPr>
          <w:rFonts w:hint="default" w:ascii="Times New Roman" w:hAnsi="Times New Roman" w:eastAsia="仿宋_GB2312" w:cs="Times New Roman"/>
          <w:bCs w:val="0"/>
          <w:snapToGrid/>
          <w:color w:val="auto"/>
          <w:kern w:val="2"/>
          <w:sz w:val="24"/>
          <w:szCs w:val="24"/>
          <w:lang w:val="en-US" w:eastAsia="zh-CN" w:bidi="ar-SA"/>
        </w:rPr>
        <w:object>
          <v:shape id="_x0000_i1059" o:spt="75" type="#_x0000_t75" style="height:21.3pt;width:14.4pt;" o:ole="t" filled="f" o:preferrelative="t" stroked="f" coordsize="21600,21600">
            <v:path/>
            <v:fill on="f" focussize="0,0"/>
            <v:stroke on="f" joinstyle="miter"/>
            <v:imagedata r:id="rId114" o:title=""/>
            <o:lock v:ext="edit" aspectratio="t"/>
            <w10:wrap type="none"/>
            <w10:anchorlock/>
          </v:shape>
          <o:OLEObject Type="Embed" ProgID="Equation.DSMT4" ShapeID="_x0000_i1059" DrawAspect="Content" ObjectID="_1468075759" r:id="rId11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和</w:t>
      </w:r>
      <w:r>
        <w:rPr>
          <w:rFonts w:hint="default" w:ascii="Times New Roman" w:hAnsi="Times New Roman" w:eastAsia="仿宋_GB2312" w:cs="Times New Roman"/>
          <w:bCs w:val="0"/>
          <w:snapToGrid/>
          <w:color w:val="auto"/>
          <w:kern w:val="2"/>
          <w:sz w:val="24"/>
          <w:szCs w:val="24"/>
          <w:lang w:val="en-US" w:eastAsia="zh-CN" w:bidi="ar-SA"/>
        </w:rPr>
        <w:object>
          <v:shape id="_x0000_i1060" o:spt="75" type="#_x0000_t75" style="height:21.3pt;width:7.5pt;" o:ole="t" filled="f" o:preferrelative="t" stroked="f" coordsize="21600,21600">
            <v:path/>
            <v:fill on="f" focussize="0,0"/>
            <v:stroke on="f" joinstyle="miter"/>
            <v:imagedata r:id="rId116" o:title=""/>
            <o:lock v:ext="edit" aspectratio="t"/>
            <w10:wrap type="none"/>
            <w10:anchorlock/>
          </v:shape>
          <o:OLEObject Type="Embed" ProgID="Equation.DSMT4" ShapeID="_x0000_i1060" DrawAspect="Content" ObjectID="_1468075760" r:id="rId11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为流速在深度上的平均值，定义为：</w:t>
      </w:r>
    </w:p>
    <w:bookmarkEnd w:id="391"/>
    <w:p>
      <w:pPr>
        <w:adjustRightInd w:val="0"/>
        <w:snapToGrid w:val="0"/>
        <w:spacing w:line="360" w:lineRule="auto"/>
        <w:ind w:firstLine="360"/>
        <w:jc w:val="center"/>
        <w:rPr>
          <w:color w:val="auto"/>
          <w:kern w:val="0"/>
          <w:sz w:val="24"/>
        </w:rPr>
      </w:pPr>
      <w:r>
        <w:rPr>
          <w:color w:val="auto"/>
          <w:kern w:val="0"/>
          <w:sz w:val="24"/>
        </w:rPr>
        <w:object>
          <v:shape id="_x0000_i1061" o:spt="75" type="#_x0000_t75" style="height:28.2pt;width:57.6pt;" o:ole="t" filled="f" o:preferrelative="t" stroked="f" coordsize="21600,21600">
            <v:path/>
            <v:fill on="f" focussize="0,0"/>
            <v:stroke on="f" joinstyle="miter"/>
            <v:imagedata r:id="rId118" o:title=""/>
            <o:lock v:ext="edit" aspectratio="t"/>
            <w10:wrap type="none"/>
            <w10:anchorlock/>
          </v:shape>
          <o:OLEObject Type="Embed" ProgID="Equation.DSMT4" ShapeID="_x0000_i1061" DrawAspect="Content" ObjectID="_1468075761" r:id="rId117">
            <o:LockedField>false</o:LockedField>
          </o:OLEObject>
        </w:object>
      </w:r>
      <w:r>
        <w:rPr>
          <w:color w:val="auto"/>
          <w:kern w:val="0"/>
          <w:sz w:val="24"/>
        </w:rPr>
        <w:object>
          <v:shape id="_x0000_i1062" o:spt="75" type="#_x0000_t75" style="height:28.2pt;width:50.7pt;" o:ole="t" filled="f" o:preferrelative="t" stroked="f" coordsize="21600,21600">
            <v:path/>
            <v:fill on="f" focussize="0,0"/>
            <v:stroke on="f" joinstyle="miter"/>
            <v:imagedata r:id="rId120" o:title=""/>
            <o:lock v:ext="edit" aspectratio="t"/>
            <w10:wrap type="none"/>
            <w10:anchorlock/>
          </v:shape>
          <o:OLEObject Type="Embed" ProgID="Equation.DSMT4" ShapeID="_x0000_i1062" DrawAspect="Content" ObjectID="_1468075762" r:id="rId119">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63" o:spt="75" type="#_x0000_t75" style="height:14.4pt;width:43.8pt;" o:ole="t" filled="f" o:preferrelative="t" stroked="f" coordsize="21600,21600">
            <v:path/>
            <v:fill on="f" focussize="0,0"/>
            <v:stroke on="f" joinstyle="miter"/>
            <v:imagedata r:id="rId122" o:title=""/>
            <o:lock v:ext="edit" aspectratio="t"/>
            <w10:wrap type="none"/>
            <w10:anchorlock/>
          </v:shape>
          <o:OLEObject Type="Embed" ProgID="Equation.DSMT4" ShapeID="_x0000_i1063" DrawAspect="Content" ObjectID="_1468075763" r:id="rId12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和</w:t>
      </w:r>
      <w:r>
        <w:rPr>
          <w:rFonts w:hint="default" w:ascii="Times New Roman" w:hAnsi="Times New Roman" w:eastAsia="仿宋_GB2312" w:cs="Times New Roman"/>
          <w:bCs w:val="0"/>
          <w:snapToGrid/>
          <w:color w:val="auto"/>
          <w:kern w:val="2"/>
          <w:sz w:val="24"/>
          <w:szCs w:val="24"/>
          <w:lang w:val="en-US" w:eastAsia="zh-CN" w:bidi="ar-SA"/>
        </w:rPr>
        <w:object>
          <v:shape id="_x0000_i1064" o:spt="75" type="#_x0000_t75" style="height:14.4pt;width:43.8pt;" o:ole="t" filled="f" o:preferrelative="t" stroked="f" coordsize="21600,21600">
            <v:path/>
            <v:fill on="f" focussize="0,0"/>
            <v:stroke on="f" joinstyle="miter"/>
            <v:imagedata r:id="rId124" o:title=""/>
            <o:lock v:ext="edit" aspectratio="t"/>
            <w10:wrap type="none"/>
            <w10:anchorlock/>
          </v:shape>
          <o:OLEObject Type="Embed" ProgID="Equation.DSMT4" ShapeID="_x0000_i1064" DrawAspect="Content" ObjectID="_1468075764" r:id="rId12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为水面风应力张量和河床面应力张量。</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河床面应力</w:t>
      </w:r>
      <w:r>
        <w:rPr>
          <w:rFonts w:hint="default" w:ascii="Times New Roman" w:hAnsi="Times New Roman" w:eastAsia="仿宋_GB2312" w:cs="Times New Roman"/>
          <w:bCs w:val="0"/>
          <w:snapToGrid/>
          <w:color w:val="auto"/>
          <w:kern w:val="2"/>
          <w:sz w:val="24"/>
          <w:szCs w:val="24"/>
          <w:lang w:val="en-US" w:eastAsia="zh-CN" w:bidi="ar-SA"/>
        </w:rPr>
        <w:object>
          <v:shape id="_x0000_i1065" o:spt="75" type="#_x0000_t75" style="height:21.3pt;width:64.5pt;" o:ole="t" filled="f" o:preferrelative="t" stroked="f" coordsize="21600,21600">
            <v:path/>
            <v:fill on="f" focussize="0,0"/>
            <v:stroke on="f" joinstyle="miter"/>
            <v:imagedata r:id="rId126" o:title=""/>
            <o:lock v:ext="edit" aspectratio="t"/>
            <w10:wrap type="none"/>
            <w10:anchorlock/>
          </v:shape>
          <o:OLEObject Type="Embed" ProgID="Equation.DSMT4" ShapeID="_x0000_i1065" DrawAspect="Content" ObjectID="_1468075765" r:id="rId12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可用阻力平方定律确定：</w:t>
      </w:r>
    </w:p>
    <w:p>
      <w:pPr>
        <w:adjustRightInd w:val="0"/>
        <w:snapToGrid w:val="0"/>
        <w:spacing w:line="360" w:lineRule="auto"/>
        <w:ind w:firstLine="360"/>
        <w:jc w:val="center"/>
        <w:rPr>
          <w:color w:val="auto"/>
          <w:kern w:val="0"/>
          <w:sz w:val="24"/>
        </w:rPr>
      </w:pPr>
      <w:r>
        <w:rPr>
          <w:color w:val="auto"/>
          <w:kern w:val="0"/>
          <w:sz w:val="24"/>
        </w:rPr>
        <w:object>
          <v:shape id="_x0000_i1066" o:spt="75" type="#_x0000_t75" style="height:36.3pt;width:64.5pt;" o:ole="t" filled="f" o:preferrelative="t" stroked="f" coordsize="21600,21600">
            <v:path/>
            <v:fill on="f" focussize="0,0"/>
            <v:stroke on="f" joinstyle="miter"/>
            <v:imagedata r:id="rId128" o:title=""/>
            <o:lock v:ext="edit" aspectratio="t"/>
            <w10:wrap type="none"/>
            <w10:anchorlock/>
          </v:shape>
          <o:OLEObject Type="Embed" ProgID="Equation.DSMT4" ShapeID="_x0000_i1066" DrawAspect="Content" ObjectID="_1468075766" r:id="rId127">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67" o:spt="75" type="#_x0000_t75" style="height:14.4pt;width:14.4pt;" o:ole="t" filled="f" o:preferrelative="t" stroked="f" coordsize="21600,21600">
            <v:path/>
            <v:fill on="f" focussize="0,0"/>
            <v:stroke on="f" joinstyle="miter"/>
            <v:imagedata r:id="rId130" o:title=""/>
            <o:lock v:ext="edit" aspectratio="t"/>
            <w10:wrap type="none"/>
            <w10:anchorlock/>
          </v:shape>
          <o:OLEObject Type="Embed" ProgID="Equation.DSMT4" ShapeID="_x0000_i1067" DrawAspect="Content" ObjectID="_1468075767" r:id="rId12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为阻力系数或河床摩擦力，</w:t>
      </w:r>
      <w:r>
        <w:rPr>
          <w:rFonts w:hint="default" w:ascii="Times New Roman" w:hAnsi="Times New Roman" w:eastAsia="仿宋_GB2312" w:cs="Times New Roman"/>
          <w:bCs w:val="0"/>
          <w:snapToGrid/>
          <w:color w:val="auto"/>
          <w:kern w:val="2"/>
          <w:sz w:val="24"/>
          <w:szCs w:val="24"/>
          <w:lang w:val="en-US" w:eastAsia="zh-CN" w:bidi="ar-SA"/>
        </w:rPr>
        <w:object>
          <v:shape id="_x0000_i1068" o:spt="75" type="#_x0000_t75" style="height:21.3pt;width:57.6pt;" o:ole="t" filled="f" o:preferrelative="t" stroked="f" coordsize="21600,21600">
            <v:path/>
            <v:fill on="f" focussize="0,0"/>
            <v:stroke on="f" joinstyle="miter"/>
            <v:imagedata r:id="rId132" o:title=""/>
            <o:lock v:ext="edit" aspectratio="t"/>
            <w10:wrap type="none"/>
            <w10:anchorlock/>
          </v:shape>
          <o:OLEObject Type="Embed" ProgID="Equation.DSMT4" ShapeID="_x0000_i1068" DrawAspect="Content" ObjectID="_1468075768" r:id="rId13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为河床面上的水深平均流速，河床面的摩阻流速为</w:t>
      </w:r>
      <w:r>
        <w:rPr>
          <w:rFonts w:hint="default" w:ascii="Times New Roman" w:hAnsi="Times New Roman" w:eastAsia="仿宋_GB2312" w:cs="Times New Roman"/>
          <w:bCs w:val="0"/>
          <w:snapToGrid/>
          <w:color w:val="auto"/>
          <w:kern w:val="2"/>
          <w:sz w:val="24"/>
          <w:szCs w:val="24"/>
          <w:lang w:val="en-US" w:eastAsia="zh-CN" w:bidi="ar-SA"/>
        </w:rPr>
        <w:object>
          <v:shape id="_x0000_i1069" o:spt="75" type="#_x0000_t75" style="height:28.2pt;width:79.5pt;" o:ole="t" filled="f" o:preferrelative="t" stroked="f" coordsize="21600,21600">
            <v:path/>
            <v:fill on="f" focussize="0,0"/>
            <v:stroke on="f" joinstyle="miter"/>
            <v:imagedata r:id="rId134" o:title=""/>
            <o:lock v:ext="edit" aspectratio="t"/>
            <w10:wrap type="none"/>
            <w10:anchorlock/>
          </v:shape>
          <o:OLEObject Type="Embed" ProgID="Equation.DSMT4" ShapeID="_x0000_i1069" DrawAspect="Content" ObjectID="_1468075769" r:id="rId13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。河床摩擦力可用谢才系数</w:t>
      </w:r>
      <w:r>
        <w:rPr>
          <w:rFonts w:hint="default" w:ascii="Times New Roman" w:hAnsi="Times New Roman" w:eastAsia="仿宋_GB2312" w:cs="Times New Roman"/>
          <w:bCs w:val="0"/>
          <w:snapToGrid/>
          <w:color w:val="auto"/>
          <w:kern w:val="2"/>
          <w:sz w:val="24"/>
          <w:szCs w:val="24"/>
          <w:lang w:val="en-US" w:eastAsia="zh-CN" w:bidi="ar-SA"/>
        </w:rPr>
        <w:object>
          <v:shape id="_x0000_i1070" o:spt="75" type="#_x0000_t75" style="height:14.4pt;width:14.4pt;" o:ole="t" filled="f" o:preferrelative="t" stroked="f" coordsize="21600,21600">
            <v:path/>
            <v:fill on="f" focussize="0,0"/>
            <v:stroke on="f" joinstyle="miter"/>
            <v:imagedata r:id="rId136" o:title=""/>
            <o:lock v:ext="edit" aspectratio="t"/>
            <w10:wrap type="none"/>
            <w10:anchorlock/>
          </v:shape>
          <o:OLEObject Type="Embed" ProgID="Equation.DSMT4" ShapeID="_x0000_i1070" DrawAspect="Content" ObjectID="_1468075770" r:id="rId13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（Chezy number）或曼宁系数</w:t>
      </w:r>
      <w:r>
        <w:rPr>
          <w:rFonts w:hint="default" w:ascii="Times New Roman" w:hAnsi="Times New Roman" w:eastAsia="仿宋_GB2312" w:cs="Times New Roman"/>
          <w:bCs w:val="0"/>
          <w:snapToGrid/>
          <w:color w:val="auto"/>
          <w:kern w:val="2"/>
          <w:sz w:val="24"/>
          <w:szCs w:val="24"/>
          <w:lang w:val="en-US" w:eastAsia="zh-CN" w:bidi="ar-SA"/>
        </w:rPr>
        <w:object>
          <v:shape id="_x0000_i1071" o:spt="75" type="#_x0000_t75" style="height:14.4pt;width:14.4pt;" o:ole="t" filled="f" o:preferrelative="t" stroked="f" coordsize="21600,21600">
            <v:path/>
            <v:fill on="f" focussize="0,0"/>
            <v:stroke on="f" joinstyle="miter"/>
            <v:imagedata r:id="rId138" o:title=""/>
            <o:lock v:ext="edit" aspectratio="t"/>
            <w10:wrap type="none"/>
            <w10:anchorlock/>
          </v:shape>
          <o:OLEObject Type="Embed" ProgID="Equation.DSMT4" ShapeID="_x0000_i1071" DrawAspect="Content" ObjectID="_1468075771" r:id="rId13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（Manning number）来估算：</w:t>
      </w:r>
    </w:p>
    <w:p>
      <w:pPr>
        <w:adjustRightInd w:val="0"/>
        <w:snapToGrid w:val="0"/>
        <w:spacing w:line="360" w:lineRule="auto"/>
        <w:ind w:firstLine="360"/>
        <w:jc w:val="center"/>
        <w:rPr>
          <w:color w:val="auto"/>
          <w:kern w:val="0"/>
          <w:sz w:val="24"/>
        </w:rPr>
      </w:pPr>
      <w:r>
        <w:rPr>
          <w:color w:val="auto"/>
          <w:kern w:val="0"/>
          <w:position w:val="-24"/>
          <w:sz w:val="24"/>
        </w:rPr>
        <w:object>
          <v:shape id="_x0000_i1072" o:spt="75" type="#_x0000_t75" style="height:28.2pt;width:43.8pt;" o:ole="t" filled="f" o:preferrelative="t" stroked="f" coordsize="21600,21600">
            <v:path/>
            <v:fill on="f" focussize="0,0"/>
            <v:stroke on="f" joinstyle="miter"/>
            <v:imagedata r:id="rId140" o:title=""/>
            <o:lock v:ext="edit" aspectratio="t"/>
            <w10:wrap type="none"/>
            <w10:anchorlock/>
          </v:shape>
          <o:OLEObject Type="Embed" ProgID="Equation.DSMT4" ShapeID="_x0000_i1072" DrawAspect="Content" ObjectID="_1468075772" r:id="rId139">
            <o:LockedField>false</o:LockedField>
          </o:OLEObject>
        </w:object>
      </w:r>
      <w:r>
        <w:rPr>
          <w:color w:val="auto"/>
          <w:kern w:val="0"/>
          <w:sz w:val="24"/>
        </w:rPr>
        <w:t>，</w:t>
      </w:r>
      <w:r>
        <w:rPr>
          <w:color w:val="auto"/>
          <w:kern w:val="0"/>
          <w:position w:val="-36"/>
          <w:sz w:val="24"/>
        </w:rPr>
        <w:object>
          <v:shape id="_x0000_i1073" o:spt="75" type="#_x0000_t75" style="height:36.3pt;width:64.5pt;" o:ole="t" filled="f" o:preferrelative="t" stroked="f" coordsize="21600,21600">
            <v:path/>
            <v:fill on="f" focussize="0,0"/>
            <v:stroke on="f" joinstyle="miter"/>
            <v:imagedata r:id="rId142" o:title=""/>
            <o:lock v:ext="edit" aspectratio="t"/>
            <w10:wrap type="none"/>
            <w10:anchorlock/>
          </v:shape>
          <o:OLEObject Type="Embed" ProgID="Equation.DSMT4" ShapeID="_x0000_i1073" DrawAspect="Content" ObjectID="_1468075773" r:id="rId141">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谢才系数的单位是</w:t>
      </w:r>
      <w:r>
        <w:rPr>
          <w:rFonts w:hint="default" w:ascii="Times New Roman" w:hAnsi="Times New Roman" w:eastAsia="仿宋_GB2312" w:cs="Times New Roman"/>
          <w:bCs w:val="0"/>
          <w:snapToGrid/>
          <w:color w:val="auto"/>
          <w:kern w:val="2"/>
          <w:sz w:val="24"/>
          <w:szCs w:val="24"/>
          <w:lang w:val="en-US" w:eastAsia="zh-CN" w:bidi="ar-SA"/>
        </w:rPr>
        <w:object>
          <v:shape id="_x0000_i1074" o:spt="75" type="#_x0000_t75" style="height:14.4pt;width:28.2pt;" o:ole="t" filled="f" o:preferrelative="t" stroked="f" coordsize="21600,21600">
            <v:path/>
            <v:fill on="f" focussize="0,0"/>
            <v:stroke on="f" joinstyle="miter"/>
            <v:imagedata r:id="rId144" o:title=""/>
            <o:lock v:ext="edit" aspectratio="t"/>
            <w10:wrap type="none"/>
            <w10:anchorlock/>
          </v:shape>
          <o:OLEObject Type="Embed" ProgID="Equation.DSMT4" ShapeID="_x0000_i1074" DrawAspect="Content" ObjectID="_1468075774" r:id="rId14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，曼宁系数的单位是</w:t>
      </w:r>
      <w:r>
        <w:rPr>
          <w:rFonts w:hint="default" w:ascii="Times New Roman" w:hAnsi="Times New Roman" w:eastAsia="仿宋_GB2312" w:cs="Times New Roman"/>
          <w:bCs w:val="0"/>
          <w:snapToGrid/>
          <w:color w:val="auto"/>
          <w:kern w:val="2"/>
          <w:sz w:val="24"/>
          <w:szCs w:val="24"/>
          <w:lang w:val="en-US" w:eastAsia="zh-CN" w:bidi="ar-SA"/>
        </w:rPr>
        <w:object>
          <v:shape id="_x0000_i1075" o:spt="75" type="#_x0000_t75" style="height:14.4pt;width:28.2pt;" o:ole="t" filled="f" o:preferrelative="t" stroked="f" coordsize="21600,21600">
            <v:path/>
            <v:fill on="f" focussize="0,0"/>
            <v:stroke on="f" joinstyle="miter"/>
            <v:imagedata r:id="rId146" o:title=""/>
            <o:lock v:ext="edit" aspectratio="t"/>
            <w10:wrap type="none"/>
            <w10:anchorlock/>
          </v:shape>
          <o:OLEObject Type="Embed" ProgID="Equation.DSMT4" ShapeID="_x0000_i1075" DrawAspect="Content" ObjectID="_1468075775" r:id="rId14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。曼宁系数和河床粗糙高度</w:t>
      </w:r>
      <w:r>
        <w:rPr>
          <w:rFonts w:hint="default" w:ascii="Times New Roman" w:hAnsi="Times New Roman" w:eastAsia="仿宋_GB2312" w:cs="Times New Roman"/>
          <w:bCs w:val="0"/>
          <w:snapToGrid/>
          <w:color w:val="auto"/>
          <w:kern w:val="2"/>
          <w:sz w:val="24"/>
          <w:szCs w:val="24"/>
          <w:lang w:val="en-US" w:eastAsia="zh-CN" w:bidi="ar-SA"/>
        </w:rPr>
        <w:object>
          <v:shape id="_x0000_i1076" o:spt="75" type="#_x0000_t75" style="height:21.3pt;width:14.4pt;" o:ole="t" filled="f" o:preferrelative="t" stroked="f" coordsize="21600,21600">
            <v:path/>
            <v:fill on="f" focussize="0,0"/>
            <v:stroke on="f" joinstyle="miter"/>
            <v:imagedata r:id="rId148" o:title=""/>
            <o:lock v:ext="edit" aspectratio="t"/>
            <w10:wrap type="none"/>
            <w10:anchorlock/>
          </v:shape>
          <o:OLEObject Type="Embed" ProgID="Equation.DSMT4" ShapeID="_x0000_i1076" DrawAspect="Content" ObjectID="_1468075776" r:id="rId14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关系如下：</w:t>
      </w:r>
    </w:p>
    <w:p>
      <w:pPr>
        <w:adjustRightInd w:val="0"/>
        <w:snapToGrid w:val="0"/>
        <w:spacing w:line="360" w:lineRule="auto"/>
        <w:ind w:firstLine="360"/>
        <w:jc w:val="center"/>
        <w:rPr>
          <w:color w:val="auto"/>
          <w:kern w:val="0"/>
          <w:sz w:val="24"/>
        </w:rPr>
      </w:pPr>
      <w:r>
        <w:rPr>
          <w:color w:val="auto"/>
          <w:kern w:val="0"/>
          <w:sz w:val="24"/>
        </w:rPr>
        <w:object>
          <v:shape id="_x0000_i1077" o:spt="75" type="#_x0000_t75" style="height:36.3pt;width:50.7pt;" o:ole="t" filled="f" o:preferrelative="t" stroked="f" coordsize="21600,21600">
            <v:path/>
            <v:fill on="f" focussize="0,0"/>
            <v:stroke on="f" joinstyle="miter"/>
            <v:imagedata r:id="rId150" o:title=""/>
            <o:lock v:ext="edit" aspectratio="t"/>
            <w10:wrap type="none"/>
            <w10:anchorlock/>
          </v:shape>
          <o:OLEObject Type="Embed" ProgID="Equation.DSMT4" ShapeID="_x0000_i1077" DrawAspect="Content" ObjectID="_1468075777" r:id="rId149">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曼宁系数值一般介于20-40</w:t>
      </w:r>
      <w:r>
        <w:rPr>
          <w:rFonts w:hint="default" w:ascii="Times New Roman" w:hAnsi="Times New Roman" w:eastAsia="仿宋_GB2312" w:cs="Times New Roman"/>
          <w:bCs w:val="0"/>
          <w:snapToGrid/>
          <w:color w:val="auto"/>
          <w:kern w:val="2"/>
          <w:sz w:val="24"/>
          <w:szCs w:val="24"/>
          <w:lang w:val="en-US" w:eastAsia="zh-CN" w:bidi="ar-SA"/>
        </w:rPr>
        <w:object>
          <v:shape id="_x0000_i1078" o:spt="75" type="#_x0000_t75" style="height:14.4pt;width:28.2pt;" o:ole="t" filled="f" o:preferrelative="t" stroked="f" coordsize="21600,21600">
            <v:path/>
            <v:fill on="f" focussize="0,0"/>
            <v:stroke on="f" joinstyle="miter"/>
            <v:imagedata r:id="rId152" o:title=""/>
            <o:lock v:ext="edit" aspectratio="t"/>
            <w10:wrap type="none"/>
            <w10:anchorlock/>
          </v:shape>
          <o:OLEObject Type="Embed" ProgID="Equation.DSMT4" ShapeID="_x0000_i1078" DrawAspect="Content" ObjectID="_1468075778" r:id="rId15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79" o:spt="75" type="#_x0000_t75" style="height:14.4pt;width:43.8pt;" o:ole="t" filled="f" o:preferrelative="t" stroked="f" coordsize="21600,21600">
            <v:path/>
            <v:fill on="f" focussize="0,0"/>
            <v:stroke on="f" joinstyle="miter"/>
            <v:imagedata r:id="rId154" o:title=""/>
            <o:lock v:ext="edit" aspectratio="t"/>
            <w10:wrap type="none"/>
            <w10:anchorlock/>
          </v:shape>
          <o:OLEObject Type="Embed" ProgID="Equation.DSMT4" ShapeID="_x0000_i1079" DrawAspect="Content" ObjectID="_1468075779" r:id="rId15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为水面风应力张量，风应力</w:t>
      </w:r>
      <w:r>
        <w:rPr>
          <w:rFonts w:hint="default" w:ascii="Times New Roman" w:hAnsi="Times New Roman" w:eastAsia="仿宋_GB2312" w:cs="Times New Roman"/>
          <w:bCs w:val="0"/>
          <w:snapToGrid/>
          <w:color w:val="auto"/>
          <w:kern w:val="2"/>
          <w:sz w:val="24"/>
          <w:szCs w:val="24"/>
          <w:lang w:val="en-US" w:eastAsia="zh-CN" w:bidi="ar-SA"/>
        </w:rPr>
        <w:object>
          <v:shape id="_x0000_i1080" o:spt="75" type="#_x0000_t75" style="height:21.3pt;width:64.5pt;" o:ole="t" filled="f" o:preferrelative="t" stroked="f" coordsize="21600,21600">
            <v:path/>
            <v:fill on="f" focussize="0,0"/>
            <v:stroke on="f" joinstyle="miter"/>
            <v:imagedata r:id="rId156" o:title=""/>
            <o:lock v:ext="edit" aspectratio="t"/>
            <w10:wrap type="none"/>
            <w10:anchorlock/>
          </v:shape>
          <o:OLEObject Type="Embed" ProgID="Equation.DSMT4" ShapeID="_x0000_i1080" DrawAspect="Content" ObjectID="_1468075780" r:id="rId15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可通过下面的经验公式来获得：</w:t>
      </w:r>
    </w:p>
    <w:p>
      <w:pPr>
        <w:adjustRightInd w:val="0"/>
        <w:snapToGrid w:val="0"/>
        <w:spacing w:line="360" w:lineRule="auto"/>
        <w:ind w:firstLine="360"/>
        <w:jc w:val="center"/>
        <w:rPr>
          <w:color w:val="auto"/>
          <w:kern w:val="0"/>
          <w:sz w:val="24"/>
        </w:rPr>
      </w:pPr>
      <w:r>
        <w:rPr>
          <w:color w:val="auto"/>
          <w:kern w:val="0"/>
          <w:sz w:val="24"/>
        </w:rPr>
        <w:object>
          <v:shape id="_x0000_i1081" o:spt="75" type="#_x0000_t75" style="height:21.3pt;width:79.5pt;" o:ole="t" filled="f" o:preferrelative="t" stroked="f" coordsize="21600,21600">
            <v:path/>
            <v:fill on="f" focussize="0,0"/>
            <v:stroke on="f" joinstyle="miter"/>
            <v:imagedata r:id="rId158" o:title=""/>
            <o:lock v:ext="edit" aspectratio="t"/>
            <w10:wrap type="none"/>
            <w10:anchorlock/>
          </v:shape>
          <o:OLEObject Type="Embed" ProgID="Equation.DSMT4" ShapeID="_x0000_i1081" DrawAspect="Content" ObjectID="_1468075781" r:id="rId157">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式中</w:t>
      </w:r>
      <w:r>
        <w:rPr>
          <w:rFonts w:hint="default" w:ascii="Times New Roman" w:hAnsi="Times New Roman" w:eastAsia="仿宋_GB2312" w:cs="Times New Roman"/>
          <w:bCs w:val="0"/>
          <w:snapToGrid/>
          <w:color w:val="auto"/>
          <w:kern w:val="2"/>
          <w:sz w:val="24"/>
          <w:szCs w:val="24"/>
          <w:lang w:val="en-US" w:eastAsia="zh-CN" w:bidi="ar-SA"/>
        </w:rPr>
        <w:object>
          <v:shape id="_x0000_i1082" o:spt="75" type="#_x0000_t75" style="height:21.3pt;width:14.4pt;" o:ole="t" filled="f" o:preferrelative="t" stroked="f" coordsize="21600,21600">
            <v:path/>
            <v:fill on="f" focussize="0,0"/>
            <v:stroke on="f" joinstyle="miter"/>
            <v:imagedata r:id="rId160" o:title=""/>
            <o:lock v:ext="edit" aspectratio="t"/>
            <w10:wrap type="none"/>
            <w10:anchorlock/>
          </v:shape>
          <o:OLEObject Type="Embed" ProgID="Equation.DSMT4" ShapeID="_x0000_i1082" DrawAspect="Content" ObjectID="_1468075782" r:id="rId15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为空气密度，</w:t>
      </w:r>
      <w:r>
        <w:rPr>
          <w:rFonts w:hint="default" w:ascii="Times New Roman" w:hAnsi="Times New Roman" w:eastAsia="仿宋_GB2312" w:cs="Times New Roman"/>
          <w:bCs w:val="0"/>
          <w:snapToGrid/>
          <w:color w:val="auto"/>
          <w:kern w:val="2"/>
          <w:sz w:val="24"/>
          <w:szCs w:val="24"/>
          <w:lang w:val="en-US" w:eastAsia="zh-CN" w:bidi="ar-SA"/>
        </w:rPr>
        <w:object>
          <v:shape id="_x0000_i1083" o:spt="75" type="#_x0000_t75" style="height:21.3pt;width:14.4pt;" o:ole="t" filled="f" o:preferrelative="t" stroked="f" coordsize="21600,21600">
            <v:path/>
            <v:fill on="f" focussize="0,0"/>
            <v:stroke on="f" joinstyle="miter"/>
            <v:imagedata r:id="rId162" o:title=""/>
            <o:lock v:ext="edit" aspectratio="t"/>
            <w10:wrap type="none"/>
            <w10:anchorlock/>
          </v:shape>
          <o:OLEObject Type="Embed" ProgID="Equation.DSMT4" ShapeID="_x0000_i1083" DrawAspect="Content" ObjectID="_1468075783" r:id="rId16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为空气阻力系数，</w:t>
      </w:r>
      <w:r>
        <w:rPr>
          <w:rFonts w:hint="default" w:ascii="Times New Roman" w:hAnsi="Times New Roman" w:eastAsia="仿宋_GB2312" w:cs="Times New Roman"/>
          <w:bCs w:val="0"/>
          <w:snapToGrid/>
          <w:color w:val="auto"/>
          <w:kern w:val="2"/>
          <w:sz w:val="24"/>
          <w:szCs w:val="24"/>
          <w:lang w:val="en-US" w:eastAsia="zh-CN" w:bidi="ar-SA"/>
        </w:rPr>
        <w:object>
          <v:shape id="_x0000_i1084" o:spt="75" type="#_x0000_t75" style="height:21.3pt;width:64.5pt;" o:ole="t" filled="f" o:preferrelative="t" stroked="f" coordsize="21600,21600">
            <v:path/>
            <v:fill on="f" focussize="0,0"/>
            <v:stroke on="f" joinstyle="miter"/>
            <v:imagedata r:id="rId164" o:title=""/>
            <o:lock v:ext="edit" aspectratio="t"/>
            <w10:wrap type="none"/>
            <w10:anchorlock/>
          </v:shape>
          <o:OLEObject Type="Embed" ProgID="Equation.DSMT4" ShapeID="_x0000_i1084" DrawAspect="Content" ObjectID="_1468075784" r:id="rId16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水面以上10 m的风速。风应力产生的摩擦速率可表示为：</w:t>
      </w:r>
    </w:p>
    <w:p>
      <w:pPr>
        <w:adjustRightInd w:val="0"/>
        <w:snapToGrid w:val="0"/>
        <w:spacing w:line="360" w:lineRule="auto"/>
        <w:ind w:firstLine="360"/>
        <w:jc w:val="center"/>
        <w:rPr>
          <w:color w:val="auto"/>
          <w:kern w:val="0"/>
          <w:sz w:val="24"/>
        </w:rPr>
      </w:pPr>
      <w:r>
        <w:rPr>
          <w:color w:val="auto"/>
          <w:kern w:val="0"/>
          <w:sz w:val="24"/>
        </w:rPr>
        <w:object>
          <v:shape id="_x0000_i1085" o:spt="75" type="#_x0000_t75" style="height:43.8pt;width:93.3pt;" o:ole="t" filled="f" o:preferrelative="t" stroked="f" coordsize="21600,21600">
            <v:path/>
            <v:fill on="f" focussize="0,0"/>
            <v:stroke on="f" joinstyle="miter"/>
            <v:imagedata r:id="rId166" o:title=""/>
            <o:lock v:ext="edit" aspectratio="t"/>
            <w10:wrap type="none"/>
            <w10:anchorlock/>
          </v:shape>
          <o:OLEObject Type="Embed" ProgID="Equation.DSMT4" ShapeID="_x0000_i1085" DrawAspect="Content" ObjectID="_1468075785" r:id="rId165">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86" o:spt="75" type="#_x0000_t75" style="height:14.4pt;width:14.4pt;" o:ole="t" filled="f" o:preferrelative="t" stroked="f" coordsize="21600,21600">
            <v:path/>
            <v:fill on="f" focussize="0,0"/>
            <v:stroke on="f" joinstyle="miter"/>
            <v:imagedata r:id="rId168" o:title=""/>
            <o:lock v:ext="edit" aspectratio="t"/>
            <w10:wrap type="none"/>
            <w10:anchorlock/>
          </v:shape>
          <o:OLEObject Type="Embed" ProgID="Equation.DSMT4" ShapeID="_x0000_i1086" DrawAspect="Content" ObjectID="_1468075786" r:id="rId16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为侧向应力，包括粘性摩擦、湍流摩擦和差异对流，它们可基于水深平均流速梯度用涡粘性系数公式来估计：</w:t>
      </w:r>
    </w:p>
    <w:p>
      <w:pPr>
        <w:adjustRightInd w:val="0"/>
        <w:snapToGrid w:val="0"/>
        <w:spacing w:line="360" w:lineRule="auto"/>
        <w:ind w:firstLine="360"/>
        <w:jc w:val="center"/>
        <w:rPr>
          <w:color w:val="auto"/>
          <w:kern w:val="0"/>
          <w:sz w:val="24"/>
        </w:rPr>
      </w:pPr>
      <w:r>
        <w:rPr>
          <w:color w:val="auto"/>
          <w:kern w:val="0"/>
          <w:sz w:val="24"/>
        </w:rPr>
        <w:object>
          <v:shape id="_x0000_i1087" o:spt="75" type="#_x0000_t75" style="height:36.3pt;width:252.3pt;" o:ole="t" filled="f" o:preferrelative="t" stroked="f" coordsize="21600,21600">
            <v:path/>
            <v:fill on="f" focussize="0,0"/>
            <v:stroke on="f" joinstyle="miter"/>
            <v:imagedata r:id="rId170" o:title=""/>
            <o:lock v:ext="edit" aspectratio="t"/>
            <w10:wrap type="none"/>
            <w10:anchorlock/>
          </v:shape>
          <o:OLEObject Type="Embed" ProgID="Equation.DSMT4" ShapeID="_x0000_i1087" DrawAspect="Content" ObjectID="_1468075787" r:id="rId169">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式中，</w:t>
      </w:r>
      <w:r>
        <w:rPr>
          <w:rFonts w:hint="default" w:ascii="Times New Roman" w:hAnsi="Times New Roman" w:eastAsia="仿宋_GB2312" w:cs="Times New Roman"/>
          <w:bCs w:val="0"/>
          <w:snapToGrid/>
          <w:color w:val="auto"/>
          <w:kern w:val="2"/>
          <w:sz w:val="24"/>
          <w:szCs w:val="24"/>
          <w:lang w:val="en-US" w:eastAsia="zh-CN" w:bidi="ar-SA"/>
        </w:rPr>
        <w:object>
          <v:shape id="_x0000_i1088" o:spt="75" type="#_x0000_t75" style="height:14.4pt;width:14.4pt;" o:ole="t" filled="f" o:preferrelative="t" stroked="f" coordsize="21600,21600">
            <v:path/>
            <v:fill on="f" focussize="0,0"/>
            <v:stroke on="f" joinstyle="miter"/>
            <v:imagedata r:id="rId172" o:title=""/>
            <o:lock v:ext="edit" aspectratio="t"/>
            <w10:wrap type="none"/>
            <w10:anchorlock/>
          </v:shape>
          <o:OLEObject Type="Embed" ProgID="Equation.DSMT4" ShapeID="_x0000_i1088" DrawAspect="Content" ObjectID="_1468075788" r:id="rId17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为水平涡粘性系数。</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根据Kolmogrov和Prandtle理论，紊动涡粘性系数</w:t>
      </w:r>
      <w:r>
        <w:rPr>
          <w:rFonts w:hint="default" w:ascii="Times New Roman" w:hAnsi="Times New Roman" w:eastAsia="仿宋_GB2312" w:cs="Times New Roman"/>
          <w:bCs w:val="0"/>
          <w:snapToGrid/>
          <w:color w:val="auto"/>
          <w:kern w:val="2"/>
          <w:sz w:val="24"/>
          <w:szCs w:val="24"/>
          <w:lang w:val="en-US" w:eastAsia="zh-CN" w:bidi="ar-SA"/>
        </w:rPr>
        <w:object>
          <v:shape id="_x0000_i1089" o:spt="75" type="#_x0000_t75" style="height:21.3pt;width:14.4pt;" o:ole="t" filled="f" o:preferrelative="t" stroked="f" coordsize="21600,21600">
            <v:path/>
            <v:fill on="f" focussize="0,0"/>
            <v:stroke on="f" joinstyle="miter"/>
            <v:imagedata r:id="rId174" o:title=""/>
            <o:lock v:ext="edit" aspectratio="t"/>
            <w10:wrap type="none"/>
            <w10:anchorlock/>
          </v:shape>
          <o:OLEObject Type="Embed" ProgID="Equation.DSMT4" ShapeID="_x0000_i1089" DrawAspect="Content" ObjectID="_1468075789" r:id="rId17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正比于紊流动能</w:t>
      </w:r>
      <w:r>
        <w:rPr>
          <w:rFonts w:hint="default" w:ascii="Times New Roman" w:hAnsi="Times New Roman" w:eastAsia="仿宋_GB2312" w:cs="Times New Roman"/>
          <w:bCs w:val="0"/>
          <w:snapToGrid/>
          <w:color w:val="auto"/>
          <w:kern w:val="2"/>
          <w:sz w:val="24"/>
          <w:szCs w:val="24"/>
          <w:lang w:val="en-US" w:eastAsia="zh-CN" w:bidi="ar-SA"/>
        </w:rPr>
        <w:object>
          <v:shape id="_x0000_i1090" o:spt="75" type="#_x0000_t75" style="height:14.4pt;width:14.4pt;" o:ole="t" filled="f" o:preferrelative="t" stroked="f" coordsize="21600,21600">
            <v:path/>
            <v:fill on="f" focussize="0,0"/>
            <v:stroke on="f" joinstyle="miter"/>
            <v:imagedata r:id="rId176" o:title=""/>
            <o:lock v:ext="edit" aspectratio="t"/>
            <w10:wrap type="none"/>
            <w10:anchorlock/>
          </v:shape>
          <o:OLEObject Type="Embed" ProgID="Equation.DSMT4" ShapeID="_x0000_i1090" DrawAspect="Content" ObjectID="_1468075790" r:id="rId17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的开方及特征涡粘尺度</w:t>
      </w:r>
      <w:r>
        <w:rPr>
          <w:rFonts w:hint="default" w:ascii="Times New Roman" w:hAnsi="Times New Roman" w:eastAsia="仿宋_GB2312" w:cs="Times New Roman"/>
          <w:bCs w:val="0"/>
          <w:snapToGrid/>
          <w:color w:val="auto"/>
          <w:kern w:val="2"/>
          <w:sz w:val="24"/>
          <w:szCs w:val="24"/>
          <w:lang w:val="en-US" w:eastAsia="zh-CN" w:bidi="ar-SA"/>
        </w:rPr>
        <w:object>
          <v:shape id="_x0000_i1091" o:spt="75" type="#_x0000_t75" style="height:14.4pt;width:7.5pt;" o:ole="t" filled="f" o:preferrelative="t" stroked="f" coordsize="21600,21600">
            <v:path/>
            <v:fill on="f" focussize="0,0"/>
            <v:stroke on="f" joinstyle="miter"/>
            <v:imagedata r:id="rId178" o:title=""/>
            <o:lock v:ext="edit" aspectratio="t"/>
            <w10:wrap type="none"/>
            <w10:anchorlock/>
          </v:shape>
          <o:OLEObject Type="Embed" ProgID="Equation.DSMT4" ShapeID="_x0000_i1091" DrawAspect="Content" ObjectID="_1468075791" r:id="rId17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。如果取耗散尺度为</w:t>
      </w:r>
      <w:r>
        <w:rPr>
          <w:rFonts w:hint="default" w:ascii="Times New Roman" w:hAnsi="Times New Roman" w:eastAsia="仿宋_GB2312" w:cs="Times New Roman"/>
          <w:bCs w:val="0"/>
          <w:snapToGrid/>
          <w:color w:val="auto"/>
          <w:kern w:val="2"/>
          <w:sz w:val="24"/>
          <w:szCs w:val="24"/>
          <w:lang w:val="en-US" w:eastAsia="zh-CN" w:bidi="ar-SA"/>
        </w:rPr>
        <w:object>
          <v:shape id="_x0000_i1092" o:spt="75" type="#_x0000_t75" style="height:14.4pt;width:7.5pt;" o:ole="t" filled="f" o:preferrelative="t" stroked="f" coordsize="21600,21600">
            <v:path/>
            <v:fill on="f" focussize="0,0"/>
            <v:stroke on="f" joinstyle="miter"/>
            <v:imagedata r:id="rId180" o:title=""/>
            <o:lock v:ext="edit" aspectratio="t"/>
            <w10:wrap type="none"/>
            <w10:anchorlock/>
          </v:shape>
          <o:OLEObject Type="Embed" ProgID="Equation.DSMT4" ShapeID="_x0000_i1092" DrawAspect="Content" ObjectID="_1468075792" r:id="rId17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（耗散率</w:t>
      </w:r>
      <w:r>
        <w:rPr>
          <w:rFonts w:hint="default" w:ascii="Times New Roman" w:hAnsi="Times New Roman" w:eastAsia="仿宋_GB2312" w:cs="Times New Roman"/>
          <w:bCs w:val="0"/>
          <w:snapToGrid/>
          <w:color w:val="auto"/>
          <w:kern w:val="2"/>
          <w:sz w:val="24"/>
          <w:szCs w:val="24"/>
          <w:lang w:val="en-US" w:eastAsia="zh-CN" w:bidi="ar-SA"/>
        </w:rPr>
        <w:object>
          <v:shape id="_x0000_i1093" o:spt="75" type="#_x0000_t75" style="height:14.4pt;width:50.7pt;" o:ole="t" filled="f" o:preferrelative="t" stroked="f" coordsize="21600,21600">
            <v:path/>
            <v:fill on="f" focussize="0,0"/>
            <v:stroke on="f" joinstyle="miter"/>
            <v:imagedata r:id="rId182" o:title=""/>
            <o:lock v:ext="edit" aspectratio="t"/>
            <w10:wrap type="none"/>
            <w10:anchorlock/>
          </v:shape>
          <o:OLEObject Type="Embed" ProgID="Equation.DSMT4" ShapeID="_x0000_i1093" DrawAspect="Content" ObjectID="_1468075793" r:id="rId181">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），则可以得到以</w:t>
      </w:r>
      <w:r>
        <w:rPr>
          <w:rFonts w:hint="default" w:ascii="Times New Roman" w:hAnsi="Times New Roman" w:eastAsia="仿宋_GB2312" w:cs="Times New Roman"/>
          <w:bCs w:val="0"/>
          <w:snapToGrid/>
          <w:color w:val="auto"/>
          <w:kern w:val="2"/>
          <w:sz w:val="24"/>
          <w:szCs w:val="24"/>
          <w:lang w:val="en-US" w:eastAsia="zh-CN" w:bidi="ar-SA"/>
        </w:rPr>
        <w:object>
          <v:shape id="_x0000_i1094" o:spt="75" type="#_x0000_t75" style="height:14.4pt;width:14.4pt;" o:ole="t" filled="f" o:preferrelative="t" stroked="f" coordsize="21600,21600">
            <v:path/>
            <v:fill on="f" focussize="0,0"/>
            <v:stroke on="f" joinstyle="miter"/>
            <v:imagedata r:id="rId184" o:title=""/>
            <o:lock v:ext="edit" aspectratio="t"/>
            <w10:wrap type="none"/>
            <w10:anchorlock/>
          </v:shape>
          <o:OLEObject Type="Embed" ProgID="Equation.DSMT4" ShapeID="_x0000_i1094" DrawAspect="Content" ObjectID="_1468075794" r:id="rId18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和</w:t>
      </w:r>
      <w:r>
        <w:rPr>
          <w:rFonts w:hint="default" w:ascii="Times New Roman" w:hAnsi="Times New Roman" w:eastAsia="仿宋_GB2312" w:cs="Times New Roman"/>
          <w:bCs w:val="0"/>
          <w:snapToGrid/>
          <w:color w:val="auto"/>
          <w:kern w:val="2"/>
          <w:sz w:val="24"/>
          <w:szCs w:val="24"/>
          <w:lang w:val="en-US" w:eastAsia="zh-CN" w:bidi="ar-SA"/>
        </w:rPr>
        <w:object>
          <v:shape id="_x0000_i1095" o:spt="75" type="#_x0000_t75" style="height:14.4pt;width:14.4pt;" o:ole="t" filled="f" o:preferrelative="t" stroked="f" coordsize="21600,21600">
            <v:path/>
            <v:fill on="f" focussize="0,0"/>
            <v:stroke on="f" joinstyle="miter"/>
            <v:imagedata r:id="rId186" o:title=""/>
            <o:lock v:ext="edit" aspectratio="t"/>
            <w10:wrap type="none"/>
            <w10:anchorlock/>
          </v:shape>
          <o:OLEObject Type="Embed" ProgID="Equation.DSMT4" ShapeID="_x0000_i1095" DrawAspect="Content" ObjectID="_1468075795" r:id="rId18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表示的涡粘性系数表达式：</w:t>
      </w:r>
    </w:p>
    <w:p>
      <w:pPr>
        <w:adjustRightInd w:val="0"/>
        <w:snapToGrid w:val="0"/>
        <w:spacing w:line="360" w:lineRule="auto"/>
        <w:ind w:firstLine="360"/>
        <w:jc w:val="center"/>
        <w:rPr>
          <w:color w:val="auto"/>
          <w:kern w:val="0"/>
          <w:sz w:val="24"/>
        </w:rPr>
      </w:pPr>
      <w:r>
        <w:rPr>
          <w:color w:val="auto"/>
          <w:kern w:val="0"/>
          <w:position w:val="-24"/>
          <w:sz w:val="24"/>
        </w:rPr>
        <w:object>
          <v:shape id="_x0000_i1096" o:spt="75" type="#_x0000_t75" style="height:28.2pt;width:50.7pt;" o:ole="t" filled="f" o:preferrelative="t" stroked="f" coordsize="21600,21600">
            <v:path/>
            <v:fill on="f" focussize="0,0"/>
            <v:stroke on="f" joinstyle="miter"/>
            <v:imagedata r:id="rId188" o:title=""/>
            <o:lock v:ext="edit" aspectratio="t"/>
            <w10:wrap type="none"/>
            <w10:anchorlock/>
          </v:shape>
          <o:OLEObject Type="Embed" ProgID="Equation.DSMT4" ShapeID="_x0000_i1096" DrawAspect="Content" ObjectID="_1468075796" r:id="rId187">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式中</w:t>
      </w:r>
      <w:r>
        <w:rPr>
          <w:rFonts w:hint="default" w:ascii="Times New Roman" w:hAnsi="Times New Roman" w:eastAsia="仿宋_GB2312" w:cs="Times New Roman"/>
          <w:bCs w:val="0"/>
          <w:snapToGrid/>
          <w:color w:val="auto"/>
          <w:kern w:val="2"/>
          <w:sz w:val="24"/>
          <w:szCs w:val="24"/>
          <w:lang w:val="en-US" w:eastAsia="zh-CN" w:bidi="ar-SA"/>
        </w:rPr>
        <w:object>
          <v:shape id="_x0000_i1097" o:spt="75" type="#_x0000_t75" style="height:14.4pt;width:14.4pt;" o:ole="t" filled="f" o:preferrelative="t" stroked="f" coordsize="21600,21600">
            <v:path/>
            <v:fill on="f" focussize="0,0"/>
            <v:stroke on="f" joinstyle="miter"/>
            <v:imagedata r:id="rId190" o:title=""/>
            <o:lock v:ext="edit" aspectratio="t"/>
            <w10:wrap type="none"/>
            <w10:anchorlock/>
          </v:shape>
          <o:OLEObject Type="Embed" ProgID="Equation.DSMT4" ShapeID="_x0000_i1097" DrawAspect="Content" ObjectID="_1468075797" r:id="rId189">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为经验常数，取值为0.09。</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Smagorinsky在1996年提出了亚网格尺度上有效涡粘系数与特征长度相关的公式：</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98" o:spt="75" type="#_x0000_t75" style="height:36.3pt;width:180.3pt;" o:ole="t" filled="f" o:preferrelative="t" stroked="f" coordsize="21600,21600">
            <v:path/>
            <v:fill on="f" focussize="0,0"/>
            <v:stroke on="f" joinstyle="miter"/>
            <v:imagedata r:id="rId192" o:title=""/>
            <o:lock v:ext="edit" aspectratio="t"/>
            <w10:wrap type="none"/>
            <w10:anchorlock/>
          </v:shape>
          <o:OLEObject Type="Embed" ProgID="Equation.DSMT4" ShapeID="_x0000_i1098" DrawAspect="Content" ObjectID="_1468075798" r:id="rId191">
            <o:LockedField>false</o:LockedField>
          </o:OLEObject>
        </w:objec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object>
          <v:shape id="_x0000_i1099" o:spt="75" type="#_x0000_t75" style="height:21.3pt;width:14.4pt;" o:ole="t" filled="f" o:preferrelative="t" stroked="f" coordsize="21600,21600">
            <v:path/>
            <v:fill on="f" focussize="0,0"/>
            <v:stroke on="f" joinstyle="miter"/>
            <v:imagedata r:id="rId194" o:title=""/>
            <o:lock v:ext="edit" aspectratio="t"/>
            <w10:wrap type="none"/>
            <w10:anchorlock/>
          </v:shape>
          <o:OLEObject Type="Embed" ProgID="Equation.DSMT4" ShapeID="_x0000_i1099" DrawAspect="Content" ObjectID="_1468075799" r:id="rId193">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称为“Smagorinsky常数”，</w:t>
      </w:r>
      <w:r>
        <w:rPr>
          <w:rFonts w:hint="default" w:ascii="Times New Roman" w:hAnsi="Times New Roman" w:eastAsia="仿宋_GB2312" w:cs="Times New Roman"/>
          <w:bCs w:val="0"/>
          <w:snapToGrid/>
          <w:color w:val="auto"/>
          <w:kern w:val="2"/>
          <w:sz w:val="24"/>
          <w:szCs w:val="24"/>
          <w:lang w:val="en-US" w:eastAsia="zh-CN" w:bidi="ar-SA"/>
        </w:rPr>
        <w:object>
          <v:shape id="_x0000_i1100" o:spt="75" type="#_x0000_t75" style="height:14.4pt;width:7.5pt;" o:ole="t" filled="f" o:preferrelative="t" stroked="f" coordsize="21600,21600">
            <v:path/>
            <v:fill on="f" focussize="0,0"/>
            <v:stroke on="f" joinstyle="miter"/>
            <v:imagedata r:id="rId196" o:title=""/>
            <o:lock v:ext="edit" aspectratio="t"/>
            <w10:wrap type="none"/>
            <w10:anchorlock/>
          </v:shape>
          <o:OLEObject Type="Embed" ProgID="Equation.DSMT4" ShapeID="_x0000_i1100" DrawAspect="Content" ObjectID="_1468075800" r:id="rId195">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代表特征长度，而变形率定义为：</w:t>
      </w:r>
      <w:r>
        <w:rPr>
          <w:rFonts w:hint="default" w:ascii="Times New Roman" w:hAnsi="Times New Roman" w:eastAsia="仿宋_GB2312" w:cs="Times New Roman"/>
          <w:bCs w:val="0"/>
          <w:snapToGrid/>
          <w:color w:val="auto"/>
          <w:kern w:val="2"/>
          <w:sz w:val="24"/>
          <w:szCs w:val="24"/>
          <w:lang w:val="en-US" w:eastAsia="zh-CN" w:bidi="ar-SA"/>
        </w:rPr>
        <w:object>
          <v:shape id="_x0000_i1101" o:spt="75" type="#_x0000_t75" style="height:14.4pt;width:21.3pt;" o:ole="t" filled="f" o:preferrelative="t" stroked="f" coordsize="21600,21600">
            <v:path/>
            <v:fill on="f" focussize="0,0"/>
            <v:stroke on="f" joinstyle="miter"/>
            <v:imagedata r:id="rId198" o:title=""/>
            <o:lock v:ext="edit" aspectratio="t"/>
            <w10:wrap type="none"/>
            <w10:anchorlock/>
          </v:shape>
          <o:OLEObject Type="Embed" ProgID="Equation.DSMT4" ShapeID="_x0000_i1101" DrawAspect="Content" ObjectID="_1468075801" r:id="rId197">
            <o:LockedField>false</o:LockedField>
          </o:OLEObject>
        </w:object>
      </w:r>
      <w:r>
        <w:rPr>
          <w:rFonts w:hint="default" w:ascii="Times New Roman" w:hAnsi="Times New Roman" w:eastAsia="仿宋_GB2312" w:cs="Times New Roman"/>
          <w:bCs w:val="0"/>
          <w:snapToGrid/>
          <w:color w:val="auto"/>
          <w:kern w:val="2"/>
          <w:sz w:val="24"/>
          <w:szCs w:val="24"/>
          <w:lang w:val="en-US" w:eastAsia="zh-CN" w:bidi="ar-SA"/>
        </w:rPr>
        <w:t>=1，2。</w:t>
      </w:r>
    </w:p>
    <w:p>
      <w:pPr>
        <w:adjustRightInd w:val="0"/>
        <w:snapToGrid w:val="0"/>
        <w:spacing w:line="360" w:lineRule="auto"/>
        <w:ind w:firstLine="480" w:firstLineChars="200"/>
        <w:jc w:val="both"/>
        <w:rPr>
          <w:rFonts w:hint="default" w:ascii="Times New Roman" w:hAnsi="Times New Roman" w:eastAsia="仿宋_GB2312" w:cs="Times New Roman"/>
          <w:bCs w:val="0"/>
          <w:snapToGrid/>
          <w:color w:val="auto"/>
          <w:kern w:val="2"/>
          <w:sz w:val="24"/>
          <w:szCs w:val="24"/>
          <w:lang w:val="en-US" w:eastAsia="zh-CN" w:bidi="ar-SA"/>
        </w:rPr>
      </w:pPr>
      <w:r>
        <w:rPr>
          <w:rFonts w:hint="default" w:ascii="Times New Roman" w:hAnsi="Times New Roman" w:eastAsia="仿宋_GB2312" w:cs="Times New Roman"/>
          <w:bCs w:val="0"/>
          <w:snapToGrid/>
          <w:color w:val="auto"/>
          <w:kern w:val="2"/>
          <w:sz w:val="24"/>
          <w:szCs w:val="24"/>
          <w:lang w:val="en-US" w:eastAsia="zh-CN" w:bidi="ar-SA"/>
        </w:rPr>
        <w:t>2</w:t>
      </w:r>
      <w:r>
        <w:rPr>
          <w:rFonts w:hint="eastAsia" w:ascii="Times New Roman" w:hAnsi="Times New Roman" w:eastAsia="仿宋_GB2312" w:cs="Times New Roman"/>
          <w:bCs w:val="0"/>
          <w:snapToGrid/>
          <w:color w:val="auto"/>
          <w:kern w:val="2"/>
          <w:sz w:val="24"/>
          <w:szCs w:val="24"/>
          <w:lang w:val="en-US" w:eastAsia="zh-CN" w:bidi="ar-SA"/>
        </w:rPr>
        <w:t>）</w:t>
      </w:r>
      <w:r>
        <w:rPr>
          <w:rFonts w:hint="default" w:ascii="Times New Roman" w:hAnsi="Times New Roman" w:eastAsia="仿宋_GB2312" w:cs="Times New Roman"/>
          <w:bCs w:val="0"/>
          <w:snapToGrid/>
          <w:color w:val="auto"/>
          <w:kern w:val="2"/>
          <w:sz w:val="24"/>
          <w:szCs w:val="24"/>
          <w:lang w:val="en-US" w:eastAsia="zh-CN" w:bidi="ar-SA"/>
        </w:rPr>
        <w:t>初始条件、边界条件及动边界技术</w:t>
      </w:r>
      <w:bookmarkEnd w:id="386"/>
      <w:bookmarkEnd w:id="387"/>
      <w:bookmarkEnd w:id="388"/>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计算初始流速为零，初始水位可由推求一维水面线给出或给出一固定值。计算进口给出流量，出口给出水位，岸边界的法向流速为零，切向流速满足其法向导数为零的条件，为便于计算中自动判别水岸边界，采用干湿判断技巧，当网格水深小于某一定数时，认为此网格露出水面，可令动量方程的源项为一大数，同时为使计算进行下去，在露出单元水深点给定微小水深（0.05m），当网格水深大于某一定数时，则认为此网格将淹没在水中，并纳入正常的运算。</w:t>
      </w:r>
    </w:p>
    <w:p>
      <w:pPr>
        <w:adjustRightInd w:val="0"/>
        <w:snapToGrid w:val="0"/>
        <w:spacing w:line="360" w:lineRule="auto"/>
        <w:ind w:firstLine="480" w:firstLineChars="200"/>
        <w:jc w:val="both"/>
        <w:rPr>
          <w:rFonts w:hint="eastAsia" w:ascii="Times New Roman" w:hAnsi="Times New Roman" w:eastAsia="仿宋_GB2312" w:cs="Times New Roman"/>
          <w:bCs w:val="0"/>
          <w:snapToGrid/>
          <w:color w:val="auto"/>
          <w:kern w:val="2"/>
          <w:sz w:val="24"/>
          <w:szCs w:val="24"/>
          <w:lang w:val="en-US" w:eastAsia="zh-CN" w:bidi="ar-SA"/>
        </w:rPr>
      </w:pPr>
      <w:r>
        <w:rPr>
          <w:rFonts w:hint="eastAsia" w:eastAsia="仿宋_GB2312" w:cs="Times New Roman"/>
          <w:bCs w:val="0"/>
          <w:snapToGrid/>
          <w:color w:val="auto"/>
          <w:kern w:val="2"/>
          <w:sz w:val="24"/>
          <w:szCs w:val="24"/>
          <w:lang w:val="en-US" w:eastAsia="zh-CN" w:bidi="ar-SA"/>
        </w:rPr>
        <w:t>（2）</w:t>
      </w:r>
      <w:r>
        <w:rPr>
          <w:rFonts w:hint="eastAsia" w:ascii="Times New Roman" w:hAnsi="Times New Roman" w:eastAsia="仿宋_GB2312" w:cs="Times New Roman"/>
          <w:bCs w:val="0"/>
          <w:snapToGrid/>
          <w:color w:val="auto"/>
          <w:kern w:val="2"/>
          <w:sz w:val="24"/>
          <w:szCs w:val="24"/>
          <w:lang w:val="en-US" w:eastAsia="zh-CN" w:bidi="ar-SA"/>
        </w:rPr>
        <w:t>计算条件的选取</w:t>
      </w:r>
    </w:p>
    <w:p>
      <w:pPr>
        <w:pStyle w:val="2657"/>
        <w:rPr>
          <w:rFonts w:hint="eastAsia" w:ascii="Times New Roman" w:hAnsi="Times New Roman" w:eastAsia="仿宋_GB2312" w:cs="Times New Roman"/>
          <w:bCs w:val="0"/>
          <w:snapToGrid/>
          <w:color w:val="auto"/>
          <w:kern w:val="2"/>
          <w:sz w:val="24"/>
          <w:szCs w:val="24"/>
          <w:lang w:val="en-US" w:eastAsia="zh-CN" w:bidi="ar-SA"/>
        </w:rPr>
      </w:pPr>
      <w:bookmarkStart w:id="392" w:name="_Toc84949162"/>
      <w:bookmarkStart w:id="393" w:name="_Toc65933022"/>
      <w:bookmarkStart w:id="394" w:name="_Toc65932861"/>
      <w:bookmarkStart w:id="395" w:name="_Toc54792479"/>
      <w:r>
        <w:rPr>
          <w:rFonts w:hint="eastAsia" w:ascii="Times New Roman" w:hAnsi="Times New Roman" w:eastAsia="仿宋_GB2312" w:cs="Times New Roman"/>
          <w:bCs w:val="0"/>
          <w:snapToGrid/>
          <w:color w:val="auto"/>
          <w:kern w:val="2"/>
          <w:sz w:val="24"/>
          <w:szCs w:val="24"/>
          <w:lang w:val="en-US" w:eastAsia="zh-CN" w:bidi="ar-SA"/>
        </w:rPr>
        <w:t>本次数学模型的上边界位于上岩子河（工程上游7.2km），下边界位于熊家湾（工程下游12km），全长约19.2km，整个计算区域采用三角形网格进行划分，其中工程区附近网格单元面积不超过150m2，其他区域网格面积不超过2500m2。网格节点数为13409个，非结构单元总数为25929个。模型地形采用2022年1月实测地形，地形高程及计算水位均采用1985国家高程基准，数学模型计算网格图见图5.2-1。模型中，桩基对工程局部水流结构的变化起主要作用，对桩基的概化主要通过修改桩基所在位置的网格的地形来实现。</w:t>
      </w:r>
    </w:p>
    <w:bookmarkEnd w:id="392"/>
    <w:bookmarkEnd w:id="393"/>
    <w:bookmarkEnd w:id="394"/>
    <w:bookmarkEnd w:id="395"/>
    <w:p>
      <w:pPr>
        <w:adjustRightInd w:val="0"/>
        <w:snapToGrid w:val="0"/>
        <w:spacing w:line="360" w:lineRule="auto"/>
        <w:ind w:firstLine="480" w:firstLineChars="200"/>
        <w:jc w:val="both"/>
        <w:rPr>
          <w:rFonts w:hint="eastAsia" w:eastAsia="仿宋_GB2312" w:cs="Times New Roman"/>
          <w:bCs w:val="0"/>
          <w:snapToGrid/>
          <w:color w:val="auto"/>
          <w:kern w:val="2"/>
          <w:sz w:val="24"/>
          <w:szCs w:val="24"/>
          <w:lang w:val="en-US" w:eastAsia="zh-CN" w:bidi="ar-SA"/>
        </w:rPr>
      </w:pPr>
      <w:bookmarkStart w:id="396" w:name="_Toc84949163"/>
      <w:bookmarkStart w:id="397" w:name="_Toc65932862"/>
      <w:r>
        <w:rPr>
          <w:rFonts w:hint="eastAsia" w:eastAsia="仿宋_GB2312" w:cs="Times New Roman"/>
          <w:bCs w:val="0"/>
          <w:snapToGrid/>
          <w:color w:val="auto"/>
          <w:kern w:val="2"/>
          <w:sz w:val="24"/>
          <w:szCs w:val="24"/>
          <w:lang w:val="en-US" w:eastAsia="zh-CN" w:bidi="ar-SA"/>
        </w:rPr>
        <w:t>（3）数学模型率定和验证</w:t>
      </w:r>
      <w:bookmarkEnd w:id="396"/>
      <w:bookmarkEnd w:id="397"/>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模型率定是对模型中的参数进行调整，使模型能较好地重现实测水流过程。模型验证则是利用另一次实测水文资料对模型的适用性和有效性进行检验。本次率定、验证的主要内容包括水位和断面流速分布。</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工程河段的洪水计算模型率定采用2018年5月26日实测水位及断面流速分布资料，相应进口断面为24600m</w:t>
      </w:r>
      <w:r>
        <w:rPr>
          <w:rFonts w:hint="eastAsia" w:ascii="Times New Roman" w:hAnsi="Times New Roman" w:eastAsia="仿宋_GB2312" w:cs="Times New Roman"/>
          <w:bCs w:val="0"/>
          <w:snapToGrid/>
          <w:color w:val="auto"/>
          <w:kern w:val="2"/>
          <w:sz w:val="24"/>
          <w:szCs w:val="24"/>
          <w:vertAlign w:val="superscript"/>
          <w:lang w:val="en-US" w:eastAsia="zh-CN" w:bidi="ar-SA"/>
        </w:rPr>
        <w:t>3</w:t>
      </w:r>
      <w:r>
        <w:rPr>
          <w:rFonts w:hint="eastAsia" w:ascii="Times New Roman" w:hAnsi="Times New Roman" w:eastAsia="仿宋_GB2312" w:cs="Times New Roman"/>
          <w:bCs w:val="0"/>
          <w:snapToGrid/>
          <w:color w:val="auto"/>
          <w:kern w:val="2"/>
          <w:sz w:val="24"/>
          <w:szCs w:val="24"/>
          <w:lang w:val="en-US" w:eastAsia="zh-CN" w:bidi="ar-SA"/>
        </w:rPr>
        <w:t>/s，出口水位为39.99m。模型验证则采用2014年2月14日实测水位及断面流速分布资料，相应进口流量为6200m</w:t>
      </w:r>
      <w:r>
        <w:rPr>
          <w:rFonts w:hint="eastAsia" w:ascii="Times New Roman" w:hAnsi="Times New Roman" w:eastAsia="仿宋_GB2312" w:cs="Times New Roman"/>
          <w:bCs w:val="0"/>
          <w:snapToGrid/>
          <w:color w:val="auto"/>
          <w:kern w:val="2"/>
          <w:sz w:val="24"/>
          <w:szCs w:val="24"/>
          <w:vertAlign w:val="superscript"/>
          <w:lang w:val="en-US" w:eastAsia="zh-CN" w:bidi="ar-SA"/>
        </w:rPr>
        <w:t>3</w:t>
      </w:r>
      <w:r>
        <w:rPr>
          <w:rFonts w:hint="eastAsia" w:ascii="Times New Roman" w:hAnsi="Times New Roman" w:eastAsia="仿宋_GB2312" w:cs="Times New Roman"/>
          <w:bCs w:val="0"/>
          <w:snapToGrid/>
          <w:color w:val="auto"/>
          <w:kern w:val="2"/>
          <w:sz w:val="24"/>
          <w:szCs w:val="24"/>
          <w:lang w:val="en-US" w:eastAsia="zh-CN" w:bidi="ar-SA"/>
        </w:rPr>
        <w:t>/s，出口水位为35.10m。计算河段内布置了5个测流断面。水文测验断面平面布置见图5.2-2所示。</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模型率定、验证计算水文条件如表5.2-1所示。</w:t>
      </w:r>
    </w:p>
    <w:p>
      <w:pPr>
        <w:widowControl w:val="0"/>
        <w:spacing w:line="360" w:lineRule="auto"/>
        <w:jc w:val="center"/>
        <w:rPr>
          <w:rFonts w:eastAsia="黑体"/>
          <w:b/>
          <w:color w:val="auto"/>
          <w:szCs w:val="21"/>
        </w:rPr>
      </w:pPr>
      <w:bookmarkStart w:id="398" w:name="_Ref81741531"/>
      <w:r>
        <w:rPr>
          <w:rFonts w:eastAsia="黑体"/>
          <w:b/>
          <w:color w:val="auto"/>
          <w:szCs w:val="21"/>
        </w:rPr>
        <w:t xml:space="preserve">表 </w:t>
      </w:r>
      <w:r>
        <w:rPr>
          <w:rFonts w:hint="eastAsia" w:eastAsia="黑体"/>
          <w:b/>
          <w:color w:val="auto"/>
          <w:szCs w:val="21"/>
          <w:lang w:val="en-US" w:eastAsia="zh-CN"/>
        </w:rPr>
        <w:t xml:space="preserve"> </w:t>
      </w:r>
      <w:r>
        <w:rPr>
          <w:rFonts w:eastAsia="黑体"/>
          <w:b/>
          <w:color w:val="auto"/>
          <w:szCs w:val="21"/>
        </w:rPr>
        <w:t>5.2</w:t>
      </w:r>
      <w:r>
        <w:rPr>
          <w:rFonts w:eastAsia="黑体"/>
          <w:b/>
          <w:color w:val="auto"/>
          <w:szCs w:val="21"/>
        </w:rPr>
        <w:noBreakHyphen/>
      </w:r>
      <w:r>
        <w:rPr>
          <w:rFonts w:eastAsia="黑体"/>
          <w:b/>
          <w:color w:val="auto"/>
          <w:szCs w:val="21"/>
        </w:rPr>
        <w:fldChar w:fldCharType="begin"/>
      </w:r>
      <w:r>
        <w:rPr>
          <w:rFonts w:eastAsia="黑体"/>
          <w:b/>
          <w:color w:val="auto"/>
          <w:szCs w:val="21"/>
        </w:rPr>
        <w:instrText xml:space="preserve"> SEQ 表 \* ARABIC \s 2 </w:instrText>
      </w:r>
      <w:r>
        <w:rPr>
          <w:rFonts w:eastAsia="黑体"/>
          <w:b/>
          <w:color w:val="auto"/>
          <w:szCs w:val="21"/>
        </w:rPr>
        <w:fldChar w:fldCharType="separate"/>
      </w:r>
      <w:r>
        <w:rPr>
          <w:rFonts w:eastAsia="黑体"/>
          <w:b/>
          <w:color w:val="auto"/>
          <w:szCs w:val="21"/>
        </w:rPr>
        <w:t>1</w:t>
      </w:r>
      <w:r>
        <w:rPr>
          <w:rFonts w:eastAsia="黑体"/>
          <w:b/>
          <w:color w:val="auto"/>
          <w:szCs w:val="21"/>
        </w:rPr>
        <w:fldChar w:fldCharType="end"/>
      </w:r>
      <w:bookmarkEnd w:id="398"/>
      <w:r>
        <w:rPr>
          <w:rFonts w:eastAsia="黑体"/>
          <w:b/>
          <w:color w:val="auto"/>
          <w:szCs w:val="21"/>
        </w:rPr>
        <w:t>模型率定与验证计算水文条件</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2277"/>
        <w:gridCol w:w="2471"/>
        <w:gridCol w:w="1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63" w:type="pct"/>
            <w:tcBorders>
              <w:tl2br w:val="nil"/>
              <w:tr2bl w:val="nil"/>
            </w:tcBorders>
            <w:vAlign w:val="center"/>
          </w:tcPr>
          <w:p>
            <w:pPr>
              <w:widowControl w:val="0"/>
              <w:jc w:val="center"/>
              <w:rPr>
                <w:rFonts w:hint="eastAsia"/>
                <w:b w:val="0"/>
                <w:bCs/>
                <w:color w:val="auto"/>
                <w:kern w:val="0"/>
                <w:sz w:val="20"/>
                <w:lang w:val="en-US" w:eastAsia="zh-CN"/>
              </w:rPr>
            </w:pPr>
          </w:p>
        </w:tc>
        <w:tc>
          <w:tcPr>
            <w:tcW w:w="1336"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测次</w:t>
            </w:r>
          </w:p>
        </w:tc>
        <w:tc>
          <w:tcPr>
            <w:tcW w:w="1450"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进口流量（m</w:t>
            </w:r>
            <w:r>
              <w:rPr>
                <w:rFonts w:hint="eastAsia"/>
                <w:b w:val="0"/>
                <w:bCs/>
                <w:color w:val="auto"/>
                <w:kern w:val="0"/>
                <w:sz w:val="20"/>
                <w:vertAlign w:val="superscript"/>
                <w:lang w:val="en-US" w:eastAsia="zh-CN"/>
              </w:rPr>
              <w:t>3</w:t>
            </w:r>
            <w:r>
              <w:rPr>
                <w:rFonts w:hint="eastAsia"/>
                <w:b w:val="0"/>
                <w:bCs/>
                <w:color w:val="auto"/>
                <w:kern w:val="0"/>
                <w:sz w:val="20"/>
                <w:lang w:val="en-US" w:eastAsia="zh-CN"/>
              </w:rPr>
              <w:t>/s）</w:t>
            </w:r>
          </w:p>
        </w:tc>
        <w:tc>
          <w:tcPr>
            <w:tcW w:w="1148"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出口水位（m）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63"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率定</w:t>
            </w:r>
          </w:p>
        </w:tc>
        <w:tc>
          <w:tcPr>
            <w:tcW w:w="1336"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2018年5月</w:t>
            </w:r>
          </w:p>
        </w:tc>
        <w:tc>
          <w:tcPr>
            <w:tcW w:w="145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26400</w:t>
            </w:r>
          </w:p>
        </w:tc>
        <w:tc>
          <w:tcPr>
            <w:tcW w:w="1148"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39.99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63"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验证</w:t>
            </w:r>
          </w:p>
        </w:tc>
        <w:tc>
          <w:tcPr>
            <w:tcW w:w="1336"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2014年2月</w:t>
            </w:r>
          </w:p>
        </w:tc>
        <w:tc>
          <w:tcPr>
            <w:tcW w:w="145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6200</w:t>
            </w:r>
          </w:p>
        </w:tc>
        <w:tc>
          <w:tcPr>
            <w:tcW w:w="1148"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35.1</w:t>
            </w:r>
          </w:p>
        </w:tc>
      </w:tr>
    </w:tbl>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1）率定</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表5.2-2对比了水位率定计算与实测结果。可以看出，本次率定水位误差在-0.03~0.04m之间，说明模型所取得参数合理，能较好的模拟工程河段的水面线变化特征。</w:t>
      </w:r>
      <w:bookmarkStart w:id="399" w:name="_Ref81741605"/>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fldChar w:fldCharType="begin"/>
      </w:r>
      <w:r>
        <w:rPr>
          <w:rFonts w:eastAsia="黑体"/>
          <w:b/>
          <w:color w:val="auto"/>
          <w:szCs w:val="21"/>
        </w:rPr>
        <w:instrText xml:space="preserve"> SEQ 表 \* ARABIC \s 2 </w:instrText>
      </w:r>
      <w:r>
        <w:rPr>
          <w:rFonts w:eastAsia="黑体"/>
          <w:b/>
          <w:color w:val="auto"/>
          <w:szCs w:val="21"/>
        </w:rPr>
        <w:fldChar w:fldCharType="separate"/>
      </w:r>
      <w:r>
        <w:rPr>
          <w:rFonts w:eastAsia="黑体"/>
          <w:b/>
          <w:color w:val="auto"/>
          <w:szCs w:val="21"/>
        </w:rPr>
        <w:t>2</w:t>
      </w:r>
      <w:r>
        <w:rPr>
          <w:rFonts w:eastAsia="黑体"/>
          <w:b/>
          <w:color w:val="auto"/>
          <w:szCs w:val="21"/>
        </w:rPr>
        <w:fldChar w:fldCharType="end"/>
      </w:r>
      <w:bookmarkEnd w:id="399"/>
      <w:r>
        <w:rPr>
          <w:rFonts w:hint="eastAsia" w:eastAsia="黑体"/>
          <w:b/>
          <w:color w:val="auto"/>
          <w:szCs w:val="21"/>
          <w:lang w:val="en-US" w:eastAsia="zh-CN"/>
        </w:rPr>
        <w:t xml:space="preserve">  </w:t>
      </w:r>
      <w:r>
        <w:rPr>
          <w:rFonts w:eastAsia="黑体"/>
          <w:b/>
          <w:color w:val="auto"/>
          <w:szCs w:val="21"/>
        </w:rPr>
        <w:t>模型水位率定计算与实测结果对比</w:t>
      </w:r>
    </w:p>
    <w:tbl>
      <w:tblPr>
        <w:tblStyle w:val="9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3"/>
        <w:gridCol w:w="2052"/>
        <w:gridCol w:w="2052"/>
        <w:gridCol w:w="18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vMerge w:val="restart"/>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断面</w:t>
            </w:r>
          </w:p>
        </w:tc>
        <w:tc>
          <w:tcPr>
            <w:tcW w:w="3471" w:type="pct"/>
            <w:gridSpan w:val="3"/>
            <w:noWrap/>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2018年5月测次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vMerge w:val="continue"/>
            <w:tcBorders>
              <w:bottom w:val="single" w:color="auto" w:sz="12" w:space="0"/>
            </w:tcBorders>
            <w:vAlign w:val="center"/>
          </w:tcPr>
          <w:p>
            <w:pPr>
              <w:widowControl w:val="0"/>
              <w:jc w:val="center"/>
              <w:rPr>
                <w:rFonts w:hint="eastAsia"/>
                <w:b w:val="0"/>
                <w:bCs/>
                <w:color w:val="auto"/>
                <w:kern w:val="0"/>
                <w:sz w:val="20"/>
                <w:lang w:val="en-US" w:eastAsia="zh-CN"/>
              </w:rPr>
            </w:pPr>
          </w:p>
        </w:tc>
        <w:tc>
          <w:tcPr>
            <w:tcW w:w="1205" w:type="pct"/>
            <w:tcBorders>
              <w:bottom w:val="single" w:color="auto" w:sz="12" w:space="0"/>
            </w:tcBorders>
            <w:noWrap/>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实测值</w:t>
            </w:r>
          </w:p>
        </w:tc>
        <w:tc>
          <w:tcPr>
            <w:tcW w:w="1205" w:type="pct"/>
            <w:tcBorders>
              <w:bottom w:val="single" w:color="auto" w:sz="12" w:space="0"/>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计算值</w:t>
            </w:r>
          </w:p>
        </w:tc>
        <w:tc>
          <w:tcPr>
            <w:tcW w:w="1060" w:type="pct"/>
            <w:tcBorders>
              <w:bottom w:val="single" w:color="auto" w:sz="12" w:space="0"/>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误差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tcBorders>
              <w:top w:val="single" w:color="auto" w:sz="12" w:space="0"/>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关05+1</w:t>
            </w:r>
          </w:p>
        </w:tc>
        <w:tc>
          <w:tcPr>
            <w:tcW w:w="1205" w:type="pct"/>
            <w:tcBorders>
              <w:top w:val="single" w:color="auto" w:sz="12" w:space="0"/>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40.36</w:t>
            </w:r>
          </w:p>
        </w:tc>
        <w:tc>
          <w:tcPr>
            <w:tcW w:w="1205" w:type="pct"/>
            <w:tcBorders>
              <w:top w:val="single" w:color="auto" w:sz="12" w:space="0"/>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40.33</w:t>
            </w:r>
          </w:p>
        </w:tc>
        <w:tc>
          <w:tcPr>
            <w:tcW w:w="1060" w:type="pct"/>
            <w:tcBorders>
              <w:top w:val="single" w:color="auto" w:sz="12" w:space="0"/>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关10</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40.12</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40.11</w:t>
            </w:r>
          </w:p>
        </w:tc>
        <w:tc>
          <w:tcPr>
            <w:tcW w:w="106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关09</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40.07</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40.08</w:t>
            </w:r>
          </w:p>
        </w:tc>
        <w:tc>
          <w:tcPr>
            <w:tcW w:w="106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董2</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40.03</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40.00</w:t>
            </w:r>
          </w:p>
        </w:tc>
        <w:tc>
          <w:tcPr>
            <w:tcW w:w="106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29"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荆6</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40.27</w:t>
            </w:r>
          </w:p>
        </w:tc>
        <w:tc>
          <w:tcPr>
            <w:tcW w:w="120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40.25</w:t>
            </w:r>
          </w:p>
        </w:tc>
        <w:tc>
          <w:tcPr>
            <w:tcW w:w="1060"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-0.02</w:t>
            </w:r>
          </w:p>
        </w:tc>
      </w:tr>
    </w:tbl>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流速分布率定结果见图5.2-3，计算结果表明各断面流速分布与实测断面流速分布的偏差不超过±0.1m/s，个别断面最大误差不超过±0.25m/s，计算流速分布主流位置与实测值吻合较好，反映模型的流速分布与原型具有较好的相似性。</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本次率定得到滩地糙率取值范围为0.02~0.033，主槽糙率的取值范围为0.013~0.033。</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2）验证</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对比了水位验证计算与实测结果。可以看出，水位验证计算误差在0~0.04m之间，说明模型所取的参数合理，能较好的模拟工程河段的水面线变化特征。</w:t>
      </w:r>
    </w:p>
    <w:p>
      <w:pPr>
        <w:widowControl w:val="0"/>
        <w:spacing w:line="360" w:lineRule="auto"/>
        <w:jc w:val="center"/>
        <w:rPr>
          <w:rFonts w:eastAsia="黑体"/>
          <w:b/>
          <w:color w:val="auto"/>
          <w:szCs w:val="21"/>
        </w:rPr>
      </w:pPr>
      <w:bookmarkStart w:id="400" w:name="_Ref81741748"/>
      <w:r>
        <w:rPr>
          <w:rFonts w:eastAsia="黑体"/>
          <w:b/>
          <w:color w:val="auto"/>
          <w:szCs w:val="21"/>
        </w:rPr>
        <w:t>表5.2</w:t>
      </w:r>
      <w:r>
        <w:rPr>
          <w:rFonts w:eastAsia="黑体"/>
          <w:b/>
          <w:color w:val="auto"/>
          <w:szCs w:val="21"/>
        </w:rPr>
        <w:noBreakHyphen/>
      </w:r>
      <w:r>
        <w:rPr>
          <w:rFonts w:eastAsia="黑体"/>
          <w:b/>
          <w:color w:val="auto"/>
          <w:szCs w:val="21"/>
        </w:rPr>
        <w:fldChar w:fldCharType="begin"/>
      </w:r>
      <w:r>
        <w:rPr>
          <w:rFonts w:eastAsia="黑体"/>
          <w:b/>
          <w:color w:val="auto"/>
          <w:szCs w:val="21"/>
        </w:rPr>
        <w:instrText xml:space="preserve"> SEQ 表 \* ARABIC \s 2 </w:instrText>
      </w:r>
      <w:r>
        <w:rPr>
          <w:rFonts w:eastAsia="黑体"/>
          <w:b/>
          <w:color w:val="auto"/>
          <w:szCs w:val="21"/>
        </w:rPr>
        <w:fldChar w:fldCharType="separate"/>
      </w:r>
      <w:r>
        <w:rPr>
          <w:rFonts w:eastAsia="黑体"/>
          <w:b/>
          <w:color w:val="auto"/>
          <w:szCs w:val="21"/>
        </w:rPr>
        <w:t>3</w:t>
      </w:r>
      <w:r>
        <w:rPr>
          <w:rFonts w:eastAsia="黑体"/>
          <w:b/>
          <w:color w:val="auto"/>
          <w:szCs w:val="21"/>
        </w:rPr>
        <w:fldChar w:fldCharType="end"/>
      </w:r>
      <w:bookmarkEnd w:id="400"/>
      <w:r>
        <w:rPr>
          <w:rFonts w:hint="eastAsia" w:eastAsia="黑体"/>
          <w:b/>
          <w:color w:val="auto"/>
          <w:szCs w:val="21"/>
          <w:lang w:val="en-US" w:eastAsia="zh-CN"/>
        </w:rPr>
        <w:t xml:space="preserve">  </w:t>
      </w:r>
      <w:r>
        <w:rPr>
          <w:rFonts w:eastAsia="黑体"/>
          <w:b/>
          <w:color w:val="auto"/>
          <w:szCs w:val="21"/>
        </w:rPr>
        <w:t>模型水位验证计算与实测结果对比</w:t>
      </w:r>
    </w:p>
    <w:tbl>
      <w:tblPr>
        <w:tblStyle w:val="9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2"/>
        <w:gridCol w:w="2256"/>
        <w:gridCol w:w="2010"/>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vMerge w:val="restart"/>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断面</w:t>
            </w:r>
          </w:p>
        </w:tc>
        <w:tc>
          <w:tcPr>
            <w:tcW w:w="3506" w:type="pct"/>
            <w:gridSpan w:val="3"/>
            <w:noWrap/>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2014年2月测次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vMerge w:val="continue"/>
            <w:tcBorders>
              <w:bottom w:val="single" w:color="auto" w:sz="12" w:space="0"/>
            </w:tcBorders>
            <w:vAlign w:val="center"/>
          </w:tcPr>
          <w:p>
            <w:pPr>
              <w:widowControl w:val="0"/>
              <w:jc w:val="center"/>
              <w:rPr>
                <w:rFonts w:hint="eastAsia"/>
                <w:b w:val="0"/>
                <w:bCs/>
                <w:color w:val="auto"/>
                <w:kern w:val="0"/>
                <w:sz w:val="20"/>
                <w:lang w:val="en-US" w:eastAsia="zh-CN"/>
              </w:rPr>
            </w:pPr>
          </w:p>
        </w:tc>
        <w:tc>
          <w:tcPr>
            <w:tcW w:w="1325" w:type="pct"/>
            <w:tcBorders>
              <w:bottom w:val="single" w:color="auto" w:sz="12" w:space="0"/>
            </w:tcBorders>
            <w:noWrap/>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实测值</w:t>
            </w:r>
          </w:p>
        </w:tc>
        <w:tc>
          <w:tcPr>
            <w:tcW w:w="1180" w:type="pct"/>
            <w:tcBorders>
              <w:bottom w:val="single" w:color="auto" w:sz="12" w:space="0"/>
            </w:tcBorders>
            <w:noWrap/>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计算值</w:t>
            </w:r>
          </w:p>
        </w:tc>
        <w:tc>
          <w:tcPr>
            <w:tcW w:w="1001" w:type="pct"/>
            <w:tcBorders>
              <w:bottom w:val="single" w:color="auto" w:sz="12" w:space="0"/>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误差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tcBorders>
              <w:top w:val="single" w:color="auto" w:sz="12" w:space="0"/>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关02</w:t>
            </w:r>
          </w:p>
        </w:tc>
        <w:tc>
          <w:tcPr>
            <w:tcW w:w="1325" w:type="pct"/>
            <w:tcBorders>
              <w:top w:val="single" w:color="auto" w:sz="12" w:space="0"/>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35.59</w:t>
            </w:r>
          </w:p>
        </w:tc>
        <w:tc>
          <w:tcPr>
            <w:tcW w:w="1180" w:type="pct"/>
            <w:tcBorders>
              <w:top w:val="single" w:color="auto" w:sz="12" w:space="0"/>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35.58</w:t>
            </w:r>
          </w:p>
        </w:tc>
        <w:tc>
          <w:tcPr>
            <w:tcW w:w="1001" w:type="pct"/>
            <w:tcBorders>
              <w:top w:val="single" w:color="auto" w:sz="12" w:space="0"/>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荆6</w:t>
            </w:r>
          </w:p>
        </w:tc>
        <w:tc>
          <w:tcPr>
            <w:tcW w:w="132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35.25</w:t>
            </w:r>
          </w:p>
        </w:tc>
        <w:tc>
          <w:tcPr>
            <w:tcW w:w="1180"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35.21</w:t>
            </w:r>
          </w:p>
        </w:tc>
        <w:tc>
          <w:tcPr>
            <w:tcW w:w="1001"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关09</w:t>
            </w:r>
          </w:p>
        </w:tc>
        <w:tc>
          <w:tcPr>
            <w:tcW w:w="132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35.21</w:t>
            </w:r>
          </w:p>
        </w:tc>
        <w:tc>
          <w:tcPr>
            <w:tcW w:w="1180"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35.19</w:t>
            </w:r>
          </w:p>
        </w:tc>
        <w:tc>
          <w:tcPr>
            <w:tcW w:w="1001"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93"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关10</w:t>
            </w:r>
          </w:p>
        </w:tc>
        <w:tc>
          <w:tcPr>
            <w:tcW w:w="1325"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35.19</w:t>
            </w:r>
          </w:p>
        </w:tc>
        <w:tc>
          <w:tcPr>
            <w:tcW w:w="1180" w:type="pct"/>
            <w:tcBorders>
              <w:tl2br w:val="nil"/>
              <w:tr2bl w:val="nil"/>
            </w:tcBorders>
            <w:noWrap/>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35.19</w:t>
            </w:r>
          </w:p>
        </w:tc>
        <w:tc>
          <w:tcPr>
            <w:tcW w:w="1001"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0</w:t>
            </w:r>
          </w:p>
        </w:tc>
      </w:tr>
    </w:tbl>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图5.2-4为断面流速分布验证图，从图中可以看出，模型计算结果与实测值基本接近，流速误差一般不超过±0.1m/s，个别断面最大误差不超过±0.25m/s，计算流速分布主流位置与实测值吻合较好，反映模型的流速分布与原型具有较好的相似性。</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上述率定、验证结果表明，模型水位、断面流速分布计算值与实测值吻合较好，模型所选用的糙率系数能较好的反映河道的综合阻力及阻力分布，并能基本反映工程河段的水流运动规律，可以用于计算分析工程实施对河道行洪、河势等方面的影响。</w:t>
      </w:r>
    </w:p>
    <w:p>
      <w:pPr>
        <w:pStyle w:val="2657"/>
        <w:rPr>
          <w:rFonts w:hint="eastAsia" w:ascii="Times New Roman" w:hAnsi="Times New Roman" w:eastAsia="仿宋_GB2312" w:cs="Times New Roman"/>
          <w:bCs w:val="0"/>
          <w:snapToGrid/>
          <w:color w:val="auto"/>
          <w:kern w:val="2"/>
          <w:sz w:val="24"/>
          <w:szCs w:val="24"/>
          <w:lang w:val="en-US" w:eastAsia="zh-CN" w:bidi="ar-SA"/>
        </w:rPr>
        <w:sectPr>
          <w:headerReference r:id="rId18"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linePitch="312" w:charSpace="0"/>
        </w:sectPr>
      </w:pPr>
    </w:p>
    <w:p>
      <w:pPr>
        <w:pStyle w:val="117"/>
        <w:rPr>
          <w:color w:val="auto"/>
        </w:rPr>
      </w:pPr>
      <w:r>
        <w:rPr>
          <w:color w:val="auto"/>
        </w:rPr>
        <w:drawing>
          <wp:inline distT="0" distB="0" distL="0" distR="0">
            <wp:extent cx="8907780" cy="4982845"/>
            <wp:effectExtent l="0" t="0" r="762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99"/>
                    <a:srcRect l="328" r="278"/>
                    <a:stretch>
                      <a:fillRect/>
                    </a:stretch>
                  </pic:blipFill>
                  <pic:spPr>
                    <a:xfrm>
                      <a:off x="0" y="0"/>
                      <a:ext cx="8909522" cy="4983480"/>
                    </a:xfrm>
                    <a:prstGeom prst="rect">
                      <a:avLst/>
                    </a:prstGeom>
                    <a:ln>
                      <a:noFill/>
                    </a:ln>
                  </pic:spPr>
                </pic:pic>
              </a:graphicData>
            </a:graphic>
          </wp:inline>
        </w:drawing>
      </w:r>
    </w:p>
    <w:p>
      <w:pPr>
        <w:widowControl w:val="0"/>
        <w:spacing w:line="360" w:lineRule="auto"/>
        <w:jc w:val="center"/>
        <w:rPr>
          <w:rFonts w:eastAsia="黑体"/>
          <w:b/>
          <w:color w:val="auto"/>
          <w:szCs w:val="21"/>
        </w:rPr>
      </w:pPr>
      <w:r>
        <w:rPr>
          <w:rFonts w:hint="eastAsia" w:eastAsia="黑体"/>
          <w:b/>
          <w:color w:val="auto"/>
          <w:szCs w:val="21"/>
        </w:rPr>
        <w:t>图5.2</w:t>
      </w:r>
      <w:r>
        <w:rPr>
          <w:rFonts w:eastAsia="黑体"/>
          <w:b/>
          <w:color w:val="auto"/>
          <w:szCs w:val="21"/>
        </w:rPr>
        <w:t>-1</w:t>
      </w:r>
      <w:r>
        <w:rPr>
          <w:rFonts w:hint="eastAsia" w:eastAsia="黑体"/>
          <w:b/>
          <w:color w:val="auto"/>
          <w:szCs w:val="21"/>
          <w:lang w:val="en-US" w:eastAsia="zh-CN"/>
        </w:rPr>
        <w:t xml:space="preserve"> </w:t>
      </w:r>
      <w:r>
        <w:rPr>
          <w:rFonts w:hint="eastAsia" w:eastAsia="黑体"/>
          <w:b/>
          <w:color w:val="auto"/>
          <w:szCs w:val="21"/>
        </w:rPr>
        <w:t xml:space="preserve"> 数学模型计算网格图</w:t>
      </w:r>
    </w:p>
    <w:p>
      <w:pPr>
        <w:widowControl w:val="0"/>
        <w:spacing w:line="360" w:lineRule="auto"/>
        <w:jc w:val="center"/>
        <w:rPr>
          <w:rFonts w:eastAsia="黑体"/>
          <w:b/>
          <w:color w:val="auto"/>
          <w:szCs w:val="21"/>
        </w:rPr>
        <w:sectPr>
          <w:headerReference r:id="rId19" w:type="default"/>
          <w:pgSz w:w="16838" w:h="11906" w:orient="landscape"/>
          <w:pgMar w:top="1474" w:right="1361" w:bottom="1474" w:left="1361"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117"/>
        <w:jc w:val="center"/>
        <w:rPr>
          <w:color w:val="auto"/>
        </w:rPr>
      </w:pPr>
      <w:r>
        <w:rPr>
          <w:color w:val="auto"/>
        </w:rPr>
        <w:drawing>
          <wp:inline distT="0" distB="0" distL="0" distR="0">
            <wp:extent cx="5179060" cy="4747895"/>
            <wp:effectExtent l="0" t="0" r="2540" b="14605"/>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179060" cy="4747895"/>
                    </a:xfrm>
                    <a:prstGeom prst="rect">
                      <a:avLst/>
                    </a:prstGeom>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图5.2-2 </w:t>
      </w:r>
      <w:r>
        <w:rPr>
          <w:rFonts w:hint="eastAsia" w:eastAsia="黑体"/>
          <w:b/>
          <w:color w:val="auto"/>
          <w:szCs w:val="21"/>
          <w:lang w:val="en-US" w:eastAsia="zh-CN"/>
        </w:rPr>
        <w:t xml:space="preserve"> </w:t>
      </w:r>
      <w:r>
        <w:rPr>
          <w:rFonts w:hint="eastAsia" w:eastAsia="黑体"/>
          <w:b/>
          <w:color w:val="auto"/>
          <w:szCs w:val="21"/>
        </w:rPr>
        <w:t>水文测验断面</w:t>
      </w: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rPr>
          <w:color w:val="auto"/>
        </w:rPr>
      </w:pPr>
    </w:p>
    <w:p>
      <w:pPr>
        <w:pStyle w:val="117"/>
        <w:jc w:val="center"/>
        <w:rPr>
          <w:color w:val="auto"/>
        </w:rPr>
      </w:pPr>
      <w:r>
        <w:rPr>
          <w:color w:val="auto"/>
        </w:rPr>
        <w:drawing>
          <wp:inline distT="0" distB="0" distL="0" distR="0">
            <wp:extent cx="5262245" cy="6059805"/>
            <wp:effectExtent l="0" t="0" r="14605" b="1714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201" cstate="print">
                      <a:extLst>
                        <a:ext uri="{28A0092B-C50C-407E-A947-70E740481C1C}">
                          <a14:useLocalDpi xmlns:a14="http://schemas.microsoft.com/office/drawing/2010/main" val="0"/>
                        </a:ext>
                      </a:extLst>
                    </a:blip>
                    <a:srcRect l="6012" t="14234" r="7173" b="15086"/>
                    <a:stretch>
                      <a:fillRect/>
                    </a:stretch>
                  </pic:blipFill>
                  <pic:spPr>
                    <a:xfrm>
                      <a:off x="0" y="0"/>
                      <a:ext cx="5262245" cy="6059805"/>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图5.2-3</w:t>
      </w:r>
      <w:r>
        <w:rPr>
          <w:rFonts w:hint="eastAsia" w:eastAsia="黑体"/>
          <w:b/>
          <w:color w:val="auto"/>
          <w:szCs w:val="21"/>
          <w:lang w:val="en-US" w:eastAsia="zh-CN"/>
        </w:rPr>
        <w:t xml:space="preserve"> </w:t>
      </w:r>
      <w:r>
        <w:rPr>
          <w:rFonts w:hint="eastAsia" w:eastAsia="黑体"/>
          <w:b/>
          <w:color w:val="auto"/>
          <w:szCs w:val="21"/>
        </w:rPr>
        <w:t xml:space="preserve"> 断面流速分布率定图</w:t>
      </w:r>
    </w:p>
    <w:p>
      <w:pPr>
        <w:pStyle w:val="117"/>
        <w:jc w:val="center"/>
        <w:rPr>
          <w:color w:val="auto"/>
        </w:rPr>
      </w:pPr>
      <w:r>
        <w:rPr>
          <w:color w:val="auto"/>
        </w:rPr>
        <w:drawing>
          <wp:inline distT="0" distB="0" distL="0" distR="0">
            <wp:extent cx="3250565" cy="8464550"/>
            <wp:effectExtent l="0" t="0" r="6985" b="1270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202" cstate="print">
                      <a:extLst>
                        <a:ext uri="{28A0092B-C50C-407E-A947-70E740481C1C}">
                          <a14:useLocalDpi xmlns:a14="http://schemas.microsoft.com/office/drawing/2010/main" val="0"/>
                        </a:ext>
                      </a:extLst>
                    </a:blip>
                    <a:srcRect l="24001" t="8525" r="31123" b="8904"/>
                    <a:stretch>
                      <a:fillRect/>
                    </a:stretch>
                  </pic:blipFill>
                  <pic:spPr>
                    <a:xfrm>
                      <a:off x="0" y="0"/>
                      <a:ext cx="3250565" cy="8464550"/>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图5.2-4</w:t>
      </w:r>
      <w:r>
        <w:rPr>
          <w:rFonts w:hint="eastAsia" w:eastAsia="黑体"/>
          <w:b/>
          <w:color w:val="auto"/>
          <w:szCs w:val="21"/>
          <w:lang w:val="en-US" w:eastAsia="zh-CN"/>
        </w:rPr>
        <w:t xml:space="preserve"> </w:t>
      </w:r>
      <w:r>
        <w:rPr>
          <w:rFonts w:hint="eastAsia" w:eastAsia="黑体"/>
          <w:b/>
          <w:color w:val="auto"/>
          <w:szCs w:val="21"/>
        </w:rPr>
        <w:t xml:space="preserve"> 断面流速分布验证图</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eastAsia="仿宋_GB2312" w:cs="Times New Roman"/>
          <w:bCs w:val="0"/>
          <w:snapToGrid/>
          <w:color w:val="auto"/>
          <w:kern w:val="2"/>
          <w:sz w:val="24"/>
          <w:szCs w:val="24"/>
          <w:lang w:val="en-US" w:eastAsia="zh-CN" w:bidi="ar-SA"/>
        </w:rPr>
        <w:t>（4）</w:t>
      </w:r>
      <w:r>
        <w:rPr>
          <w:rFonts w:hint="eastAsia" w:ascii="Times New Roman" w:hAnsi="Times New Roman" w:eastAsia="仿宋_GB2312" w:cs="Times New Roman"/>
          <w:bCs w:val="0"/>
          <w:snapToGrid/>
          <w:color w:val="auto"/>
          <w:kern w:val="2"/>
          <w:sz w:val="24"/>
          <w:szCs w:val="24"/>
          <w:lang w:val="en-US" w:eastAsia="zh-CN" w:bidi="ar-SA"/>
        </w:rPr>
        <w:t>工程影响分析</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二维数模工程影响计算条件包括工程影响计算所采用的水流条件和码头布置方案。工程影响计算边界条件为：进口给定流量、出口给定水位。水文情势变化计算主要参、系数的取值与二维数模率定计算的取值相同。工程兴建后，主要通过改变工程局部河道地形和局部糙率来反映拟建工程对河道水位和流速的影响。</w:t>
      </w:r>
    </w:p>
    <w:p>
      <w:pPr>
        <w:pStyle w:val="2657"/>
        <w:rPr>
          <w:rFonts w:hint="eastAsia" w:ascii="Times New Roman" w:hAnsi="Times New Roman" w:eastAsia="仿宋_GB2312" w:cs="Times New Roman"/>
          <w:bCs w:val="0"/>
          <w:snapToGrid/>
          <w:color w:val="auto"/>
          <w:kern w:val="2"/>
          <w:sz w:val="24"/>
          <w:szCs w:val="24"/>
          <w:lang w:val="en-US" w:eastAsia="zh-CN" w:bidi="ar-SA"/>
        </w:rPr>
      </w:pPr>
      <w:bookmarkStart w:id="401" w:name="_Toc84949165"/>
      <w:r>
        <w:rPr>
          <w:rFonts w:hint="eastAsia" w:ascii="Times New Roman" w:hAnsi="Times New Roman" w:eastAsia="仿宋_GB2312" w:cs="Times New Roman"/>
          <w:bCs w:val="0"/>
          <w:snapToGrid/>
          <w:color w:val="auto"/>
          <w:kern w:val="2"/>
          <w:sz w:val="24"/>
          <w:szCs w:val="24"/>
          <w:lang w:val="en-US" w:eastAsia="zh-CN" w:bidi="ar-SA"/>
        </w:rPr>
        <w:t>1）工程计算条件</w:t>
      </w:r>
      <w:bookmarkEnd w:id="401"/>
    </w:p>
    <w:p>
      <w:pPr>
        <w:pStyle w:val="2657"/>
        <w:rPr>
          <w:rFonts w:hint="eastAsia" w:ascii="Times New Roman" w:hAnsi="Times New Roman" w:eastAsia="仿宋_GB2312" w:cs="Times New Roman"/>
          <w:bCs w:val="0"/>
          <w:snapToGrid/>
          <w:color w:val="auto"/>
          <w:kern w:val="2"/>
          <w:sz w:val="24"/>
          <w:szCs w:val="24"/>
          <w:lang w:val="en-US" w:eastAsia="zh-CN" w:bidi="ar-SA"/>
        </w:rPr>
      </w:pPr>
      <w:bookmarkStart w:id="402" w:name="_Toc84949166"/>
      <w:bookmarkStart w:id="403" w:name="_Toc63743076"/>
      <w:bookmarkStart w:id="404" w:name="_Toc65746593"/>
      <w:bookmarkStart w:id="405" w:name="_Toc65582298"/>
      <w:bookmarkStart w:id="406" w:name="_Toc58834510"/>
      <w:bookmarkStart w:id="407" w:name="_Toc65582884"/>
      <w:bookmarkStart w:id="408" w:name="_Toc66072804"/>
      <w:bookmarkStart w:id="409" w:name="_Toc65746463"/>
      <w:r>
        <w:rPr>
          <w:rFonts w:hint="eastAsia" w:ascii="Times New Roman" w:hAnsi="Times New Roman" w:eastAsia="仿宋_GB2312" w:cs="Times New Roman"/>
          <w:bCs w:val="0"/>
          <w:snapToGrid/>
          <w:color w:val="auto"/>
          <w:kern w:val="2"/>
          <w:sz w:val="24"/>
          <w:szCs w:val="24"/>
          <w:lang w:val="en-US" w:eastAsia="zh-CN" w:bidi="ar-SA"/>
        </w:rPr>
        <w:t>为较全面的分析不同流量级下工程实施对防洪及河势的影响，选取防洪设计流量和平滩流量2组流量级进行计算，模型计算水文条件如表5.2-4所示。</w:t>
      </w:r>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4</w:t>
      </w:r>
      <w:r>
        <w:rPr>
          <w:rFonts w:hint="eastAsia" w:eastAsia="黑体"/>
          <w:b/>
          <w:color w:val="auto"/>
          <w:szCs w:val="21"/>
          <w:lang w:val="en-US" w:eastAsia="zh-CN"/>
        </w:rPr>
        <w:t xml:space="preserve">  </w:t>
      </w:r>
      <w:r>
        <w:rPr>
          <w:rFonts w:eastAsia="黑体"/>
          <w:b/>
          <w:color w:val="auto"/>
          <w:szCs w:val="21"/>
        </w:rPr>
        <w:t>数学模型计算水文条件表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2764"/>
        <w:gridCol w:w="2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trPr>
        <w:tc>
          <w:tcPr>
            <w:tcW w:w="1791"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计算水文条件</w:t>
            </w:r>
          </w:p>
        </w:tc>
        <w:tc>
          <w:tcPr>
            <w:tcW w:w="1622"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进口流量（m</w:t>
            </w:r>
            <w:r>
              <w:rPr>
                <w:rFonts w:hint="eastAsia"/>
                <w:b w:val="0"/>
                <w:bCs/>
                <w:color w:val="auto"/>
                <w:kern w:val="0"/>
                <w:sz w:val="20"/>
                <w:vertAlign w:val="superscript"/>
                <w:lang w:val="en-US" w:eastAsia="zh-CN"/>
              </w:rPr>
              <w:t>3</w:t>
            </w:r>
            <w:r>
              <w:rPr>
                <w:rFonts w:hint="eastAsia"/>
                <w:b w:val="0"/>
                <w:bCs/>
                <w:color w:val="auto"/>
                <w:kern w:val="0"/>
                <w:sz w:val="20"/>
                <w:lang w:val="en-US" w:eastAsia="zh-CN"/>
              </w:rPr>
              <w:t>/s）</w:t>
            </w:r>
          </w:p>
        </w:tc>
        <w:tc>
          <w:tcPr>
            <w:tcW w:w="1585" w:type="pct"/>
            <w:tcBorders>
              <w:tl2br w:val="nil"/>
              <w:tr2bl w:val="nil"/>
            </w:tcBorders>
            <w:vAlign w:val="center"/>
          </w:tcPr>
          <w:p>
            <w:pPr>
              <w:widowControl w:val="0"/>
              <w:jc w:val="center"/>
              <w:rPr>
                <w:rFonts w:hint="eastAsia"/>
                <w:b w:val="0"/>
                <w:bCs/>
                <w:color w:val="auto"/>
                <w:kern w:val="0"/>
                <w:sz w:val="20"/>
                <w:lang w:val="en-US" w:eastAsia="zh-CN"/>
              </w:rPr>
            </w:pPr>
            <w:r>
              <w:rPr>
                <w:rFonts w:hint="eastAsia"/>
                <w:b w:val="0"/>
                <w:bCs/>
                <w:color w:val="auto"/>
                <w:kern w:val="0"/>
                <w:sz w:val="20"/>
                <w:lang w:val="en-US" w:eastAsia="zh-CN"/>
              </w:rPr>
              <w:t>出口水位（m）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91"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防洪设计流量</w:t>
            </w:r>
          </w:p>
        </w:tc>
        <w:tc>
          <w:tcPr>
            <w:tcW w:w="1622"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56700</w:t>
            </w:r>
          </w:p>
        </w:tc>
        <w:tc>
          <w:tcPr>
            <w:tcW w:w="1585"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91"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平滩流量</w:t>
            </w:r>
          </w:p>
        </w:tc>
        <w:tc>
          <w:tcPr>
            <w:tcW w:w="1622"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30000</w:t>
            </w:r>
          </w:p>
        </w:tc>
        <w:tc>
          <w:tcPr>
            <w:tcW w:w="1585" w:type="pct"/>
            <w:tcBorders>
              <w:tl2br w:val="nil"/>
              <w:tr2bl w:val="nil"/>
            </w:tcBorders>
            <w:vAlign w:val="center"/>
          </w:tcPr>
          <w:p>
            <w:pPr>
              <w:widowControl w:val="0"/>
              <w:jc w:val="center"/>
              <w:rPr>
                <w:rFonts w:hint="eastAsia"/>
                <w:bCs/>
                <w:color w:val="auto"/>
                <w:kern w:val="0"/>
                <w:sz w:val="20"/>
                <w:lang w:val="en-US" w:eastAsia="zh-CN"/>
              </w:rPr>
            </w:pPr>
            <w:r>
              <w:rPr>
                <w:rFonts w:hint="eastAsia"/>
                <w:bCs/>
                <w:color w:val="auto"/>
                <w:kern w:val="0"/>
                <w:sz w:val="20"/>
                <w:lang w:val="en-US" w:eastAsia="zh-CN"/>
              </w:rPr>
              <w:t>43.0</w:t>
            </w:r>
          </w:p>
        </w:tc>
      </w:tr>
    </w:tbl>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2）工程概化</w:t>
      </w:r>
      <w:bookmarkEnd w:id="402"/>
      <w:bookmarkEnd w:id="403"/>
      <w:bookmarkEnd w:id="404"/>
      <w:bookmarkEnd w:id="405"/>
      <w:bookmarkEnd w:id="406"/>
      <w:bookmarkEnd w:id="407"/>
      <w:bookmarkEnd w:id="408"/>
      <w:bookmarkEnd w:id="409"/>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本工程阻水建筑物主要包括拟建码头趸船等。为使数学模型计算能反映工程对河道水流的影响，一方面在网格划分时尽可能反映工程局部情况，另一方面则采用概化处理方法来反映工程对河道的影响。工程概化的基本原则是计算结果偏于安全，主要方法有局部地形修正和局部糙率修正。</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①地形修正</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当建筑物尺寸大于或与网格尺寸相当时，可直接根据建筑物高度来修改相应网格节点的河底高程。当建筑物尺寸相对网格尺寸较小时，假定建筑物的阻水面积与河底高程增加值所产生的阻水面积相等，根据换算得到的河底高程增加值来修正工程局部附近网格节点的河底高程。</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②局部糙率修正</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局部加糙是指增大工程附近的二维计算网格节点的糙率，以反映出工程兴建后，对河道的阻水影响。</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对建筑物的阻力进行了概化处理，其局部水头损失系数计算公式为</w:t>
      </w:r>
    </w:p>
    <w:p>
      <w:pPr>
        <w:adjustRightInd w:val="0"/>
        <w:snapToGrid w:val="0"/>
        <w:spacing w:line="360" w:lineRule="auto"/>
        <w:ind w:firstLine="480" w:firstLineChars="200"/>
        <w:jc w:val="center"/>
        <w:rPr>
          <w:color w:val="auto"/>
          <w:sz w:val="24"/>
        </w:rPr>
      </w:pPr>
      <w:r>
        <w:rPr>
          <w:color w:val="auto"/>
          <w:sz w:val="24"/>
        </w:rPr>
        <w:object>
          <v:shape id="_x0000_i1102" o:spt="75" type="#_x0000_t75" style="height:35.7pt;width:77.75pt;" o:ole="t" filled="f" o:preferrelative="t" stroked="f" coordsize="21600,21600">
            <v:path/>
            <v:fill on="f" focussize="0,0"/>
            <v:stroke on="f" joinstyle="miter"/>
            <v:imagedata r:id="rId204" o:title=""/>
            <o:lock v:ext="edit" aspectratio="t"/>
            <w10:wrap type="none"/>
            <w10:anchorlock/>
          </v:shape>
          <o:OLEObject Type="Embed" ProgID="Equation.3" ShapeID="_x0000_i1102" DrawAspect="Content" ObjectID="_1468075802" r:id="rId203">
            <o:LockedField>false</o:LockedField>
          </o:OLEObject>
        </w:objec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式中：A</w:t>
      </w:r>
      <w:r>
        <w:rPr>
          <w:rFonts w:hint="eastAsia" w:ascii="Times New Roman" w:hAnsi="Times New Roman" w:eastAsia="仿宋_GB2312" w:cs="Times New Roman"/>
          <w:bCs w:val="0"/>
          <w:snapToGrid/>
          <w:color w:val="auto"/>
          <w:kern w:val="2"/>
          <w:sz w:val="24"/>
          <w:szCs w:val="24"/>
          <w:vertAlign w:val="subscript"/>
          <w:lang w:val="en-US" w:eastAsia="zh-CN" w:bidi="ar-SA"/>
        </w:rPr>
        <w:t>1</w:t>
      </w:r>
      <w:r>
        <w:rPr>
          <w:rFonts w:hint="eastAsia" w:ascii="Times New Roman" w:hAnsi="Times New Roman" w:eastAsia="仿宋_GB2312" w:cs="Times New Roman"/>
          <w:bCs w:val="0"/>
          <w:snapToGrid/>
          <w:color w:val="auto"/>
          <w:kern w:val="2"/>
          <w:sz w:val="24"/>
          <w:szCs w:val="24"/>
          <w:lang w:val="en-US" w:eastAsia="zh-CN" w:bidi="ar-SA"/>
        </w:rPr>
        <w:t>，A</w:t>
      </w:r>
      <w:r>
        <w:rPr>
          <w:rFonts w:hint="eastAsia" w:ascii="Times New Roman" w:hAnsi="Times New Roman" w:eastAsia="仿宋_GB2312" w:cs="Times New Roman"/>
          <w:bCs w:val="0"/>
          <w:snapToGrid/>
          <w:color w:val="auto"/>
          <w:kern w:val="2"/>
          <w:sz w:val="24"/>
          <w:szCs w:val="24"/>
          <w:vertAlign w:val="subscript"/>
          <w:lang w:val="en-US" w:eastAsia="zh-CN" w:bidi="ar-SA"/>
        </w:rPr>
        <w:t>2</w:t>
      </w:r>
      <w:r>
        <w:rPr>
          <w:rFonts w:hint="eastAsia" w:ascii="Times New Roman" w:hAnsi="Times New Roman" w:eastAsia="仿宋_GB2312" w:cs="Times New Roman"/>
          <w:bCs w:val="0"/>
          <w:snapToGrid/>
          <w:color w:val="auto"/>
          <w:kern w:val="2"/>
          <w:sz w:val="24"/>
          <w:szCs w:val="24"/>
          <w:lang w:val="en-US" w:eastAsia="zh-CN" w:bidi="ar-SA"/>
        </w:rPr>
        <w:t>为工程前后过水断面面积。</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按以下公式将建筑物的局部水头损失系数</w:t>
      </w:r>
      <w:r>
        <w:rPr>
          <w:rFonts w:hint="eastAsia" w:ascii="Times New Roman" w:hAnsi="Times New Roman" w:eastAsia="仿宋_GB2312" w:cs="Times New Roman"/>
          <w:bCs w:val="0"/>
          <w:snapToGrid/>
          <w:color w:val="auto"/>
          <w:kern w:val="2"/>
          <w:sz w:val="24"/>
          <w:szCs w:val="24"/>
          <w:lang w:val="en-US" w:eastAsia="zh-CN" w:bidi="ar-SA"/>
        </w:rPr>
        <w:object>
          <v:shape id="_x0000_i1103" o:spt="75" type="#_x0000_t75" style="height:15.55pt;width:11.5pt;" o:ole="t" filled="f" o:preferrelative="t" stroked="f" coordsize="21600,21600">
            <v:path/>
            <v:fill on="f" focussize="0,0"/>
            <v:stroke on="f" joinstyle="miter"/>
            <v:imagedata r:id="rId205" o:title=""/>
            <o:lock v:ext="edit" aspectratio="t"/>
            <w10:wrap type="none"/>
            <w10:anchorlock/>
          </v:shape>
          <o:OLEObject Type="Embed" ProgID="Equation.DSMT4" ShapeID="_x0000_i1103" DrawAspect="Content" ObjectID="_1468075803">
            <o:LockedField>false</o:LockedField>
          </o:OLEObject>
        </w:object>
      </w:r>
      <w:r>
        <w:rPr>
          <w:rFonts w:hint="eastAsia" w:ascii="Times New Roman" w:hAnsi="Times New Roman" w:eastAsia="仿宋_GB2312" w:cs="Times New Roman"/>
          <w:bCs w:val="0"/>
          <w:snapToGrid/>
          <w:color w:val="auto"/>
          <w:kern w:val="2"/>
          <w:sz w:val="24"/>
          <w:szCs w:val="24"/>
          <w:lang w:val="en-US" w:eastAsia="zh-CN" w:bidi="ar-SA"/>
        </w:rPr>
        <w:t>转换成建筑物的局部糙率：</w:t>
      </w:r>
    </w:p>
    <w:p>
      <w:pPr>
        <w:adjustRightInd w:val="0"/>
        <w:snapToGrid w:val="0"/>
        <w:spacing w:line="360" w:lineRule="auto"/>
        <w:ind w:firstLine="480" w:firstLineChars="200"/>
        <w:jc w:val="center"/>
        <w:rPr>
          <w:color w:val="auto"/>
          <w:sz w:val="24"/>
        </w:rPr>
      </w:pPr>
      <w:r>
        <w:rPr>
          <w:color w:val="auto"/>
          <w:sz w:val="24"/>
        </w:rPr>
        <w:object>
          <v:shape id="_x0000_i1104" o:spt="75" type="#_x0000_t75" style="height:23.05pt;width:162.45pt;" o:ole="t" filled="f" o:preferrelative="t" stroked="f" coordsize="21600,21600">
            <v:path/>
            <v:fill on="f" focussize="0,0"/>
            <v:stroke on="f" joinstyle="miter"/>
            <v:imagedata r:id="rId207" o:title=""/>
            <o:lock v:ext="edit" aspectratio="t"/>
            <w10:wrap type="none"/>
            <w10:anchorlock/>
          </v:shape>
          <o:OLEObject Type="Embed" ProgID="Equation.3" ShapeID="_x0000_i1104" DrawAspect="Content" ObjectID="_1468075804" r:id="rId206">
            <o:LockedField>false</o:LockedField>
          </o:OLEObject>
        </w:objec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式中：h为建筑物以外的河道水深。</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由此可合成加糙率处理后工程区域河道的综合糙率为：</w:t>
      </w:r>
    </w:p>
    <w:p>
      <w:pPr>
        <w:adjustRightInd w:val="0"/>
        <w:snapToGrid w:val="0"/>
        <w:spacing w:line="360" w:lineRule="auto"/>
        <w:ind w:firstLine="480" w:firstLineChars="200"/>
        <w:jc w:val="center"/>
        <w:rPr>
          <w:color w:val="auto"/>
          <w:sz w:val="24"/>
        </w:rPr>
      </w:pPr>
      <w:r>
        <w:rPr>
          <w:color w:val="auto"/>
          <w:sz w:val="24"/>
        </w:rPr>
        <w:object>
          <v:shape id="_x0000_i1105" o:spt="75" type="#_x0000_t75" style="height:23.05pt;width:157.25pt;" o:ole="t" filled="f" o:preferrelative="t" stroked="f" coordsize="21600,21600">
            <v:path/>
            <v:fill on="f" focussize="0,0"/>
            <v:stroke on="f" joinstyle="miter"/>
            <v:imagedata r:id="rId209" o:title=""/>
            <o:lock v:ext="edit" aspectratio="t"/>
            <w10:wrap type="none"/>
            <w10:anchorlock/>
          </v:shape>
          <o:OLEObject Type="Embed" ProgID="Equation.3" ShapeID="_x0000_i1105" DrawAspect="Content" ObjectID="_1468075805" r:id="rId208">
            <o:LockedField>false</o:LockedField>
          </o:OLEObject>
        </w:objec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计算得到工程后桩基附近局部综合糙率为0.04～0.06。</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通过以往的工程实践表明，以上概化能较好反映码头等工程对河道水位流场的影响。</w:t>
      </w:r>
    </w:p>
    <w:p>
      <w:pPr>
        <w:pStyle w:val="2657"/>
        <w:rPr>
          <w:rFonts w:hint="eastAsia" w:ascii="Times New Roman" w:hAnsi="Times New Roman" w:eastAsia="仿宋_GB2312" w:cs="Times New Roman"/>
          <w:bCs w:val="0"/>
          <w:snapToGrid/>
          <w:color w:val="auto"/>
          <w:kern w:val="2"/>
          <w:sz w:val="24"/>
          <w:szCs w:val="24"/>
          <w:lang w:val="en-US" w:eastAsia="zh-CN" w:bidi="ar-SA"/>
        </w:rPr>
      </w:pPr>
      <w:bookmarkStart w:id="410" w:name="_Toc84949167"/>
      <w:r>
        <w:rPr>
          <w:rFonts w:hint="eastAsia" w:ascii="Times New Roman" w:hAnsi="Times New Roman" w:eastAsia="仿宋_GB2312" w:cs="Times New Roman"/>
          <w:bCs w:val="0"/>
          <w:snapToGrid/>
          <w:color w:val="auto"/>
          <w:kern w:val="2"/>
          <w:sz w:val="24"/>
          <w:szCs w:val="24"/>
          <w:lang w:val="en-US" w:eastAsia="zh-CN" w:bidi="ar-SA"/>
        </w:rPr>
        <w:t>3）工程影响分析</w:t>
      </w:r>
      <w:bookmarkEnd w:id="410"/>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①拟建工程阻水面积分析</w:t>
      </w:r>
    </w:p>
    <w:p>
      <w:pPr>
        <w:pStyle w:val="2657"/>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工程实施后，将占用一定河道空间，对河道过洪能力产生了一定的影响。本工程中，阻水建筑物主要是桩基、码头平台较低的部位、趸船及部分架空斜坡道。不同计算水文条件下拟建工程的阻水率如表5.2-5所示。可见，工程实施对河道行洪影响很小。</w:t>
      </w:r>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 xml:space="preserve">5 </w:t>
      </w:r>
      <w:r>
        <w:rPr>
          <w:rFonts w:hint="eastAsia" w:eastAsia="黑体"/>
          <w:b/>
          <w:color w:val="auto"/>
          <w:szCs w:val="21"/>
          <w:lang w:val="en-US" w:eastAsia="zh-CN"/>
        </w:rPr>
        <w:t xml:space="preserve"> </w:t>
      </w:r>
      <w:r>
        <w:rPr>
          <w:rFonts w:eastAsia="黑体"/>
          <w:b/>
          <w:color w:val="auto"/>
          <w:szCs w:val="21"/>
        </w:rPr>
        <w:t>不同水文条件下拟建工程阻水率</w:t>
      </w:r>
    </w:p>
    <w:tbl>
      <w:tblPr>
        <w:tblStyle w:val="9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2"/>
        <w:gridCol w:w="1903"/>
        <w:gridCol w:w="989"/>
        <w:gridCol w:w="974"/>
        <w:gridCol w:w="944"/>
        <w:gridCol w:w="899"/>
        <w:gridCol w:w="914"/>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75" w:type="pct"/>
            <w:gridSpan w:val="2"/>
            <w:tcBorders>
              <w:bottom w:val="single" w:color="auto" w:sz="12" w:space="0"/>
            </w:tcBorders>
            <w:noWrap/>
            <w:vAlign w:val="center"/>
          </w:tcPr>
          <w:p>
            <w:pPr>
              <w:widowControl/>
              <w:ind w:firstLine="422"/>
              <w:jc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断面</w:t>
            </w:r>
          </w:p>
        </w:tc>
        <w:tc>
          <w:tcPr>
            <w:tcW w:w="1152" w:type="pct"/>
            <w:gridSpan w:val="2"/>
            <w:tcBorders>
              <w:bottom w:val="single" w:color="auto" w:sz="12" w:space="0"/>
            </w:tcBorders>
            <w:noWrap/>
            <w:vAlign w:val="center"/>
          </w:tcPr>
          <w:p>
            <w:pPr>
              <w:widowControl/>
              <w:jc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1#撑杆墩所在断面</w:t>
            </w:r>
          </w:p>
        </w:tc>
        <w:tc>
          <w:tcPr>
            <w:tcW w:w="1081" w:type="pct"/>
            <w:gridSpan w:val="2"/>
            <w:tcBorders>
              <w:bottom w:val="single" w:color="auto" w:sz="12" w:space="0"/>
            </w:tcBorders>
            <w:vAlign w:val="center"/>
          </w:tcPr>
          <w:p>
            <w:pPr>
              <w:widowControl/>
              <w:jc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1#泊位所在断面</w:t>
            </w:r>
          </w:p>
        </w:tc>
        <w:tc>
          <w:tcPr>
            <w:tcW w:w="1090" w:type="pct"/>
            <w:gridSpan w:val="2"/>
            <w:tcBorders>
              <w:bottom w:val="single" w:color="auto" w:sz="12" w:space="0"/>
            </w:tcBorders>
            <w:vAlign w:val="center"/>
          </w:tcPr>
          <w:p>
            <w:pPr>
              <w:widowControl/>
              <w:jc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2#泊位所在断面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75" w:type="pct"/>
            <w:gridSpan w:val="2"/>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计算水文条件</w:t>
            </w:r>
          </w:p>
        </w:tc>
        <w:tc>
          <w:tcPr>
            <w:tcW w:w="580"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防洪设计流量</w:t>
            </w:r>
          </w:p>
        </w:tc>
        <w:tc>
          <w:tcPr>
            <w:tcW w:w="571"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平滩流量</w:t>
            </w:r>
          </w:p>
        </w:tc>
        <w:tc>
          <w:tcPr>
            <w:tcW w:w="554" w:type="pct"/>
            <w:tcBorders>
              <w:top w:val="single" w:color="auto" w:sz="12" w:space="0"/>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防洪设计流量</w:t>
            </w:r>
          </w:p>
        </w:tc>
        <w:tc>
          <w:tcPr>
            <w:tcW w:w="527" w:type="pct"/>
            <w:tcBorders>
              <w:top w:val="single" w:color="auto" w:sz="12" w:space="0"/>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平滩流量</w:t>
            </w:r>
          </w:p>
        </w:tc>
        <w:tc>
          <w:tcPr>
            <w:tcW w:w="536" w:type="pct"/>
            <w:tcBorders>
              <w:top w:val="single" w:color="auto" w:sz="12" w:space="0"/>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防洪设计流量</w:t>
            </w:r>
          </w:p>
        </w:tc>
        <w:tc>
          <w:tcPr>
            <w:tcW w:w="554" w:type="pct"/>
            <w:tcBorders>
              <w:top w:val="single" w:color="auto" w:sz="12" w:space="0"/>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平滩流量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restar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过水面积</w:t>
            </w: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工程前（m</w:t>
            </w:r>
            <w:r>
              <w:rPr>
                <w:rFonts w:hint="default" w:ascii="Times New Roman" w:hAnsi="Times New Roman" w:cs="Times New Roman" w:eastAsiaTheme="minorEastAsia"/>
                <w:color w:val="auto"/>
                <w:kern w:val="0"/>
                <w:sz w:val="20"/>
                <w:szCs w:val="20"/>
                <w:vertAlign w:val="superscript"/>
              </w:rPr>
              <w:t>2</w:t>
            </w:r>
            <w:r>
              <w:rPr>
                <w:rFonts w:hint="default" w:ascii="Times New Roman" w:hAnsi="Times New Roman" w:cs="Times New Roman" w:eastAsiaTheme="minorEastAsia"/>
                <w:color w:val="auto"/>
                <w:kern w:val="0"/>
                <w:sz w:val="20"/>
                <w:szCs w:val="20"/>
              </w:rPr>
              <w:t>）</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40560</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27522</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40558</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27500</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40687</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27475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工程后（m</w:t>
            </w:r>
            <w:r>
              <w:rPr>
                <w:rFonts w:hint="default" w:ascii="Times New Roman" w:hAnsi="Times New Roman" w:cs="Times New Roman" w:eastAsiaTheme="minorEastAsia"/>
                <w:color w:val="auto"/>
                <w:kern w:val="0"/>
                <w:sz w:val="20"/>
                <w:szCs w:val="20"/>
                <w:vertAlign w:val="superscript"/>
              </w:rPr>
              <w:t>2</w:t>
            </w:r>
            <w:r>
              <w:rPr>
                <w:rFonts w:hint="default" w:ascii="Times New Roman" w:hAnsi="Times New Roman" w:cs="Times New Roman" w:eastAsiaTheme="minorEastAsia"/>
                <w:color w:val="auto"/>
                <w:kern w:val="0"/>
                <w:sz w:val="20"/>
                <w:szCs w:val="20"/>
              </w:rPr>
              <w:t>）</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40531</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27498.2</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rPr>
              <w:t>40519.7</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27476.6</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40663.6</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27451.6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过水面积变化（m</w:t>
            </w:r>
            <w:r>
              <w:rPr>
                <w:rFonts w:hint="default" w:ascii="Times New Roman" w:hAnsi="Times New Roman" w:cs="Times New Roman" w:eastAsiaTheme="minorEastAsia"/>
                <w:color w:val="auto"/>
                <w:kern w:val="0"/>
                <w:sz w:val="20"/>
                <w:szCs w:val="20"/>
                <w:vertAlign w:val="superscript"/>
              </w:rPr>
              <w:t>2</w:t>
            </w:r>
            <w:r>
              <w:rPr>
                <w:rFonts w:hint="default" w:ascii="Times New Roman" w:hAnsi="Times New Roman" w:cs="Times New Roman" w:eastAsiaTheme="minorEastAsia"/>
                <w:color w:val="auto"/>
                <w:kern w:val="0"/>
                <w:sz w:val="20"/>
                <w:szCs w:val="20"/>
              </w:rPr>
              <w:t>）</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29</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23.8</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rPr>
              <w:t>38.3</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23.4</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23.4</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占比（%）</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0.07</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0.09</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0.09</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0.09</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0.06</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restar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断面平均流速</w:t>
            </w: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工程前（m/s）</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1.37274</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1.06700</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1.43372</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lang w:bidi="ar"/>
              </w:rPr>
              <w:t>1.07616</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1.40010</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1.02604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工程后（m/s）</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1.37210</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1.06697</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1.43376</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lang w:bidi="ar"/>
              </w:rPr>
              <w:t>1.07619</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1.40018</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1.02612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流速变化（m/s）</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0.00064</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0.00003</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0.00004</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lang w:bidi="ar"/>
              </w:rPr>
              <w:t>0.00003</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0.00008</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0.00008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58"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color w:val="auto"/>
                <w:kern w:val="0"/>
                <w:sz w:val="20"/>
                <w:szCs w:val="20"/>
              </w:rPr>
            </w:pPr>
          </w:p>
        </w:tc>
        <w:tc>
          <w:tcPr>
            <w:tcW w:w="1116" w:type="pct"/>
            <w:tcBorders>
              <w:tl2br w:val="nil"/>
              <w:tr2bl w:val="nil"/>
            </w:tcBorders>
            <w:noWrap/>
            <w:vAlign w:val="center"/>
          </w:tcPr>
          <w:p>
            <w:pPr>
              <w:widowControl/>
              <w:jc w:val="center"/>
              <w:textAlignment w:val="center"/>
              <w:rPr>
                <w:rFonts w:hint="default" w:ascii="Times New Roman" w:hAnsi="Times New Roman" w:cs="Times New Roman" w:eastAsiaTheme="minorEastAsia"/>
                <w:color w:val="auto"/>
                <w:kern w:val="0"/>
                <w:sz w:val="20"/>
                <w:szCs w:val="20"/>
              </w:rPr>
            </w:pPr>
            <w:r>
              <w:rPr>
                <w:rFonts w:hint="default" w:ascii="Times New Roman" w:hAnsi="Times New Roman" w:cs="Times New Roman" w:eastAsiaTheme="minorEastAsia"/>
                <w:color w:val="auto"/>
                <w:kern w:val="0"/>
                <w:sz w:val="20"/>
                <w:szCs w:val="20"/>
              </w:rPr>
              <w:t>流速变幅（%）</w:t>
            </w:r>
          </w:p>
        </w:tc>
        <w:tc>
          <w:tcPr>
            <w:tcW w:w="580"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0.047</w:t>
            </w:r>
          </w:p>
        </w:tc>
        <w:tc>
          <w:tcPr>
            <w:tcW w:w="571" w:type="pct"/>
            <w:tcBorders>
              <w:tl2br w:val="nil"/>
              <w:tr2bl w:val="nil"/>
            </w:tcBorders>
            <w:noWrap/>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0.0028</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0.0028</w:t>
            </w:r>
          </w:p>
        </w:tc>
        <w:tc>
          <w:tcPr>
            <w:tcW w:w="527"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rPr>
            </w:pPr>
            <w:r>
              <w:rPr>
                <w:rFonts w:hint="default" w:ascii="Times New Roman" w:hAnsi="Times New Roman" w:eastAsia="仿宋" w:cs="Times New Roman"/>
                <w:color w:val="auto"/>
                <w:kern w:val="0"/>
                <w:sz w:val="20"/>
                <w:szCs w:val="20"/>
              </w:rPr>
              <w:t>0.0027</w:t>
            </w:r>
          </w:p>
        </w:tc>
        <w:tc>
          <w:tcPr>
            <w:tcW w:w="536"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0.0057</w:t>
            </w:r>
          </w:p>
        </w:tc>
        <w:tc>
          <w:tcPr>
            <w:tcW w:w="554" w:type="pct"/>
            <w:tcBorders>
              <w:tl2br w:val="nil"/>
              <w:tr2bl w:val="nil"/>
            </w:tcBorders>
            <w:vAlign w:val="center"/>
          </w:tcPr>
          <w:p>
            <w:pPr>
              <w:widowControl/>
              <w:jc w:val="center"/>
              <w:textAlignment w:val="center"/>
              <w:rPr>
                <w:rFonts w:hint="default" w:ascii="Times New Roman" w:hAnsi="Times New Roman" w:eastAsia="仿宋" w:cs="Times New Roman"/>
                <w:color w:val="auto"/>
                <w:kern w:val="0"/>
                <w:sz w:val="20"/>
                <w:szCs w:val="20"/>
                <w:lang w:bidi="ar"/>
              </w:rPr>
            </w:pPr>
            <w:r>
              <w:rPr>
                <w:rFonts w:hint="default" w:ascii="Times New Roman" w:hAnsi="Times New Roman" w:eastAsia="仿宋" w:cs="Times New Roman"/>
                <w:color w:val="auto"/>
                <w:kern w:val="0"/>
                <w:sz w:val="20"/>
                <w:szCs w:val="20"/>
                <w:lang w:bidi="ar"/>
              </w:rPr>
              <w:t>0.0077</w:t>
            </w:r>
          </w:p>
        </w:tc>
      </w:tr>
    </w:tbl>
    <w:p>
      <w:pPr>
        <w:autoSpaceDE w:val="0"/>
        <w:autoSpaceDN w:val="0"/>
        <w:adjustRightInd w:val="0"/>
        <w:spacing w:line="360" w:lineRule="auto"/>
        <w:ind w:firstLine="561"/>
        <w:jc w:val="left"/>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②工程实施对水位的影响</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图5.2-5和图5.2-6分别为防洪设计流量和平滩流量下工程实施后河段水位变化等值线图。可以看出，工程后水位的变化主要集中在码头平台上下游局部区域，主要表现为码头平台上游水位壅高，下游水位降低，各计算水文条件下的变化范围的幅度都不大。</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防洪设计流量下，工程后码头平台上游壅水，壅水最大值为0.05cm，水位壅高范围（壅高值大于0.01cm的范围）位于拟建工程1#泊位上游29.6m内；工程后码头平台下游水位降低，降低最大值为0.15cm，水位降低范围（降低值大于0.01cm的范围）位于拟建工程2#泊位下游104.9m内。</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平滩流量下，工程后码头平台上游壅水，壅水最大值为0.035cm，水位壅高范围（壅高值大于0.005cm的范围）位于拟建工程1#泊位上游45.5m内；工程后码头平台下游水位降低，降低最大值为0.015cm，水位降低范围（降低值大于0.01cm的范围）位于拟建工程2#泊位下游49.7m内。</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各计算流量下工程后水位变化最大值及水位影响范围统计见表5.2-6所示。</w:t>
      </w:r>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6</w:t>
      </w:r>
      <w:r>
        <w:rPr>
          <w:rFonts w:hint="eastAsia" w:eastAsia="黑体"/>
          <w:b/>
          <w:color w:val="auto"/>
          <w:szCs w:val="21"/>
          <w:lang w:val="en-US" w:eastAsia="zh-CN"/>
        </w:rPr>
        <w:t xml:space="preserve">  </w:t>
      </w:r>
      <w:r>
        <w:rPr>
          <w:rFonts w:eastAsia="黑体"/>
          <w:b/>
          <w:color w:val="auto"/>
          <w:szCs w:val="21"/>
        </w:rPr>
        <w:t>工程后水位变化最大值及水位影响范围统计表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9"/>
        <w:gridCol w:w="1448"/>
        <w:gridCol w:w="1776"/>
        <w:gridCol w:w="1762"/>
        <w:gridCol w:w="1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38" w:type="pct"/>
            <w:vMerge w:val="restart"/>
            <w:shd w:val="clear" w:color="auto" w:fill="auto"/>
            <w:vAlign w:val="center"/>
          </w:tcPr>
          <w:p>
            <w:pPr>
              <w:widowControl/>
              <w:ind w:firstLine="1000" w:firstLineChars="500"/>
              <w:textAlignment w:val="center"/>
              <w:rPr>
                <w:rFonts w:hint="default" w:ascii="Times New Roman" w:hAnsi="Times New Roman" w:cs="Times New Roman" w:eastAsiaTheme="minorEastAsia"/>
                <w:b w:val="0"/>
                <w:bCs w:val="0"/>
                <w:color w:val="auto"/>
                <w:kern w:val="0"/>
                <w:sz w:val="20"/>
                <w:szCs w:val="20"/>
              </w:rPr>
            </w:pPr>
            <w:r>
              <w:rPr>
                <w:b w:val="0"/>
                <w:bCs w:val="0"/>
                <w:color w:val="auto"/>
                <w:sz w:val="20"/>
              </w:rPr>
              <mc:AlternateContent>
                <mc:Choice Requires="wps">
                  <w:drawing>
                    <wp:anchor distT="0" distB="0" distL="114300" distR="114300" simplePos="0" relativeHeight="251674624" behindDoc="0" locked="0" layoutInCell="1" allowOverlap="1">
                      <wp:simplePos x="0" y="0"/>
                      <wp:positionH relativeFrom="column">
                        <wp:posOffset>-73025</wp:posOffset>
                      </wp:positionH>
                      <wp:positionV relativeFrom="paragraph">
                        <wp:posOffset>-3175</wp:posOffset>
                      </wp:positionV>
                      <wp:extent cx="1133475" cy="476250"/>
                      <wp:effectExtent l="1905" t="4445" r="7620" b="14605"/>
                      <wp:wrapNone/>
                      <wp:docPr id="47" name="直接连接符 47"/>
                      <wp:cNvGraphicFramePr/>
                      <a:graphic xmlns:a="http://schemas.openxmlformats.org/drawingml/2006/main">
                        <a:graphicData uri="http://schemas.microsoft.com/office/word/2010/wordprocessingShape">
                          <wps:wsp>
                            <wps:cNvCnPr/>
                            <wps:spPr>
                              <a:xfrm flipH="1" flipV="1">
                                <a:off x="1096645" y="5487670"/>
                                <a:ext cx="1133475" cy="476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5.75pt;margin-top:-0.25pt;height:37.5pt;width:89.25pt;z-index:251674624;mso-width-relative:page;mso-height-relative:page;" filled="f" stroked="t" coordsize="21600,21600" o:gfxdata="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t9IAAAAIAQAADwAAAAAAAAABACAAAAAi&#10;AAAAZHJzL2Rvd25yZXYueG1sUEsBAhQAFAAAAAgAh07iQN6BXDEQAgAA+gMAAA4AAAAAAAAAAQAg&#10;AAAAIQEAAGRycy9lMm9Eb2MueG1sUEsFBgAAAAAGAAYAWQEAAKMFAAAAAA==&#10;">
                      <v:fill on="f" focussize="0,0"/>
                      <v:stroke color="#000000 [3200]" joinstyle="round"/>
                      <v:imagedata o:title=""/>
                      <o:lock v:ext="edit" aspectratio="f"/>
                    </v:line>
                  </w:pict>
                </mc:Fallback>
              </mc:AlternateContent>
            </w:r>
            <w:r>
              <w:rPr>
                <w:rFonts w:hint="default" w:ascii="Times New Roman" w:hAnsi="Times New Roman" w:cs="Times New Roman" w:eastAsiaTheme="minorEastAsia"/>
                <w:b w:val="0"/>
                <w:bCs w:val="0"/>
                <w:color w:val="auto"/>
                <w:kern w:val="0"/>
                <w:sz w:val="20"/>
                <w:szCs w:val="20"/>
              </w:rPr>
              <w:t>项目</w:t>
            </w:r>
          </w:p>
          <w:p>
            <w:pPr>
              <w:widowControl/>
              <w:jc w:val="both"/>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计算条件</w:t>
            </w:r>
          </w:p>
        </w:tc>
        <w:tc>
          <w:tcPr>
            <w:tcW w:w="1892" w:type="pct"/>
            <w:gridSpan w:val="2"/>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水位影响值（cm）</w:t>
            </w:r>
          </w:p>
        </w:tc>
        <w:tc>
          <w:tcPr>
            <w:tcW w:w="2068" w:type="pct"/>
            <w:gridSpan w:val="2"/>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水位变化≥0.01cm范围（m）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38"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850" w:type="pct"/>
            <w:tcBorders>
              <w:bottom w:val="single" w:color="auto" w:sz="12" w:space="0"/>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壅高最大</w:t>
            </w:r>
          </w:p>
        </w:tc>
        <w:tc>
          <w:tcPr>
            <w:tcW w:w="1042" w:type="pct"/>
            <w:tcBorders>
              <w:bottom w:val="single" w:color="auto" w:sz="12" w:space="0"/>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降低最大</w:t>
            </w:r>
          </w:p>
        </w:tc>
        <w:tc>
          <w:tcPr>
            <w:tcW w:w="1034" w:type="pct"/>
            <w:tcBorders>
              <w:bottom w:val="single" w:color="auto" w:sz="12" w:space="0"/>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距1#泊位上游</w:t>
            </w:r>
          </w:p>
        </w:tc>
        <w:tc>
          <w:tcPr>
            <w:tcW w:w="1034" w:type="pct"/>
            <w:tcBorders>
              <w:bottom w:val="single" w:color="auto" w:sz="12" w:space="0"/>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距2#泊位下游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38" w:type="pct"/>
            <w:tcBorders>
              <w:top w:val="single" w:color="auto" w:sz="12" w:space="0"/>
              <w:tl2br w:val="nil"/>
              <w:tr2bl w:val="nil"/>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防洪设计流量</w:t>
            </w:r>
          </w:p>
        </w:tc>
        <w:tc>
          <w:tcPr>
            <w:tcW w:w="850" w:type="pct"/>
            <w:tcBorders>
              <w:top w:val="single" w:color="auto" w:sz="12" w:space="0"/>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0.05</w:t>
            </w:r>
          </w:p>
        </w:tc>
        <w:tc>
          <w:tcPr>
            <w:tcW w:w="1042" w:type="pct"/>
            <w:tcBorders>
              <w:top w:val="single" w:color="auto" w:sz="12" w:space="0"/>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0.15</w:t>
            </w:r>
          </w:p>
        </w:tc>
        <w:tc>
          <w:tcPr>
            <w:tcW w:w="1034" w:type="pct"/>
            <w:tcBorders>
              <w:top w:val="single" w:color="auto" w:sz="12" w:space="0"/>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29.6</w:t>
            </w:r>
          </w:p>
        </w:tc>
        <w:tc>
          <w:tcPr>
            <w:tcW w:w="1034" w:type="pct"/>
            <w:tcBorders>
              <w:top w:val="single" w:color="auto" w:sz="12" w:space="0"/>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104.9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38" w:type="pct"/>
            <w:tcBorders>
              <w:tl2br w:val="nil"/>
              <w:tr2bl w:val="nil"/>
            </w:tcBorders>
            <w:shd w:val="clear" w:color="auto" w:fill="auto"/>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平滩流量</w:t>
            </w:r>
          </w:p>
        </w:tc>
        <w:tc>
          <w:tcPr>
            <w:tcW w:w="850" w:type="pct"/>
            <w:tcBorders>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0.035</w:t>
            </w:r>
          </w:p>
        </w:tc>
        <w:tc>
          <w:tcPr>
            <w:tcW w:w="1042" w:type="pct"/>
            <w:tcBorders>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0.015</w:t>
            </w:r>
          </w:p>
        </w:tc>
        <w:tc>
          <w:tcPr>
            <w:tcW w:w="1034" w:type="pct"/>
            <w:tcBorders>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45.5</w:t>
            </w:r>
          </w:p>
        </w:tc>
        <w:tc>
          <w:tcPr>
            <w:tcW w:w="1034" w:type="pct"/>
            <w:tcBorders>
              <w:tl2br w:val="nil"/>
              <w:tr2bl w:val="nil"/>
            </w:tcBorders>
            <w:shd w:val="clear" w:color="auto" w:fill="auto"/>
            <w:noWrap/>
            <w:vAlign w:val="center"/>
          </w:tcPr>
          <w:p>
            <w:pPr>
              <w:widowControl/>
              <w:jc w:val="center"/>
              <w:textAlignment w:val="center"/>
              <w:rPr>
                <w:rFonts w:hint="default" w:ascii="Times New Roman" w:hAnsi="Times New Roman" w:eastAsia="仿宋" w:cs="Times New Roman"/>
                <w:b w:val="0"/>
                <w:bCs w:val="0"/>
                <w:color w:val="auto"/>
                <w:kern w:val="0"/>
                <w:sz w:val="20"/>
                <w:szCs w:val="20"/>
              </w:rPr>
            </w:pPr>
            <w:r>
              <w:rPr>
                <w:rFonts w:hint="default" w:ascii="Times New Roman" w:hAnsi="Times New Roman" w:eastAsia="仿宋" w:cs="Times New Roman"/>
                <w:b w:val="0"/>
                <w:bCs w:val="0"/>
                <w:color w:val="auto"/>
                <w:kern w:val="0"/>
                <w:sz w:val="20"/>
                <w:szCs w:val="20"/>
              </w:rPr>
              <w:t>49.7</w:t>
            </w:r>
          </w:p>
        </w:tc>
      </w:tr>
    </w:tbl>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③工程实施对流场的影响</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图5.2-7和图5.2-8分别为防洪设计流量和平滩流量下工程实施前后流场对比图，可以看出，工程附近流向偏转较小，流速仅有小幅变化，稍远离工程区的流场不发生改变。拟建工程对计算河段的整体流场影响不大，工程后流速的变化主要位于码头平台的上下游及平台内侧的局部区域。</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防洪设计流量下，工程实施后码头平台上下游局部区域内流速减小，减小最大值为0.02m/s，流速减小范围（减小值大于0.0001m/s）位于拟建码头1#泊位上游84.8m及2#泊位下游736.3m内；1#泊位内侧和2#泊位外侧流速增大，流速增大的最大值为0.023m/s，流速增大范围（增大值大于0.0001m/s）位于拟建码头1#泊位内侧17.8m以及2#泊位趸船外侧102.3m内。</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平滩流量下，工程实施后码头平台上下游局部区域内流速减小，减小最大值为0.0043m/s，流速减小范围（减小值大于0.0001m/s）位于拟建码头1#泊位上游268.2m及2#泊位下游763.1m内；码头趸船外侧流速增大，流速增大的最大值为0.0005m/s，流速增大范围（增大值大于0.0001m/s）位于拟建码头趸船外侧620.9m内。</w:t>
      </w:r>
    </w:p>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各计算流量下工程后流速变化最大值及流速影响范围统计见表5.2-7所示。</w:t>
      </w:r>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7</w:t>
      </w:r>
      <w:r>
        <w:rPr>
          <w:rFonts w:hint="eastAsia" w:eastAsia="黑体"/>
          <w:b/>
          <w:color w:val="auto"/>
          <w:szCs w:val="21"/>
          <w:lang w:val="en-US" w:eastAsia="zh-CN"/>
        </w:rPr>
        <w:t xml:space="preserve">  </w:t>
      </w:r>
      <w:r>
        <w:rPr>
          <w:rFonts w:eastAsia="黑体"/>
          <w:b/>
          <w:color w:val="auto"/>
          <w:szCs w:val="21"/>
        </w:rPr>
        <w:t>工程后流速变化最大值及流速影响范围统计表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019"/>
        <w:gridCol w:w="1064"/>
        <w:gridCol w:w="1918"/>
        <w:gridCol w:w="1498"/>
        <w:gridCol w:w="1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4" w:type="pct"/>
            <w:vMerge w:val="restart"/>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b w:val="0"/>
                <w:bCs w:val="0"/>
                <w:color w:val="auto"/>
                <w:sz w:val="20"/>
              </w:rPr>
              <mc:AlternateContent>
                <mc:Choice Requires="wps">
                  <w:drawing>
                    <wp:anchor distT="0" distB="0" distL="114300" distR="114300" simplePos="0" relativeHeight="251675648" behindDoc="0" locked="0" layoutInCell="1" allowOverlap="1">
                      <wp:simplePos x="0" y="0"/>
                      <wp:positionH relativeFrom="column">
                        <wp:posOffset>-53975</wp:posOffset>
                      </wp:positionH>
                      <wp:positionV relativeFrom="paragraph">
                        <wp:posOffset>9525</wp:posOffset>
                      </wp:positionV>
                      <wp:extent cx="937895" cy="562610"/>
                      <wp:effectExtent l="2540" t="3810" r="12065" b="5080"/>
                      <wp:wrapNone/>
                      <wp:docPr id="48" name="直接连接符 48"/>
                      <wp:cNvGraphicFramePr/>
                      <a:graphic xmlns:a="http://schemas.openxmlformats.org/drawingml/2006/main">
                        <a:graphicData uri="http://schemas.microsoft.com/office/word/2010/wordprocessingShape">
                          <wps:wsp>
                            <wps:cNvCnPr/>
                            <wps:spPr>
                              <a:xfrm flipH="1" flipV="1">
                                <a:off x="0" y="0"/>
                                <a:ext cx="937895" cy="5626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4.25pt;margin-top:0.75pt;height:44.3pt;width:73.85pt;z-index:251675648;mso-width-relative:page;mso-height-relative:page;" filled="f" stroked="t" coordsize="21600,21600" o:gfxdata="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xIrePSAAAABwEAAA8AAAAAAAAAAQAgAAAAIgAAAGRycy9kb3ducmV2&#10;LnhtbFBLAQIUABQAAAAIAIdO4kAJHDerAgIAAO0DAAAOAAAAAAAAAAEAIAAAACEBAABkcnMvZTJv&#10;RG9jLnhtbFBLBQYAAAAABgAGAFkBAACVBQAAAAA=&#10;">
                      <v:fill on="f" focussize="0,0"/>
                      <v:stroke color="#000000 [3200]" joinstyle="round"/>
                      <v:imagedata o:title=""/>
                      <o:lock v:ext="edit" aspectratio="f"/>
                    </v:line>
                  </w:pict>
                </mc:Fallback>
              </mc:AlternateContent>
            </w:r>
            <w:r>
              <w:rPr>
                <w:rFonts w:hint="eastAsia" w:cs="Times New Roman" w:eastAsiaTheme="minorEastAsia"/>
                <w:b w:val="0"/>
                <w:bCs w:val="0"/>
                <w:color w:val="auto"/>
                <w:kern w:val="0"/>
                <w:sz w:val="20"/>
                <w:szCs w:val="20"/>
                <w:lang w:val="en-US" w:eastAsia="zh-CN"/>
              </w:rPr>
              <w:t xml:space="preserve">       </w:t>
            </w:r>
            <w:r>
              <w:rPr>
                <w:rFonts w:hint="default" w:ascii="Times New Roman" w:hAnsi="Times New Roman" w:cs="Times New Roman" w:eastAsiaTheme="minorEastAsia"/>
                <w:b w:val="0"/>
                <w:bCs w:val="0"/>
                <w:color w:val="auto"/>
                <w:kern w:val="0"/>
                <w:sz w:val="20"/>
                <w:szCs w:val="20"/>
              </w:rPr>
              <w:t>项目</w:t>
            </w:r>
          </w:p>
          <w:p>
            <w:pPr>
              <w:pStyle w:val="117"/>
              <w:rPr>
                <w:rFonts w:hint="default"/>
                <w:b w:val="0"/>
                <w:bCs w:val="0"/>
                <w:color w:val="auto"/>
              </w:rPr>
            </w:pPr>
          </w:p>
          <w:p>
            <w:pPr>
              <w:widowControl/>
              <w:jc w:val="both"/>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计算条件</w:t>
            </w:r>
          </w:p>
        </w:tc>
        <w:tc>
          <w:tcPr>
            <w:tcW w:w="1222" w:type="pct"/>
            <w:gridSpan w:val="2"/>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流速影响值（m/s）</w:t>
            </w:r>
          </w:p>
        </w:tc>
        <w:tc>
          <w:tcPr>
            <w:tcW w:w="1125" w:type="pct"/>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增幅大于0.0001m/s范围（m）</w:t>
            </w:r>
          </w:p>
        </w:tc>
        <w:tc>
          <w:tcPr>
            <w:tcW w:w="1767" w:type="pct"/>
            <w:gridSpan w:val="2"/>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降幅大于0.0001m/s范围（m）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4"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598" w:type="pct"/>
            <w:tcBorders>
              <w:bottom w:val="single" w:color="auto" w:sz="12" w:space="0"/>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增加最大</w:t>
            </w:r>
          </w:p>
        </w:tc>
        <w:tc>
          <w:tcPr>
            <w:tcW w:w="624" w:type="pct"/>
            <w:tcBorders>
              <w:bottom w:val="single" w:color="auto" w:sz="12" w:space="0"/>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减小最大</w:t>
            </w:r>
          </w:p>
        </w:tc>
        <w:tc>
          <w:tcPr>
            <w:tcW w:w="1125" w:type="pct"/>
            <w:tcBorders>
              <w:bottom w:val="single" w:color="auto" w:sz="12" w:space="0"/>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距码头趸船外侧</w:t>
            </w:r>
          </w:p>
        </w:tc>
        <w:tc>
          <w:tcPr>
            <w:tcW w:w="879" w:type="pct"/>
            <w:tcBorders>
              <w:bottom w:val="single" w:color="auto" w:sz="12" w:space="0"/>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距1#泊位上游</w:t>
            </w:r>
          </w:p>
        </w:tc>
        <w:tc>
          <w:tcPr>
            <w:tcW w:w="888" w:type="pct"/>
            <w:tcBorders>
              <w:bottom w:val="single" w:color="auto" w:sz="12" w:space="0"/>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距2#泊位下游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4"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防洪设计流量</w:t>
            </w:r>
          </w:p>
        </w:tc>
        <w:tc>
          <w:tcPr>
            <w:tcW w:w="598"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0.001</w:t>
            </w:r>
          </w:p>
        </w:tc>
        <w:tc>
          <w:tcPr>
            <w:tcW w:w="624"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0.02</w:t>
            </w:r>
          </w:p>
        </w:tc>
        <w:tc>
          <w:tcPr>
            <w:tcW w:w="1125"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102.3</w:t>
            </w:r>
          </w:p>
        </w:tc>
        <w:tc>
          <w:tcPr>
            <w:tcW w:w="879"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84.8</w:t>
            </w:r>
          </w:p>
        </w:tc>
        <w:tc>
          <w:tcPr>
            <w:tcW w:w="888" w:type="pct"/>
            <w:tcBorders>
              <w:top w:val="single" w:color="auto" w:sz="12" w:space="0"/>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736.3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84"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平滩流量</w:t>
            </w:r>
          </w:p>
        </w:tc>
        <w:tc>
          <w:tcPr>
            <w:tcW w:w="598"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0.0005</w:t>
            </w:r>
          </w:p>
        </w:tc>
        <w:tc>
          <w:tcPr>
            <w:tcW w:w="624"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0.0043</w:t>
            </w:r>
          </w:p>
        </w:tc>
        <w:tc>
          <w:tcPr>
            <w:tcW w:w="1125"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620.9</w:t>
            </w:r>
          </w:p>
        </w:tc>
        <w:tc>
          <w:tcPr>
            <w:tcW w:w="879"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268.2</w:t>
            </w:r>
          </w:p>
        </w:tc>
        <w:tc>
          <w:tcPr>
            <w:tcW w:w="888" w:type="pct"/>
            <w:tcBorders>
              <w:tl2br w:val="nil"/>
              <w:tr2bl w:val="nil"/>
            </w:tcBorders>
            <w:noWrap/>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763.1</w:t>
            </w:r>
          </w:p>
        </w:tc>
      </w:tr>
    </w:tbl>
    <w:p>
      <w:pPr>
        <w:autoSpaceDE w:val="0"/>
        <w:autoSpaceDN w:val="0"/>
        <w:adjustRightInd w:val="0"/>
        <w:spacing w:line="360" w:lineRule="auto"/>
        <w:ind w:firstLine="561"/>
        <w:rPr>
          <w:rFonts w:hint="eastAsia" w:ascii="Times New Roman" w:hAnsi="Times New Roman" w:eastAsia="仿宋_GB2312" w:cs="Times New Roman"/>
          <w:bCs w:val="0"/>
          <w:snapToGrid/>
          <w:color w:val="auto"/>
          <w:kern w:val="2"/>
          <w:sz w:val="24"/>
          <w:szCs w:val="24"/>
          <w:lang w:val="en-US" w:eastAsia="zh-CN" w:bidi="ar-SA"/>
        </w:rPr>
      </w:pPr>
      <w:r>
        <w:rPr>
          <w:rFonts w:hint="eastAsia" w:ascii="Times New Roman" w:hAnsi="Times New Roman" w:eastAsia="仿宋_GB2312" w:cs="Times New Roman"/>
          <w:bCs w:val="0"/>
          <w:snapToGrid/>
          <w:color w:val="auto"/>
          <w:kern w:val="2"/>
          <w:sz w:val="24"/>
          <w:szCs w:val="24"/>
          <w:lang w:val="en-US" w:eastAsia="zh-CN" w:bidi="ar-SA"/>
        </w:rPr>
        <w:t>工程修建后，工程附近近岸流速发生了一定的变化，表5.2-8、表5.2-9分别列出了码头上游200m至下游1000m范围内近岸流速的变化情况。结果表明：河道内左岸近岸流速及流向变化较小，流速大小及流向基本没有变化；工程附近近岸流速以河道右岸、工程上游200m至下游1000m范围内变化最为明显，在设计洪水流量下，右岸流速最大变化值为0.001m/s，流向变化最大为向左偏转2度；在平滩流量下，右岸流速最大变化值为0.0005m/s，流向最大变化为偏转1度。总体上来说，工程修建后，工程上下游近岸段流向变化不大，工程段近岸处水流偏转角度不大。</w:t>
      </w:r>
    </w:p>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 xml:space="preserve">8 </w:t>
      </w:r>
      <w:r>
        <w:rPr>
          <w:rFonts w:hint="eastAsia" w:eastAsia="黑体"/>
          <w:b/>
          <w:color w:val="auto"/>
          <w:szCs w:val="21"/>
          <w:lang w:val="en-US" w:eastAsia="zh-CN"/>
        </w:rPr>
        <w:t xml:space="preserve"> </w:t>
      </w:r>
      <w:r>
        <w:rPr>
          <w:rFonts w:eastAsia="黑体"/>
          <w:b/>
          <w:color w:val="auto"/>
          <w:szCs w:val="21"/>
        </w:rPr>
        <w:t>工程附近近岸流速变化表（Q=56700</w:t>
      </w:r>
      <w:r>
        <w:rPr>
          <w:rFonts w:hint="eastAsia" w:eastAsia="黑体"/>
          <w:b/>
          <w:color w:val="auto"/>
          <w:szCs w:val="21"/>
        </w:rPr>
        <w:t>m</w:t>
      </w:r>
      <w:r>
        <w:rPr>
          <w:rFonts w:hint="eastAsia" w:eastAsia="黑体"/>
          <w:b/>
          <w:color w:val="auto"/>
          <w:szCs w:val="21"/>
          <w:vertAlign w:val="superscript"/>
        </w:rPr>
        <w:t>3</w:t>
      </w:r>
      <w:r>
        <w:rPr>
          <w:rFonts w:eastAsia="黑体"/>
          <w:b/>
          <w:color w:val="auto"/>
          <w:szCs w:val="21"/>
        </w:rPr>
        <w:t>/s）</w:t>
      </w:r>
    </w:p>
    <w:tbl>
      <w:tblPr>
        <w:tblStyle w:val="92"/>
        <w:tblW w:w="5091" w:type="pct"/>
        <w:tblInd w:w="-14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10"/>
        <w:gridCol w:w="835"/>
        <w:gridCol w:w="959"/>
        <w:gridCol w:w="914"/>
        <w:gridCol w:w="944"/>
        <w:gridCol w:w="794"/>
        <w:gridCol w:w="944"/>
        <w:gridCol w:w="959"/>
        <w:gridCol w:w="719"/>
        <w:gridCol w:w="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913" w:type="pct"/>
            <w:gridSpan w:val="2"/>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所在位置</w:t>
            </w:r>
          </w:p>
        </w:tc>
        <w:tc>
          <w:tcPr>
            <w:tcW w:w="1107" w:type="pct"/>
            <w:gridSpan w:val="2"/>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右</w:t>
            </w:r>
            <w:r>
              <w:rPr>
                <w:rFonts w:hint="default" w:ascii="Times New Roman" w:hAnsi="Times New Roman" w:cs="Times New Roman" w:eastAsiaTheme="minorEastAsia"/>
                <w:b w:val="0"/>
                <w:bCs w:val="0"/>
                <w:color w:val="auto"/>
                <w:kern w:val="0"/>
                <w:sz w:val="20"/>
                <w:szCs w:val="20"/>
              </w:rPr>
              <w:t>岸</w:t>
            </w:r>
          </w:p>
        </w:tc>
        <w:tc>
          <w:tcPr>
            <w:tcW w:w="558"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变化值（m/s）</w:t>
            </w:r>
          </w:p>
        </w:tc>
        <w:tc>
          <w:tcPr>
            <w:tcW w:w="469"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流向变化（度）</w:t>
            </w:r>
          </w:p>
        </w:tc>
        <w:tc>
          <w:tcPr>
            <w:tcW w:w="1125" w:type="pct"/>
            <w:gridSpan w:val="2"/>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左</w:t>
            </w:r>
            <w:r>
              <w:rPr>
                <w:rFonts w:hint="default" w:ascii="Times New Roman" w:hAnsi="Times New Roman" w:cs="Times New Roman" w:eastAsiaTheme="minorEastAsia"/>
                <w:b w:val="0"/>
                <w:bCs w:val="0"/>
                <w:color w:val="auto"/>
                <w:kern w:val="0"/>
                <w:sz w:val="20"/>
                <w:szCs w:val="20"/>
              </w:rPr>
              <w:t>岸</w:t>
            </w:r>
          </w:p>
        </w:tc>
        <w:tc>
          <w:tcPr>
            <w:tcW w:w="425"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变化值（m/s）</w:t>
            </w:r>
          </w:p>
        </w:tc>
        <w:tc>
          <w:tcPr>
            <w:tcW w:w="399"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流向变化（度）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913" w:type="pct"/>
            <w:gridSpan w:val="2"/>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567"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工程前</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540"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工程后</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558"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69"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558"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工程前</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567"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工程后</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425"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399"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restar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工程上游</w:t>
            </w:r>
          </w:p>
        </w:tc>
        <w:tc>
          <w:tcPr>
            <w:tcW w:w="493"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200m</w:t>
            </w:r>
          </w:p>
        </w:tc>
        <w:tc>
          <w:tcPr>
            <w:tcW w:w="567"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.9026</w:t>
            </w:r>
          </w:p>
        </w:tc>
        <w:tc>
          <w:tcPr>
            <w:tcW w:w="540"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0.9029</w:t>
            </w:r>
          </w:p>
        </w:tc>
        <w:tc>
          <w:tcPr>
            <w:tcW w:w="55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0.0003</w:t>
            </w:r>
          </w:p>
        </w:tc>
        <w:tc>
          <w:tcPr>
            <w:tcW w:w="469"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5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0.79</w:t>
            </w:r>
          </w:p>
        </w:tc>
        <w:tc>
          <w:tcPr>
            <w:tcW w:w="567"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0.79</w:t>
            </w:r>
          </w:p>
        </w:tc>
        <w:tc>
          <w:tcPr>
            <w:tcW w:w="425"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100m</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0.6198</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.6195</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-0.0003</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R1</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.98</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.98</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restar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工程断面</w:t>
            </w: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1#泊位</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0.5036</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0.5040</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0.0004</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L1</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.89</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.89</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2#泊位</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0.4689</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0.4675</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-0.0014</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L2</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.92</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.92</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restar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工程下游</w:t>
            </w: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200m</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0.5430</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.5406</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-0.0024</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L1</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400m</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0.4588</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.4580</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-0.0008</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L1</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.82</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.82</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800m</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.9200</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.9199</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-0.0001</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.79</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.79</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20"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3"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1000m</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.8877</w:t>
            </w:r>
          </w:p>
        </w:tc>
        <w:tc>
          <w:tcPr>
            <w:tcW w:w="54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.8877</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 xml:space="preserve">0 </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w:t>
            </w:r>
            <w:r>
              <w:rPr>
                <w:rFonts w:hint="default" w:ascii="Times New Roman" w:hAnsi="Times New Roman" w:cs="Times New Roman" w:eastAsiaTheme="minorEastAsia"/>
                <w:b w:val="0"/>
                <w:bCs w:val="0"/>
                <w:color w:val="auto"/>
                <w:kern w:val="0"/>
                <w:sz w:val="20"/>
                <w:szCs w:val="20"/>
              </w:rPr>
              <w:t>.25</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w:t>
            </w:r>
            <w:r>
              <w:rPr>
                <w:rFonts w:hint="default" w:ascii="Times New Roman" w:hAnsi="Times New Roman" w:cs="Times New Roman" w:eastAsiaTheme="minorEastAsia"/>
                <w:b w:val="0"/>
                <w:bCs w:val="0"/>
                <w:color w:val="auto"/>
                <w:kern w:val="0"/>
                <w:sz w:val="20"/>
                <w:szCs w:val="20"/>
              </w:rPr>
              <w:t>.25</w:t>
            </w:r>
          </w:p>
        </w:tc>
        <w:tc>
          <w:tcPr>
            <w:tcW w:w="42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39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bl>
    <w:p>
      <w:pPr>
        <w:widowControl w:val="0"/>
        <w:spacing w:line="360" w:lineRule="auto"/>
        <w:jc w:val="center"/>
        <w:rPr>
          <w:rFonts w:eastAsia="黑体"/>
          <w:b/>
          <w:color w:val="auto"/>
          <w:szCs w:val="21"/>
        </w:rPr>
      </w:pPr>
      <w:r>
        <w:rPr>
          <w:rFonts w:eastAsia="黑体"/>
          <w:b/>
          <w:color w:val="auto"/>
          <w:szCs w:val="21"/>
        </w:rPr>
        <w:t>表5.2</w:t>
      </w:r>
      <w:r>
        <w:rPr>
          <w:rFonts w:eastAsia="黑体"/>
          <w:b/>
          <w:color w:val="auto"/>
          <w:szCs w:val="21"/>
        </w:rPr>
        <w:noBreakHyphen/>
      </w:r>
      <w:r>
        <w:rPr>
          <w:rFonts w:eastAsia="黑体"/>
          <w:b/>
          <w:color w:val="auto"/>
          <w:szCs w:val="21"/>
        </w:rPr>
        <w:t>9</w:t>
      </w:r>
      <w:r>
        <w:rPr>
          <w:rFonts w:hint="eastAsia" w:eastAsia="黑体"/>
          <w:b/>
          <w:color w:val="auto"/>
          <w:szCs w:val="21"/>
          <w:lang w:val="en-US" w:eastAsia="zh-CN"/>
        </w:rPr>
        <w:t xml:space="preserve"> </w:t>
      </w:r>
      <w:r>
        <w:rPr>
          <w:rFonts w:eastAsia="黑体"/>
          <w:b/>
          <w:color w:val="auto"/>
          <w:szCs w:val="21"/>
        </w:rPr>
        <w:t xml:space="preserve"> 工程附近近岸流速变化表（Q=30000</w:t>
      </w:r>
      <w:r>
        <w:rPr>
          <w:rFonts w:hint="eastAsia" w:eastAsia="黑体"/>
          <w:b/>
          <w:color w:val="auto"/>
          <w:szCs w:val="21"/>
        </w:rPr>
        <w:t>m</w:t>
      </w:r>
      <w:r>
        <w:rPr>
          <w:rFonts w:hint="eastAsia" w:eastAsia="黑体"/>
          <w:b/>
          <w:color w:val="auto"/>
          <w:szCs w:val="21"/>
          <w:vertAlign w:val="superscript"/>
        </w:rPr>
        <w:t>3</w:t>
      </w:r>
      <w:r>
        <w:rPr>
          <w:rFonts w:eastAsia="黑体"/>
          <w:b/>
          <w:color w:val="auto"/>
          <w:szCs w:val="21"/>
        </w:rPr>
        <w:t>/s）</w:t>
      </w:r>
    </w:p>
    <w:tbl>
      <w:tblPr>
        <w:tblStyle w:val="92"/>
        <w:tblW w:w="5090" w:type="pct"/>
        <w:tblInd w:w="-14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04"/>
        <w:gridCol w:w="837"/>
        <w:gridCol w:w="964"/>
        <w:gridCol w:w="911"/>
        <w:gridCol w:w="944"/>
        <w:gridCol w:w="794"/>
        <w:gridCol w:w="959"/>
        <w:gridCol w:w="944"/>
        <w:gridCol w:w="704"/>
        <w:gridCol w:w="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911" w:type="pct"/>
            <w:gridSpan w:val="2"/>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所在位置</w:t>
            </w:r>
          </w:p>
        </w:tc>
        <w:tc>
          <w:tcPr>
            <w:tcW w:w="1109" w:type="pct"/>
            <w:gridSpan w:val="2"/>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右</w:t>
            </w:r>
            <w:r>
              <w:rPr>
                <w:rFonts w:hint="default" w:ascii="Times New Roman" w:hAnsi="Times New Roman" w:cs="Times New Roman" w:eastAsiaTheme="minorEastAsia"/>
                <w:b w:val="0"/>
                <w:bCs w:val="0"/>
                <w:color w:val="auto"/>
                <w:kern w:val="0"/>
                <w:sz w:val="20"/>
                <w:szCs w:val="20"/>
              </w:rPr>
              <w:t>岸</w:t>
            </w:r>
          </w:p>
        </w:tc>
        <w:tc>
          <w:tcPr>
            <w:tcW w:w="558"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变化值（m/s）</w:t>
            </w:r>
          </w:p>
        </w:tc>
        <w:tc>
          <w:tcPr>
            <w:tcW w:w="469" w:type="pct"/>
            <w:vMerge w:val="restart"/>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流向变化（度）</w:t>
            </w:r>
          </w:p>
        </w:tc>
        <w:tc>
          <w:tcPr>
            <w:tcW w:w="1125" w:type="pct"/>
            <w:gridSpan w:val="2"/>
            <w:tcBorders>
              <w:bottom w:val="single" w:color="auto" w:sz="4"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左</w:t>
            </w:r>
            <w:r>
              <w:rPr>
                <w:rFonts w:hint="default" w:ascii="Times New Roman" w:hAnsi="Times New Roman" w:cs="Times New Roman" w:eastAsiaTheme="minorEastAsia"/>
                <w:b w:val="0"/>
                <w:bCs w:val="0"/>
                <w:color w:val="auto"/>
                <w:kern w:val="0"/>
                <w:sz w:val="20"/>
                <w:szCs w:val="20"/>
              </w:rPr>
              <w:t>岸</w:t>
            </w:r>
          </w:p>
        </w:tc>
        <w:tc>
          <w:tcPr>
            <w:tcW w:w="416" w:type="pct"/>
            <w:vMerge w:val="restart"/>
            <w:tcBorders>
              <w:bottom w:val="single" w:color="auto" w:sz="4"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变化值（m/s）</w:t>
            </w:r>
          </w:p>
        </w:tc>
        <w:tc>
          <w:tcPr>
            <w:tcW w:w="408" w:type="pct"/>
            <w:vMerge w:val="restart"/>
            <w:tcBorders>
              <w:bottom w:val="single" w:color="auto" w:sz="4"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流向变化（度）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911" w:type="pct"/>
            <w:gridSpan w:val="2"/>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570"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工程前</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538" w:type="pct"/>
            <w:tcBorders>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工程后流速（m/s）</w:t>
            </w:r>
          </w:p>
        </w:tc>
        <w:tc>
          <w:tcPr>
            <w:tcW w:w="558"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69" w:type="pct"/>
            <w:vMerge w:val="continue"/>
            <w:tcBorders>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567" w:type="pct"/>
            <w:tcBorders>
              <w:top w:val="single" w:color="auto" w:sz="4" w:space="0"/>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工程前</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558" w:type="pct"/>
            <w:tcBorders>
              <w:top w:val="single" w:color="auto" w:sz="4" w:space="0"/>
              <w:bottom w:val="single" w:color="auto" w:sz="12" w:space="0"/>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工程后</w:t>
            </w:r>
          </w:p>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流速（m/s）</w:t>
            </w:r>
          </w:p>
        </w:tc>
        <w:tc>
          <w:tcPr>
            <w:tcW w:w="416" w:type="pct"/>
            <w:vMerge w:val="continue"/>
            <w:tcBorders>
              <w:top w:val="single" w:color="auto" w:sz="4" w:space="0"/>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08" w:type="pct"/>
            <w:vMerge w:val="continue"/>
            <w:tcBorders>
              <w:top w:val="single" w:color="auto" w:sz="4" w:space="0"/>
              <w:bottom w:val="single" w:color="auto" w:sz="12" w:space="0"/>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restar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工程上游</w:t>
            </w:r>
          </w:p>
        </w:tc>
        <w:tc>
          <w:tcPr>
            <w:tcW w:w="495"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200m</w:t>
            </w:r>
          </w:p>
        </w:tc>
        <w:tc>
          <w:tcPr>
            <w:tcW w:w="570"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.8295</w:t>
            </w:r>
          </w:p>
        </w:tc>
        <w:tc>
          <w:tcPr>
            <w:tcW w:w="53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.8293</w:t>
            </w:r>
          </w:p>
        </w:tc>
        <w:tc>
          <w:tcPr>
            <w:tcW w:w="55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-0.0002</w:t>
            </w:r>
          </w:p>
        </w:tc>
        <w:tc>
          <w:tcPr>
            <w:tcW w:w="469"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67"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.80</w:t>
            </w:r>
          </w:p>
        </w:tc>
        <w:tc>
          <w:tcPr>
            <w:tcW w:w="55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.80</w:t>
            </w:r>
          </w:p>
        </w:tc>
        <w:tc>
          <w:tcPr>
            <w:tcW w:w="416"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op w:val="single" w:color="auto" w:sz="12" w:space="0"/>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continue"/>
            <w:tcBorders>
              <w:tl2br w:val="nil"/>
              <w:tr2bl w:val="nil"/>
            </w:tcBorders>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100m</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0.6053</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.6055</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0.0002</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R1</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w:t>
            </w:r>
            <w:r>
              <w:rPr>
                <w:rFonts w:hint="default" w:ascii="Times New Roman" w:hAnsi="Times New Roman" w:cs="Times New Roman" w:eastAsiaTheme="minorEastAsia"/>
                <w:b w:val="0"/>
                <w:bCs w:val="0"/>
                <w:color w:val="auto"/>
                <w:kern w:val="0"/>
                <w:sz w:val="20"/>
                <w:szCs w:val="20"/>
              </w:rPr>
              <w:t>.16</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w:t>
            </w:r>
            <w:r>
              <w:rPr>
                <w:rFonts w:hint="default" w:ascii="Times New Roman" w:hAnsi="Times New Roman" w:cs="Times New Roman" w:eastAsiaTheme="minorEastAsia"/>
                <w:b w:val="0"/>
                <w:bCs w:val="0"/>
                <w:color w:val="auto"/>
                <w:kern w:val="0"/>
                <w:sz w:val="20"/>
                <w:szCs w:val="20"/>
              </w:rPr>
              <w:t>.16</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restar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工程断面</w:t>
            </w: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1#泊位</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0.4645</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0.4653</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0.0008</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R1</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.98</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.98</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2#泊位</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0.4409</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0.4430</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0.0021</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L1</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.92</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.92</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restar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工程下游</w:t>
            </w: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200m</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0.6409</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.6435</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0.0026</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L1</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.88</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400m</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.4152</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.4158</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0.0006</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.80</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.80</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800m</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.8655</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.8656</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0.0001</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.50</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.50</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416" w:type="pct"/>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p>
        </w:tc>
        <w:tc>
          <w:tcPr>
            <w:tcW w:w="495"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1000m</w:t>
            </w:r>
          </w:p>
        </w:tc>
        <w:tc>
          <w:tcPr>
            <w:tcW w:w="570"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0.7083</w:t>
            </w:r>
          </w:p>
        </w:tc>
        <w:tc>
          <w:tcPr>
            <w:tcW w:w="53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0.7083</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p>
        </w:tc>
        <w:tc>
          <w:tcPr>
            <w:tcW w:w="469"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c>
          <w:tcPr>
            <w:tcW w:w="567"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.56</w:t>
            </w:r>
          </w:p>
        </w:tc>
        <w:tc>
          <w:tcPr>
            <w:tcW w:w="55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eastAsia" w:ascii="Times New Roman" w:hAnsi="Times New Roman" w:cs="Times New Roman" w:eastAsiaTheme="minorEastAsia"/>
                <w:b w:val="0"/>
                <w:bCs w:val="0"/>
                <w:color w:val="auto"/>
                <w:kern w:val="0"/>
                <w:sz w:val="20"/>
                <w:szCs w:val="20"/>
              </w:rPr>
              <w:t>0</w:t>
            </w:r>
            <w:r>
              <w:rPr>
                <w:rFonts w:hint="default" w:ascii="Times New Roman" w:hAnsi="Times New Roman" w:cs="Times New Roman" w:eastAsiaTheme="minorEastAsia"/>
                <w:b w:val="0"/>
                <w:bCs w:val="0"/>
                <w:color w:val="auto"/>
                <w:kern w:val="0"/>
                <w:sz w:val="20"/>
                <w:szCs w:val="20"/>
              </w:rPr>
              <w:t>.56</w:t>
            </w:r>
          </w:p>
        </w:tc>
        <w:tc>
          <w:tcPr>
            <w:tcW w:w="416"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0</w:t>
            </w:r>
          </w:p>
        </w:tc>
        <w:tc>
          <w:tcPr>
            <w:tcW w:w="408" w:type="pct"/>
            <w:tcBorders>
              <w:tl2br w:val="nil"/>
              <w:tr2bl w:val="nil"/>
            </w:tcBorders>
            <w:shd w:val="clear" w:color="auto" w:fill="auto"/>
            <w:vAlign w:val="center"/>
          </w:tcPr>
          <w:p>
            <w:pPr>
              <w:widowControl/>
              <w:jc w:val="center"/>
              <w:textAlignment w:val="center"/>
              <w:rPr>
                <w:rFonts w:hint="default" w:ascii="Times New Roman" w:hAnsi="Times New Roman" w:cs="Times New Roman" w:eastAsiaTheme="minorEastAsia"/>
                <w:b w:val="0"/>
                <w:bCs w:val="0"/>
                <w:color w:val="auto"/>
                <w:kern w:val="0"/>
                <w:sz w:val="20"/>
                <w:szCs w:val="20"/>
              </w:rPr>
            </w:pPr>
            <w:r>
              <w:rPr>
                <w:rFonts w:hint="default" w:ascii="Times New Roman" w:hAnsi="Times New Roman" w:cs="Times New Roman" w:eastAsiaTheme="minorEastAsia"/>
                <w:b w:val="0"/>
                <w:bCs w:val="0"/>
                <w:color w:val="auto"/>
                <w:kern w:val="0"/>
                <w:sz w:val="20"/>
                <w:szCs w:val="20"/>
              </w:rPr>
              <w:t>\</w:t>
            </w:r>
          </w:p>
        </w:tc>
      </w:tr>
    </w:tbl>
    <w:p>
      <w:pPr>
        <w:autoSpaceDE w:val="0"/>
        <w:autoSpaceDN w:val="0"/>
        <w:adjustRightInd w:val="0"/>
        <w:spacing w:line="360" w:lineRule="auto"/>
        <w:rPr>
          <w:rFonts w:hint="eastAsia" w:ascii="Times New Roman" w:hAnsi="Times New Roman" w:eastAsia="仿宋_GB2312" w:cs="Times New Roman"/>
          <w:bCs w:val="0"/>
          <w:snapToGrid/>
          <w:color w:val="auto"/>
          <w:kern w:val="2"/>
          <w:sz w:val="16"/>
          <w:szCs w:val="16"/>
          <w:lang w:val="en-US" w:eastAsia="zh-CN" w:bidi="ar-SA"/>
        </w:rPr>
      </w:pPr>
      <w:r>
        <w:rPr>
          <w:rFonts w:hint="eastAsia" w:ascii="Times New Roman" w:hAnsi="Times New Roman" w:eastAsia="仿宋_GB2312" w:cs="Times New Roman"/>
          <w:bCs w:val="0"/>
          <w:snapToGrid/>
          <w:color w:val="auto"/>
          <w:kern w:val="2"/>
          <w:sz w:val="16"/>
          <w:szCs w:val="16"/>
          <w:lang w:val="en-US" w:eastAsia="zh-CN" w:bidi="ar-SA"/>
        </w:rPr>
        <w:t>注：表中L表示偏左，R表示偏右。</w:t>
      </w:r>
    </w:p>
    <w:p>
      <w:pPr>
        <w:jc w:val="center"/>
        <w:rPr>
          <w:rFonts w:eastAsia="黑体"/>
          <w:b/>
          <w:color w:val="auto"/>
          <w:sz w:val="24"/>
          <w:szCs w:val="20"/>
        </w:rPr>
      </w:pPr>
      <w:r>
        <w:rPr>
          <w:color w:val="auto"/>
        </w:rPr>
        <w:drawing>
          <wp:inline distT="0" distB="0" distL="0" distR="0">
            <wp:extent cx="4638675" cy="4139565"/>
            <wp:effectExtent l="0" t="0" r="9525" b="1333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210"/>
                    <a:stretch>
                      <a:fillRect/>
                    </a:stretch>
                  </pic:blipFill>
                  <pic:spPr>
                    <a:xfrm>
                      <a:off x="0" y="0"/>
                      <a:ext cx="4638724" cy="4140000"/>
                    </a:xfrm>
                    <a:prstGeom prst="rect">
                      <a:avLst/>
                    </a:prstGeom>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图5.2-5 </w:t>
      </w:r>
      <w:r>
        <w:rPr>
          <w:rFonts w:hint="eastAsia" w:eastAsia="黑体"/>
          <w:b/>
          <w:color w:val="auto"/>
          <w:szCs w:val="21"/>
          <w:lang w:val="en-US" w:eastAsia="zh-CN"/>
        </w:rPr>
        <w:t xml:space="preserve"> </w:t>
      </w:r>
      <w:r>
        <w:rPr>
          <w:rFonts w:hint="eastAsia" w:eastAsia="黑体"/>
          <w:b/>
          <w:color w:val="auto"/>
          <w:szCs w:val="21"/>
        </w:rPr>
        <w:t>防洪设计流量下工程实施后河段水位变化等值线图</w:t>
      </w:r>
    </w:p>
    <w:p>
      <w:pPr>
        <w:pStyle w:val="117"/>
        <w:jc w:val="center"/>
        <w:rPr>
          <w:rFonts w:hint="eastAsia"/>
          <w:color w:val="auto"/>
        </w:rPr>
      </w:pPr>
      <w:r>
        <w:rPr>
          <w:color w:val="auto"/>
        </w:rPr>
        <w:drawing>
          <wp:inline distT="0" distB="0" distL="0" distR="0">
            <wp:extent cx="4648200" cy="4139565"/>
            <wp:effectExtent l="0" t="0" r="0" b="1333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11"/>
                    <a:stretch>
                      <a:fillRect/>
                    </a:stretch>
                  </pic:blipFill>
                  <pic:spPr>
                    <a:xfrm>
                      <a:off x="0" y="0"/>
                      <a:ext cx="4648754" cy="4140000"/>
                    </a:xfrm>
                    <a:prstGeom prst="rect">
                      <a:avLst/>
                    </a:prstGeom>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图5.2-6 </w:t>
      </w:r>
      <w:r>
        <w:rPr>
          <w:rFonts w:hint="eastAsia" w:eastAsia="黑体"/>
          <w:b/>
          <w:color w:val="auto"/>
          <w:szCs w:val="21"/>
          <w:lang w:val="en-US" w:eastAsia="zh-CN"/>
        </w:rPr>
        <w:t xml:space="preserve"> </w:t>
      </w:r>
      <w:r>
        <w:rPr>
          <w:rFonts w:hint="eastAsia" w:eastAsia="黑体"/>
          <w:b/>
          <w:color w:val="auto"/>
          <w:szCs w:val="21"/>
        </w:rPr>
        <w:t>平滩流量下工程实施后河段水位变化等值线图</w:t>
      </w:r>
    </w:p>
    <w:p>
      <w:pPr>
        <w:jc w:val="center"/>
        <w:rPr>
          <w:rFonts w:eastAsia="黑体"/>
          <w:b/>
          <w:color w:val="auto"/>
          <w:sz w:val="24"/>
          <w:szCs w:val="20"/>
        </w:rPr>
      </w:pPr>
      <w:r>
        <w:rPr>
          <w:color w:val="auto"/>
        </w:rPr>
        <w:drawing>
          <wp:inline distT="0" distB="0" distL="0" distR="0">
            <wp:extent cx="5165090" cy="3269615"/>
            <wp:effectExtent l="0" t="0" r="16510" b="698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212"/>
                    <a:srcRect l="518" r="1542"/>
                    <a:stretch>
                      <a:fillRect/>
                    </a:stretch>
                  </pic:blipFill>
                  <pic:spPr>
                    <a:xfrm>
                      <a:off x="0" y="0"/>
                      <a:ext cx="5165687" cy="3270250"/>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图5.2-7 </w:t>
      </w:r>
      <w:r>
        <w:rPr>
          <w:rFonts w:hint="eastAsia" w:eastAsia="黑体"/>
          <w:b/>
          <w:color w:val="auto"/>
          <w:szCs w:val="21"/>
          <w:lang w:val="en-US" w:eastAsia="zh-CN"/>
        </w:rPr>
        <w:t xml:space="preserve"> </w:t>
      </w:r>
      <w:r>
        <w:rPr>
          <w:rFonts w:hint="eastAsia" w:eastAsia="黑体"/>
          <w:b/>
          <w:color w:val="auto"/>
          <w:szCs w:val="21"/>
        </w:rPr>
        <w:t>防洪设计流量下工程实施前后流场对比图</w:t>
      </w:r>
    </w:p>
    <w:p>
      <w:pPr>
        <w:adjustRightInd w:val="0"/>
        <w:snapToGrid w:val="0"/>
        <w:spacing w:line="360" w:lineRule="auto"/>
        <w:jc w:val="center"/>
        <w:rPr>
          <w:b/>
          <w:color w:val="auto"/>
          <w:sz w:val="24"/>
        </w:rPr>
      </w:pPr>
      <w:r>
        <w:rPr>
          <w:color w:val="auto"/>
        </w:rPr>
        <w:drawing>
          <wp:inline distT="0" distB="0" distL="0" distR="0">
            <wp:extent cx="5151755" cy="3181350"/>
            <wp:effectExtent l="0" t="0" r="10795"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213"/>
                    <a:srcRect l="1682" r="617"/>
                    <a:stretch>
                      <a:fillRect/>
                    </a:stretch>
                  </pic:blipFill>
                  <pic:spPr>
                    <a:xfrm>
                      <a:off x="0" y="0"/>
                      <a:ext cx="5153058" cy="3181985"/>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图5.2-8</w:t>
      </w:r>
      <w:r>
        <w:rPr>
          <w:rFonts w:hint="eastAsia" w:eastAsia="黑体"/>
          <w:b/>
          <w:color w:val="auto"/>
          <w:szCs w:val="21"/>
          <w:lang w:val="en-US" w:eastAsia="zh-CN"/>
        </w:rPr>
        <w:t xml:space="preserve"> </w:t>
      </w:r>
      <w:r>
        <w:rPr>
          <w:rFonts w:hint="eastAsia" w:eastAsia="黑体"/>
          <w:b/>
          <w:color w:val="auto"/>
          <w:szCs w:val="21"/>
        </w:rPr>
        <w:t xml:space="preserve"> 平滩流量下工程实施前后流场对比图</w:t>
      </w:r>
    </w:p>
    <w:p>
      <w:pPr>
        <w:adjustRightInd w:val="0"/>
        <w:snapToGrid w:val="0"/>
        <w:spacing w:line="360" w:lineRule="auto"/>
        <w:jc w:val="center"/>
        <w:rPr>
          <w:rFonts w:eastAsia="黑体"/>
          <w:b/>
          <w:color w:val="auto"/>
          <w:sz w:val="24"/>
          <w:szCs w:val="20"/>
        </w:rPr>
      </w:pPr>
      <w:r>
        <w:rPr>
          <w:color w:val="auto"/>
        </w:rPr>
        <w:drawing>
          <wp:inline distT="0" distB="0" distL="0" distR="0">
            <wp:extent cx="4603750" cy="4103370"/>
            <wp:effectExtent l="0" t="0" r="6350" b="1143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214"/>
                    <a:stretch>
                      <a:fillRect/>
                    </a:stretch>
                  </pic:blipFill>
                  <pic:spPr>
                    <a:xfrm>
                      <a:off x="0" y="0"/>
                      <a:ext cx="4603973" cy="4104000"/>
                    </a:xfrm>
                    <a:prstGeom prst="rect">
                      <a:avLst/>
                    </a:prstGeom>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图5.2-9 </w:t>
      </w:r>
      <w:r>
        <w:rPr>
          <w:rFonts w:hint="eastAsia" w:eastAsia="黑体"/>
          <w:b/>
          <w:color w:val="auto"/>
          <w:szCs w:val="21"/>
          <w:lang w:val="en-US" w:eastAsia="zh-CN"/>
        </w:rPr>
        <w:t xml:space="preserve"> </w:t>
      </w:r>
      <w:r>
        <w:rPr>
          <w:rFonts w:hint="eastAsia" w:eastAsia="黑体"/>
          <w:b/>
          <w:color w:val="auto"/>
          <w:szCs w:val="21"/>
        </w:rPr>
        <w:t>防洪设计流量下工程实施后河段流速变化等值线图</w:t>
      </w:r>
    </w:p>
    <w:p>
      <w:pPr>
        <w:pStyle w:val="117"/>
        <w:jc w:val="center"/>
        <w:rPr>
          <w:rFonts w:ascii="Times New Roman" w:cs="Times New Roman"/>
          <w:b/>
          <w:color w:val="auto"/>
          <w:kern w:val="2"/>
          <w:szCs w:val="20"/>
        </w:rPr>
      </w:pPr>
      <w:r>
        <w:rPr>
          <w:color w:val="auto"/>
        </w:rPr>
        <w:drawing>
          <wp:inline distT="0" distB="0" distL="0" distR="0">
            <wp:extent cx="4611370" cy="4103370"/>
            <wp:effectExtent l="0" t="0" r="17780" b="1143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215"/>
                    <a:stretch>
                      <a:fillRect/>
                    </a:stretch>
                  </pic:blipFill>
                  <pic:spPr>
                    <a:xfrm>
                      <a:off x="0" y="0"/>
                      <a:ext cx="4611449" cy="4104000"/>
                    </a:xfrm>
                    <a:prstGeom prst="rect">
                      <a:avLst/>
                    </a:prstGeom>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 xml:space="preserve">图5.2-10 </w:t>
      </w:r>
      <w:r>
        <w:rPr>
          <w:rFonts w:hint="eastAsia" w:eastAsia="黑体"/>
          <w:b/>
          <w:color w:val="auto"/>
          <w:szCs w:val="21"/>
          <w:lang w:val="en-US" w:eastAsia="zh-CN"/>
        </w:rPr>
        <w:t xml:space="preserve"> </w:t>
      </w:r>
      <w:r>
        <w:rPr>
          <w:rFonts w:hint="eastAsia" w:eastAsia="黑体"/>
          <w:b/>
          <w:color w:val="auto"/>
          <w:szCs w:val="21"/>
        </w:rPr>
        <w:t>平滩流量下工程实施后河段流速变化等值线图</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④冲淤环境</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工程建设前后流速变化分析，码头前沿流速略有增加，流速增加使得码头前沿的航道泥沙有冲刷，冲刷强度较小；码头底部及上下游靠岸流速略减小，流速减小使得底部及上下游局部产生泥沙淤积，淤积程度较小，主要靠近右岸边，有利于岸坡稳定。</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本工程所处河段河床组成主要为沙质河床，洪水期床沙普遍运动，考虑到码头工程规模不大，且码头采用趸船式又紧靠左岸，洪水期时码头附近基本可以达到冲淤平衡，枯水期主航道呈现小幅度刷深，码头近岸略微有点淤积，基本不会对码头附近河势产生较大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⑤工程影响计算小结</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工程建设后，在防洪设计流量下，工程最大阻水面积占比为0.09%，对长江行洪影响较小；最大壅水高度为0.05cm，水位降低最大值为0.15cm，影响范围仅限于码头附近局部区域内；0.01cm的影响范围距工程1#泊位上游29.6m，距2#泊位下游104.9m；在平滩流量下，工程最大阻水面积占比为0.09%，对长江行洪影响较小；最大壅水高度为0.035cm，水位降低最大值为0.015cm，影响范围仅限于码头附近局部区域内；0.01cm 的影响范围距工程1#泊位上游45.5m，距2#泊位下游49.7m。因此该码头工程对水位影响较小。</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工程建设后，在防洪设计流量下，流速增加最大值为0.001m/s，增幅大于0.0001m/s的范围工程外侧102.3m内；流速减小最大值为0.02m/s，降幅大于0.0001m/s范围位于工程1#泊位上游84.8m及其2#泊位下游736.3m内；在平滩流量下，流速增加最大值为0.0005m/s，增幅大于0.0001m/s的范围工程外侧620.9m内；流速减小最大值为0.0043m/s，降幅大于0.0001m/s范围位于工程1#泊位上游268.2m及其2#泊位下游763.1m内。变化幅度及影响范围有限，故拟建码头工程对长江防洪、行洪安全不会产生影响。</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本工程所处河段河床组成主要为沙质河床，洪水期床沙普遍运动，洪水期时码头附近基本可以达到冲淤平衡，枯水期主航道呈现小幅度刷深，码头近岸略微有点淤积，基本不会对码头附近河势产生较大影响。</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5.2.1.2项目地表水影响水污染型影响分析</w:t>
      </w:r>
    </w:p>
    <w:p>
      <w:pPr>
        <w:pStyle w:val="1025"/>
        <w:widowControl w:val="0"/>
        <w:spacing w:line="360" w:lineRule="auto"/>
        <w:ind w:firstLine="482"/>
        <w:rPr>
          <w:rFonts w:eastAsia="仿宋_GB2312"/>
          <w:color w:val="auto"/>
        </w:rPr>
      </w:pPr>
      <w:r>
        <w:rPr>
          <w:rFonts w:hint="eastAsia" w:eastAsia="仿宋_GB2312"/>
          <w:color w:val="auto"/>
          <w:sz w:val="24"/>
          <w:szCs w:val="24"/>
        </w:rPr>
        <w:t>项目</w:t>
      </w:r>
      <w:r>
        <w:rPr>
          <w:rFonts w:hint="eastAsia" w:eastAsia="仿宋_GB2312"/>
          <w:color w:val="auto"/>
          <w:sz w:val="24"/>
          <w:szCs w:val="24"/>
          <w:lang w:eastAsia="zh-CN"/>
        </w:rPr>
        <w:t>运营期</w:t>
      </w:r>
      <w:r>
        <w:rPr>
          <w:rFonts w:hint="eastAsia" w:eastAsia="仿宋_GB2312"/>
          <w:color w:val="auto"/>
          <w:sz w:val="24"/>
          <w:szCs w:val="24"/>
        </w:rPr>
        <w:t>废水主要为码头工作人员生活污水，</w:t>
      </w:r>
      <w:r>
        <w:rPr>
          <w:rFonts w:hint="eastAsia" w:eastAsia="仿宋_GB2312"/>
          <w:color w:val="auto"/>
          <w:sz w:val="24"/>
          <w:szCs w:val="24"/>
          <w:lang w:val="en-US" w:eastAsia="zh-CN"/>
        </w:rPr>
        <w:t>到港</w:t>
      </w:r>
      <w:r>
        <w:rPr>
          <w:rFonts w:hint="eastAsia" w:eastAsia="仿宋_GB2312"/>
          <w:color w:val="auto"/>
          <w:sz w:val="24"/>
          <w:szCs w:val="24"/>
        </w:rPr>
        <w:t>船舶含油污水和生活污水</w:t>
      </w:r>
      <w:r>
        <w:rPr>
          <w:rFonts w:hint="eastAsia" w:eastAsia="仿宋_GB2312"/>
          <w:color w:val="auto"/>
          <w:sz w:val="24"/>
          <w:szCs w:val="24"/>
          <w:lang w:eastAsia="zh-CN"/>
        </w:rPr>
        <w:t>，</w:t>
      </w:r>
      <w:r>
        <w:rPr>
          <w:rFonts w:hint="eastAsia" w:eastAsia="仿宋_GB2312"/>
          <w:color w:val="auto"/>
          <w:sz w:val="24"/>
          <w:szCs w:val="24"/>
        </w:rPr>
        <w:t>码头</w:t>
      </w:r>
      <w:r>
        <w:rPr>
          <w:rFonts w:hint="eastAsia" w:eastAsia="仿宋_GB2312"/>
          <w:color w:val="auto"/>
          <w:sz w:val="24"/>
          <w:szCs w:val="24"/>
          <w:lang w:val="en-US" w:eastAsia="zh-CN"/>
        </w:rPr>
        <w:t>面</w:t>
      </w:r>
      <w:r>
        <w:rPr>
          <w:rFonts w:hint="eastAsia" w:eastAsia="仿宋_GB2312"/>
          <w:color w:val="auto"/>
          <w:sz w:val="24"/>
          <w:szCs w:val="24"/>
        </w:rPr>
        <w:t>冲洗废水及码头</w:t>
      </w:r>
      <w:r>
        <w:rPr>
          <w:rFonts w:hint="eastAsia" w:eastAsia="仿宋_GB2312"/>
          <w:color w:val="auto"/>
          <w:sz w:val="24"/>
          <w:szCs w:val="24"/>
          <w:lang w:val="en-US" w:eastAsia="zh-CN"/>
        </w:rPr>
        <w:t>面</w:t>
      </w:r>
      <w:r>
        <w:rPr>
          <w:rFonts w:hint="eastAsia" w:eastAsia="仿宋_GB2312"/>
          <w:color w:val="auto"/>
          <w:sz w:val="24"/>
          <w:szCs w:val="24"/>
        </w:rPr>
        <w:t>初期雨水</w:t>
      </w:r>
      <w:r>
        <w:rPr>
          <w:rFonts w:eastAsia="仿宋_GB2312"/>
          <w:color w:val="auto"/>
        </w:rPr>
        <w:t>。</w:t>
      </w:r>
    </w:p>
    <w:p>
      <w:pPr>
        <w:pStyle w:val="1025"/>
        <w:widowControl w:val="0"/>
        <w:spacing w:line="360" w:lineRule="auto"/>
        <w:ind w:firstLine="482"/>
        <w:rPr>
          <w:rFonts w:hint="eastAsia" w:eastAsia="仿宋_GB2312"/>
          <w:color w:val="auto"/>
          <w:sz w:val="24"/>
          <w:szCs w:val="24"/>
        </w:rPr>
      </w:pPr>
      <w:bookmarkStart w:id="411" w:name="_Toc41038081"/>
      <w:bookmarkStart w:id="412" w:name="_Toc224783986"/>
      <w:bookmarkStart w:id="413" w:name="_Toc143085413"/>
      <w:bookmarkStart w:id="414" w:name="_Toc305859522"/>
      <w:bookmarkStart w:id="415" w:name="_Toc408140950"/>
      <w:bookmarkStart w:id="416" w:name="_Toc408140951"/>
      <w:bookmarkStart w:id="417" w:name="_Toc41038082"/>
      <w:bookmarkStart w:id="418" w:name="_Toc224783987"/>
      <w:bookmarkStart w:id="419" w:name="_Toc305859523"/>
      <w:bookmarkStart w:id="420" w:name="_Toc143085414"/>
      <w:r>
        <w:rPr>
          <w:rFonts w:hint="eastAsia" w:eastAsia="仿宋_GB2312"/>
          <w:color w:val="auto"/>
          <w:sz w:val="24"/>
          <w:szCs w:val="24"/>
          <w:lang w:val="en-US" w:eastAsia="zh-CN"/>
        </w:rPr>
        <w:t>（1）</w:t>
      </w:r>
      <w:r>
        <w:rPr>
          <w:rFonts w:hint="eastAsia" w:eastAsia="仿宋_GB2312"/>
          <w:color w:val="auto"/>
          <w:sz w:val="24"/>
          <w:szCs w:val="24"/>
        </w:rPr>
        <w:t>项目废水产生和排放情况</w:t>
      </w:r>
      <w:bookmarkEnd w:id="411"/>
      <w:bookmarkEnd w:id="412"/>
      <w:bookmarkEnd w:id="413"/>
      <w:bookmarkEnd w:id="414"/>
      <w:bookmarkEnd w:id="415"/>
    </w:p>
    <w:p>
      <w:pPr>
        <w:pStyle w:val="1025"/>
        <w:widowControl w:val="0"/>
        <w:spacing w:line="360" w:lineRule="auto"/>
        <w:ind w:firstLine="482"/>
        <w:rPr>
          <w:rFonts w:hint="eastAsia" w:eastAsia="仿宋_GB2312"/>
          <w:color w:val="auto"/>
          <w:sz w:val="24"/>
          <w:szCs w:val="24"/>
          <w:lang w:val="en-US" w:eastAsia="zh-CN"/>
        </w:rPr>
      </w:pPr>
      <w:r>
        <w:rPr>
          <w:rFonts w:hint="eastAsia" w:eastAsia="仿宋_GB2312"/>
          <w:color w:val="auto"/>
          <w:sz w:val="24"/>
          <w:szCs w:val="24"/>
          <w:lang w:val="en-US" w:eastAsia="zh-CN"/>
        </w:rPr>
        <w:t>码头</w:t>
      </w:r>
      <w:r>
        <w:rPr>
          <w:rFonts w:hint="eastAsia" w:eastAsia="仿宋_GB2312"/>
          <w:color w:val="auto"/>
          <w:sz w:val="24"/>
          <w:szCs w:val="24"/>
          <w:lang w:eastAsia="zh-CN"/>
        </w:rPr>
        <w:t>工作人员生活污水</w:t>
      </w:r>
      <w:r>
        <w:rPr>
          <w:rFonts w:hint="eastAsia" w:eastAsia="仿宋_GB2312"/>
          <w:color w:val="auto"/>
          <w:sz w:val="24"/>
          <w:szCs w:val="24"/>
        </w:rPr>
        <w:t>产生量约</w:t>
      </w:r>
      <w:r>
        <w:rPr>
          <w:rFonts w:hint="eastAsia" w:eastAsia="仿宋_GB2312"/>
          <w:color w:val="auto"/>
          <w:sz w:val="24"/>
          <w:szCs w:val="24"/>
          <w:lang w:val="en-US" w:eastAsia="zh-CN"/>
        </w:rPr>
        <w:t>1.2</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/d（</w:t>
      </w:r>
      <w:r>
        <w:rPr>
          <w:rFonts w:hint="eastAsia" w:eastAsia="仿宋_GB2312"/>
          <w:color w:val="auto"/>
          <w:sz w:val="24"/>
          <w:szCs w:val="24"/>
          <w:lang w:val="en-US" w:eastAsia="zh-CN"/>
        </w:rPr>
        <w:t>396</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污水中COD、BOD</w:t>
      </w:r>
      <w:r>
        <w:rPr>
          <w:rFonts w:hint="eastAsia" w:eastAsia="仿宋_GB2312"/>
          <w:color w:val="auto"/>
          <w:sz w:val="24"/>
          <w:szCs w:val="24"/>
          <w:vertAlign w:val="subscript"/>
        </w:rPr>
        <w:t>5</w:t>
      </w:r>
      <w:r>
        <w:rPr>
          <w:rFonts w:hint="eastAsia" w:eastAsia="仿宋_GB2312"/>
          <w:color w:val="auto"/>
          <w:sz w:val="24"/>
          <w:szCs w:val="24"/>
        </w:rPr>
        <w:t>、SS、NH</w:t>
      </w:r>
      <w:r>
        <w:rPr>
          <w:rFonts w:hint="eastAsia" w:eastAsia="仿宋_GB2312"/>
          <w:color w:val="auto"/>
          <w:sz w:val="24"/>
          <w:szCs w:val="24"/>
          <w:vertAlign w:val="subscript"/>
        </w:rPr>
        <w:t>3</w:t>
      </w:r>
      <w:r>
        <w:rPr>
          <w:rFonts w:hint="eastAsia" w:eastAsia="仿宋_GB2312"/>
          <w:color w:val="auto"/>
          <w:sz w:val="24"/>
          <w:szCs w:val="24"/>
        </w:rPr>
        <w:t>-N</w:t>
      </w:r>
      <w:r>
        <w:rPr>
          <w:rFonts w:hint="eastAsia" w:eastAsia="仿宋_GB2312"/>
          <w:color w:val="auto"/>
          <w:sz w:val="24"/>
          <w:szCs w:val="24"/>
          <w:lang w:eastAsia="zh-CN"/>
        </w:rPr>
        <w:t>。进入</w:t>
      </w:r>
      <w:r>
        <w:rPr>
          <w:rFonts w:hint="eastAsia" w:eastAsia="仿宋_GB2312"/>
          <w:color w:val="auto"/>
          <w:sz w:val="24"/>
          <w:szCs w:val="24"/>
          <w:lang w:val="en-US" w:eastAsia="zh-CN"/>
        </w:rPr>
        <w:t>各自</w:t>
      </w:r>
      <w:r>
        <w:rPr>
          <w:rFonts w:hint="eastAsia" w:eastAsia="仿宋_GB2312"/>
          <w:color w:val="auto"/>
          <w:sz w:val="24"/>
          <w:szCs w:val="24"/>
          <w:lang w:eastAsia="zh-CN"/>
        </w:rPr>
        <w:t>趸船下方</w:t>
      </w:r>
      <w:r>
        <w:rPr>
          <w:rFonts w:hint="eastAsia" w:eastAsia="仿宋_GB2312"/>
          <w:color w:val="auto"/>
          <w:sz w:val="24"/>
          <w:szCs w:val="24"/>
          <w:lang w:val="en-US" w:eastAsia="zh-CN"/>
        </w:rPr>
        <w:t>设置的</w:t>
      </w:r>
      <w:r>
        <w:rPr>
          <w:rFonts w:hint="eastAsia" w:eastAsia="仿宋_GB2312"/>
          <w:color w:val="auto"/>
          <w:sz w:val="24"/>
          <w:szCs w:val="24"/>
          <w:lang w:eastAsia="zh-CN"/>
        </w:rPr>
        <w:t>生活污水储存柜（</w:t>
      </w:r>
      <w:r>
        <w:rPr>
          <w:rFonts w:hint="eastAsia" w:eastAsia="仿宋_GB2312"/>
          <w:color w:val="auto"/>
          <w:sz w:val="24"/>
          <w:szCs w:val="24"/>
          <w:lang w:val="en-US" w:eastAsia="zh-CN"/>
        </w:rPr>
        <w:t>容积为</w:t>
      </w:r>
      <w:r>
        <w:rPr>
          <w:rFonts w:hint="eastAsia" w:eastAsia="仿宋_GB2312"/>
          <w:bCs/>
          <w:color w:val="auto"/>
          <w:sz w:val="24"/>
          <w:lang w:val="en-US" w:eastAsia="zh-CN"/>
        </w:rPr>
        <w:t>5</w:t>
      </w:r>
      <w:r>
        <w:rPr>
          <w:bCs/>
          <w:color w:val="auto"/>
          <w:sz w:val="24"/>
        </w:rPr>
        <w:t>m</w:t>
      </w:r>
      <w:r>
        <w:rPr>
          <w:bCs/>
          <w:color w:val="auto"/>
          <w:sz w:val="24"/>
          <w:vertAlign w:val="superscript"/>
        </w:rPr>
        <w:t>3</w:t>
      </w:r>
      <w:r>
        <w:rPr>
          <w:rFonts w:hint="eastAsia" w:eastAsia="仿宋_GB2312"/>
          <w:color w:val="auto"/>
          <w:sz w:val="24"/>
          <w:szCs w:val="24"/>
          <w:lang w:eastAsia="zh-CN"/>
        </w:rPr>
        <w:t>）储存，委托海事部门认定的船舶污染物接收船</w:t>
      </w:r>
      <w:r>
        <w:rPr>
          <w:rFonts w:hint="eastAsia" w:eastAsia="仿宋_GB2312"/>
          <w:color w:val="auto"/>
          <w:sz w:val="24"/>
          <w:szCs w:val="24"/>
          <w:lang w:val="en-US" w:eastAsia="zh-CN"/>
        </w:rPr>
        <w:t>定期</w:t>
      </w:r>
      <w:r>
        <w:rPr>
          <w:rFonts w:hint="eastAsia" w:eastAsia="仿宋_GB2312"/>
          <w:color w:val="auto"/>
          <w:sz w:val="24"/>
          <w:szCs w:val="24"/>
          <w:lang w:eastAsia="zh-CN"/>
        </w:rPr>
        <w:t>统一处理。</w:t>
      </w:r>
    </w:p>
    <w:p>
      <w:pPr>
        <w:pStyle w:val="1025"/>
        <w:widowControl w:val="0"/>
        <w:spacing w:line="360" w:lineRule="auto"/>
        <w:ind w:firstLine="482"/>
        <w:rPr>
          <w:rFonts w:hint="eastAsia" w:eastAsia="仿宋_GB2312"/>
          <w:color w:val="auto"/>
          <w:sz w:val="24"/>
          <w:szCs w:val="24"/>
          <w:lang w:val="en-US" w:eastAsia="zh-CN"/>
        </w:rPr>
      </w:pPr>
      <w:r>
        <w:rPr>
          <w:rFonts w:hint="eastAsia" w:eastAsia="仿宋_GB2312"/>
          <w:color w:val="auto"/>
          <w:sz w:val="24"/>
          <w:szCs w:val="24"/>
          <w:lang w:val="en-US" w:eastAsia="zh-CN"/>
        </w:rPr>
        <w:t>（2）到港</w:t>
      </w:r>
      <w:r>
        <w:rPr>
          <w:rFonts w:hint="eastAsia" w:eastAsia="仿宋_GB2312"/>
          <w:color w:val="auto"/>
          <w:sz w:val="24"/>
          <w:szCs w:val="24"/>
        </w:rPr>
        <w:t>船舶含油污水和生活污水</w:t>
      </w:r>
    </w:p>
    <w:p>
      <w:pPr>
        <w:pStyle w:val="1025"/>
        <w:widowControl w:val="0"/>
        <w:spacing w:line="360" w:lineRule="auto"/>
        <w:ind w:firstLine="482"/>
        <w:rPr>
          <w:rFonts w:hint="eastAsia" w:eastAsia="仿宋_GB2312"/>
          <w:color w:val="auto"/>
          <w:sz w:val="24"/>
          <w:szCs w:val="24"/>
          <w:lang w:val="en-US" w:eastAsia="zh-CN"/>
        </w:rPr>
      </w:pPr>
      <w:r>
        <w:rPr>
          <w:rFonts w:hint="eastAsia" w:eastAsia="仿宋_GB2312"/>
          <w:color w:val="auto"/>
          <w:sz w:val="24"/>
          <w:szCs w:val="24"/>
        </w:rPr>
        <w:t>到港船舶舱底油污水全年发生总量约为</w:t>
      </w:r>
      <w:r>
        <w:rPr>
          <w:rFonts w:hint="eastAsia" w:eastAsia="仿宋_GB2312"/>
          <w:color w:val="auto"/>
          <w:sz w:val="24"/>
          <w:szCs w:val="24"/>
          <w:lang w:val="en-US" w:eastAsia="zh-CN"/>
        </w:rPr>
        <w:t>1485.54</w:t>
      </w:r>
      <w:r>
        <w:rPr>
          <w:rFonts w:hint="eastAsia" w:eastAsia="仿宋_GB2312"/>
          <w:color w:val="auto"/>
          <w:sz w:val="24"/>
          <w:szCs w:val="24"/>
        </w:rPr>
        <w:t>t/a</w:t>
      </w:r>
      <w:r>
        <w:rPr>
          <w:rFonts w:hint="eastAsia" w:eastAsia="仿宋_GB2312"/>
          <w:color w:val="auto"/>
          <w:sz w:val="24"/>
          <w:szCs w:val="24"/>
          <w:lang w:eastAsia="zh-CN"/>
        </w:rPr>
        <w:t>，</w:t>
      </w:r>
      <w:r>
        <w:rPr>
          <w:rFonts w:hint="eastAsia" w:eastAsia="仿宋_GB2312"/>
          <w:color w:val="auto"/>
          <w:sz w:val="24"/>
          <w:szCs w:val="24"/>
        </w:rPr>
        <w:t>到港船舶生活污水产生量为</w:t>
      </w:r>
      <w:r>
        <w:rPr>
          <w:rFonts w:hint="eastAsia" w:eastAsia="仿宋_GB2312"/>
          <w:color w:val="auto"/>
          <w:sz w:val="24"/>
          <w:szCs w:val="24"/>
          <w:lang w:val="en-US" w:eastAsia="zh-CN"/>
        </w:rPr>
        <w:t>4401.6</w:t>
      </w:r>
      <w:r>
        <w:rPr>
          <w:rFonts w:hint="eastAsia" w:eastAsia="仿宋_GB2312"/>
          <w:color w:val="auto"/>
          <w:sz w:val="24"/>
          <w:szCs w:val="24"/>
        </w:rPr>
        <w:t>t/a</w:t>
      </w:r>
      <w:r>
        <w:rPr>
          <w:rFonts w:hint="eastAsia" w:eastAsia="仿宋_GB2312"/>
          <w:color w:val="auto"/>
          <w:sz w:val="24"/>
          <w:szCs w:val="24"/>
          <w:lang w:eastAsia="zh-CN"/>
        </w:rPr>
        <w:t>，</w:t>
      </w:r>
      <w:r>
        <w:rPr>
          <w:rFonts w:hint="eastAsia" w:eastAsia="仿宋_GB2312"/>
          <w:color w:val="auto"/>
          <w:sz w:val="24"/>
          <w:szCs w:val="24"/>
        </w:rPr>
        <w:t>污水中主要污染因子COD、BOD</w:t>
      </w:r>
      <w:r>
        <w:rPr>
          <w:rFonts w:hint="eastAsia" w:eastAsia="仿宋_GB2312"/>
          <w:color w:val="auto"/>
          <w:sz w:val="24"/>
          <w:szCs w:val="24"/>
          <w:vertAlign w:val="subscript"/>
        </w:rPr>
        <w:t>5</w:t>
      </w:r>
      <w:r>
        <w:rPr>
          <w:rFonts w:hint="eastAsia" w:eastAsia="仿宋_GB2312"/>
          <w:color w:val="auto"/>
          <w:sz w:val="24"/>
          <w:szCs w:val="24"/>
        </w:rPr>
        <w:t>和氨氮。</w:t>
      </w:r>
      <w:r>
        <w:rPr>
          <w:rFonts w:hint="eastAsia" w:eastAsia="仿宋_GB2312"/>
          <w:color w:val="auto"/>
          <w:sz w:val="24"/>
          <w:szCs w:val="24"/>
          <w:lang w:val="en-US" w:eastAsia="zh-CN"/>
        </w:rPr>
        <w:t>到港</w:t>
      </w:r>
      <w:r>
        <w:rPr>
          <w:rFonts w:hint="eastAsia" w:eastAsia="仿宋_GB2312"/>
          <w:color w:val="auto"/>
          <w:sz w:val="24"/>
          <w:szCs w:val="24"/>
          <w:lang w:eastAsia="zh-CN"/>
        </w:rPr>
        <w:t>船舶生活污水</w:t>
      </w:r>
      <w:r>
        <w:rPr>
          <w:rFonts w:hint="eastAsia" w:eastAsia="仿宋_GB2312"/>
          <w:color w:val="auto"/>
          <w:sz w:val="24"/>
          <w:szCs w:val="24"/>
          <w:lang w:val="en-US" w:eastAsia="zh-CN"/>
        </w:rPr>
        <w:t>和油污水</w:t>
      </w:r>
      <w:r>
        <w:rPr>
          <w:rFonts w:hint="eastAsia" w:eastAsia="仿宋_GB2312"/>
          <w:color w:val="auto"/>
          <w:sz w:val="24"/>
          <w:szCs w:val="24"/>
          <w:lang w:eastAsia="zh-CN"/>
        </w:rPr>
        <w:t>由港区配置的真空式吸油泵和油污水回收船进行接收上岸，然后交有资质单位处理，</w:t>
      </w:r>
      <w:r>
        <w:rPr>
          <w:rFonts w:hint="eastAsia" w:eastAsia="仿宋_GB2312"/>
          <w:color w:val="auto"/>
          <w:sz w:val="24"/>
          <w:szCs w:val="24"/>
          <w:lang w:val="en-US" w:eastAsia="zh-CN"/>
        </w:rPr>
        <w:t>本项目不接收到港</w:t>
      </w:r>
      <w:r>
        <w:rPr>
          <w:rFonts w:hint="eastAsia" w:eastAsia="仿宋_GB2312"/>
          <w:color w:val="auto"/>
          <w:sz w:val="24"/>
          <w:szCs w:val="24"/>
        </w:rPr>
        <w:t>船舶</w:t>
      </w:r>
      <w:r>
        <w:rPr>
          <w:rFonts w:hint="eastAsia" w:eastAsia="仿宋_GB2312"/>
          <w:color w:val="auto"/>
          <w:sz w:val="24"/>
          <w:szCs w:val="24"/>
          <w:lang w:val="en-US" w:eastAsia="zh-CN"/>
        </w:rPr>
        <w:t>废水</w:t>
      </w:r>
      <w:r>
        <w:rPr>
          <w:rFonts w:eastAsia="仿宋_GB2312"/>
          <w:color w:val="auto"/>
        </w:rPr>
        <w:t>。</w:t>
      </w:r>
    </w:p>
    <w:p>
      <w:pPr>
        <w:pStyle w:val="1025"/>
        <w:widowControl w:val="0"/>
        <w:spacing w:line="360" w:lineRule="auto"/>
        <w:ind w:firstLine="482"/>
        <w:rPr>
          <w:rFonts w:hint="eastAsia" w:eastAsia="仿宋_GB2312"/>
          <w:color w:val="auto"/>
          <w:sz w:val="24"/>
          <w:szCs w:val="24"/>
          <w:lang w:val="en-US" w:eastAsia="zh-CN"/>
        </w:rPr>
      </w:pPr>
      <w:r>
        <w:rPr>
          <w:rFonts w:hint="eastAsia" w:eastAsia="仿宋_GB2312"/>
          <w:color w:val="auto"/>
          <w:sz w:val="24"/>
          <w:szCs w:val="24"/>
          <w:lang w:val="en-US" w:eastAsia="zh-CN"/>
        </w:rPr>
        <w:t>（3）</w:t>
      </w:r>
      <w:r>
        <w:rPr>
          <w:rFonts w:hint="eastAsia" w:eastAsia="仿宋_GB2312"/>
          <w:color w:val="auto"/>
          <w:sz w:val="24"/>
          <w:szCs w:val="24"/>
        </w:rPr>
        <w:t>码头</w:t>
      </w:r>
      <w:r>
        <w:rPr>
          <w:rFonts w:hint="eastAsia" w:eastAsia="仿宋_GB2312"/>
          <w:color w:val="auto"/>
          <w:sz w:val="24"/>
          <w:szCs w:val="24"/>
          <w:lang w:val="en-US" w:eastAsia="zh-CN"/>
        </w:rPr>
        <w:t>面</w:t>
      </w:r>
      <w:r>
        <w:rPr>
          <w:rFonts w:hint="eastAsia" w:eastAsia="仿宋_GB2312"/>
          <w:color w:val="auto"/>
          <w:sz w:val="24"/>
          <w:szCs w:val="24"/>
        </w:rPr>
        <w:t>冲洗废水及码头</w:t>
      </w:r>
      <w:r>
        <w:rPr>
          <w:rFonts w:hint="eastAsia" w:eastAsia="仿宋_GB2312"/>
          <w:color w:val="auto"/>
          <w:sz w:val="24"/>
          <w:szCs w:val="24"/>
          <w:lang w:val="en-US" w:eastAsia="zh-CN"/>
        </w:rPr>
        <w:t>面</w:t>
      </w:r>
      <w:r>
        <w:rPr>
          <w:rFonts w:hint="eastAsia" w:eastAsia="仿宋_GB2312"/>
          <w:color w:val="auto"/>
          <w:sz w:val="24"/>
          <w:szCs w:val="24"/>
        </w:rPr>
        <w:t>初期雨水</w:t>
      </w:r>
    </w:p>
    <w:bookmarkEnd w:id="416"/>
    <w:bookmarkEnd w:id="417"/>
    <w:bookmarkEnd w:id="418"/>
    <w:bookmarkEnd w:id="419"/>
    <w:bookmarkEnd w:id="420"/>
    <w:p>
      <w:pPr>
        <w:pStyle w:val="1025"/>
        <w:widowControl w:val="0"/>
        <w:spacing w:line="360" w:lineRule="auto"/>
        <w:ind w:firstLine="482"/>
        <w:jc w:val="both"/>
        <w:rPr>
          <w:rFonts w:eastAsia="仿宋_GB2312"/>
          <w:color w:val="auto"/>
        </w:rPr>
      </w:pPr>
      <w:r>
        <w:rPr>
          <w:rFonts w:hint="eastAsia" w:eastAsia="仿宋_GB2312"/>
          <w:color w:val="auto"/>
          <w:sz w:val="24"/>
          <w:szCs w:val="24"/>
        </w:rPr>
        <w:t>码头</w:t>
      </w:r>
      <w:r>
        <w:rPr>
          <w:rFonts w:hint="eastAsia" w:eastAsia="仿宋_GB2312"/>
          <w:color w:val="auto"/>
          <w:sz w:val="24"/>
          <w:szCs w:val="24"/>
          <w:lang w:val="en-US" w:eastAsia="zh-CN"/>
        </w:rPr>
        <w:t>面</w:t>
      </w:r>
      <w:r>
        <w:rPr>
          <w:rFonts w:hint="eastAsia" w:eastAsia="仿宋_GB2312"/>
          <w:color w:val="auto"/>
          <w:sz w:val="24"/>
          <w:szCs w:val="24"/>
        </w:rPr>
        <w:t>冲洗废水年产生量</w:t>
      </w:r>
      <w:r>
        <w:rPr>
          <w:rFonts w:hint="eastAsia" w:eastAsia="仿宋_GB2312"/>
          <w:color w:val="auto"/>
          <w:sz w:val="24"/>
          <w:szCs w:val="24"/>
          <w:lang w:val="en-US" w:eastAsia="zh-CN"/>
        </w:rPr>
        <w:t>约</w:t>
      </w:r>
      <w:r>
        <w:rPr>
          <w:rFonts w:hint="eastAsia" w:eastAsia="仿宋_GB2312"/>
          <w:color w:val="auto"/>
          <w:sz w:val="24"/>
          <w:szCs w:val="24"/>
        </w:rPr>
        <w:t>为96m</w:t>
      </w:r>
      <w:r>
        <w:rPr>
          <w:rFonts w:hint="eastAsia" w:eastAsia="仿宋_GB2312"/>
          <w:color w:val="auto"/>
          <w:sz w:val="24"/>
          <w:szCs w:val="24"/>
          <w:vertAlign w:val="superscript"/>
        </w:rPr>
        <w:t>3</w:t>
      </w:r>
      <w:r>
        <w:rPr>
          <w:rFonts w:hint="eastAsia" w:eastAsia="仿宋_GB2312"/>
          <w:color w:val="auto"/>
          <w:sz w:val="24"/>
          <w:szCs w:val="24"/>
        </w:rPr>
        <w:t>/a</w:t>
      </w:r>
      <w:r>
        <w:rPr>
          <w:rFonts w:hint="eastAsia" w:eastAsia="仿宋_GB2312"/>
          <w:color w:val="auto"/>
          <w:sz w:val="24"/>
          <w:szCs w:val="24"/>
          <w:lang w:eastAsia="zh-CN"/>
        </w:rPr>
        <w:t>，初期雨水</w:t>
      </w:r>
      <w:r>
        <w:rPr>
          <w:rFonts w:hint="eastAsia" w:eastAsia="仿宋_GB2312"/>
          <w:color w:val="auto"/>
          <w:sz w:val="24"/>
          <w:szCs w:val="24"/>
        </w:rPr>
        <w:t>年产生量</w:t>
      </w:r>
      <w:r>
        <w:rPr>
          <w:rFonts w:hint="eastAsia" w:eastAsia="仿宋_GB2312"/>
          <w:color w:val="auto"/>
          <w:sz w:val="24"/>
          <w:szCs w:val="24"/>
          <w:lang w:val="en-US" w:eastAsia="zh-CN"/>
        </w:rPr>
        <w:t>约</w:t>
      </w:r>
      <w:r>
        <w:rPr>
          <w:rFonts w:hint="eastAsia" w:eastAsia="仿宋_GB2312"/>
          <w:color w:val="auto"/>
          <w:sz w:val="24"/>
          <w:szCs w:val="24"/>
        </w:rPr>
        <w:t>为</w:t>
      </w:r>
      <w:r>
        <w:rPr>
          <w:rFonts w:hint="eastAsia" w:eastAsia="仿宋_GB2312"/>
          <w:color w:val="auto"/>
          <w:sz w:val="24"/>
          <w:szCs w:val="24"/>
          <w:lang w:val="en-US" w:eastAsia="zh-CN"/>
        </w:rPr>
        <w:t>1680.9</w:t>
      </w:r>
      <w:r>
        <w:rPr>
          <w:rFonts w:hint="eastAsia" w:eastAsia="仿宋_GB2312"/>
          <w:color w:val="auto"/>
          <w:sz w:val="24"/>
          <w:szCs w:val="24"/>
        </w:rPr>
        <w:t>m</w:t>
      </w:r>
      <w:r>
        <w:rPr>
          <w:rFonts w:hint="eastAsia" w:eastAsia="仿宋_GB2312"/>
          <w:color w:val="auto"/>
          <w:sz w:val="24"/>
          <w:szCs w:val="24"/>
          <w:vertAlign w:val="superscript"/>
        </w:rPr>
        <w:t>3</w:t>
      </w:r>
      <w:r>
        <w:rPr>
          <w:rFonts w:hint="eastAsia" w:eastAsia="仿宋_GB2312"/>
          <w:color w:val="auto"/>
          <w:sz w:val="24"/>
          <w:szCs w:val="24"/>
        </w:rPr>
        <w:t>/a。</w:t>
      </w:r>
      <w:r>
        <w:rPr>
          <w:rFonts w:hint="eastAsia" w:eastAsia="仿宋_GB2312"/>
          <w:color w:val="auto"/>
          <w:sz w:val="24"/>
          <w:szCs w:val="24"/>
          <w:lang w:val="en-US" w:eastAsia="zh-CN"/>
        </w:rPr>
        <w:t>此部分废水</w:t>
      </w:r>
      <w:r>
        <w:rPr>
          <w:rFonts w:hint="eastAsia" w:eastAsia="仿宋_GB2312"/>
          <w:color w:val="auto"/>
          <w:sz w:val="24"/>
          <w:szCs w:val="24"/>
          <w:lang w:eastAsia="zh-CN"/>
        </w:rPr>
        <w:t>通过趸船</w:t>
      </w:r>
      <w:r>
        <w:rPr>
          <w:rFonts w:hint="eastAsia" w:eastAsia="仿宋_GB2312"/>
          <w:color w:val="auto"/>
          <w:sz w:val="24"/>
          <w:szCs w:val="24"/>
          <w:lang w:val="en-US" w:eastAsia="zh-CN"/>
        </w:rPr>
        <w:t>四周设置的</w:t>
      </w:r>
      <w:r>
        <w:rPr>
          <w:rFonts w:hint="eastAsia" w:eastAsia="仿宋_GB2312"/>
          <w:color w:val="auto"/>
          <w:sz w:val="24"/>
          <w:szCs w:val="24"/>
          <w:lang w:eastAsia="zh-CN"/>
        </w:rPr>
        <w:t>收集坎收集，</w:t>
      </w:r>
      <w:r>
        <w:rPr>
          <w:rFonts w:hint="eastAsia" w:eastAsia="仿宋_GB2312"/>
          <w:color w:val="auto"/>
          <w:sz w:val="24"/>
          <w:szCs w:val="24"/>
          <w:lang w:val="en-US" w:eastAsia="zh-CN"/>
        </w:rPr>
        <w:t>后</w:t>
      </w:r>
      <w:r>
        <w:rPr>
          <w:rFonts w:hint="eastAsia" w:eastAsia="仿宋_GB2312"/>
          <w:color w:val="auto"/>
          <w:sz w:val="24"/>
          <w:szCs w:val="24"/>
          <w:lang w:eastAsia="zh-CN"/>
        </w:rPr>
        <w:t>进入</w:t>
      </w:r>
      <w:r>
        <w:rPr>
          <w:rFonts w:hint="eastAsia" w:eastAsia="仿宋_GB2312"/>
          <w:color w:val="auto"/>
          <w:sz w:val="24"/>
          <w:szCs w:val="24"/>
          <w:lang w:val="en-US" w:eastAsia="zh-CN"/>
        </w:rPr>
        <w:t>趸船下方</w:t>
      </w:r>
      <w:r>
        <w:rPr>
          <w:rFonts w:hint="eastAsia" w:eastAsia="仿宋_GB2312"/>
          <w:color w:val="auto"/>
          <w:sz w:val="24"/>
          <w:szCs w:val="24"/>
          <w:lang w:eastAsia="zh-CN"/>
        </w:rPr>
        <w:t>初期雨水收集柜（</w:t>
      </w:r>
      <w:r>
        <w:rPr>
          <w:rFonts w:hint="eastAsia" w:eastAsia="仿宋_GB2312"/>
          <w:color w:val="auto"/>
          <w:sz w:val="24"/>
          <w:szCs w:val="24"/>
          <w:lang w:val="en-US" w:eastAsia="zh-CN"/>
        </w:rPr>
        <w:t>容积为</w:t>
      </w:r>
      <w:r>
        <w:rPr>
          <w:rFonts w:hint="eastAsia" w:eastAsia="仿宋_GB2312"/>
          <w:bCs/>
          <w:color w:val="auto"/>
          <w:sz w:val="24"/>
          <w:lang w:val="en-US" w:eastAsia="zh-CN"/>
        </w:rPr>
        <w:t>20</w:t>
      </w:r>
      <w:r>
        <w:rPr>
          <w:bCs/>
          <w:color w:val="auto"/>
          <w:sz w:val="24"/>
        </w:rPr>
        <w:t>m</w:t>
      </w:r>
      <w:r>
        <w:rPr>
          <w:bCs/>
          <w:color w:val="auto"/>
          <w:sz w:val="24"/>
          <w:vertAlign w:val="superscript"/>
        </w:rPr>
        <w:t>3</w:t>
      </w:r>
      <w:r>
        <w:rPr>
          <w:rFonts w:hint="eastAsia" w:eastAsia="仿宋_GB2312"/>
          <w:color w:val="auto"/>
          <w:sz w:val="24"/>
          <w:szCs w:val="24"/>
          <w:lang w:eastAsia="zh-CN"/>
        </w:rPr>
        <w:t>）储存，委托海事部门认定的船舶污染物接收船定期统一处理；</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综上所述，项目运营期废水均不外排，项目废水不会对码头所在江段的水质造成影响。</w:t>
      </w:r>
    </w:p>
    <w:p>
      <w:pPr>
        <w:pStyle w:val="9"/>
        <w:keepNext w:val="0"/>
        <w:keepLines w:val="0"/>
        <w:widowControl w:val="0"/>
        <w:spacing w:before="120" w:after="120" w:line="360" w:lineRule="auto"/>
        <w:rPr>
          <w:rFonts w:hint="default" w:eastAsia="黑体"/>
          <w:b w:val="0"/>
          <w:color w:val="auto"/>
          <w:sz w:val="24"/>
          <w:lang w:val="en-US" w:eastAsia="zh-CN"/>
        </w:rPr>
      </w:pPr>
      <w:bookmarkStart w:id="421" w:name="_Toc30344"/>
      <w:r>
        <w:rPr>
          <w:rFonts w:eastAsia="黑体"/>
          <w:b w:val="0"/>
          <w:color w:val="auto"/>
          <w:sz w:val="24"/>
        </w:rPr>
        <w:t>5</w:t>
      </w:r>
      <w:r>
        <w:rPr>
          <w:rFonts w:hint="eastAsia" w:eastAsia="黑体"/>
          <w:b w:val="0"/>
          <w:color w:val="auto"/>
          <w:sz w:val="24"/>
          <w:lang w:val="en-US" w:eastAsia="zh-CN"/>
        </w:rPr>
        <w:t>.2</w:t>
      </w:r>
      <w:r>
        <w:rPr>
          <w:rFonts w:eastAsia="黑体"/>
          <w:b w:val="0"/>
          <w:color w:val="auto"/>
          <w:sz w:val="24"/>
        </w:rPr>
        <w:t>.</w:t>
      </w:r>
      <w:r>
        <w:rPr>
          <w:rFonts w:hint="eastAsia" w:eastAsia="黑体"/>
          <w:b w:val="0"/>
          <w:color w:val="auto"/>
          <w:sz w:val="24"/>
          <w:lang w:val="en-US" w:eastAsia="zh-CN"/>
        </w:rPr>
        <w:t>2运营期大气环境影响分析</w:t>
      </w:r>
      <w:bookmarkEnd w:id="421"/>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.2.2.1区域气候资料分析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1</w:t>
      </w:r>
      <w:r>
        <w:rPr>
          <w:rFonts w:hint="eastAsia" w:eastAsia="仿宋_GB2312"/>
          <w:color w:val="auto"/>
          <w:sz w:val="24"/>
          <w:szCs w:val="24"/>
          <w:lang w:eastAsia="zh-CN"/>
        </w:rPr>
        <w:t>）</w:t>
      </w:r>
      <w:r>
        <w:rPr>
          <w:rFonts w:hint="eastAsia" w:eastAsia="仿宋_GB2312"/>
          <w:color w:val="auto"/>
          <w:sz w:val="24"/>
          <w:szCs w:val="24"/>
          <w:lang w:val="en-US" w:eastAsia="zh-CN"/>
        </w:rPr>
        <w:t>气象概况</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距离项目最近的气象站为宜都气象站，宜都气象站（57465）位于湖北省宜昌市，地理坐标为东经111.43度，北纬30.36度，海拔高度120.10米。气象站始建于1959年，1959年正式进行气象观测。拥有长期的气象观测资料，以下资料根据2001-2020年气象数据统计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宜都气象站气象资料整编表如</w:t>
      </w:r>
      <w:r>
        <w:rPr>
          <w:rFonts w:hint="eastAsia" w:eastAsia="仿宋_GB2312"/>
          <w:color w:val="auto"/>
          <w:sz w:val="24"/>
          <w:szCs w:val="24"/>
          <w:lang w:val="en-US" w:eastAsia="zh-CN"/>
        </w:rPr>
        <w:t>下</w:t>
      </w:r>
      <w:r>
        <w:rPr>
          <w:rFonts w:hint="eastAsia" w:eastAsia="仿宋_GB2312"/>
          <w:color w:val="auto"/>
          <w:sz w:val="24"/>
          <w:szCs w:val="24"/>
          <w:lang w:eastAsia="zh-CN"/>
        </w:rPr>
        <w:t>表</w:t>
      </w:r>
      <w:r>
        <w:rPr>
          <w:rFonts w:hint="eastAsia" w:eastAsia="仿宋_GB2312"/>
          <w:color w:val="auto"/>
          <w:sz w:val="24"/>
          <w:szCs w:val="24"/>
          <w:lang w:val="en-US" w:eastAsia="zh-CN"/>
        </w:rPr>
        <w:t>所示。</w:t>
      </w:r>
    </w:p>
    <w:p>
      <w:pPr>
        <w:widowControl w:val="0"/>
        <w:spacing w:line="360" w:lineRule="auto"/>
        <w:jc w:val="center"/>
        <w:rPr>
          <w:rFonts w:hint="eastAsia" w:eastAsia="黑体"/>
          <w:b/>
          <w:color w:val="auto"/>
          <w:szCs w:val="21"/>
          <w:lang w:eastAsia="zh-CN"/>
        </w:rPr>
      </w:pPr>
      <w:r>
        <w:rPr>
          <w:rFonts w:eastAsia="黑体"/>
          <w:b/>
          <w:color w:val="auto"/>
          <w:szCs w:val="21"/>
        </w:rPr>
        <w:t>表5.</w:t>
      </w:r>
      <w:r>
        <w:rPr>
          <w:rFonts w:hint="eastAsia" w:eastAsia="黑体"/>
          <w:b/>
          <w:color w:val="auto"/>
          <w:szCs w:val="21"/>
          <w:lang w:val="en-US" w:eastAsia="zh-CN"/>
        </w:rPr>
        <w:t>2</w:t>
      </w:r>
      <w:r>
        <w:rPr>
          <w:rFonts w:eastAsia="黑体"/>
          <w:b/>
          <w:color w:val="auto"/>
          <w:szCs w:val="21"/>
        </w:rPr>
        <w:t>-1</w:t>
      </w:r>
      <w:r>
        <w:rPr>
          <w:rFonts w:hint="eastAsia" w:eastAsia="黑体"/>
          <w:b/>
          <w:color w:val="auto"/>
          <w:szCs w:val="21"/>
          <w:lang w:val="en-US" w:eastAsia="zh-CN"/>
        </w:rPr>
        <w:t>0</w:t>
      </w:r>
      <w:r>
        <w:rPr>
          <w:rFonts w:eastAsia="黑体"/>
          <w:b/>
          <w:color w:val="auto"/>
          <w:szCs w:val="21"/>
        </w:rPr>
        <w:t xml:space="preserve">  </w:t>
      </w:r>
      <w:r>
        <w:rPr>
          <w:rFonts w:hint="eastAsia" w:eastAsia="黑体"/>
          <w:b/>
          <w:color w:val="auto"/>
          <w:szCs w:val="21"/>
          <w:lang w:val="en-US" w:eastAsia="zh-CN"/>
        </w:rPr>
        <w:t>宜都气象站常规气象项目统计</w:t>
      </w:r>
      <w:r>
        <w:rPr>
          <w:rFonts w:eastAsia="黑体"/>
          <w:b/>
          <w:color w:val="auto"/>
          <w:szCs w:val="21"/>
        </w:rPr>
        <w:t>表</w:t>
      </w:r>
      <w:r>
        <w:rPr>
          <w:rFonts w:hint="eastAsia" w:eastAsia="黑体"/>
          <w:b/>
          <w:color w:val="auto"/>
          <w:szCs w:val="21"/>
          <w:lang w:eastAsia="zh-CN"/>
        </w:rPr>
        <w:t>（</w:t>
      </w:r>
      <w:r>
        <w:rPr>
          <w:rFonts w:hint="eastAsia" w:eastAsia="黑体"/>
          <w:b/>
          <w:color w:val="auto"/>
          <w:szCs w:val="21"/>
          <w:lang w:val="en-US" w:eastAsia="zh-CN"/>
        </w:rPr>
        <w:t>2001-2020年</w:t>
      </w:r>
      <w:r>
        <w:rPr>
          <w:rFonts w:hint="eastAsia" w:eastAsia="黑体"/>
          <w:b/>
          <w:color w:val="auto"/>
          <w:szCs w:val="21"/>
          <w:lang w:eastAsia="zh-CN"/>
        </w:rPr>
        <w:t>）</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45"/>
        <w:gridCol w:w="2863"/>
        <w:gridCol w:w="1196"/>
        <w:gridCol w:w="2398"/>
        <w:gridCol w:w="121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统计项目</w:t>
            </w:r>
          </w:p>
        </w:tc>
        <w:tc>
          <w:tcPr>
            <w:tcW w:w="702" w:type="pct"/>
            <w:tcBorders>
              <w:top w:val="single" w:color="auto" w:sz="12" w:space="0"/>
              <w:bottom w:val="single" w:color="auto" w:sz="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统计值</w:t>
            </w:r>
          </w:p>
        </w:tc>
        <w:tc>
          <w:tcPr>
            <w:tcW w:w="1407"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极值出现时间</w:t>
            </w:r>
          </w:p>
        </w:tc>
        <w:tc>
          <w:tcPr>
            <w:tcW w:w="712" w:type="pct"/>
            <w:tcBorders>
              <w:top w:val="single" w:color="auto" w:sz="12" w:space="0"/>
              <w:bottom w:val="single" w:color="auto" w:sz="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极值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369" w:hRule="atLeast"/>
          <w:jc w:val="center"/>
        </w:trPr>
        <w:tc>
          <w:tcPr>
            <w:tcW w:w="2176" w:type="pct"/>
            <w:gridSpan w:val="2"/>
            <w:tcBorders>
              <w:top w:val="single" w:color="auto" w:sz="12" w:space="0"/>
            </w:tcBorders>
            <w:noWrap w:val="0"/>
            <w:vAlign w:val="center"/>
          </w:tcPr>
          <w:p>
            <w:pPr>
              <w:widowControl w:val="0"/>
              <w:jc w:val="center"/>
              <w:rPr>
                <w:color w:val="auto"/>
                <w:sz w:val="20"/>
                <w:szCs w:val="21"/>
              </w:rPr>
            </w:pPr>
            <w:r>
              <w:rPr>
                <w:rFonts w:hint="eastAsia"/>
                <w:color w:val="auto"/>
                <w:sz w:val="20"/>
                <w:szCs w:val="21"/>
              </w:rPr>
              <w:t>多年平均气温（℃）</w:t>
            </w:r>
          </w:p>
        </w:tc>
        <w:tc>
          <w:tcPr>
            <w:tcW w:w="70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17.5</w:t>
            </w:r>
          </w:p>
        </w:tc>
        <w:tc>
          <w:tcPr>
            <w:tcW w:w="1407" w:type="pct"/>
            <w:tcBorders>
              <w:top w:val="single" w:color="auto" w:sz="12" w:space="0"/>
            </w:tcBorders>
            <w:noWrap w:val="0"/>
            <w:vAlign w:val="center"/>
          </w:tcPr>
          <w:p>
            <w:pPr>
              <w:widowControl w:val="0"/>
              <w:jc w:val="center"/>
              <w:rPr>
                <w:color w:val="auto"/>
                <w:sz w:val="20"/>
                <w:szCs w:val="21"/>
              </w:rPr>
            </w:pPr>
          </w:p>
        </w:tc>
        <w:tc>
          <w:tcPr>
            <w:tcW w:w="712" w:type="pct"/>
            <w:tcBorders>
              <w:top w:val="single" w:color="auto" w:sz="12" w:space="0"/>
            </w:tcBorders>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累年极端最高气温（℃）</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39.4</w:t>
            </w:r>
          </w:p>
        </w:tc>
        <w:tc>
          <w:tcPr>
            <w:tcW w:w="140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2013/08/08</w:t>
            </w:r>
          </w:p>
        </w:tc>
        <w:tc>
          <w:tcPr>
            <w:tcW w:w="71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累年极端最低气温（℃）</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-3.0</w:t>
            </w:r>
          </w:p>
        </w:tc>
        <w:tc>
          <w:tcPr>
            <w:tcW w:w="140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2016/01/25</w:t>
            </w:r>
          </w:p>
        </w:tc>
        <w:tc>
          <w:tcPr>
            <w:tcW w:w="71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多年平均气压（hPa）</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1005.9</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多年平均水汽压（hPa）</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16.4</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多年平均相对湿度（%）</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74.4</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多年平均降雨量（</w:t>
            </w:r>
            <w:r>
              <w:rPr>
                <w:rFonts w:hint="eastAsia"/>
                <w:color w:val="auto"/>
                <w:sz w:val="20"/>
                <w:szCs w:val="21"/>
                <w:lang w:val="en-US" w:eastAsia="zh-CN"/>
              </w:rPr>
              <w:t>mm</w:t>
            </w:r>
            <w:r>
              <w:rPr>
                <w:rFonts w:hint="eastAsia"/>
                <w:color w:val="auto"/>
                <w:sz w:val="20"/>
                <w:szCs w:val="21"/>
              </w:rPr>
              <w:t>）</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1331.6</w:t>
            </w:r>
          </w:p>
        </w:tc>
        <w:tc>
          <w:tcPr>
            <w:tcW w:w="140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2018/04/22</w:t>
            </w:r>
          </w:p>
        </w:tc>
        <w:tc>
          <w:tcPr>
            <w:tcW w:w="71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185.5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496" w:type="pct"/>
            <w:vMerge w:val="restar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灾害天气统计</w:t>
            </w:r>
          </w:p>
        </w:tc>
        <w:tc>
          <w:tcPr>
            <w:tcW w:w="1680" w:type="pct"/>
            <w:noWrap w:val="0"/>
            <w:vAlign w:val="center"/>
          </w:tcPr>
          <w:p>
            <w:pPr>
              <w:widowControl w:val="0"/>
              <w:jc w:val="center"/>
              <w:rPr>
                <w:color w:val="auto"/>
                <w:sz w:val="20"/>
                <w:szCs w:val="21"/>
              </w:rPr>
            </w:pPr>
            <w:r>
              <w:rPr>
                <w:rFonts w:hint="eastAsia"/>
                <w:color w:val="auto"/>
                <w:sz w:val="20"/>
                <w:szCs w:val="21"/>
              </w:rPr>
              <w:t>多年平均沙暴日数（</w:t>
            </w:r>
            <w:r>
              <w:rPr>
                <w:rFonts w:hint="eastAsia"/>
                <w:color w:val="auto"/>
                <w:sz w:val="20"/>
                <w:szCs w:val="21"/>
                <w:lang w:val="en-US" w:eastAsia="zh-CN"/>
              </w:rPr>
              <w:t>d</w:t>
            </w:r>
            <w:r>
              <w:rPr>
                <w:rFonts w:hint="eastAsia"/>
                <w:color w:val="auto"/>
                <w:sz w:val="20"/>
                <w:szCs w:val="21"/>
              </w:rPr>
              <w:t>）</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0.2</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496" w:type="pct"/>
            <w:vMerge w:val="continue"/>
            <w:noWrap w:val="0"/>
            <w:vAlign w:val="center"/>
          </w:tcPr>
          <w:p>
            <w:pPr>
              <w:widowControl w:val="0"/>
              <w:jc w:val="center"/>
              <w:rPr>
                <w:color w:val="auto"/>
                <w:sz w:val="20"/>
                <w:szCs w:val="21"/>
              </w:rPr>
            </w:pPr>
          </w:p>
        </w:tc>
        <w:tc>
          <w:tcPr>
            <w:tcW w:w="1680" w:type="pct"/>
            <w:noWrap w:val="0"/>
            <w:vAlign w:val="center"/>
          </w:tcPr>
          <w:p>
            <w:pPr>
              <w:widowControl w:val="0"/>
              <w:jc w:val="center"/>
              <w:rPr>
                <w:color w:val="auto"/>
                <w:sz w:val="20"/>
                <w:szCs w:val="21"/>
              </w:rPr>
            </w:pPr>
            <w:r>
              <w:rPr>
                <w:rFonts w:hint="eastAsia"/>
                <w:color w:val="auto"/>
                <w:sz w:val="20"/>
                <w:szCs w:val="21"/>
              </w:rPr>
              <w:t>多年平均雷暴日数（</w:t>
            </w:r>
            <w:r>
              <w:rPr>
                <w:rFonts w:hint="eastAsia"/>
                <w:color w:val="auto"/>
                <w:sz w:val="20"/>
                <w:szCs w:val="21"/>
                <w:lang w:val="en-US" w:eastAsia="zh-CN"/>
              </w:rPr>
              <w:t>d</w:t>
            </w:r>
            <w:r>
              <w:rPr>
                <w:rFonts w:hint="eastAsia"/>
                <w:color w:val="auto"/>
                <w:sz w:val="20"/>
                <w:szCs w:val="21"/>
              </w:rPr>
              <w:t>）</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26.8</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496" w:type="pct"/>
            <w:vMerge w:val="continue"/>
            <w:noWrap w:val="0"/>
            <w:vAlign w:val="center"/>
          </w:tcPr>
          <w:p>
            <w:pPr>
              <w:widowControl w:val="0"/>
              <w:jc w:val="center"/>
              <w:rPr>
                <w:color w:val="auto"/>
                <w:sz w:val="20"/>
                <w:szCs w:val="21"/>
              </w:rPr>
            </w:pPr>
          </w:p>
        </w:tc>
        <w:tc>
          <w:tcPr>
            <w:tcW w:w="1680" w:type="pct"/>
            <w:noWrap w:val="0"/>
            <w:vAlign w:val="center"/>
          </w:tcPr>
          <w:p>
            <w:pPr>
              <w:widowControl w:val="0"/>
              <w:jc w:val="center"/>
              <w:rPr>
                <w:color w:val="auto"/>
                <w:sz w:val="20"/>
                <w:szCs w:val="21"/>
              </w:rPr>
            </w:pPr>
            <w:r>
              <w:rPr>
                <w:rFonts w:hint="eastAsia"/>
                <w:color w:val="auto"/>
                <w:sz w:val="20"/>
                <w:szCs w:val="21"/>
              </w:rPr>
              <w:t>多年平均冰雹日数（</w:t>
            </w:r>
            <w:r>
              <w:rPr>
                <w:rFonts w:hint="eastAsia"/>
                <w:color w:val="auto"/>
                <w:sz w:val="20"/>
                <w:szCs w:val="21"/>
                <w:lang w:val="en-US" w:eastAsia="zh-CN"/>
              </w:rPr>
              <w:t>d</w:t>
            </w:r>
            <w:r>
              <w:rPr>
                <w:rFonts w:hint="eastAsia"/>
                <w:color w:val="auto"/>
                <w:sz w:val="20"/>
                <w:szCs w:val="21"/>
              </w:rPr>
              <w:t>）</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0.1</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496" w:type="pct"/>
            <w:vMerge w:val="continue"/>
            <w:noWrap w:val="0"/>
            <w:vAlign w:val="center"/>
          </w:tcPr>
          <w:p>
            <w:pPr>
              <w:widowControl w:val="0"/>
              <w:jc w:val="center"/>
              <w:rPr>
                <w:color w:val="auto"/>
                <w:sz w:val="20"/>
                <w:szCs w:val="21"/>
              </w:rPr>
            </w:pPr>
          </w:p>
        </w:tc>
        <w:tc>
          <w:tcPr>
            <w:tcW w:w="1680" w:type="pct"/>
            <w:noWrap w:val="0"/>
            <w:vAlign w:val="center"/>
          </w:tcPr>
          <w:p>
            <w:pPr>
              <w:widowControl w:val="0"/>
              <w:jc w:val="center"/>
              <w:rPr>
                <w:color w:val="auto"/>
                <w:sz w:val="20"/>
                <w:szCs w:val="21"/>
              </w:rPr>
            </w:pPr>
            <w:r>
              <w:rPr>
                <w:rFonts w:hint="eastAsia"/>
                <w:color w:val="auto"/>
                <w:sz w:val="20"/>
                <w:szCs w:val="21"/>
              </w:rPr>
              <w:t>多年平均大风日数（</w:t>
            </w:r>
            <w:r>
              <w:rPr>
                <w:rFonts w:hint="eastAsia"/>
                <w:color w:val="auto"/>
                <w:sz w:val="20"/>
                <w:szCs w:val="21"/>
                <w:lang w:val="en-US" w:eastAsia="zh-CN"/>
              </w:rPr>
              <w:t>d</w:t>
            </w:r>
            <w:r>
              <w:rPr>
                <w:rFonts w:hint="eastAsia"/>
                <w:color w:val="auto"/>
                <w:sz w:val="20"/>
                <w:szCs w:val="21"/>
              </w:rPr>
              <w:t>）</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0.3</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多年实测极大风速（m/s）、相应风向</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16.2</w:t>
            </w:r>
          </w:p>
        </w:tc>
        <w:tc>
          <w:tcPr>
            <w:tcW w:w="1407"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2019/08/11</w:t>
            </w:r>
          </w:p>
        </w:tc>
        <w:tc>
          <w:tcPr>
            <w:tcW w:w="71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23.6E</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多年平均风速（m/s）</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1.2</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多年主导风向、风向频率（%）</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ESE8.53</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2176" w:type="pct"/>
            <w:gridSpan w:val="2"/>
            <w:noWrap w:val="0"/>
            <w:vAlign w:val="center"/>
          </w:tcPr>
          <w:p>
            <w:pPr>
              <w:widowControl w:val="0"/>
              <w:jc w:val="center"/>
              <w:rPr>
                <w:color w:val="auto"/>
                <w:sz w:val="20"/>
                <w:szCs w:val="21"/>
              </w:rPr>
            </w:pPr>
            <w:r>
              <w:rPr>
                <w:rFonts w:hint="eastAsia"/>
                <w:color w:val="auto"/>
                <w:sz w:val="20"/>
                <w:szCs w:val="21"/>
              </w:rPr>
              <w:t>多年静风频率（风速&lt;0.2m/s）（%）</w:t>
            </w:r>
          </w:p>
        </w:tc>
        <w:tc>
          <w:tcPr>
            <w:tcW w:w="702"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14.76</w:t>
            </w:r>
          </w:p>
        </w:tc>
        <w:tc>
          <w:tcPr>
            <w:tcW w:w="1407" w:type="pct"/>
            <w:noWrap w:val="0"/>
            <w:vAlign w:val="center"/>
          </w:tcPr>
          <w:p>
            <w:pPr>
              <w:widowControl w:val="0"/>
              <w:jc w:val="center"/>
              <w:rPr>
                <w:color w:val="auto"/>
                <w:sz w:val="20"/>
                <w:szCs w:val="21"/>
              </w:rPr>
            </w:pPr>
          </w:p>
        </w:tc>
        <w:tc>
          <w:tcPr>
            <w:tcW w:w="712" w:type="pct"/>
            <w:noWrap w:val="0"/>
            <w:vAlign w:val="center"/>
          </w:tcPr>
          <w:p>
            <w:pPr>
              <w:widowControl w:val="0"/>
              <w:jc w:val="center"/>
              <w:rPr>
                <w:color w:val="auto"/>
                <w:sz w:val="20"/>
                <w:szCs w:val="21"/>
              </w:rPr>
            </w:pPr>
          </w:p>
        </w:tc>
      </w:tr>
    </w:tbl>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气象站风观测数据统计</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①月平均风速</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宜都气象站月平均风速见</w:t>
      </w:r>
      <w:r>
        <w:rPr>
          <w:rFonts w:hint="eastAsia" w:eastAsia="仿宋_GB2312"/>
          <w:color w:val="auto"/>
          <w:sz w:val="24"/>
          <w:szCs w:val="24"/>
          <w:lang w:val="en-US" w:eastAsia="zh-CN"/>
        </w:rPr>
        <w:t>下表</w:t>
      </w:r>
      <w:r>
        <w:rPr>
          <w:rFonts w:hint="eastAsia" w:eastAsia="仿宋_GB2312"/>
          <w:color w:val="auto"/>
          <w:sz w:val="24"/>
          <w:szCs w:val="24"/>
          <w:lang w:eastAsia="zh-CN"/>
        </w:rPr>
        <w:t>，7月平均风速最大（1.43m/s），1月风速最小（0.98m/s）。</w:t>
      </w:r>
    </w:p>
    <w:p>
      <w:pPr>
        <w:widowControl w:val="0"/>
        <w:spacing w:line="360" w:lineRule="auto"/>
        <w:jc w:val="center"/>
        <w:rPr>
          <w:rFonts w:eastAsia="黑体"/>
          <w:b/>
          <w:color w:val="auto"/>
          <w:szCs w:val="21"/>
        </w:rPr>
      </w:pPr>
    </w:p>
    <w:p>
      <w:pPr>
        <w:widowControl w:val="0"/>
        <w:spacing w:line="360" w:lineRule="auto"/>
        <w:jc w:val="center"/>
        <w:rPr>
          <w:rFonts w:eastAsia="黑体"/>
          <w:b/>
          <w:color w:val="auto"/>
          <w:szCs w:val="21"/>
        </w:rPr>
      </w:pP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11</w:t>
      </w:r>
      <w:r>
        <w:rPr>
          <w:rFonts w:eastAsia="黑体"/>
          <w:b/>
          <w:color w:val="auto"/>
          <w:szCs w:val="21"/>
        </w:rPr>
        <w:t xml:space="preserve">  </w:t>
      </w:r>
      <w:r>
        <w:rPr>
          <w:rFonts w:hint="eastAsia" w:eastAsia="黑体"/>
          <w:b/>
          <w:color w:val="auto"/>
          <w:szCs w:val="21"/>
          <w:lang w:val="en-US" w:eastAsia="zh-CN"/>
        </w:rPr>
        <w:t>宜都气象站月平均风速统计  单位：m/s</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57"/>
        <w:gridCol w:w="719"/>
        <w:gridCol w:w="689"/>
        <w:gridCol w:w="629"/>
        <w:gridCol w:w="584"/>
        <w:gridCol w:w="584"/>
        <w:gridCol w:w="614"/>
        <w:gridCol w:w="629"/>
        <w:gridCol w:w="629"/>
        <w:gridCol w:w="599"/>
        <w:gridCol w:w="584"/>
        <w:gridCol w:w="629"/>
        <w:gridCol w:w="56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20"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月份</w:t>
            </w:r>
          </w:p>
        </w:tc>
        <w:tc>
          <w:tcPr>
            <w:tcW w:w="422"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w:t>
            </w:r>
          </w:p>
        </w:tc>
        <w:tc>
          <w:tcPr>
            <w:tcW w:w="404"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w:t>
            </w:r>
          </w:p>
        </w:tc>
        <w:tc>
          <w:tcPr>
            <w:tcW w:w="369"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w:t>
            </w:r>
          </w:p>
        </w:tc>
        <w:tc>
          <w:tcPr>
            <w:tcW w:w="342"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w:t>
            </w:r>
          </w:p>
        </w:tc>
        <w:tc>
          <w:tcPr>
            <w:tcW w:w="342"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w:t>
            </w:r>
          </w:p>
        </w:tc>
        <w:tc>
          <w:tcPr>
            <w:tcW w:w="360"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w:t>
            </w:r>
          </w:p>
        </w:tc>
        <w:tc>
          <w:tcPr>
            <w:tcW w:w="369"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7</w:t>
            </w:r>
          </w:p>
        </w:tc>
        <w:tc>
          <w:tcPr>
            <w:tcW w:w="369"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w:t>
            </w:r>
          </w:p>
        </w:tc>
        <w:tc>
          <w:tcPr>
            <w:tcW w:w="351"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9</w:t>
            </w:r>
          </w:p>
        </w:tc>
        <w:tc>
          <w:tcPr>
            <w:tcW w:w="342"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w:t>
            </w:r>
          </w:p>
        </w:tc>
        <w:tc>
          <w:tcPr>
            <w:tcW w:w="369"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11</w:t>
            </w:r>
          </w:p>
        </w:tc>
        <w:tc>
          <w:tcPr>
            <w:tcW w:w="334"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20" w:type="pct"/>
            <w:tcBorders>
              <w:top w:val="single" w:color="auto" w:sz="1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平均风速</w:t>
            </w:r>
          </w:p>
        </w:tc>
        <w:tc>
          <w:tcPr>
            <w:tcW w:w="42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0.98</w:t>
            </w:r>
          </w:p>
        </w:tc>
        <w:tc>
          <w:tcPr>
            <w:tcW w:w="404"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1.10</w:t>
            </w:r>
          </w:p>
        </w:tc>
        <w:tc>
          <w:tcPr>
            <w:tcW w:w="369"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1.26</w:t>
            </w:r>
          </w:p>
        </w:tc>
        <w:tc>
          <w:tcPr>
            <w:tcW w:w="34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1.36</w:t>
            </w:r>
          </w:p>
        </w:tc>
        <w:tc>
          <w:tcPr>
            <w:tcW w:w="34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1.33</w:t>
            </w:r>
          </w:p>
        </w:tc>
        <w:tc>
          <w:tcPr>
            <w:tcW w:w="360"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1.28</w:t>
            </w:r>
          </w:p>
        </w:tc>
        <w:tc>
          <w:tcPr>
            <w:tcW w:w="369"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1.43</w:t>
            </w:r>
          </w:p>
        </w:tc>
        <w:tc>
          <w:tcPr>
            <w:tcW w:w="369"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1.41</w:t>
            </w:r>
          </w:p>
        </w:tc>
        <w:tc>
          <w:tcPr>
            <w:tcW w:w="351"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1.20</w:t>
            </w:r>
          </w:p>
        </w:tc>
        <w:tc>
          <w:tcPr>
            <w:tcW w:w="342"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1.08</w:t>
            </w:r>
          </w:p>
        </w:tc>
        <w:tc>
          <w:tcPr>
            <w:tcW w:w="369" w:type="pct"/>
            <w:tcBorders>
              <w:top w:val="single" w:color="auto" w:sz="12" w:space="0"/>
            </w:tcBorders>
            <w:noWrap w:val="0"/>
            <w:vAlign w:val="center"/>
          </w:tcPr>
          <w:p>
            <w:pPr>
              <w:widowControl w:val="0"/>
              <w:jc w:val="center"/>
              <w:rPr>
                <w:color w:val="auto"/>
                <w:sz w:val="20"/>
                <w:szCs w:val="21"/>
              </w:rPr>
            </w:pPr>
            <w:r>
              <w:rPr>
                <w:rFonts w:hint="eastAsia"/>
                <w:color w:val="auto"/>
                <w:sz w:val="20"/>
                <w:szCs w:val="21"/>
                <w:lang w:val="en-US" w:eastAsia="zh-CN"/>
              </w:rPr>
              <w:t>1.02</w:t>
            </w:r>
          </w:p>
        </w:tc>
        <w:tc>
          <w:tcPr>
            <w:tcW w:w="334"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1.02</w:t>
            </w:r>
          </w:p>
        </w:tc>
      </w:tr>
    </w:tbl>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②风向特征</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近20年资料分析的风向玫瑰图如</w:t>
      </w:r>
      <w:r>
        <w:rPr>
          <w:rFonts w:hint="eastAsia" w:eastAsia="仿宋_GB2312"/>
          <w:color w:val="auto"/>
          <w:sz w:val="24"/>
          <w:szCs w:val="24"/>
          <w:lang w:val="en-US" w:eastAsia="zh-CN"/>
        </w:rPr>
        <w:t>下</w:t>
      </w:r>
      <w:r>
        <w:rPr>
          <w:rFonts w:hint="eastAsia" w:eastAsia="仿宋_GB2312"/>
          <w:color w:val="auto"/>
          <w:sz w:val="24"/>
          <w:szCs w:val="24"/>
          <w:lang w:eastAsia="zh-CN"/>
        </w:rPr>
        <w:t>图所示，宜都气象站主要风向为ESE、WNW、SE、W、NW、E、ENE占52.28％，其中以ESE为主风向，占到全年8.53％左右，见表</w:t>
      </w:r>
      <w:r>
        <w:rPr>
          <w:rFonts w:hint="eastAsia" w:eastAsia="仿宋_GB2312"/>
          <w:color w:val="auto"/>
          <w:sz w:val="24"/>
          <w:szCs w:val="24"/>
          <w:lang w:val="en-US" w:eastAsia="zh-CN"/>
        </w:rPr>
        <w:t>5.2</w:t>
      </w:r>
      <w:r>
        <w:rPr>
          <w:rFonts w:hint="eastAsia" w:eastAsia="仿宋_GB2312"/>
          <w:color w:val="auto"/>
          <w:sz w:val="24"/>
          <w:szCs w:val="24"/>
          <w:lang w:eastAsia="zh-CN"/>
        </w:rPr>
        <w:t>-</w:t>
      </w:r>
      <w:r>
        <w:rPr>
          <w:rFonts w:hint="eastAsia" w:eastAsia="仿宋_GB2312"/>
          <w:color w:val="auto"/>
          <w:sz w:val="24"/>
          <w:szCs w:val="24"/>
          <w:lang w:val="en-US" w:eastAsia="zh-CN"/>
        </w:rPr>
        <w:t>12</w:t>
      </w:r>
      <w:r>
        <w:rPr>
          <w:rFonts w:hint="eastAsia" w:eastAsia="仿宋_GB2312"/>
          <w:color w:val="auto"/>
          <w:sz w:val="24"/>
          <w:szCs w:val="24"/>
          <w:lang w:eastAsia="zh-CN"/>
        </w:rPr>
        <w:t>。</w:t>
      </w:r>
    </w:p>
    <w:p>
      <w:pPr>
        <w:widowControl w:val="0"/>
        <w:spacing w:line="360" w:lineRule="auto"/>
        <w:jc w:val="center"/>
        <w:rPr>
          <w:rFonts w:hint="eastAsia" w:eastAsia="黑体"/>
          <w:b/>
          <w:color w:val="auto"/>
          <w:szCs w:val="21"/>
          <w:lang w:eastAsia="zh-CN"/>
        </w:rPr>
      </w:pPr>
      <w:r>
        <w:rPr>
          <w:rFonts w:eastAsia="黑体"/>
          <w:b/>
          <w:color w:val="auto"/>
          <w:szCs w:val="21"/>
        </w:rPr>
        <w:t>表5.</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12</w:t>
      </w:r>
      <w:r>
        <w:rPr>
          <w:rFonts w:eastAsia="黑体"/>
          <w:b/>
          <w:color w:val="auto"/>
          <w:szCs w:val="21"/>
        </w:rPr>
        <w:t xml:space="preserve">  </w:t>
      </w:r>
      <w:r>
        <w:rPr>
          <w:rFonts w:hint="eastAsia" w:eastAsia="黑体"/>
          <w:b/>
          <w:color w:val="auto"/>
          <w:szCs w:val="21"/>
          <w:lang w:val="en-US" w:eastAsia="zh-CN"/>
        </w:rPr>
        <w:t>宜都气象站常规气象项目统计</w:t>
      </w:r>
      <w:r>
        <w:rPr>
          <w:rFonts w:eastAsia="黑体"/>
          <w:b/>
          <w:color w:val="auto"/>
          <w:szCs w:val="21"/>
        </w:rPr>
        <w:t>表</w:t>
      </w:r>
      <w:r>
        <w:rPr>
          <w:rFonts w:hint="eastAsia" w:eastAsia="黑体"/>
          <w:b/>
          <w:color w:val="auto"/>
          <w:szCs w:val="21"/>
          <w:lang w:eastAsia="zh-CN"/>
        </w:rPr>
        <w:t>（</w:t>
      </w:r>
      <w:r>
        <w:rPr>
          <w:rFonts w:hint="eastAsia" w:eastAsia="黑体"/>
          <w:b/>
          <w:color w:val="auto"/>
          <w:szCs w:val="21"/>
          <w:lang w:val="en-US" w:eastAsia="zh-CN"/>
        </w:rPr>
        <w:t>2001-2020年</w:t>
      </w:r>
      <w:r>
        <w:rPr>
          <w:rFonts w:hint="eastAsia" w:eastAsia="黑体"/>
          <w:b/>
          <w:color w:val="auto"/>
          <w:szCs w:val="21"/>
          <w:lang w:eastAsia="zh-CN"/>
        </w:rPr>
        <w:t>）</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40"/>
        <w:gridCol w:w="1080"/>
        <w:gridCol w:w="1049"/>
        <w:gridCol w:w="1080"/>
        <w:gridCol w:w="1025"/>
        <w:gridCol w:w="1081"/>
        <w:gridCol w:w="1081"/>
        <w:gridCol w:w="108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369" w:hRule="atLeast"/>
          <w:jc w:val="center"/>
        </w:trPr>
        <w:tc>
          <w:tcPr>
            <w:tcW w:w="610" w:type="pct"/>
            <w:vMerge w:val="restar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风向频率</w:t>
            </w:r>
          </w:p>
        </w:tc>
        <w:tc>
          <w:tcPr>
            <w:tcW w:w="633"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N</w:t>
            </w:r>
          </w:p>
        </w:tc>
        <w:tc>
          <w:tcPr>
            <w:tcW w:w="615"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NNE</w:t>
            </w:r>
          </w:p>
        </w:tc>
        <w:tc>
          <w:tcPr>
            <w:tcW w:w="633"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NE</w:t>
            </w:r>
          </w:p>
        </w:tc>
        <w:tc>
          <w:tcPr>
            <w:tcW w:w="601"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ENE</w:t>
            </w:r>
          </w:p>
        </w:tc>
        <w:tc>
          <w:tcPr>
            <w:tcW w:w="634"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E</w:t>
            </w:r>
          </w:p>
        </w:tc>
        <w:tc>
          <w:tcPr>
            <w:tcW w:w="634"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ESE</w:t>
            </w:r>
          </w:p>
        </w:tc>
        <w:tc>
          <w:tcPr>
            <w:tcW w:w="634" w:type="pct"/>
            <w:tcBorders>
              <w:top w:val="single" w:color="auto" w:sz="12" w:space="0"/>
              <w:bottom w:val="single" w:color="auto" w:sz="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SE</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10" w:type="pct"/>
            <w:vMerge w:val="continue"/>
            <w:noWrap w:val="0"/>
            <w:vAlign w:val="center"/>
          </w:tcPr>
          <w:p>
            <w:pPr>
              <w:widowControl w:val="0"/>
              <w:jc w:val="center"/>
              <w:rPr>
                <w:color w:val="auto"/>
                <w:sz w:val="20"/>
                <w:szCs w:val="21"/>
              </w:rPr>
            </w:pPr>
          </w:p>
        </w:tc>
        <w:tc>
          <w:tcPr>
            <w:tcW w:w="633"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2.53</w:t>
            </w:r>
          </w:p>
        </w:tc>
        <w:tc>
          <w:tcPr>
            <w:tcW w:w="615"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2.92</w:t>
            </w:r>
          </w:p>
        </w:tc>
        <w:tc>
          <w:tcPr>
            <w:tcW w:w="633"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4.37</w:t>
            </w:r>
          </w:p>
        </w:tc>
        <w:tc>
          <w:tcPr>
            <w:tcW w:w="601"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5.57</w:t>
            </w:r>
          </w:p>
        </w:tc>
        <w:tc>
          <w:tcPr>
            <w:tcW w:w="634"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6.85</w:t>
            </w:r>
          </w:p>
        </w:tc>
        <w:tc>
          <w:tcPr>
            <w:tcW w:w="634"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8.53</w:t>
            </w:r>
          </w:p>
        </w:tc>
        <w:tc>
          <w:tcPr>
            <w:tcW w:w="634" w:type="pct"/>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8.12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10" w:type="pct"/>
            <w:vMerge w:val="continue"/>
            <w:noWrap w:val="0"/>
            <w:vAlign w:val="center"/>
          </w:tcPr>
          <w:p>
            <w:pPr>
              <w:widowControl w:val="0"/>
              <w:jc w:val="center"/>
              <w:rPr>
                <w:color w:val="auto"/>
                <w:sz w:val="20"/>
                <w:szCs w:val="21"/>
              </w:rPr>
            </w:pPr>
          </w:p>
        </w:tc>
        <w:tc>
          <w:tcPr>
            <w:tcW w:w="633"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SSE</w:t>
            </w:r>
          </w:p>
        </w:tc>
        <w:tc>
          <w:tcPr>
            <w:tcW w:w="615"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S</w:t>
            </w:r>
          </w:p>
        </w:tc>
        <w:tc>
          <w:tcPr>
            <w:tcW w:w="633"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SSW</w:t>
            </w:r>
          </w:p>
        </w:tc>
        <w:tc>
          <w:tcPr>
            <w:tcW w:w="601"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SW</w:t>
            </w:r>
          </w:p>
        </w:tc>
        <w:tc>
          <w:tcPr>
            <w:tcW w:w="634"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WSW</w:t>
            </w:r>
          </w:p>
        </w:tc>
        <w:tc>
          <w:tcPr>
            <w:tcW w:w="634"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W</w:t>
            </w:r>
          </w:p>
        </w:tc>
        <w:tc>
          <w:tcPr>
            <w:tcW w:w="634"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WNW</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10" w:type="pct"/>
            <w:vMerge w:val="continue"/>
            <w:noWrap w:val="0"/>
            <w:vAlign w:val="center"/>
          </w:tcPr>
          <w:p>
            <w:pPr>
              <w:widowControl w:val="0"/>
              <w:jc w:val="center"/>
              <w:rPr>
                <w:color w:val="auto"/>
                <w:sz w:val="20"/>
                <w:szCs w:val="21"/>
              </w:rPr>
            </w:pPr>
          </w:p>
        </w:tc>
        <w:tc>
          <w:tcPr>
            <w:tcW w:w="633"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4.28</w:t>
            </w:r>
          </w:p>
        </w:tc>
        <w:tc>
          <w:tcPr>
            <w:tcW w:w="615"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3.08</w:t>
            </w:r>
          </w:p>
        </w:tc>
        <w:tc>
          <w:tcPr>
            <w:tcW w:w="633"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3.03</w:t>
            </w:r>
          </w:p>
        </w:tc>
        <w:tc>
          <w:tcPr>
            <w:tcW w:w="601"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3.76</w:t>
            </w:r>
          </w:p>
        </w:tc>
        <w:tc>
          <w:tcPr>
            <w:tcW w:w="634"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4.91</w:t>
            </w:r>
          </w:p>
        </w:tc>
        <w:tc>
          <w:tcPr>
            <w:tcW w:w="634"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8.05</w:t>
            </w:r>
          </w:p>
        </w:tc>
        <w:tc>
          <w:tcPr>
            <w:tcW w:w="634" w:type="pct"/>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8.19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10" w:type="pct"/>
            <w:vMerge w:val="continue"/>
            <w:noWrap w:val="0"/>
            <w:vAlign w:val="center"/>
          </w:tcPr>
          <w:p>
            <w:pPr>
              <w:widowControl w:val="0"/>
              <w:jc w:val="center"/>
              <w:rPr>
                <w:color w:val="auto"/>
                <w:sz w:val="20"/>
                <w:szCs w:val="21"/>
              </w:rPr>
            </w:pPr>
          </w:p>
        </w:tc>
        <w:tc>
          <w:tcPr>
            <w:tcW w:w="633"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NW</w:t>
            </w:r>
          </w:p>
        </w:tc>
        <w:tc>
          <w:tcPr>
            <w:tcW w:w="615"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s="Times New Roman"/>
                <w:color w:val="auto"/>
                <w:kern w:val="2"/>
                <w:sz w:val="20"/>
                <w:szCs w:val="21"/>
                <w:lang w:val="en-US" w:eastAsia="zh-CN" w:bidi="ar-SA"/>
              </w:rPr>
              <w:t>NNW</w:t>
            </w:r>
          </w:p>
        </w:tc>
        <w:tc>
          <w:tcPr>
            <w:tcW w:w="633"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r>
              <w:rPr>
                <w:rFonts w:hint="eastAsia" w:cs="Times New Roman"/>
                <w:color w:val="auto"/>
                <w:kern w:val="2"/>
                <w:sz w:val="20"/>
                <w:szCs w:val="21"/>
                <w:lang w:val="en-US" w:eastAsia="zh-CN" w:bidi="ar-SA"/>
              </w:rPr>
              <w:t>C</w:t>
            </w:r>
          </w:p>
        </w:tc>
        <w:tc>
          <w:tcPr>
            <w:tcW w:w="601"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p>
        </w:tc>
        <w:tc>
          <w:tcPr>
            <w:tcW w:w="634"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p>
        </w:tc>
        <w:tc>
          <w:tcPr>
            <w:tcW w:w="634" w:type="pct"/>
            <w:noWrap w:val="0"/>
            <w:vAlign w:val="center"/>
          </w:tcPr>
          <w:p>
            <w:pPr>
              <w:widowControl w:val="0"/>
              <w:jc w:val="center"/>
              <w:rPr>
                <w:rFonts w:hint="default" w:ascii="Times New Roman" w:hAnsi="Times New Roman" w:eastAsia="宋体" w:cs="Times New Roman"/>
                <w:color w:val="auto"/>
                <w:kern w:val="2"/>
                <w:sz w:val="20"/>
                <w:szCs w:val="21"/>
                <w:lang w:val="en-US" w:eastAsia="zh-CN" w:bidi="ar-SA"/>
              </w:rPr>
            </w:pPr>
          </w:p>
        </w:tc>
        <w:tc>
          <w:tcPr>
            <w:tcW w:w="634" w:type="pct"/>
            <w:noWrap w:val="0"/>
            <w:vAlign w:val="center"/>
          </w:tcPr>
          <w:p>
            <w:pPr>
              <w:widowControl w:val="0"/>
              <w:jc w:val="center"/>
              <w:rPr>
                <w:rFonts w:hint="default" w:eastAsia="宋体"/>
                <w:color w:val="auto"/>
                <w:sz w:val="20"/>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610" w:type="pct"/>
            <w:vMerge w:val="continue"/>
            <w:noWrap w:val="0"/>
            <w:vAlign w:val="center"/>
          </w:tcPr>
          <w:p>
            <w:pPr>
              <w:widowControl w:val="0"/>
              <w:jc w:val="center"/>
              <w:rPr>
                <w:color w:val="auto"/>
                <w:sz w:val="20"/>
                <w:szCs w:val="21"/>
              </w:rPr>
            </w:pPr>
          </w:p>
        </w:tc>
        <w:tc>
          <w:tcPr>
            <w:tcW w:w="633"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6.97</w:t>
            </w:r>
          </w:p>
        </w:tc>
        <w:tc>
          <w:tcPr>
            <w:tcW w:w="615"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3.82</w:t>
            </w:r>
          </w:p>
        </w:tc>
        <w:tc>
          <w:tcPr>
            <w:tcW w:w="633" w:type="pct"/>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14.76</w:t>
            </w:r>
          </w:p>
        </w:tc>
        <w:tc>
          <w:tcPr>
            <w:tcW w:w="601" w:type="pct"/>
            <w:noWrap w:val="0"/>
            <w:vAlign w:val="center"/>
          </w:tcPr>
          <w:p>
            <w:pPr>
              <w:widowControl w:val="0"/>
              <w:jc w:val="center"/>
              <w:rPr>
                <w:rFonts w:hint="default" w:eastAsia="宋体"/>
                <w:color w:val="auto"/>
                <w:sz w:val="20"/>
                <w:szCs w:val="21"/>
                <w:lang w:val="en-US" w:eastAsia="zh-CN"/>
              </w:rPr>
            </w:pPr>
          </w:p>
        </w:tc>
        <w:tc>
          <w:tcPr>
            <w:tcW w:w="634" w:type="pct"/>
            <w:noWrap w:val="0"/>
            <w:vAlign w:val="center"/>
          </w:tcPr>
          <w:p>
            <w:pPr>
              <w:widowControl w:val="0"/>
              <w:jc w:val="center"/>
              <w:rPr>
                <w:rFonts w:hint="default" w:eastAsia="宋体"/>
                <w:color w:val="auto"/>
                <w:sz w:val="20"/>
                <w:szCs w:val="21"/>
                <w:lang w:val="en-US" w:eastAsia="zh-CN"/>
              </w:rPr>
            </w:pPr>
          </w:p>
        </w:tc>
        <w:tc>
          <w:tcPr>
            <w:tcW w:w="634" w:type="pct"/>
            <w:noWrap w:val="0"/>
            <w:vAlign w:val="center"/>
          </w:tcPr>
          <w:p>
            <w:pPr>
              <w:widowControl w:val="0"/>
              <w:jc w:val="center"/>
              <w:rPr>
                <w:rFonts w:hint="default" w:eastAsia="宋体"/>
                <w:color w:val="auto"/>
                <w:sz w:val="20"/>
                <w:szCs w:val="21"/>
                <w:lang w:val="en-US" w:eastAsia="zh-CN"/>
              </w:rPr>
            </w:pPr>
          </w:p>
        </w:tc>
        <w:tc>
          <w:tcPr>
            <w:tcW w:w="634" w:type="pct"/>
            <w:noWrap w:val="0"/>
            <w:vAlign w:val="center"/>
          </w:tcPr>
          <w:p>
            <w:pPr>
              <w:widowControl w:val="0"/>
              <w:jc w:val="center"/>
              <w:rPr>
                <w:rFonts w:hint="default" w:eastAsia="宋体"/>
                <w:color w:val="auto"/>
                <w:sz w:val="20"/>
                <w:szCs w:val="21"/>
                <w:lang w:val="en-US" w:eastAsia="zh-CN"/>
              </w:rPr>
            </w:pPr>
          </w:p>
        </w:tc>
      </w:tr>
    </w:tbl>
    <w:p>
      <w:pPr>
        <w:widowControl w:val="0"/>
        <w:spacing w:line="360" w:lineRule="auto"/>
        <w:jc w:val="center"/>
        <w:rPr>
          <w:color w:val="auto"/>
        </w:rPr>
      </w:pP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4010660" cy="2974340"/>
            <wp:effectExtent l="0" t="0" r="0" b="16510"/>
            <wp:docPr id="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7"/>
                    <pic:cNvPicPr>
                      <a:picLocks noChangeAspect="1"/>
                    </pic:cNvPicPr>
                  </pic:nvPicPr>
                  <pic:blipFill>
                    <a:blip r:embed="rId216"/>
                    <a:srcRect r="-3076"/>
                    <a:stretch>
                      <a:fillRect/>
                    </a:stretch>
                  </pic:blipFill>
                  <pic:spPr>
                    <a:xfrm>
                      <a:off x="0" y="0"/>
                      <a:ext cx="4010660" cy="2974340"/>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w:t>
      </w:r>
      <w:r>
        <w:rPr>
          <w:rFonts w:eastAsia="黑体"/>
          <w:b/>
          <w:color w:val="auto"/>
          <w:szCs w:val="21"/>
        </w:rPr>
        <w:t>-1</w:t>
      </w:r>
      <w:r>
        <w:rPr>
          <w:rFonts w:hint="eastAsia" w:eastAsia="黑体"/>
          <w:b/>
          <w:color w:val="auto"/>
          <w:szCs w:val="21"/>
          <w:lang w:val="en-US" w:eastAsia="zh-CN"/>
        </w:rPr>
        <w:t>1</w:t>
      </w:r>
      <w:r>
        <w:rPr>
          <w:rFonts w:eastAsia="黑体"/>
          <w:b/>
          <w:color w:val="auto"/>
          <w:szCs w:val="21"/>
        </w:rPr>
        <w:t xml:space="preserve">  </w:t>
      </w:r>
      <w:r>
        <w:rPr>
          <w:rFonts w:hint="eastAsia" w:eastAsia="黑体"/>
          <w:b/>
          <w:color w:val="auto"/>
          <w:szCs w:val="21"/>
          <w:lang w:val="en-US" w:eastAsia="zh-CN"/>
        </w:rPr>
        <w:t>宜都风向玫瑰图（静风频率14.76%）</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③风速年际变化特征与周期分析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根据近20年资料分析，宜都气象站风速呈增大趋势，宜都气象站风速在2015-2016年间突增，风速平均值由0.87m/s增大到1.74m/s，2018年年平均风速最大（1.86m/s），2007年年平均风速最小（0.75m/s），无明显周期，见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4505960" cy="3423285"/>
            <wp:effectExtent l="0" t="0" r="8890" b="5715"/>
            <wp:docPr id="2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8"/>
                    <pic:cNvPicPr>
                      <a:picLocks noChangeAspect="1"/>
                    </pic:cNvPicPr>
                  </pic:nvPicPr>
                  <pic:blipFill>
                    <a:blip r:embed="rId217"/>
                    <a:stretch>
                      <a:fillRect/>
                    </a:stretch>
                  </pic:blipFill>
                  <pic:spPr>
                    <a:xfrm>
                      <a:off x="0" y="0"/>
                      <a:ext cx="4505960" cy="342328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w:t>
      </w:r>
      <w:r>
        <w:rPr>
          <w:rFonts w:eastAsia="黑体"/>
          <w:b/>
          <w:color w:val="auto"/>
          <w:szCs w:val="21"/>
        </w:rPr>
        <w:t>-</w:t>
      </w:r>
      <w:r>
        <w:rPr>
          <w:rFonts w:hint="eastAsia" w:eastAsia="黑体"/>
          <w:b/>
          <w:color w:val="auto"/>
          <w:szCs w:val="21"/>
          <w:lang w:val="en-US" w:eastAsia="zh-CN"/>
        </w:rPr>
        <w:t>12</w:t>
      </w:r>
      <w:r>
        <w:rPr>
          <w:rFonts w:eastAsia="黑体"/>
          <w:b/>
          <w:color w:val="auto"/>
          <w:szCs w:val="21"/>
        </w:rPr>
        <w:t xml:space="preserve">  </w:t>
      </w:r>
      <w:r>
        <w:rPr>
          <w:rFonts w:hint="eastAsia" w:eastAsia="黑体"/>
          <w:b/>
          <w:color w:val="auto"/>
          <w:szCs w:val="21"/>
          <w:lang w:val="en-US" w:eastAsia="zh-CN"/>
        </w:rPr>
        <w:t>宜都（2001-2020）年平均风速  （单位：m/s，虚线为趋势线）</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气象站温度分析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①月平均气温与极端气温</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宜都气象站7月气温最高（28.50℃），1月气温最低（5.01℃），近20年极端最高气温出现在2013/08/08（40.90℃），近20年极端最低气温出现在2016/01/25（-5.80℃）。宜都月平均气温见</w:t>
      </w:r>
      <w:r>
        <w:rPr>
          <w:rFonts w:hint="eastAsia" w:eastAsia="仿宋_GB2312"/>
          <w:color w:val="auto"/>
          <w:sz w:val="24"/>
          <w:szCs w:val="24"/>
          <w:lang w:val="en-US" w:eastAsia="zh-CN"/>
        </w:rPr>
        <w:t>下图。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4243070" cy="3264535"/>
            <wp:effectExtent l="0" t="0" r="5080" b="12065"/>
            <wp:docPr id="2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9"/>
                    <pic:cNvPicPr>
                      <a:picLocks noChangeAspect="1"/>
                    </pic:cNvPicPr>
                  </pic:nvPicPr>
                  <pic:blipFill>
                    <a:blip r:embed="rId218"/>
                    <a:stretch>
                      <a:fillRect/>
                    </a:stretch>
                  </pic:blipFill>
                  <pic:spPr>
                    <a:xfrm>
                      <a:off x="0" y="0"/>
                      <a:ext cx="4243070" cy="326453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2-13</w:t>
      </w:r>
      <w:r>
        <w:rPr>
          <w:rFonts w:eastAsia="黑体"/>
          <w:b/>
          <w:color w:val="auto"/>
          <w:szCs w:val="21"/>
        </w:rPr>
        <w:t xml:space="preserve">  </w:t>
      </w:r>
      <w:r>
        <w:rPr>
          <w:rFonts w:hint="eastAsia" w:eastAsia="黑体"/>
          <w:b/>
          <w:color w:val="auto"/>
          <w:szCs w:val="21"/>
          <w:lang w:val="en-US" w:eastAsia="zh-CN"/>
        </w:rPr>
        <w:t>宜都月平均气温（单位：℃）</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②温度年际变化趋势与周期分析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宜都气象站近20年气温呈下降趋势，平均每年下降0.02度，2013年年平均气温最高（18.43℃），2020年年平均气温最低（16.10℃），无明显周期。年平均气温见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4525010" cy="3348990"/>
            <wp:effectExtent l="0" t="0" r="8890" b="3810"/>
            <wp:docPr id="2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0"/>
                    <pic:cNvPicPr>
                      <a:picLocks noChangeAspect="1"/>
                    </pic:cNvPicPr>
                  </pic:nvPicPr>
                  <pic:blipFill>
                    <a:blip r:embed="rId219"/>
                    <a:stretch>
                      <a:fillRect/>
                    </a:stretch>
                  </pic:blipFill>
                  <pic:spPr>
                    <a:xfrm>
                      <a:off x="0" y="0"/>
                      <a:ext cx="4525010" cy="3348990"/>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2-14</w:t>
      </w:r>
      <w:r>
        <w:rPr>
          <w:rFonts w:eastAsia="黑体"/>
          <w:b/>
          <w:color w:val="auto"/>
          <w:szCs w:val="21"/>
        </w:rPr>
        <w:t xml:space="preserve">  </w:t>
      </w:r>
      <w:r>
        <w:rPr>
          <w:rFonts w:hint="eastAsia" w:eastAsia="黑体"/>
          <w:b/>
          <w:color w:val="auto"/>
          <w:szCs w:val="21"/>
          <w:lang w:val="en-US" w:eastAsia="zh-CN"/>
        </w:rPr>
        <w:t>宜都（2001-2020）年平均气温  （单位：℃，虚线为趋势线）</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4</w:t>
      </w:r>
      <w:r>
        <w:rPr>
          <w:rFonts w:hint="eastAsia" w:eastAsia="仿宋_GB2312"/>
          <w:color w:val="auto"/>
          <w:sz w:val="24"/>
          <w:szCs w:val="24"/>
          <w:lang w:eastAsia="zh-CN"/>
        </w:rPr>
        <w:t>）</w:t>
      </w:r>
      <w:r>
        <w:rPr>
          <w:rFonts w:hint="eastAsia" w:eastAsia="仿宋_GB2312"/>
          <w:color w:val="auto"/>
          <w:sz w:val="24"/>
          <w:szCs w:val="24"/>
          <w:lang w:val="en-US" w:eastAsia="zh-CN"/>
        </w:rPr>
        <w:t>气象站降水分析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①月总降水与极端降水</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宜都气象站7月降水量最大（185.38毫米），12月降水量最小（23.88毫米），近20年极端最大日降水出现在2018/04/22（185.50毫米）。见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4181475" cy="3202305"/>
            <wp:effectExtent l="0" t="0" r="9525" b="17145"/>
            <wp:docPr id="2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1"/>
                    <pic:cNvPicPr>
                      <a:picLocks noChangeAspect="1"/>
                    </pic:cNvPicPr>
                  </pic:nvPicPr>
                  <pic:blipFill>
                    <a:blip r:embed="rId220"/>
                    <a:stretch>
                      <a:fillRect/>
                    </a:stretch>
                  </pic:blipFill>
                  <pic:spPr>
                    <a:xfrm>
                      <a:off x="0" y="0"/>
                      <a:ext cx="4181475" cy="320230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2-15</w:t>
      </w:r>
      <w:r>
        <w:rPr>
          <w:rFonts w:eastAsia="黑体"/>
          <w:b/>
          <w:color w:val="auto"/>
          <w:szCs w:val="21"/>
        </w:rPr>
        <w:t xml:space="preserve">  </w:t>
      </w:r>
      <w:r>
        <w:rPr>
          <w:rFonts w:hint="eastAsia" w:eastAsia="黑体"/>
          <w:b/>
          <w:color w:val="auto"/>
          <w:szCs w:val="21"/>
          <w:lang w:val="en-US" w:eastAsia="zh-CN"/>
        </w:rPr>
        <w:t>宜都月平均降水量（单位：mm）</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②降水年际变化趋势与周期分析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宜都气象站近20年年降水总量呈增加趋势，2002年年总降水量最大（1751.80毫米），2019年年总降水量最小（871.90毫米），无明显周期。见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3655695" cy="2792730"/>
            <wp:effectExtent l="0" t="0" r="1905" b="7620"/>
            <wp:docPr id="3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2"/>
                    <pic:cNvPicPr>
                      <a:picLocks noChangeAspect="1"/>
                    </pic:cNvPicPr>
                  </pic:nvPicPr>
                  <pic:blipFill>
                    <a:blip r:embed="rId221"/>
                    <a:stretch>
                      <a:fillRect/>
                    </a:stretch>
                  </pic:blipFill>
                  <pic:spPr>
                    <a:xfrm>
                      <a:off x="0" y="0"/>
                      <a:ext cx="3655695" cy="2792730"/>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2-16</w:t>
      </w:r>
      <w:r>
        <w:rPr>
          <w:rFonts w:eastAsia="黑体"/>
          <w:b/>
          <w:color w:val="auto"/>
          <w:szCs w:val="21"/>
        </w:rPr>
        <w:t xml:space="preserve">  </w:t>
      </w:r>
      <w:r>
        <w:rPr>
          <w:rFonts w:hint="eastAsia" w:eastAsia="黑体"/>
          <w:b/>
          <w:color w:val="auto"/>
          <w:szCs w:val="21"/>
          <w:lang w:val="en-US" w:eastAsia="zh-CN"/>
        </w:rPr>
        <w:t>宜都（2001-2020）年总降水量  （单位：mm，虚线为趋势线）</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5</w:t>
      </w:r>
      <w:r>
        <w:rPr>
          <w:rFonts w:hint="eastAsia" w:eastAsia="仿宋_GB2312"/>
          <w:color w:val="auto"/>
          <w:sz w:val="24"/>
          <w:szCs w:val="24"/>
          <w:lang w:eastAsia="zh-CN"/>
        </w:rPr>
        <w:t>）</w:t>
      </w:r>
      <w:r>
        <w:rPr>
          <w:rFonts w:hint="eastAsia" w:eastAsia="仿宋_GB2312"/>
          <w:color w:val="auto"/>
          <w:sz w:val="24"/>
          <w:szCs w:val="24"/>
          <w:lang w:val="en-US" w:eastAsia="zh-CN"/>
        </w:rPr>
        <w:t>气象站日照分析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①月日照时数</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宜都气象站8月日照最长（201.35小时），1月日照最短（77.99小时）。见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3644265" cy="2861945"/>
            <wp:effectExtent l="0" t="0" r="13335" b="14605"/>
            <wp:docPr id="3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3"/>
                    <pic:cNvPicPr>
                      <a:picLocks noChangeAspect="1"/>
                    </pic:cNvPicPr>
                  </pic:nvPicPr>
                  <pic:blipFill>
                    <a:blip r:embed="rId222"/>
                    <a:stretch>
                      <a:fillRect/>
                    </a:stretch>
                  </pic:blipFill>
                  <pic:spPr>
                    <a:xfrm>
                      <a:off x="0" y="0"/>
                      <a:ext cx="3644265" cy="286194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2-17</w:t>
      </w:r>
      <w:r>
        <w:rPr>
          <w:rFonts w:eastAsia="黑体"/>
          <w:b/>
          <w:color w:val="auto"/>
          <w:szCs w:val="21"/>
        </w:rPr>
        <w:t xml:space="preserve">  </w:t>
      </w:r>
      <w:r>
        <w:rPr>
          <w:rFonts w:hint="eastAsia" w:eastAsia="黑体"/>
          <w:b/>
          <w:color w:val="auto"/>
          <w:szCs w:val="21"/>
          <w:lang w:val="en-US" w:eastAsia="zh-CN"/>
        </w:rPr>
        <w:t>宜都月日照时数  （单位：h）</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val="en-US" w:eastAsia="zh-CN"/>
        </w:rPr>
        <w:t>②</w:t>
      </w:r>
      <w:r>
        <w:rPr>
          <w:rFonts w:hint="eastAsia" w:eastAsia="仿宋_GB2312"/>
          <w:color w:val="auto"/>
          <w:sz w:val="24"/>
          <w:szCs w:val="24"/>
          <w:lang w:eastAsia="zh-CN"/>
        </w:rPr>
        <w:t>日照时数年际变化趋势与周期分析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宜都气象站近20年年日照时数呈下降趋势，2013年年日照时数最长（1950.10 小时），2020年年日照时数最短（1300.20小时），无明显周期。见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3796030" cy="2857500"/>
            <wp:effectExtent l="0" t="0" r="13970" b="0"/>
            <wp:docPr id="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4"/>
                    <pic:cNvPicPr>
                      <a:picLocks noChangeAspect="1"/>
                    </pic:cNvPicPr>
                  </pic:nvPicPr>
                  <pic:blipFill>
                    <a:blip r:embed="rId223"/>
                    <a:stretch>
                      <a:fillRect/>
                    </a:stretch>
                  </pic:blipFill>
                  <pic:spPr>
                    <a:xfrm>
                      <a:off x="0" y="0"/>
                      <a:ext cx="3796030" cy="2857500"/>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2-18</w:t>
      </w:r>
      <w:r>
        <w:rPr>
          <w:rFonts w:eastAsia="黑体"/>
          <w:b/>
          <w:color w:val="auto"/>
          <w:szCs w:val="21"/>
        </w:rPr>
        <w:t xml:space="preserve">  </w:t>
      </w:r>
      <w:r>
        <w:rPr>
          <w:rFonts w:hint="eastAsia" w:eastAsia="黑体"/>
          <w:b/>
          <w:color w:val="auto"/>
          <w:szCs w:val="21"/>
          <w:lang w:val="en-US" w:eastAsia="zh-CN"/>
        </w:rPr>
        <w:t>宜都（2001-2020）年日照时长  （单位：h，虚线为趋势线）</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6</w:t>
      </w:r>
      <w:r>
        <w:rPr>
          <w:rFonts w:hint="eastAsia" w:eastAsia="仿宋_GB2312"/>
          <w:color w:val="auto"/>
          <w:sz w:val="24"/>
          <w:szCs w:val="24"/>
          <w:lang w:eastAsia="zh-CN"/>
        </w:rPr>
        <w:t>）</w:t>
      </w:r>
      <w:r>
        <w:rPr>
          <w:rFonts w:hint="eastAsia" w:eastAsia="仿宋_GB2312"/>
          <w:color w:val="auto"/>
          <w:sz w:val="24"/>
          <w:szCs w:val="24"/>
          <w:lang w:val="en-US" w:eastAsia="zh-CN"/>
        </w:rPr>
        <w:t>气象站相对湿度分析</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①月相对湿度分析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宜都气象站7月平均相对湿度最大（77.44%），3月平均相对湿度最小（71.70%）。见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3583940" cy="2808605"/>
            <wp:effectExtent l="0" t="0" r="16510" b="10795"/>
            <wp:docPr id="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5"/>
                    <pic:cNvPicPr>
                      <a:picLocks noChangeAspect="1"/>
                    </pic:cNvPicPr>
                  </pic:nvPicPr>
                  <pic:blipFill>
                    <a:blip r:embed="rId224"/>
                    <a:stretch>
                      <a:fillRect/>
                    </a:stretch>
                  </pic:blipFill>
                  <pic:spPr>
                    <a:xfrm>
                      <a:off x="0" y="0"/>
                      <a:ext cx="3583940" cy="280860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2-19</w:t>
      </w:r>
      <w:r>
        <w:rPr>
          <w:rFonts w:eastAsia="黑体"/>
          <w:b/>
          <w:color w:val="auto"/>
          <w:szCs w:val="21"/>
        </w:rPr>
        <w:t xml:space="preserve">  </w:t>
      </w:r>
      <w:r>
        <w:rPr>
          <w:rFonts w:hint="eastAsia" w:eastAsia="黑体"/>
          <w:b/>
          <w:color w:val="auto"/>
          <w:szCs w:val="21"/>
          <w:lang w:val="en-US" w:eastAsia="zh-CN"/>
        </w:rPr>
        <w:t>宜都月平均相抵湿度  （纵轴为百分比）</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val="en-US" w:eastAsia="zh-CN"/>
        </w:rPr>
        <w:t>②</w:t>
      </w:r>
      <w:r>
        <w:rPr>
          <w:rFonts w:hint="eastAsia" w:eastAsia="仿宋_GB2312"/>
          <w:color w:val="auto"/>
          <w:sz w:val="24"/>
          <w:szCs w:val="24"/>
          <w:lang w:eastAsia="zh-CN"/>
        </w:rPr>
        <w:t>相对湿度年际变化趋势与周期分析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宜都气象站近</w:t>
      </w:r>
      <w:r>
        <w:rPr>
          <w:rFonts w:hint="eastAsia" w:eastAsia="仿宋_GB2312"/>
          <w:color w:val="auto"/>
          <w:sz w:val="24"/>
          <w:szCs w:val="24"/>
          <w:lang w:val="en-US" w:eastAsia="zh-CN"/>
        </w:rPr>
        <w:t>2</w:t>
      </w:r>
      <w:r>
        <w:rPr>
          <w:rFonts w:hint="eastAsia" w:eastAsia="仿宋_GB2312"/>
          <w:color w:val="auto"/>
          <w:sz w:val="24"/>
          <w:szCs w:val="24"/>
          <w:lang w:eastAsia="zh-CN"/>
        </w:rPr>
        <w:t>0年年平均相对湿度呈增加趋势，2002年年平均相对湿度最大（79.00%），2012年年平均相对湿度最小（69.42%），无明显周期。见</w:t>
      </w:r>
      <w:r>
        <w:rPr>
          <w:rFonts w:hint="eastAsia" w:eastAsia="仿宋_GB2312"/>
          <w:color w:val="auto"/>
          <w:sz w:val="24"/>
          <w:szCs w:val="24"/>
          <w:lang w:val="en-US" w:eastAsia="zh-CN"/>
        </w:rPr>
        <w:t>下</w:t>
      </w:r>
      <w:r>
        <w:rPr>
          <w:rFonts w:hint="eastAsia" w:eastAsia="仿宋_GB2312"/>
          <w:color w:val="auto"/>
          <w:sz w:val="24"/>
          <w:szCs w:val="24"/>
          <w:lang w:eastAsia="zh-CN"/>
        </w:rPr>
        <w:t>图。</w:t>
      </w:r>
    </w:p>
    <w:p>
      <w:pPr>
        <w:widowControl w:val="0"/>
        <w:spacing w:line="360" w:lineRule="auto"/>
        <w:jc w:val="center"/>
        <w:rPr>
          <w:rFonts w:hint="eastAsia" w:eastAsia="仿宋_GB2312"/>
          <w:color w:val="auto"/>
          <w:sz w:val="24"/>
          <w:szCs w:val="24"/>
          <w:lang w:eastAsia="zh-CN"/>
        </w:rPr>
      </w:pPr>
      <w:r>
        <w:rPr>
          <w:color w:val="auto"/>
        </w:rPr>
        <w:drawing>
          <wp:inline distT="0" distB="0" distL="114300" distR="114300">
            <wp:extent cx="3963670" cy="3071495"/>
            <wp:effectExtent l="0" t="0" r="17780" b="14605"/>
            <wp:docPr id="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6"/>
                    <pic:cNvPicPr>
                      <a:picLocks noChangeAspect="1"/>
                    </pic:cNvPicPr>
                  </pic:nvPicPr>
                  <pic:blipFill>
                    <a:blip r:embed="rId225"/>
                    <a:stretch>
                      <a:fillRect/>
                    </a:stretch>
                  </pic:blipFill>
                  <pic:spPr>
                    <a:xfrm>
                      <a:off x="0" y="0"/>
                      <a:ext cx="3963670" cy="3071495"/>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eastAsia="黑体"/>
          <w:b/>
          <w:color w:val="auto"/>
          <w:szCs w:val="21"/>
        </w:rPr>
        <w:t>表5.</w:t>
      </w:r>
      <w:r>
        <w:rPr>
          <w:rFonts w:hint="eastAsia" w:eastAsia="黑体"/>
          <w:b/>
          <w:color w:val="auto"/>
          <w:szCs w:val="21"/>
          <w:lang w:val="en-US" w:eastAsia="zh-CN"/>
        </w:rPr>
        <w:t xml:space="preserve">2-20 </w:t>
      </w:r>
      <w:r>
        <w:rPr>
          <w:rFonts w:eastAsia="黑体"/>
          <w:b/>
          <w:color w:val="auto"/>
          <w:szCs w:val="21"/>
        </w:rPr>
        <w:t xml:space="preserve"> </w:t>
      </w:r>
      <w:r>
        <w:rPr>
          <w:rFonts w:hint="eastAsia" w:eastAsia="黑体"/>
          <w:b/>
          <w:color w:val="auto"/>
          <w:szCs w:val="21"/>
          <w:lang w:val="en-US" w:eastAsia="zh-CN"/>
        </w:rPr>
        <w:t>宜都（2001-2020）年平均相对湿度  （纵轴为百分比，虚线为趋势线）</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.2.2.2大气污染物环境影响预测与评价</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1</w:t>
      </w:r>
      <w:r>
        <w:rPr>
          <w:rFonts w:hint="eastAsia" w:eastAsia="仿宋_GB2312"/>
          <w:color w:val="auto"/>
          <w:sz w:val="24"/>
          <w:szCs w:val="24"/>
          <w:lang w:eastAsia="zh-CN"/>
        </w:rPr>
        <w:t>）</w:t>
      </w:r>
      <w:r>
        <w:rPr>
          <w:rFonts w:hint="eastAsia" w:eastAsia="仿宋_GB2312"/>
          <w:color w:val="auto"/>
          <w:sz w:val="24"/>
          <w:szCs w:val="24"/>
          <w:lang w:val="en-US" w:eastAsia="zh-CN"/>
        </w:rPr>
        <w:t>评价因子及评价标准</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根据工程分析，确定本</w:t>
      </w:r>
      <w:r>
        <w:rPr>
          <w:rFonts w:hint="eastAsia" w:eastAsia="仿宋_GB2312"/>
          <w:color w:val="auto"/>
          <w:sz w:val="24"/>
          <w:szCs w:val="24"/>
          <w:lang w:val="en-US" w:eastAsia="zh-CN"/>
        </w:rPr>
        <w:t>工程废气污染源为装卸粉尘、转运粉尘，主要</w:t>
      </w:r>
      <w:r>
        <w:rPr>
          <w:rFonts w:hint="eastAsia" w:eastAsia="仿宋_GB2312"/>
          <w:color w:val="auto"/>
          <w:sz w:val="24"/>
          <w:szCs w:val="24"/>
          <w:lang w:eastAsia="zh-CN"/>
        </w:rPr>
        <w:t>影响预测因子为TSP、</w:t>
      </w:r>
      <w:r>
        <w:rPr>
          <w:rFonts w:hint="eastAsia" w:eastAsia="仿宋_GB2312"/>
          <w:color w:val="auto"/>
          <w:sz w:val="24"/>
          <w:szCs w:val="24"/>
          <w:lang w:val="en-US" w:eastAsia="zh-CN"/>
        </w:rPr>
        <w:t>PM</w:t>
      </w:r>
      <w:r>
        <w:rPr>
          <w:rFonts w:hint="eastAsia" w:eastAsia="仿宋_GB2312"/>
          <w:color w:val="auto"/>
          <w:sz w:val="24"/>
          <w:szCs w:val="24"/>
          <w:vertAlign w:val="subscript"/>
          <w:lang w:val="en-US" w:eastAsia="zh-CN"/>
        </w:rPr>
        <w:t>10</w:t>
      </w:r>
      <w:r>
        <w:rPr>
          <w:rFonts w:hint="eastAsia" w:eastAsia="仿宋_GB2312"/>
          <w:color w:val="auto"/>
          <w:sz w:val="24"/>
          <w:szCs w:val="24"/>
          <w:lang w:eastAsia="zh-CN"/>
        </w:rPr>
        <w:t>、</w:t>
      </w:r>
      <w:r>
        <w:rPr>
          <w:rFonts w:hint="eastAsia" w:eastAsia="仿宋_GB2312"/>
          <w:color w:val="auto"/>
          <w:sz w:val="24"/>
          <w:szCs w:val="24"/>
          <w:lang w:val="en-US" w:eastAsia="zh-CN"/>
        </w:rPr>
        <w:t>PM</w:t>
      </w:r>
      <w:r>
        <w:rPr>
          <w:rFonts w:hint="eastAsia" w:eastAsia="仿宋_GB2312"/>
          <w:color w:val="auto"/>
          <w:sz w:val="24"/>
          <w:szCs w:val="24"/>
          <w:vertAlign w:val="subscript"/>
          <w:lang w:val="en-US" w:eastAsia="zh-CN"/>
        </w:rPr>
        <w:t>2.5</w:t>
      </w:r>
      <w:r>
        <w:rPr>
          <w:rFonts w:hint="eastAsia" w:eastAsia="仿宋_GB2312"/>
          <w:color w:val="auto"/>
          <w:sz w:val="24"/>
          <w:szCs w:val="24"/>
          <w:lang w:eastAsia="zh-CN"/>
        </w:rPr>
        <w:t>。</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船舶靠岸和驶离码头时产生少量的船舶尾气，船舶尾气属流动污染物，船舶航行时时速可达20km，扩散距离远，对固定点地面浓度的小时贡献值较低，故预测不考虑</w:t>
      </w:r>
      <w:r>
        <w:rPr>
          <w:rFonts w:hint="eastAsia" w:eastAsia="仿宋_GB2312"/>
          <w:color w:val="auto"/>
          <w:sz w:val="24"/>
          <w:szCs w:val="24"/>
          <w:lang w:val="en-US" w:eastAsia="zh-CN"/>
        </w:rPr>
        <w:t>到港</w:t>
      </w:r>
      <w:r>
        <w:rPr>
          <w:rFonts w:hint="eastAsia" w:eastAsia="仿宋_GB2312"/>
          <w:color w:val="auto"/>
          <w:sz w:val="24"/>
          <w:szCs w:val="24"/>
          <w:lang w:eastAsia="zh-CN"/>
        </w:rPr>
        <w:t>船舶</w:t>
      </w:r>
      <w:r>
        <w:rPr>
          <w:rFonts w:hint="eastAsia" w:eastAsia="仿宋_GB2312"/>
          <w:color w:val="auto"/>
          <w:sz w:val="24"/>
          <w:szCs w:val="24"/>
          <w:lang w:val="en-US" w:eastAsia="zh-CN"/>
        </w:rPr>
        <w:t>燃油</w:t>
      </w:r>
      <w:r>
        <w:rPr>
          <w:rFonts w:hint="eastAsia" w:eastAsia="仿宋_GB2312"/>
          <w:color w:val="auto"/>
          <w:sz w:val="24"/>
          <w:szCs w:val="24"/>
          <w:lang w:eastAsia="zh-CN"/>
        </w:rPr>
        <w:t>废气。</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根据《环境影响评价技术导则 大气环境》（HJ2.2-2018），预测因子评价标准见下表。</w:t>
      </w:r>
    </w:p>
    <w:p>
      <w:pPr>
        <w:widowControl w:val="0"/>
        <w:spacing w:line="360" w:lineRule="auto"/>
        <w:jc w:val="center"/>
        <w:rPr>
          <w:rFonts w:hint="default" w:eastAsia="黑体"/>
          <w:b/>
          <w:color w:val="auto"/>
          <w:lang w:val="en-US" w:eastAsia="zh-CN"/>
        </w:rPr>
      </w:pPr>
      <w:r>
        <w:rPr>
          <w:rFonts w:eastAsia="黑体"/>
          <w:b/>
          <w:color w:val="auto"/>
        </w:rPr>
        <w:t>表</w:t>
      </w:r>
      <w:r>
        <w:rPr>
          <w:rFonts w:hint="eastAsia" w:eastAsia="黑体"/>
          <w:b/>
          <w:color w:val="auto"/>
          <w:lang w:val="en-US" w:eastAsia="zh-CN"/>
        </w:rPr>
        <w:t>5.2-13</w:t>
      </w:r>
      <w:r>
        <w:rPr>
          <w:rFonts w:eastAsia="黑体"/>
          <w:b/>
          <w:color w:val="auto"/>
        </w:rPr>
        <w:t xml:space="preserve"> </w:t>
      </w:r>
      <w:r>
        <w:rPr>
          <w:rFonts w:hint="eastAsia" w:eastAsia="黑体"/>
          <w:b/>
          <w:color w:val="auto"/>
        </w:rPr>
        <w:t xml:space="preserve"> </w:t>
      </w:r>
      <w:r>
        <w:rPr>
          <w:rFonts w:hint="eastAsia" w:eastAsia="黑体"/>
          <w:b/>
          <w:color w:val="auto"/>
          <w:lang w:val="en-US" w:eastAsia="zh-CN"/>
        </w:rPr>
        <w:t>评价因子和评价标准表</w:t>
      </w:r>
    </w:p>
    <w:tbl>
      <w:tblPr>
        <w:tblStyle w:val="92"/>
        <w:tblW w:w="852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705"/>
        <w:gridCol w:w="1705"/>
        <w:gridCol w:w="1705"/>
        <w:gridCol w:w="341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705" w:type="dxa"/>
            <w:tcBorders>
              <w:top w:val="single" w:color="auto" w:sz="12" w:space="0"/>
              <w:bottom w:val="single" w:color="auto" w:sz="12" w:space="0"/>
            </w:tcBorders>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评价因子</w:t>
            </w:r>
          </w:p>
        </w:tc>
        <w:tc>
          <w:tcPr>
            <w:tcW w:w="1705" w:type="dxa"/>
            <w:tcBorders>
              <w:top w:val="single" w:color="auto" w:sz="12" w:space="0"/>
              <w:bottom w:val="single" w:color="auto" w:sz="12" w:space="0"/>
            </w:tcBorders>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平均时段</w:t>
            </w:r>
          </w:p>
        </w:tc>
        <w:tc>
          <w:tcPr>
            <w:tcW w:w="1705" w:type="dxa"/>
            <w:tcBorders>
              <w:top w:val="single" w:color="auto" w:sz="12" w:space="0"/>
              <w:bottom w:val="single" w:color="auto" w:sz="12" w:space="0"/>
            </w:tcBorders>
            <w:noWrap w:val="0"/>
            <w:vAlign w:val="center"/>
          </w:tcPr>
          <w:p>
            <w:pPr>
              <w:widowControl w:val="0"/>
              <w:jc w:val="center"/>
              <w:rPr>
                <w:rFonts w:hint="eastAsia" w:eastAsia="宋体"/>
                <w:b w:val="0"/>
                <w:bCs/>
                <w:color w:val="auto"/>
                <w:kern w:val="0"/>
                <w:sz w:val="20"/>
                <w:lang w:val="en-US" w:eastAsia="zh-CN"/>
              </w:rPr>
            </w:pPr>
            <w:r>
              <w:rPr>
                <w:rFonts w:hint="eastAsia"/>
                <w:b w:val="0"/>
                <w:bCs/>
                <w:color w:val="auto"/>
                <w:kern w:val="0"/>
                <w:sz w:val="20"/>
                <w:lang w:val="en-US" w:eastAsia="zh-CN"/>
              </w:rPr>
              <w:t>标准值（mg/m</w:t>
            </w:r>
            <w:r>
              <w:rPr>
                <w:rFonts w:hint="eastAsia"/>
                <w:b w:val="0"/>
                <w:bCs/>
                <w:color w:val="auto"/>
                <w:kern w:val="0"/>
                <w:sz w:val="20"/>
                <w:vertAlign w:val="superscript"/>
                <w:lang w:val="en-US" w:eastAsia="zh-CN"/>
              </w:rPr>
              <w:t>3</w:t>
            </w:r>
            <w:r>
              <w:rPr>
                <w:rFonts w:hint="eastAsia"/>
                <w:b w:val="0"/>
                <w:bCs/>
                <w:color w:val="auto"/>
                <w:kern w:val="0"/>
                <w:sz w:val="20"/>
                <w:lang w:val="en-US" w:eastAsia="zh-CN"/>
              </w:rPr>
              <w:t>）</w:t>
            </w:r>
          </w:p>
        </w:tc>
        <w:tc>
          <w:tcPr>
            <w:tcW w:w="3413" w:type="dxa"/>
            <w:tcBorders>
              <w:top w:val="single" w:color="auto" w:sz="12" w:space="0"/>
              <w:bottom w:val="single" w:color="auto" w:sz="12" w:space="0"/>
            </w:tcBorders>
            <w:noWrap w:val="0"/>
            <w:vAlign w:val="center"/>
          </w:tcPr>
          <w:p>
            <w:pPr>
              <w:widowControl w:val="0"/>
              <w:jc w:val="center"/>
              <w:rPr>
                <w:b w:val="0"/>
                <w:bCs/>
                <w:color w:val="auto"/>
                <w:kern w:val="0"/>
                <w:sz w:val="20"/>
              </w:rPr>
            </w:pPr>
            <w:r>
              <w:rPr>
                <w:rFonts w:hint="eastAsia"/>
                <w:b w:val="0"/>
                <w:bCs/>
                <w:color w:val="auto"/>
                <w:kern w:val="0"/>
                <w:sz w:val="20"/>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705" w:type="dxa"/>
            <w:tcBorders>
              <w:top w:val="single" w:color="auto" w:sz="12" w:space="0"/>
            </w:tcBorders>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TSP</w:t>
            </w:r>
          </w:p>
        </w:tc>
        <w:tc>
          <w:tcPr>
            <w:tcW w:w="1705" w:type="dxa"/>
            <w:tcBorders>
              <w:top w:val="single" w:color="auto" w:sz="12" w:space="0"/>
            </w:tcBorders>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1h</w:t>
            </w:r>
          </w:p>
        </w:tc>
        <w:tc>
          <w:tcPr>
            <w:tcW w:w="1705" w:type="dxa"/>
            <w:tcBorders>
              <w:top w:val="single" w:color="auto" w:sz="12" w:space="0"/>
            </w:tcBorders>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0.9</w:t>
            </w:r>
          </w:p>
        </w:tc>
        <w:tc>
          <w:tcPr>
            <w:tcW w:w="3413" w:type="dxa"/>
            <w:vMerge w:val="restart"/>
            <w:tcBorders>
              <w:top w:val="single" w:color="auto" w:sz="12" w:space="0"/>
            </w:tcBorders>
            <w:noWrap w:val="0"/>
            <w:vAlign w:val="center"/>
          </w:tcPr>
          <w:p>
            <w:pPr>
              <w:widowControl w:val="0"/>
              <w:jc w:val="center"/>
              <w:rPr>
                <w:rFonts w:hint="default"/>
                <w:b w:val="0"/>
                <w:bCs/>
                <w:color w:val="auto"/>
                <w:kern w:val="0"/>
                <w:sz w:val="20"/>
                <w:lang w:val="en-US"/>
              </w:rPr>
            </w:pPr>
            <w:r>
              <w:rPr>
                <w:rFonts w:hint="eastAsia"/>
                <w:b w:val="0"/>
                <w:bCs/>
                <w:color w:val="auto"/>
                <w:kern w:val="0"/>
                <w:sz w:val="20"/>
                <w:lang w:val="en-US" w:eastAsia="zh-CN"/>
              </w:rPr>
              <w:t>《环境空气质量标准》（GB3095-2012）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705" w:type="dxa"/>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PM</w:t>
            </w:r>
            <w:r>
              <w:rPr>
                <w:rFonts w:hint="eastAsia"/>
                <w:b w:val="0"/>
                <w:bCs/>
                <w:color w:val="auto"/>
                <w:kern w:val="0"/>
                <w:sz w:val="20"/>
                <w:vertAlign w:val="subscript"/>
                <w:lang w:val="en-US" w:eastAsia="zh-CN"/>
              </w:rPr>
              <w:t>10</w:t>
            </w:r>
          </w:p>
        </w:tc>
        <w:tc>
          <w:tcPr>
            <w:tcW w:w="1705" w:type="dxa"/>
            <w:noWrap w:val="0"/>
            <w:vAlign w:val="center"/>
          </w:tcPr>
          <w:p>
            <w:pPr>
              <w:widowControl w:val="0"/>
              <w:jc w:val="center"/>
              <w:rPr>
                <w:b w:val="0"/>
                <w:bCs/>
                <w:color w:val="auto"/>
                <w:kern w:val="0"/>
                <w:sz w:val="20"/>
              </w:rPr>
            </w:pPr>
            <w:r>
              <w:rPr>
                <w:rFonts w:hint="eastAsia"/>
                <w:b w:val="0"/>
                <w:bCs/>
                <w:color w:val="auto"/>
                <w:kern w:val="0"/>
                <w:sz w:val="20"/>
                <w:lang w:val="en-US" w:eastAsia="zh-CN"/>
              </w:rPr>
              <w:t>1h</w:t>
            </w:r>
          </w:p>
        </w:tc>
        <w:tc>
          <w:tcPr>
            <w:tcW w:w="1705" w:type="dxa"/>
            <w:noWrap w:val="0"/>
            <w:vAlign w:val="center"/>
          </w:tcPr>
          <w:p>
            <w:pPr>
              <w:widowControl w:val="0"/>
              <w:jc w:val="center"/>
              <w:rPr>
                <w:rFonts w:hint="default" w:eastAsia="宋体"/>
                <w:b w:val="0"/>
                <w:bCs/>
                <w:color w:val="auto"/>
                <w:kern w:val="0"/>
                <w:sz w:val="20"/>
                <w:lang w:val="en-US" w:eastAsia="zh-CN"/>
              </w:rPr>
            </w:pPr>
            <w:r>
              <w:rPr>
                <w:rFonts w:hint="eastAsia"/>
                <w:b w:val="0"/>
                <w:bCs/>
                <w:color w:val="auto"/>
                <w:kern w:val="0"/>
                <w:sz w:val="20"/>
                <w:lang w:val="en-US" w:eastAsia="zh-CN"/>
              </w:rPr>
              <w:t>0.45</w:t>
            </w:r>
          </w:p>
        </w:tc>
        <w:tc>
          <w:tcPr>
            <w:tcW w:w="3413" w:type="dxa"/>
            <w:vMerge w:val="continue"/>
            <w:noWrap w:val="0"/>
            <w:vAlign w:val="center"/>
          </w:tcPr>
          <w:p>
            <w:pPr>
              <w:widowControl w:val="0"/>
              <w:jc w:val="center"/>
              <w:rPr>
                <w:b w:val="0"/>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705" w:type="dxa"/>
            <w:noWrap w:val="0"/>
            <w:vAlign w:val="center"/>
          </w:tcPr>
          <w:p>
            <w:pPr>
              <w:widowControl w:val="0"/>
              <w:jc w:val="center"/>
              <w:rPr>
                <w:rFonts w:hint="default"/>
                <w:b w:val="0"/>
                <w:bCs/>
                <w:color w:val="auto"/>
                <w:kern w:val="0"/>
                <w:sz w:val="20"/>
                <w:lang w:val="en-US" w:eastAsia="zh-CN"/>
              </w:rPr>
            </w:pPr>
            <w:r>
              <w:rPr>
                <w:rFonts w:hint="eastAsia"/>
                <w:b w:val="0"/>
                <w:bCs/>
                <w:color w:val="auto"/>
                <w:kern w:val="0"/>
                <w:sz w:val="20"/>
                <w:lang w:val="en-US" w:eastAsia="zh-CN"/>
              </w:rPr>
              <w:t>PM</w:t>
            </w:r>
            <w:r>
              <w:rPr>
                <w:rFonts w:hint="eastAsia"/>
                <w:b w:val="0"/>
                <w:bCs/>
                <w:color w:val="auto"/>
                <w:kern w:val="0"/>
                <w:sz w:val="20"/>
                <w:vertAlign w:val="subscript"/>
                <w:lang w:val="en-US" w:eastAsia="zh-CN"/>
              </w:rPr>
              <w:t>2.5</w:t>
            </w:r>
          </w:p>
        </w:tc>
        <w:tc>
          <w:tcPr>
            <w:tcW w:w="1705" w:type="dxa"/>
            <w:noWrap w:val="0"/>
            <w:vAlign w:val="center"/>
          </w:tcPr>
          <w:p>
            <w:pPr>
              <w:widowControl w:val="0"/>
              <w:jc w:val="center"/>
              <w:rPr>
                <w:rFonts w:hint="eastAsia" w:ascii="Times New Roman" w:hAnsi="Times New Roman" w:eastAsia="宋体" w:cs="Times New Roman"/>
                <w:b w:val="0"/>
                <w:bCs/>
                <w:color w:val="auto"/>
                <w:kern w:val="0"/>
                <w:sz w:val="20"/>
                <w:lang w:val="en-US" w:eastAsia="zh-CN" w:bidi="ar-SA"/>
              </w:rPr>
            </w:pPr>
            <w:r>
              <w:rPr>
                <w:rFonts w:hint="eastAsia"/>
                <w:b w:val="0"/>
                <w:bCs/>
                <w:color w:val="auto"/>
                <w:kern w:val="0"/>
                <w:sz w:val="20"/>
                <w:lang w:val="en-US" w:eastAsia="zh-CN"/>
              </w:rPr>
              <w:t>1h</w:t>
            </w:r>
          </w:p>
        </w:tc>
        <w:tc>
          <w:tcPr>
            <w:tcW w:w="1705" w:type="dxa"/>
            <w:noWrap w:val="0"/>
            <w:vAlign w:val="center"/>
          </w:tcPr>
          <w:p>
            <w:pPr>
              <w:widowControl w:val="0"/>
              <w:jc w:val="center"/>
              <w:rPr>
                <w:rFonts w:hint="default" w:ascii="Times New Roman" w:hAnsi="Times New Roman" w:eastAsia="宋体" w:cs="Times New Roman"/>
                <w:b w:val="0"/>
                <w:bCs/>
                <w:color w:val="auto"/>
                <w:kern w:val="0"/>
                <w:sz w:val="20"/>
                <w:lang w:val="en-US" w:eastAsia="zh-CN" w:bidi="ar-SA"/>
              </w:rPr>
            </w:pPr>
            <w:r>
              <w:rPr>
                <w:rFonts w:hint="eastAsia"/>
                <w:b w:val="0"/>
                <w:bCs/>
                <w:color w:val="auto"/>
                <w:kern w:val="0"/>
                <w:sz w:val="20"/>
                <w:lang w:val="en-US" w:eastAsia="zh-CN"/>
              </w:rPr>
              <w:t>0.225</w:t>
            </w:r>
          </w:p>
        </w:tc>
        <w:tc>
          <w:tcPr>
            <w:tcW w:w="3413" w:type="dxa"/>
            <w:vMerge w:val="continue"/>
            <w:noWrap w:val="0"/>
            <w:vAlign w:val="center"/>
          </w:tcPr>
          <w:p>
            <w:pPr>
              <w:widowControl w:val="0"/>
              <w:jc w:val="center"/>
              <w:rPr>
                <w:b w:val="0"/>
                <w:bCs/>
                <w:color w:val="auto"/>
                <w:kern w:val="0"/>
                <w:sz w:val="20"/>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8528" w:type="dxa"/>
            <w:gridSpan w:val="4"/>
            <w:noWrap w:val="0"/>
            <w:vAlign w:val="center"/>
          </w:tcPr>
          <w:p>
            <w:pPr>
              <w:widowControl w:val="0"/>
              <w:jc w:val="left"/>
              <w:rPr>
                <w:b w:val="0"/>
                <w:bCs/>
                <w:color w:val="auto"/>
                <w:kern w:val="0"/>
                <w:sz w:val="20"/>
              </w:rPr>
            </w:pPr>
            <w:r>
              <w:rPr>
                <w:rFonts w:hint="eastAsia"/>
                <w:b w:val="0"/>
                <w:bCs/>
                <w:color w:val="auto"/>
                <w:sz w:val="20"/>
                <w:szCs w:val="18"/>
              </w:rPr>
              <w:t>备注：TSP</w:t>
            </w:r>
            <w:r>
              <w:rPr>
                <w:rFonts w:hint="eastAsia"/>
                <w:b w:val="0"/>
                <w:bCs/>
                <w:color w:val="auto"/>
                <w:sz w:val="20"/>
                <w:szCs w:val="18"/>
                <w:lang w:val="en-US" w:eastAsia="zh-CN"/>
              </w:rPr>
              <w:t xml:space="preserve"> </w:t>
            </w:r>
            <w:r>
              <w:rPr>
                <w:rFonts w:hint="eastAsia"/>
                <w:b w:val="0"/>
                <w:bCs/>
                <w:color w:val="auto"/>
                <w:sz w:val="20"/>
                <w:szCs w:val="18"/>
              </w:rPr>
              <w:t>1h平均质量浓度限值根据《环境影响评价技术导则 大气环境》（HJ2.2-2018）5.3.2.1条“仅有8h平均质量浓度限值、日平均质量浓度限值、年平均质量浓度限值的，可分别按2倍、</w:t>
            </w:r>
            <w:r>
              <w:rPr>
                <w:rFonts w:hint="eastAsia"/>
                <w:b w:val="0"/>
                <w:bCs/>
                <w:color w:val="auto"/>
                <w:sz w:val="20"/>
                <w:szCs w:val="18"/>
                <w:lang w:val="en-US" w:eastAsia="zh-CN"/>
              </w:rPr>
              <w:t>3</w:t>
            </w:r>
            <w:r>
              <w:rPr>
                <w:rFonts w:hint="eastAsia"/>
                <w:b w:val="0"/>
                <w:bCs/>
                <w:color w:val="auto"/>
                <w:sz w:val="20"/>
                <w:szCs w:val="18"/>
              </w:rPr>
              <w:t>倍、6倍折算为1h平均质量浓度限值”的规定进行折算</w:t>
            </w:r>
          </w:p>
        </w:tc>
      </w:tr>
    </w:tbl>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2</w:t>
      </w:r>
      <w:r>
        <w:rPr>
          <w:rFonts w:hint="eastAsia" w:eastAsia="仿宋_GB2312"/>
          <w:color w:val="auto"/>
          <w:sz w:val="24"/>
          <w:szCs w:val="24"/>
          <w:lang w:eastAsia="zh-CN"/>
        </w:rPr>
        <w:t>）</w:t>
      </w:r>
      <w:r>
        <w:rPr>
          <w:rFonts w:hint="eastAsia" w:eastAsia="仿宋_GB2312"/>
          <w:color w:val="auto"/>
          <w:sz w:val="24"/>
          <w:szCs w:val="24"/>
          <w:lang w:val="en-US" w:eastAsia="zh-CN"/>
        </w:rPr>
        <w:t>预测范围</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预测范围同评价范围，即以项目厂址为中心，边长5km区域。</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3</w:t>
      </w:r>
      <w:r>
        <w:rPr>
          <w:rFonts w:hint="eastAsia" w:eastAsia="仿宋_GB2312"/>
          <w:color w:val="auto"/>
          <w:sz w:val="24"/>
          <w:szCs w:val="24"/>
          <w:lang w:eastAsia="zh-CN"/>
        </w:rPr>
        <w:t>）</w:t>
      </w:r>
      <w:r>
        <w:rPr>
          <w:rFonts w:hint="eastAsia" w:eastAsia="仿宋_GB2312"/>
          <w:color w:val="auto"/>
          <w:sz w:val="24"/>
          <w:szCs w:val="24"/>
          <w:lang w:val="en-US" w:eastAsia="zh-CN"/>
        </w:rPr>
        <w:t>预测周期</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选取评价基准年20</w:t>
      </w:r>
      <w:r>
        <w:rPr>
          <w:rFonts w:hint="eastAsia" w:eastAsia="仿宋_GB2312"/>
          <w:color w:val="auto"/>
          <w:sz w:val="24"/>
          <w:szCs w:val="24"/>
          <w:lang w:val="en-US" w:eastAsia="zh-CN"/>
        </w:rPr>
        <w:t>22</w:t>
      </w:r>
      <w:r>
        <w:rPr>
          <w:rFonts w:hint="eastAsia" w:eastAsia="仿宋_GB2312"/>
          <w:color w:val="auto"/>
          <w:sz w:val="24"/>
          <w:szCs w:val="24"/>
          <w:lang w:eastAsia="zh-CN"/>
        </w:rPr>
        <w:t>年作为预测周期，预测时段取连续1年。</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4</w:t>
      </w:r>
      <w:r>
        <w:rPr>
          <w:rFonts w:hint="eastAsia" w:eastAsia="仿宋_GB2312"/>
          <w:color w:val="auto"/>
          <w:sz w:val="24"/>
          <w:szCs w:val="24"/>
          <w:lang w:eastAsia="zh-CN"/>
        </w:rPr>
        <w:t>）</w:t>
      </w:r>
      <w:r>
        <w:rPr>
          <w:rFonts w:hint="eastAsia" w:eastAsia="仿宋_GB2312"/>
          <w:color w:val="auto"/>
          <w:sz w:val="24"/>
          <w:szCs w:val="24"/>
          <w:lang w:val="en-US" w:eastAsia="zh-CN"/>
        </w:rPr>
        <w:t>预测模型</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选取估算模型AERSCEEEN估算模型进行预测。</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5</w:t>
      </w:r>
      <w:r>
        <w:rPr>
          <w:rFonts w:hint="eastAsia" w:eastAsia="仿宋_GB2312"/>
          <w:color w:val="auto"/>
          <w:sz w:val="24"/>
          <w:szCs w:val="24"/>
          <w:lang w:eastAsia="zh-CN"/>
        </w:rPr>
        <w:t>）</w:t>
      </w:r>
      <w:r>
        <w:rPr>
          <w:rFonts w:hint="eastAsia" w:eastAsia="仿宋_GB2312"/>
          <w:color w:val="auto"/>
          <w:sz w:val="24"/>
          <w:szCs w:val="24"/>
          <w:lang w:val="en-US" w:eastAsia="zh-CN"/>
        </w:rPr>
        <w:t>预测内容</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根据估算，项目大气评价等级为二级，按《环境影响评价技术导则大气环境》（HJ2.2-2008）的要求，二级评价可不进行进一步大气环境影响预测与评价，只对污染物排放量进行核算。</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6</w:t>
      </w:r>
      <w:r>
        <w:rPr>
          <w:rFonts w:hint="eastAsia" w:eastAsia="仿宋_GB2312"/>
          <w:color w:val="auto"/>
          <w:sz w:val="24"/>
          <w:szCs w:val="24"/>
          <w:lang w:eastAsia="zh-CN"/>
        </w:rPr>
        <w:t>）</w:t>
      </w:r>
      <w:r>
        <w:rPr>
          <w:rFonts w:hint="eastAsia" w:eastAsia="仿宋_GB2312"/>
          <w:color w:val="auto"/>
          <w:sz w:val="24"/>
          <w:szCs w:val="24"/>
          <w:lang w:val="en-US" w:eastAsia="zh-CN"/>
        </w:rPr>
        <w:t>预测参数选取</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项目估算参数见</w:t>
      </w:r>
      <w:r>
        <w:rPr>
          <w:rFonts w:hint="eastAsia" w:eastAsia="仿宋_GB2312"/>
          <w:color w:val="auto"/>
          <w:sz w:val="24"/>
          <w:szCs w:val="24"/>
          <w:lang w:val="en-US" w:eastAsia="zh-CN"/>
        </w:rPr>
        <w:t>下</w:t>
      </w:r>
      <w:r>
        <w:rPr>
          <w:rFonts w:hint="eastAsia" w:eastAsia="仿宋_GB2312"/>
          <w:color w:val="auto"/>
          <w:sz w:val="24"/>
          <w:szCs w:val="24"/>
          <w:lang w:eastAsia="zh-CN"/>
        </w:rPr>
        <w:t>表。</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5.2</w:t>
      </w:r>
      <w:r>
        <w:rPr>
          <w:rFonts w:eastAsia="黑体"/>
          <w:b/>
          <w:color w:val="auto"/>
          <w:szCs w:val="21"/>
        </w:rPr>
        <w:t>-</w:t>
      </w:r>
      <w:r>
        <w:rPr>
          <w:rFonts w:hint="eastAsia" w:eastAsia="黑体"/>
          <w:b/>
          <w:color w:val="auto"/>
          <w:szCs w:val="21"/>
          <w:lang w:val="en-US" w:eastAsia="zh-CN"/>
        </w:rPr>
        <w:t>14</w:t>
      </w:r>
      <w:r>
        <w:rPr>
          <w:rFonts w:eastAsia="黑体"/>
          <w:b/>
          <w:color w:val="auto"/>
          <w:szCs w:val="21"/>
        </w:rPr>
        <w:t xml:space="preserve">  </w:t>
      </w:r>
      <w:r>
        <w:rPr>
          <w:rFonts w:hint="eastAsia" w:eastAsia="黑体"/>
          <w:b/>
          <w:color w:val="auto"/>
          <w:szCs w:val="21"/>
          <w:lang w:val="en-US" w:eastAsia="zh-CN"/>
        </w:rPr>
        <w:t>估算模型参数表</w:t>
      </w:r>
    </w:p>
    <w:tbl>
      <w:tblPr>
        <w:tblStyle w:val="9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02"/>
        <w:gridCol w:w="503"/>
        <w:gridCol w:w="2308"/>
        <w:gridCol w:w="39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2708" w:type="pct"/>
            <w:gridSpan w:val="3"/>
            <w:noWrap w:val="0"/>
            <w:vAlign w:val="center"/>
          </w:tcPr>
          <w:p>
            <w:pPr>
              <w:widowControl w:val="0"/>
              <w:jc w:val="center"/>
              <w:rPr>
                <w:b w:val="0"/>
                <w:bCs w:val="0"/>
                <w:color w:val="auto"/>
                <w:kern w:val="0"/>
                <w:sz w:val="20"/>
              </w:rPr>
            </w:pPr>
            <w:r>
              <w:rPr>
                <w:b w:val="0"/>
                <w:bCs w:val="0"/>
                <w:color w:val="auto"/>
                <w:kern w:val="0"/>
                <w:sz w:val="20"/>
              </w:rPr>
              <w:t>参数</w:t>
            </w:r>
          </w:p>
        </w:tc>
        <w:tc>
          <w:tcPr>
            <w:tcW w:w="2291" w:type="pct"/>
            <w:noWrap w:val="0"/>
            <w:vAlign w:val="center"/>
          </w:tcPr>
          <w:p>
            <w:pPr>
              <w:widowControl w:val="0"/>
              <w:jc w:val="center"/>
              <w:rPr>
                <w:b w:val="0"/>
                <w:bCs w:val="0"/>
                <w:color w:val="auto"/>
                <w:kern w:val="0"/>
                <w:sz w:val="20"/>
              </w:rPr>
            </w:pPr>
            <w:r>
              <w:rPr>
                <w:b w:val="0"/>
                <w:bCs w:val="0"/>
                <w:color w:val="auto"/>
                <w:kern w:val="0"/>
                <w:sz w:val="20"/>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058" w:type="pct"/>
            <w:vMerge w:val="restart"/>
            <w:noWrap w:val="0"/>
            <w:vAlign w:val="center"/>
          </w:tcPr>
          <w:p>
            <w:pPr>
              <w:widowControl w:val="0"/>
              <w:adjustRightInd w:val="0"/>
              <w:snapToGrid w:val="0"/>
              <w:jc w:val="center"/>
              <w:rPr>
                <w:color w:val="auto"/>
              </w:rPr>
            </w:pPr>
            <w:r>
              <w:rPr>
                <w:color w:val="auto"/>
                <w:kern w:val="0"/>
                <w:sz w:val="20"/>
              </w:rPr>
              <w:t>城市/农村选项</w:t>
            </w:r>
          </w:p>
        </w:tc>
        <w:tc>
          <w:tcPr>
            <w:tcW w:w="1649" w:type="pct"/>
            <w:gridSpan w:val="2"/>
            <w:noWrap w:val="0"/>
            <w:vAlign w:val="center"/>
          </w:tcPr>
          <w:p>
            <w:pPr>
              <w:widowControl w:val="0"/>
              <w:jc w:val="center"/>
              <w:rPr>
                <w:color w:val="auto"/>
                <w:kern w:val="0"/>
                <w:sz w:val="20"/>
              </w:rPr>
            </w:pPr>
            <w:r>
              <w:rPr>
                <w:color w:val="auto"/>
                <w:kern w:val="0"/>
                <w:sz w:val="20"/>
              </w:rPr>
              <w:t>城市/农村</w:t>
            </w:r>
          </w:p>
        </w:tc>
        <w:tc>
          <w:tcPr>
            <w:tcW w:w="2291" w:type="pct"/>
            <w:noWrap w:val="0"/>
            <w:vAlign w:val="center"/>
          </w:tcPr>
          <w:p>
            <w:pPr>
              <w:widowControl w:val="0"/>
              <w:jc w:val="center"/>
              <w:rPr>
                <w:rFonts w:hint="eastAsia" w:eastAsia="宋体"/>
                <w:color w:val="auto"/>
                <w:kern w:val="0"/>
                <w:sz w:val="20"/>
                <w:lang w:eastAsia="zh-CN"/>
              </w:rPr>
            </w:pPr>
            <w:r>
              <w:rPr>
                <w:rFonts w:hint="eastAsia"/>
                <w:color w:val="auto"/>
                <w:kern w:val="0"/>
                <w:sz w:val="20"/>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058" w:type="pct"/>
            <w:vMerge w:val="continue"/>
            <w:noWrap w:val="0"/>
            <w:vAlign w:val="center"/>
          </w:tcPr>
          <w:p>
            <w:pPr>
              <w:widowControl w:val="0"/>
              <w:adjustRightInd w:val="0"/>
              <w:snapToGrid w:val="0"/>
              <w:jc w:val="center"/>
              <w:rPr>
                <w:color w:val="auto"/>
              </w:rPr>
            </w:pPr>
          </w:p>
        </w:tc>
        <w:tc>
          <w:tcPr>
            <w:tcW w:w="1649" w:type="pct"/>
            <w:gridSpan w:val="2"/>
            <w:noWrap w:val="0"/>
            <w:vAlign w:val="center"/>
          </w:tcPr>
          <w:p>
            <w:pPr>
              <w:widowControl w:val="0"/>
              <w:jc w:val="center"/>
              <w:rPr>
                <w:color w:val="auto"/>
                <w:kern w:val="0"/>
                <w:sz w:val="20"/>
              </w:rPr>
            </w:pPr>
            <w:r>
              <w:rPr>
                <w:color w:val="auto"/>
                <w:kern w:val="0"/>
                <w:sz w:val="20"/>
              </w:rPr>
              <w:t>人口数（城市选项时）</w:t>
            </w:r>
          </w:p>
        </w:tc>
        <w:tc>
          <w:tcPr>
            <w:tcW w:w="2291" w:type="pct"/>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2708" w:type="pct"/>
            <w:gridSpan w:val="3"/>
            <w:noWrap w:val="0"/>
            <w:vAlign w:val="center"/>
          </w:tcPr>
          <w:p>
            <w:pPr>
              <w:widowControl w:val="0"/>
              <w:jc w:val="center"/>
              <w:rPr>
                <w:color w:val="auto"/>
                <w:kern w:val="0"/>
                <w:sz w:val="20"/>
              </w:rPr>
            </w:pPr>
            <w:r>
              <w:rPr>
                <w:color w:val="auto"/>
                <w:kern w:val="0"/>
                <w:sz w:val="20"/>
              </w:rPr>
              <w:t>最高环境温度（℃）</w:t>
            </w:r>
          </w:p>
        </w:tc>
        <w:tc>
          <w:tcPr>
            <w:tcW w:w="2291" w:type="pct"/>
            <w:noWrap w:val="0"/>
            <w:vAlign w:val="center"/>
          </w:tcPr>
          <w:p>
            <w:pPr>
              <w:widowControl w:val="0"/>
              <w:jc w:val="center"/>
              <w:rPr>
                <w:rFonts w:hint="default" w:eastAsia="宋体"/>
                <w:color w:val="auto"/>
                <w:kern w:val="0"/>
                <w:sz w:val="20"/>
                <w:szCs w:val="22"/>
                <w:lang w:val="en-US" w:eastAsia="zh-CN"/>
              </w:rPr>
            </w:pPr>
            <w:r>
              <w:rPr>
                <w:rFonts w:hint="eastAsia"/>
                <w:color w:val="auto"/>
                <w:kern w:val="0"/>
                <w:sz w:val="20"/>
                <w:szCs w:val="22"/>
                <w:lang w:val="en-US" w:eastAsia="zh-CN"/>
              </w:rPr>
              <w:t>40.8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2708" w:type="pct"/>
            <w:gridSpan w:val="3"/>
            <w:noWrap w:val="0"/>
            <w:vAlign w:val="center"/>
          </w:tcPr>
          <w:p>
            <w:pPr>
              <w:widowControl w:val="0"/>
              <w:jc w:val="center"/>
              <w:rPr>
                <w:color w:val="auto"/>
                <w:kern w:val="0"/>
                <w:sz w:val="20"/>
              </w:rPr>
            </w:pPr>
            <w:r>
              <w:rPr>
                <w:color w:val="auto"/>
                <w:kern w:val="0"/>
                <w:sz w:val="20"/>
              </w:rPr>
              <w:t>最低环境温度（℃）</w:t>
            </w:r>
          </w:p>
        </w:tc>
        <w:tc>
          <w:tcPr>
            <w:tcW w:w="2291" w:type="pct"/>
            <w:noWrap w:val="0"/>
            <w:vAlign w:val="center"/>
          </w:tcPr>
          <w:p>
            <w:pPr>
              <w:widowControl w:val="0"/>
              <w:jc w:val="center"/>
              <w:rPr>
                <w:rFonts w:hint="default" w:eastAsia="宋体"/>
                <w:color w:val="auto"/>
                <w:kern w:val="0"/>
                <w:sz w:val="20"/>
                <w:lang w:val="en-US" w:eastAsia="zh-CN"/>
              </w:rPr>
            </w:pPr>
            <w:r>
              <w:rPr>
                <w:color w:val="auto"/>
                <w:kern w:val="0"/>
                <w:sz w:val="20"/>
              </w:rPr>
              <w:t>-</w:t>
            </w:r>
            <w:r>
              <w:rPr>
                <w:rFonts w:hint="eastAsia"/>
                <w:color w:val="auto"/>
                <w:kern w:val="0"/>
                <w:sz w:val="20"/>
                <w:lang w:val="en-US" w:eastAsia="zh-CN"/>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2708" w:type="pct"/>
            <w:gridSpan w:val="3"/>
            <w:noWrap w:val="0"/>
            <w:vAlign w:val="center"/>
          </w:tcPr>
          <w:p>
            <w:pPr>
              <w:widowControl w:val="0"/>
              <w:jc w:val="center"/>
              <w:rPr>
                <w:color w:val="auto"/>
                <w:kern w:val="0"/>
                <w:sz w:val="20"/>
              </w:rPr>
            </w:pPr>
            <w:r>
              <w:rPr>
                <w:color w:val="auto"/>
                <w:kern w:val="0"/>
                <w:sz w:val="20"/>
              </w:rPr>
              <w:t>土地利用类型</w:t>
            </w:r>
          </w:p>
        </w:tc>
        <w:tc>
          <w:tcPr>
            <w:tcW w:w="2291" w:type="pct"/>
            <w:noWrap w:val="0"/>
            <w:vAlign w:val="center"/>
          </w:tcPr>
          <w:p>
            <w:pPr>
              <w:widowControl w:val="0"/>
              <w:jc w:val="center"/>
              <w:rPr>
                <w:color w:val="auto"/>
                <w:kern w:val="0"/>
                <w:sz w:val="20"/>
              </w:rPr>
            </w:pPr>
            <w:r>
              <w:rPr>
                <w:color w:val="auto"/>
                <w:kern w:val="0"/>
                <w:sz w:val="20"/>
              </w:rPr>
              <w:t>城市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2708" w:type="pct"/>
            <w:gridSpan w:val="3"/>
            <w:noWrap w:val="0"/>
            <w:vAlign w:val="center"/>
          </w:tcPr>
          <w:p>
            <w:pPr>
              <w:widowControl w:val="0"/>
              <w:jc w:val="center"/>
              <w:rPr>
                <w:color w:val="auto"/>
                <w:kern w:val="0"/>
                <w:sz w:val="20"/>
              </w:rPr>
            </w:pPr>
            <w:r>
              <w:rPr>
                <w:color w:val="auto"/>
                <w:kern w:val="0"/>
                <w:sz w:val="20"/>
              </w:rPr>
              <w:t>区域湿度条件</w:t>
            </w:r>
          </w:p>
        </w:tc>
        <w:tc>
          <w:tcPr>
            <w:tcW w:w="2291" w:type="pct"/>
            <w:noWrap w:val="0"/>
            <w:vAlign w:val="center"/>
          </w:tcPr>
          <w:p>
            <w:pPr>
              <w:widowControl w:val="0"/>
              <w:jc w:val="center"/>
              <w:rPr>
                <w:color w:val="auto"/>
                <w:kern w:val="0"/>
                <w:sz w:val="20"/>
              </w:rPr>
            </w:pPr>
            <w:r>
              <w:rPr>
                <w:color w:val="auto"/>
                <w:kern w:val="0"/>
                <w:sz w:val="20"/>
              </w:rPr>
              <w:t>潮湿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353" w:type="pct"/>
            <w:gridSpan w:val="2"/>
            <w:vMerge w:val="restart"/>
            <w:noWrap w:val="0"/>
            <w:vAlign w:val="center"/>
          </w:tcPr>
          <w:p>
            <w:pPr>
              <w:widowControl w:val="0"/>
              <w:jc w:val="center"/>
              <w:rPr>
                <w:color w:val="auto"/>
                <w:kern w:val="0"/>
                <w:sz w:val="20"/>
              </w:rPr>
            </w:pPr>
            <w:r>
              <w:rPr>
                <w:color w:val="auto"/>
                <w:kern w:val="0"/>
                <w:sz w:val="20"/>
              </w:rPr>
              <w:t>是否考虑地形</w:t>
            </w:r>
          </w:p>
        </w:tc>
        <w:tc>
          <w:tcPr>
            <w:tcW w:w="1354" w:type="pct"/>
            <w:noWrap w:val="0"/>
            <w:vAlign w:val="center"/>
          </w:tcPr>
          <w:p>
            <w:pPr>
              <w:widowControl w:val="0"/>
              <w:jc w:val="center"/>
              <w:rPr>
                <w:color w:val="auto"/>
                <w:kern w:val="0"/>
                <w:sz w:val="20"/>
              </w:rPr>
            </w:pPr>
            <w:r>
              <w:rPr>
                <w:color w:val="auto"/>
                <w:kern w:val="0"/>
                <w:sz w:val="20"/>
              </w:rPr>
              <w:t>考虑地形</w:t>
            </w:r>
          </w:p>
        </w:tc>
        <w:tc>
          <w:tcPr>
            <w:tcW w:w="2291" w:type="pct"/>
            <w:noWrap w:val="0"/>
            <w:vAlign w:val="center"/>
          </w:tcPr>
          <w:p>
            <w:pPr>
              <w:widowControl w:val="0"/>
              <w:jc w:val="center"/>
              <w:rPr>
                <w:color w:val="auto"/>
                <w:kern w:val="0"/>
                <w:sz w:val="20"/>
                <w:szCs w:val="22"/>
              </w:rPr>
            </w:pPr>
            <w:r>
              <w:rPr>
                <w:color w:val="auto"/>
                <w:kern w:val="0"/>
                <w:sz w:val="20"/>
                <w:szCs w:val="22"/>
              </w:rPr>
              <w:t>考虑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353" w:type="pct"/>
            <w:gridSpan w:val="2"/>
            <w:vMerge w:val="continue"/>
            <w:noWrap w:val="0"/>
            <w:vAlign w:val="center"/>
          </w:tcPr>
          <w:p>
            <w:pPr>
              <w:widowControl w:val="0"/>
              <w:jc w:val="center"/>
              <w:rPr>
                <w:color w:val="auto"/>
                <w:kern w:val="0"/>
                <w:sz w:val="20"/>
              </w:rPr>
            </w:pPr>
          </w:p>
        </w:tc>
        <w:tc>
          <w:tcPr>
            <w:tcW w:w="1354" w:type="pct"/>
            <w:noWrap w:val="0"/>
            <w:vAlign w:val="center"/>
          </w:tcPr>
          <w:p>
            <w:pPr>
              <w:widowControl w:val="0"/>
              <w:jc w:val="center"/>
              <w:rPr>
                <w:color w:val="auto"/>
                <w:kern w:val="0"/>
                <w:sz w:val="20"/>
              </w:rPr>
            </w:pPr>
            <w:r>
              <w:rPr>
                <w:color w:val="auto"/>
                <w:kern w:val="0"/>
                <w:sz w:val="20"/>
              </w:rPr>
              <w:t>地形数据分辨率（m）</w:t>
            </w:r>
          </w:p>
        </w:tc>
        <w:tc>
          <w:tcPr>
            <w:tcW w:w="2291" w:type="pct"/>
            <w:noWrap w:val="0"/>
            <w:vAlign w:val="center"/>
          </w:tcPr>
          <w:p>
            <w:pPr>
              <w:widowControl w:val="0"/>
              <w:jc w:val="center"/>
              <w:rPr>
                <w:color w:val="auto"/>
                <w:kern w:val="0"/>
                <w:sz w:val="20"/>
                <w:szCs w:val="22"/>
              </w:rPr>
            </w:pPr>
            <w:r>
              <w:rPr>
                <w:color w:val="auto"/>
                <w:kern w:val="0"/>
                <w:sz w:val="20"/>
                <w:szCs w:val="22"/>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353" w:type="pct"/>
            <w:gridSpan w:val="2"/>
            <w:vMerge w:val="restart"/>
            <w:noWrap w:val="0"/>
            <w:vAlign w:val="center"/>
          </w:tcPr>
          <w:p>
            <w:pPr>
              <w:widowControl w:val="0"/>
              <w:jc w:val="center"/>
              <w:rPr>
                <w:color w:val="auto"/>
                <w:kern w:val="0"/>
                <w:sz w:val="20"/>
              </w:rPr>
            </w:pPr>
            <w:r>
              <w:rPr>
                <w:color w:val="auto"/>
                <w:kern w:val="0"/>
                <w:sz w:val="20"/>
              </w:rPr>
              <w:t>是否考虑岸线熏烟</w:t>
            </w:r>
          </w:p>
        </w:tc>
        <w:tc>
          <w:tcPr>
            <w:tcW w:w="1354" w:type="pct"/>
            <w:noWrap w:val="0"/>
            <w:vAlign w:val="center"/>
          </w:tcPr>
          <w:p>
            <w:pPr>
              <w:widowControl w:val="0"/>
              <w:jc w:val="center"/>
              <w:rPr>
                <w:color w:val="auto"/>
                <w:kern w:val="0"/>
                <w:sz w:val="20"/>
              </w:rPr>
            </w:pPr>
            <w:r>
              <w:rPr>
                <w:color w:val="auto"/>
                <w:kern w:val="0"/>
                <w:sz w:val="20"/>
              </w:rPr>
              <w:t>考虑岸线熏烟</w:t>
            </w:r>
          </w:p>
        </w:tc>
        <w:tc>
          <w:tcPr>
            <w:tcW w:w="2291" w:type="pct"/>
            <w:noWrap w:val="0"/>
            <w:vAlign w:val="center"/>
          </w:tcPr>
          <w:p>
            <w:pPr>
              <w:widowControl w:val="0"/>
              <w:jc w:val="center"/>
              <w:rPr>
                <w:color w:val="auto"/>
                <w:kern w:val="0"/>
                <w:sz w:val="20"/>
              </w:rPr>
            </w:pPr>
            <w:r>
              <w:rPr>
                <w:color w:val="auto"/>
                <w:kern w:val="0"/>
                <w:sz w:val="20"/>
              </w:rPr>
              <w:t>不考虑（本项目3km范围内无海和湖）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353" w:type="pct"/>
            <w:gridSpan w:val="2"/>
            <w:vMerge w:val="continue"/>
            <w:noWrap w:val="0"/>
            <w:vAlign w:val="center"/>
          </w:tcPr>
          <w:p>
            <w:pPr>
              <w:widowControl w:val="0"/>
              <w:jc w:val="center"/>
              <w:rPr>
                <w:color w:val="auto"/>
                <w:kern w:val="0"/>
                <w:sz w:val="20"/>
              </w:rPr>
            </w:pPr>
          </w:p>
        </w:tc>
        <w:tc>
          <w:tcPr>
            <w:tcW w:w="1354" w:type="pct"/>
            <w:noWrap w:val="0"/>
            <w:vAlign w:val="center"/>
          </w:tcPr>
          <w:p>
            <w:pPr>
              <w:widowControl w:val="0"/>
              <w:jc w:val="center"/>
              <w:rPr>
                <w:color w:val="auto"/>
                <w:kern w:val="0"/>
                <w:sz w:val="20"/>
              </w:rPr>
            </w:pPr>
            <w:r>
              <w:rPr>
                <w:color w:val="auto"/>
                <w:kern w:val="0"/>
                <w:sz w:val="20"/>
              </w:rPr>
              <w:t>岸线距离（km）</w:t>
            </w:r>
          </w:p>
        </w:tc>
        <w:tc>
          <w:tcPr>
            <w:tcW w:w="2291" w:type="pct"/>
            <w:noWrap w:val="0"/>
            <w:vAlign w:val="center"/>
          </w:tcPr>
          <w:p>
            <w:pPr>
              <w:widowControl w:val="0"/>
              <w:jc w:val="center"/>
              <w:rPr>
                <w:color w:val="auto"/>
                <w:kern w:val="0"/>
                <w:sz w:val="20"/>
              </w:rPr>
            </w:pPr>
            <w:r>
              <w:rPr>
                <w:color w:val="auto"/>
                <w:kern w:val="0"/>
                <w:sz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exact"/>
          <w:jc w:val="center"/>
        </w:trPr>
        <w:tc>
          <w:tcPr>
            <w:tcW w:w="1353" w:type="pct"/>
            <w:gridSpan w:val="2"/>
            <w:vMerge w:val="continue"/>
            <w:noWrap w:val="0"/>
            <w:vAlign w:val="center"/>
          </w:tcPr>
          <w:p>
            <w:pPr>
              <w:widowControl w:val="0"/>
              <w:jc w:val="center"/>
              <w:rPr>
                <w:color w:val="auto"/>
                <w:kern w:val="0"/>
                <w:sz w:val="20"/>
              </w:rPr>
            </w:pPr>
          </w:p>
        </w:tc>
        <w:tc>
          <w:tcPr>
            <w:tcW w:w="1354" w:type="pct"/>
            <w:noWrap w:val="0"/>
            <w:vAlign w:val="center"/>
          </w:tcPr>
          <w:p>
            <w:pPr>
              <w:widowControl w:val="0"/>
              <w:jc w:val="center"/>
              <w:rPr>
                <w:color w:val="auto"/>
                <w:kern w:val="0"/>
                <w:sz w:val="20"/>
              </w:rPr>
            </w:pPr>
            <w:r>
              <w:rPr>
                <w:color w:val="auto"/>
                <w:kern w:val="0"/>
                <w:sz w:val="20"/>
              </w:rPr>
              <w:t>岸线方向（º）</w:t>
            </w:r>
          </w:p>
        </w:tc>
        <w:tc>
          <w:tcPr>
            <w:tcW w:w="2291" w:type="pct"/>
            <w:noWrap w:val="0"/>
            <w:vAlign w:val="center"/>
          </w:tcPr>
          <w:p>
            <w:pPr>
              <w:widowControl w:val="0"/>
              <w:jc w:val="center"/>
              <w:rPr>
                <w:color w:val="auto"/>
                <w:kern w:val="0"/>
                <w:sz w:val="20"/>
              </w:rPr>
            </w:pPr>
            <w:r>
              <w:rPr>
                <w:color w:val="auto"/>
                <w:kern w:val="0"/>
                <w:sz w:val="20"/>
              </w:rPr>
              <w:t>/</w:t>
            </w:r>
          </w:p>
        </w:tc>
      </w:tr>
    </w:tbl>
    <w:p>
      <w:pPr>
        <w:rPr>
          <w:rFonts w:hint="eastAsia" w:eastAsia="仿宋_GB2312"/>
          <w:color w:val="auto"/>
          <w:sz w:val="24"/>
          <w:szCs w:val="24"/>
          <w:lang w:eastAsia="zh-CN"/>
        </w:rPr>
      </w:pPr>
      <w:r>
        <w:rPr>
          <w:rFonts w:hint="eastAsia" w:eastAsia="仿宋_GB2312"/>
          <w:color w:val="auto"/>
          <w:sz w:val="24"/>
          <w:szCs w:val="24"/>
          <w:lang w:eastAsia="zh-CN"/>
        </w:rPr>
        <w:br w:type="page"/>
      </w:r>
    </w:p>
    <w:p>
      <w:pPr>
        <w:widowControl w:val="0"/>
        <w:spacing w:line="360" w:lineRule="auto"/>
        <w:ind w:firstLine="480" w:firstLineChars="200"/>
        <w:jc w:val="both"/>
        <w:rPr>
          <w:rFonts w:hint="eastAsia" w:eastAsia="仿宋_GB2312"/>
          <w:color w:val="auto"/>
          <w:sz w:val="24"/>
          <w:szCs w:val="24"/>
          <w:lang w:eastAsia="zh-CN"/>
        </w:rPr>
        <w:sectPr>
          <w:headerReference r:id="rId20" w:type="default"/>
          <w:pgSz w:w="11907" w:h="16840"/>
          <w:pgMar w:top="1440" w:right="1803" w:bottom="1440" w:left="1803" w:header="851" w:footer="964" w:gutter="0"/>
          <w:pgBorders>
            <w:top w:val="none" w:sz="0" w:space="0"/>
            <w:left w:val="none" w:sz="0" w:space="0"/>
            <w:bottom w:val="none" w:sz="0" w:space="0"/>
            <w:right w:val="none" w:sz="0" w:space="0"/>
          </w:pgBorders>
          <w:pgNumType w:fmt="decimal"/>
          <w:cols w:space="720" w:num="1"/>
          <w:docGrid w:linePitch="312" w:charSpace="0"/>
        </w:sectPr>
      </w:pP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7</w:t>
      </w:r>
      <w:r>
        <w:rPr>
          <w:rFonts w:hint="eastAsia" w:eastAsia="仿宋_GB2312"/>
          <w:color w:val="auto"/>
          <w:sz w:val="24"/>
          <w:szCs w:val="24"/>
          <w:lang w:eastAsia="zh-CN"/>
        </w:rPr>
        <w:t>）</w:t>
      </w:r>
      <w:r>
        <w:rPr>
          <w:rFonts w:hint="eastAsia" w:eastAsia="仿宋_GB2312"/>
          <w:color w:val="auto"/>
          <w:sz w:val="24"/>
          <w:szCs w:val="24"/>
          <w:lang w:val="en-US" w:eastAsia="zh-CN"/>
        </w:rPr>
        <w:t>正常工况下无组织排放源参数</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正常工况下大气污染源源强参数一览表见</w:t>
      </w:r>
      <w:r>
        <w:rPr>
          <w:rFonts w:hint="eastAsia" w:eastAsia="仿宋_GB2312"/>
          <w:color w:val="auto"/>
          <w:sz w:val="24"/>
          <w:szCs w:val="24"/>
          <w:lang w:val="en-US" w:eastAsia="zh-CN"/>
        </w:rPr>
        <w:t>下</w:t>
      </w:r>
      <w:r>
        <w:rPr>
          <w:rFonts w:hint="eastAsia" w:eastAsia="仿宋_GB2312"/>
          <w:color w:val="auto"/>
          <w:sz w:val="24"/>
          <w:szCs w:val="24"/>
          <w:lang w:eastAsia="zh-CN"/>
        </w:rPr>
        <w:t>表。</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5.2</w:t>
      </w:r>
      <w:r>
        <w:rPr>
          <w:rFonts w:eastAsia="黑体"/>
          <w:b/>
          <w:color w:val="auto"/>
          <w:szCs w:val="21"/>
        </w:rPr>
        <w:t>-</w:t>
      </w:r>
      <w:r>
        <w:rPr>
          <w:rFonts w:hint="eastAsia" w:eastAsia="黑体"/>
          <w:b/>
          <w:color w:val="auto"/>
          <w:szCs w:val="21"/>
          <w:lang w:val="en-US" w:eastAsia="zh-CN"/>
        </w:rPr>
        <w:t>15</w:t>
      </w:r>
      <w:r>
        <w:rPr>
          <w:rFonts w:eastAsia="黑体"/>
          <w:b/>
          <w:color w:val="auto"/>
          <w:szCs w:val="21"/>
        </w:rPr>
        <w:t xml:space="preserve">  正常工况下源强参数一览表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8"/>
        <w:gridCol w:w="1065"/>
        <w:gridCol w:w="1410"/>
        <w:gridCol w:w="1350"/>
        <w:gridCol w:w="1095"/>
        <w:gridCol w:w="930"/>
        <w:gridCol w:w="1005"/>
        <w:gridCol w:w="945"/>
        <w:gridCol w:w="1095"/>
        <w:gridCol w:w="855"/>
        <w:gridCol w:w="823"/>
        <w:gridCol w:w="1020"/>
        <w:gridCol w:w="1035"/>
        <w:gridCol w:w="9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vMerge w:val="restart"/>
            <w:noWrap w:val="0"/>
            <w:vAlign w:val="center"/>
          </w:tcPr>
          <w:p>
            <w:pPr>
              <w:widowControl w:val="0"/>
              <w:ind w:left="-105" w:leftChars="-50" w:right="-105" w:rightChars="-50"/>
              <w:jc w:val="center"/>
              <w:rPr>
                <w:color w:val="auto"/>
                <w:sz w:val="20"/>
              </w:rPr>
            </w:pPr>
            <w:r>
              <w:rPr>
                <w:color w:val="auto"/>
                <w:sz w:val="20"/>
              </w:rPr>
              <w:t>编号</w:t>
            </w:r>
          </w:p>
        </w:tc>
        <w:tc>
          <w:tcPr>
            <w:tcW w:w="375" w:type="pct"/>
            <w:vMerge w:val="restart"/>
            <w:noWrap w:val="0"/>
            <w:vAlign w:val="center"/>
          </w:tcPr>
          <w:p>
            <w:pPr>
              <w:widowControl w:val="0"/>
              <w:ind w:left="-105" w:leftChars="-50" w:right="-105" w:rightChars="-50"/>
              <w:jc w:val="center"/>
              <w:rPr>
                <w:color w:val="auto"/>
                <w:sz w:val="20"/>
              </w:rPr>
            </w:pPr>
            <w:r>
              <w:rPr>
                <w:color w:val="auto"/>
                <w:sz w:val="20"/>
              </w:rPr>
              <w:t>名称</w:t>
            </w:r>
          </w:p>
        </w:tc>
        <w:tc>
          <w:tcPr>
            <w:tcW w:w="974" w:type="pct"/>
            <w:gridSpan w:val="2"/>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面源各顶点坐标/m</w:t>
            </w:r>
          </w:p>
        </w:tc>
        <w:tc>
          <w:tcPr>
            <w:tcW w:w="386" w:type="pct"/>
            <w:vMerge w:val="restar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面源海拔高度/m</w:t>
            </w:r>
          </w:p>
        </w:tc>
        <w:tc>
          <w:tcPr>
            <w:tcW w:w="328"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面源长度/m</w:t>
            </w:r>
          </w:p>
        </w:tc>
        <w:tc>
          <w:tcPr>
            <w:tcW w:w="354"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面源宽度/m</w:t>
            </w:r>
          </w:p>
        </w:tc>
        <w:tc>
          <w:tcPr>
            <w:tcW w:w="333"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与正北向夹角/°</w:t>
            </w:r>
          </w:p>
        </w:tc>
        <w:tc>
          <w:tcPr>
            <w:tcW w:w="386" w:type="pct"/>
            <w:vMerge w:val="restart"/>
            <w:noWrap w:val="0"/>
            <w:vAlign w:val="center"/>
          </w:tcPr>
          <w:p>
            <w:pPr>
              <w:widowControl w:val="0"/>
              <w:ind w:left="-105" w:leftChars="-50" w:right="-105" w:rightChars="-50"/>
              <w:jc w:val="center"/>
              <w:rPr>
                <w:color w:val="auto"/>
                <w:sz w:val="20"/>
              </w:rPr>
            </w:pPr>
            <w:r>
              <w:rPr>
                <w:rFonts w:hint="eastAsia"/>
                <w:color w:val="auto"/>
                <w:sz w:val="20"/>
                <w:lang w:val="en-US" w:eastAsia="zh-CN"/>
              </w:rPr>
              <w:t>面源有效排放高度/m</w:t>
            </w:r>
          </w:p>
        </w:tc>
        <w:tc>
          <w:tcPr>
            <w:tcW w:w="301" w:type="pct"/>
            <w:vMerge w:val="restart"/>
            <w:noWrap w:val="0"/>
            <w:vAlign w:val="center"/>
          </w:tcPr>
          <w:p>
            <w:pPr>
              <w:widowControl w:val="0"/>
              <w:ind w:left="-105" w:leftChars="-50" w:right="-105" w:rightChars="-50"/>
              <w:jc w:val="center"/>
              <w:rPr>
                <w:color w:val="auto"/>
                <w:sz w:val="20"/>
              </w:rPr>
            </w:pPr>
            <w:r>
              <w:rPr>
                <w:color w:val="auto"/>
                <w:sz w:val="20"/>
              </w:rPr>
              <w:t>年排放小时数h</w:t>
            </w:r>
          </w:p>
        </w:tc>
        <w:tc>
          <w:tcPr>
            <w:tcW w:w="290" w:type="pct"/>
            <w:vMerge w:val="restart"/>
            <w:noWrap w:val="0"/>
            <w:vAlign w:val="center"/>
          </w:tcPr>
          <w:p>
            <w:pPr>
              <w:widowControl w:val="0"/>
              <w:ind w:left="-105" w:leftChars="-50" w:right="-105" w:rightChars="-50"/>
              <w:jc w:val="center"/>
              <w:rPr>
                <w:color w:val="auto"/>
                <w:sz w:val="20"/>
              </w:rPr>
            </w:pPr>
            <w:r>
              <w:rPr>
                <w:color w:val="auto"/>
                <w:sz w:val="20"/>
              </w:rPr>
              <w:t>排放工况</w:t>
            </w:r>
          </w:p>
        </w:tc>
        <w:tc>
          <w:tcPr>
            <w:tcW w:w="1057" w:type="pct"/>
            <w:gridSpan w:val="3"/>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污染物排放速率/</w:t>
            </w:r>
            <w:r>
              <w:rPr>
                <w:rFonts w:hint="eastAsia"/>
                <w:color w:val="auto"/>
                <w:sz w:val="20"/>
              </w:rPr>
              <w:t>kg</w:t>
            </w:r>
            <w:r>
              <w:rPr>
                <w:color w:val="auto"/>
                <w:sz w:val="20"/>
              </w:rPr>
              <w:t>/</w:t>
            </w:r>
            <w:r>
              <w:rPr>
                <w:rFonts w:hint="eastAsia"/>
                <w:color w:val="auto"/>
                <w:sz w:val="20"/>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75"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497" w:type="pct"/>
            <w:tcBorders>
              <w:bottom w:val="single" w:color="auto" w:sz="12" w:space="0"/>
            </w:tcBorders>
            <w:noWrap w:val="0"/>
            <w:vAlign w:val="center"/>
          </w:tcPr>
          <w:p>
            <w:pPr>
              <w:widowControl w:val="0"/>
              <w:ind w:left="-105" w:leftChars="-50" w:right="-105" w:rightChars="-50"/>
              <w:jc w:val="center"/>
              <w:rPr>
                <w:rFonts w:hint="default"/>
                <w:color w:val="auto"/>
                <w:sz w:val="20"/>
                <w:lang w:val="en-US" w:eastAsia="zh-CN"/>
              </w:rPr>
            </w:pPr>
            <w:r>
              <w:rPr>
                <w:rFonts w:hint="eastAsia"/>
                <w:color w:val="auto"/>
                <w:sz w:val="20"/>
                <w:lang w:val="en-US" w:eastAsia="zh-CN"/>
              </w:rPr>
              <w:t>X</w:t>
            </w:r>
          </w:p>
        </w:tc>
        <w:tc>
          <w:tcPr>
            <w:tcW w:w="476" w:type="pct"/>
            <w:tcBorders>
              <w:bottom w:val="single" w:color="auto" w:sz="12" w:space="0"/>
            </w:tcBorders>
            <w:noWrap w:val="0"/>
            <w:vAlign w:val="center"/>
          </w:tcPr>
          <w:p>
            <w:pPr>
              <w:widowControl w:val="0"/>
              <w:ind w:left="-105" w:leftChars="-50" w:right="-105" w:rightChars="-50"/>
              <w:jc w:val="center"/>
              <w:rPr>
                <w:rFonts w:hint="default"/>
                <w:color w:val="auto"/>
                <w:sz w:val="20"/>
                <w:lang w:val="en-US" w:eastAsia="zh-CN"/>
              </w:rPr>
            </w:pPr>
            <w:r>
              <w:rPr>
                <w:rFonts w:hint="eastAsia"/>
                <w:color w:val="auto"/>
                <w:sz w:val="20"/>
                <w:lang w:val="en-US" w:eastAsia="zh-CN"/>
              </w:rPr>
              <w:t>Y</w:t>
            </w:r>
          </w:p>
        </w:tc>
        <w:tc>
          <w:tcPr>
            <w:tcW w:w="386"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28"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54"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33"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86"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01"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290"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60" w:type="pct"/>
            <w:tcBorders>
              <w:bottom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365" w:type="pct"/>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331" w:type="pct"/>
            <w:tcBorders>
              <w:bottom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tcBorders>
              <w:top w:val="single" w:color="auto" w:sz="12" w:space="0"/>
              <w:tl2br w:val="nil"/>
              <w:tr2bl w:val="nil"/>
            </w:tcBorders>
            <w:noWrap w:val="0"/>
            <w:vAlign w:val="center"/>
          </w:tcPr>
          <w:p>
            <w:pPr>
              <w:widowControl w:val="0"/>
              <w:jc w:val="center"/>
              <w:rPr>
                <w:color w:val="auto"/>
                <w:sz w:val="20"/>
                <w:szCs w:val="20"/>
              </w:rPr>
            </w:pPr>
            <w:r>
              <w:rPr>
                <w:color w:val="auto"/>
                <w:sz w:val="20"/>
                <w:szCs w:val="20"/>
              </w:rPr>
              <w:t>1</w:t>
            </w:r>
          </w:p>
        </w:tc>
        <w:tc>
          <w:tcPr>
            <w:tcW w:w="375" w:type="pct"/>
            <w:tcBorders>
              <w:top w:val="single" w:color="auto" w:sz="12" w:space="0"/>
              <w:tl2br w:val="nil"/>
              <w:tr2bl w:val="nil"/>
            </w:tcBorders>
            <w:noWrap w:val="0"/>
            <w:vAlign w:val="center"/>
          </w:tcPr>
          <w:p>
            <w:pPr>
              <w:widowControl w:val="0"/>
              <w:jc w:val="center"/>
              <w:rPr>
                <w:rFonts w:hint="default" w:eastAsia="宋体"/>
                <w:color w:val="auto"/>
                <w:kern w:val="0"/>
                <w:sz w:val="20"/>
                <w:szCs w:val="20"/>
                <w:lang w:val="en-US" w:eastAsia="zh-CN"/>
              </w:rPr>
            </w:pPr>
            <w:r>
              <w:rPr>
                <w:rFonts w:hint="eastAsia" w:cs="Times New Roman"/>
                <w:b w:val="0"/>
                <w:bCs/>
                <w:color w:val="auto"/>
                <w:sz w:val="20"/>
                <w:szCs w:val="20"/>
                <w:lang w:val="en-US" w:eastAsia="zh-CN"/>
              </w:rPr>
              <w:t>1#泊位</w:t>
            </w:r>
          </w:p>
        </w:tc>
        <w:tc>
          <w:tcPr>
            <w:tcW w:w="497" w:type="pct"/>
            <w:tcBorders>
              <w:top w:val="single" w:color="auto" w:sz="12" w:space="0"/>
              <w:tl2br w:val="nil"/>
              <w:tr2bl w:val="nil"/>
            </w:tcBorders>
            <w:noWrap w:val="0"/>
            <w:vAlign w:val="center"/>
          </w:tcPr>
          <w:p>
            <w:pPr>
              <w:widowControl w:val="0"/>
              <w:jc w:val="center"/>
              <w:rPr>
                <w:color w:val="auto"/>
                <w:sz w:val="20"/>
                <w:szCs w:val="20"/>
              </w:rPr>
            </w:pPr>
            <w:r>
              <w:rPr>
                <w:rFonts w:hint="eastAsia"/>
                <w:color w:val="auto"/>
                <w:sz w:val="20"/>
                <w:szCs w:val="20"/>
              </w:rPr>
              <w:t>111.56510532</w:t>
            </w:r>
          </w:p>
        </w:tc>
        <w:tc>
          <w:tcPr>
            <w:tcW w:w="476" w:type="pct"/>
            <w:tcBorders>
              <w:top w:val="single" w:color="auto" w:sz="12" w:space="0"/>
              <w:tl2br w:val="nil"/>
              <w:tr2bl w:val="nil"/>
            </w:tcBorders>
            <w:noWrap w:val="0"/>
            <w:vAlign w:val="center"/>
          </w:tcPr>
          <w:p>
            <w:pPr>
              <w:widowControl w:val="0"/>
              <w:jc w:val="center"/>
              <w:rPr>
                <w:color w:val="auto"/>
                <w:sz w:val="20"/>
                <w:szCs w:val="20"/>
              </w:rPr>
            </w:pPr>
            <w:r>
              <w:rPr>
                <w:rFonts w:hint="eastAsia"/>
                <w:color w:val="auto"/>
                <w:sz w:val="20"/>
                <w:szCs w:val="20"/>
              </w:rPr>
              <w:t>30.25366897</w:t>
            </w:r>
          </w:p>
        </w:tc>
        <w:tc>
          <w:tcPr>
            <w:tcW w:w="386"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85</w:t>
            </w:r>
          </w:p>
        </w:tc>
        <w:tc>
          <w:tcPr>
            <w:tcW w:w="354"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18</w:t>
            </w:r>
          </w:p>
        </w:tc>
        <w:tc>
          <w:tcPr>
            <w:tcW w:w="333"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w:t>
            </w:r>
          </w:p>
        </w:tc>
        <w:tc>
          <w:tcPr>
            <w:tcW w:w="386" w:type="pct"/>
            <w:tcBorders>
              <w:top w:val="single" w:color="auto" w:sz="12" w:space="0"/>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7920</w:t>
            </w:r>
          </w:p>
        </w:tc>
        <w:tc>
          <w:tcPr>
            <w:tcW w:w="290" w:type="pct"/>
            <w:tcBorders>
              <w:top w:val="single" w:color="auto" w:sz="12" w:space="0"/>
              <w:tl2br w:val="nil"/>
              <w:tr2bl w:val="nil"/>
            </w:tcBorders>
            <w:noWrap w:val="0"/>
            <w:vAlign w:val="center"/>
          </w:tcPr>
          <w:p>
            <w:pPr>
              <w:widowControl w:val="0"/>
              <w:jc w:val="center"/>
              <w:rPr>
                <w:rFonts w:hint="eastAsia" w:eastAsia="宋体"/>
                <w:color w:val="auto"/>
                <w:sz w:val="20"/>
                <w:szCs w:val="20"/>
                <w:lang w:eastAsia="zh-CN"/>
              </w:rPr>
            </w:pPr>
            <w:r>
              <w:rPr>
                <w:rFonts w:hint="eastAsia"/>
                <w:color w:val="auto"/>
                <w:sz w:val="20"/>
                <w:szCs w:val="20"/>
                <w:lang w:val="en-US" w:eastAsia="zh-CN"/>
              </w:rPr>
              <w:t>正常</w:t>
            </w:r>
          </w:p>
        </w:tc>
        <w:tc>
          <w:tcPr>
            <w:tcW w:w="360"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0.02</w:t>
            </w:r>
          </w:p>
        </w:tc>
        <w:tc>
          <w:tcPr>
            <w:tcW w:w="365"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0.009</w:t>
            </w:r>
          </w:p>
        </w:tc>
        <w:tc>
          <w:tcPr>
            <w:tcW w:w="331" w:type="pct"/>
            <w:tcBorders>
              <w:top w:val="single" w:color="auto" w:sz="12" w:space="0"/>
              <w:tl2br w:val="nil"/>
              <w:tr2bl w:val="nil"/>
            </w:tcBorders>
            <w:noWrap w:val="0"/>
            <w:vAlign w:val="center"/>
          </w:tcPr>
          <w:p>
            <w:pPr>
              <w:jc w:val="center"/>
              <w:rPr>
                <w:rFonts w:hint="default" w:eastAsia="宋体"/>
                <w:color w:val="auto"/>
                <w:sz w:val="20"/>
                <w:szCs w:val="20"/>
                <w:lang w:val="en-US" w:eastAsia="zh-CN"/>
              </w:rPr>
            </w:pPr>
            <w:r>
              <w:rPr>
                <w:rFonts w:hint="eastAsia"/>
                <w:color w:val="auto"/>
                <w:sz w:val="20"/>
                <w:szCs w:val="20"/>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2</w:t>
            </w:r>
          </w:p>
        </w:tc>
        <w:tc>
          <w:tcPr>
            <w:tcW w:w="375" w:type="pct"/>
            <w:tcBorders>
              <w:tl2br w:val="nil"/>
              <w:tr2bl w:val="nil"/>
            </w:tcBorders>
            <w:noWrap w:val="0"/>
            <w:vAlign w:val="center"/>
          </w:tcPr>
          <w:p>
            <w:pPr>
              <w:widowControl w:val="0"/>
              <w:jc w:val="center"/>
              <w:rPr>
                <w:rFonts w:hint="eastAsia"/>
                <w:color w:val="auto"/>
                <w:kern w:val="0"/>
                <w:sz w:val="20"/>
                <w:szCs w:val="20"/>
                <w:lang w:val="en-US" w:eastAsia="zh-CN"/>
              </w:rPr>
            </w:pPr>
            <w:r>
              <w:rPr>
                <w:rFonts w:hint="eastAsia" w:cs="Times New Roman"/>
                <w:b w:val="0"/>
                <w:bCs/>
                <w:color w:val="auto"/>
                <w:sz w:val="20"/>
                <w:szCs w:val="20"/>
                <w:lang w:val="en-US" w:eastAsia="zh-CN"/>
              </w:rPr>
              <w:t>2#泊位</w:t>
            </w:r>
          </w:p>
        </w:tc>
        <w:tc>
          <w:tcPr>
            <w:tcW w:w="497" w:type="pct"/>
            <w:tcBorders>
              <w:tl2br w:val="nil"/>
              <w:tr2bl w:val="nil"/>
            </w:tcBorders>
            <w:noWrap w:val="0"/>
            <w:vAlign w:val="center"/>
          </w:tcPr>
          <w:p>
            <w:pPr>
              <w:widowControl w:val="0"/>
              <w:jc w:val="center"/>
              <w:rPr>
                <w:color w:val="auto"/>
                <w:sz w:val="20"/>
                <w:szCs w:val="20"/>
              </w:rPr>
            </w:pPr>
            <w:r>
              <w:rPr>
                <w:rFonts w:hint="eastAsia"/>
                <w:color w:val="auto"/>
                <w:sz w:val="20"/>
                <w:szCs w:val="20"/>
              </w:rPr>
              <w:t>111.56664491</w:t>
            </w:r>
          </w:p>
        </w:tc>
        <w:tc>
          <w:tcPr>
            <w:tcW w:w="476" w:type="pct"/>
            <w:tcBorders>
              <w:tl2br w:val="nil"/>
              <w:tr2bl w:val="nil"/>
            </w:tcBorders>
            <w:noWrap w:val="0"/>
            <w:vAlign w:val="center"/>
          </w:tcPr>
          <w:p>
            <w:pPr>
              <w:widowControl w:val="0"/>
              <w:jc w:val="center"/>
              <w:rPr>
                <w:color w:val="auto"/>
                <w:sz w:val="20"/>
                <w:szCs w:val="20"/>
              </w:rPr>
            </w:pPr>
            <w:r>
              <w:rPr>
                <w:rFonts w:hint="eastAsia"/>
                <w:color w:val="auto"/>
                <w:sz w:val="20"/>
                <w:szCs w:val="20"/>
              </w:rPr>
              <w:t>30.25326120</w:t>
            </w:r>
          </w:p>
        </w:tc>
        <w:tc>
          <w:tcPr>
            <w:tcW w:w="386"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tcBorders>
              <w:tl2br w:val="nil"/>
              <w:tr2bl w:val="nil"/>
            </w:tcBorders>
            <w:noWrap w:val="0"/>
            <w:vAlign w:val="center"/>
          </w:tcPr>
          <w:p>
            <w:pPr>
              <w:widowControl w:val="0"/>
              <w:jc w:val="center"/>
              <w:rPr>
                <w:rFonts w:hint="eastAsia"/>
                <w:color w:val="auto"/>
                <w:sz w:val="20"/>
                <w:szCs w:val="20"/>
                <w:lang w:val="en-US" w:eastAsia="zh-CN"/>
              </w:rPr>
            </w:pPr>
            <w:r>
              <w:rPr>
                <w:rFonts w:hint="eastAsia"/>
                <w:color w:val="auto"/>
                <w:sz w:val="20"/>
                <w:szCs w:val="20"/>
                <w:lang w:val="en-US" w:eastAsia="zh-CN"/>
              </w:rPr>
              <w:t>85</w:t>
            </w:r>
          </w:p>
        </w:tc>
        <w:tc>
          <w:tcPr>
            <w:tcW w:w="354" w:type="pct"/>
            <w:tcBorders>
              <w:tl2br w:val="nil"/>
              <w:tr2bl w:val="nil"/>
            </w:tcBorders>
            <w:noWrap w:val="0"/>
            <w:vAlign w:val="center"/>
          </w:tcPr>
          <w:p>
            <w:pPr>
              <w:widowControl w:val="0"/>
              <w:jc w:val="center"/>
              <w:rPr>
                <w:rFonts w:hint="eastAsia"/>
                <w:color w:val="auto"/>
                <w:sz w:val="20"/>
                <w:szCs w:val="20"/>
                <w:lang w:val="en-US" w:eastAsia="zh-CN"/>
              </w:rPr>
            </w:pPr>
            <w:r>
              <w:rPr>
                <w:rFonts w:hint="eastAsia"/>
                <w:color w:val="auto"/>
                <w:sz w:val="20"/>
                <w:szCs w:val="20"/>
                <w:lang w:val="en-US" w:eastAsia="zh-CN"/>
              </w:rPr>
              <w:t>18</w:t>
            </w:r>
          </w:p>
        </w:tc>
        <w:tc>
          <w:tcPr>
            <w:tcW w:w="3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103</w:t>
            </w:r>
          </w:p>
        </w:tc>
        <w:tc>
          <w:tcPr>
            <w:tcW w:w="386" w:type="pc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0.02</w:t>
            </w:r>
          </w:p>
        </w:tc>
        <w:tc>
          <w:tcPr>
            <w:tcW w:w="365"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0.009</w:t>
            </w:r>
          </w:p>
        </w:tc>
        <w:tc>
          <w:tcPr>
            <w:tcW w:w="331"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w:t>
            </w:r>
          </w:p>
        </w:tc>
        <w:tc>
          <w:tcPr>
            <w:tcW w:w="375" w:type="pct"/>
            <w:vMerge w:val="restart"/>
            <w:tcBorders>
              <w:tl2br w:val="nil"/>
              <w:tr2bl w:val="nil"/>
            </w:tcBorders>
            <w:noWrap w:val="0"/>
            <w:vAlign w:val="center"/>
          </w:tcPr>
          <w:p>
            <w:pPr>
              <w:widowControl w:val="0"/>
              <w:jc w:val="center"/>
              <w:rPr>
                <w:rFonts w:hint="eastAsia" w:eastAsia="宋体"/>
                <w:color w:val="auto"/>
                <w:kern w:val="0"/>
                <w:sz w:val="20"/>
                <w:szCs w:val="20"/>
                <w:lang w:val="en-US" w:eastAsia="zh-CN"/>
              </w:rPr>
            </w:pPr>
            <w:r>
              <w:rPr>
                <w:rFonts w:hint="eastAsia"/>
                <w:color w:val="auto"/>
                <w:kern w:val="0"/>
                <w:sz w:val="20"/>
                <w:szCs w:val="20"/>
                <w:lang w:val="en-US" w:eastAsia="zh-CN"/>
              </w:rPr>
              <w:t>1#转运楼</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111.56520724</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30.25317779</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45</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12</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13</w:t>
            </w:r>
          </w:p>
        </w:tc>
        <w:tc>
          <w:tcPr>
            <w:tcW w:w="333"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0.0015</w:t>
            </w:r>
          </w:p>
        </w:tc>
        <w:tc>
          <w:tcPr>
            <w:tcW w:w="365"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0.0006</w:t>
            </w:r>
          </w:p>
        </w:tc>
        <w:tc>
          <w:tcPr>
            <w:tcW w:w="33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w:t>
            </w:r>
          </w:p>
        </w:tc>
        <w:tc>
          <w:tcPr>
            <w:tcW w:w="375" w:type="pct"/>
            <w:vMerge w:val="restart"/>
            <w:tcBorders>
              <w:tl2br w:val="nil"/>
              <w:tr2bl w:val="nil"/>
            </w:tcBorders>
            <w:noWrap w:val="0"/>
            <w:vAlign w:val="center"/>
          </w:tcPr>
          <w:p>
            <w:pPr>
              <w:widowControl w:val="0"/>
              <w:jc w:val="center"/>
              <w:rPr>
                <w:rFonts w:hint="default"/>
                <w:color w:val="auto"/>
                <w:kern w:val="0"/>
                <w:sz w:val="20"/>
                <w:szCs w:val="20"/>
                <w:lang w:val="en-US"/>
              </w:rPr>
            </w:pPr>
            <w:r>
              <w:rPr>
                <w:rFonts w:hint="eastAsia"/>
                <w:color w:val="auto"/>
                <w:kern w:val="0"/>
                <w:sz w:val="20"/>
                <w:szCs w:val="20"/>
                <w:lang w:val="en-US" w:eastAsia="zh-CN"/>
              </w:rPr>
              <w:t>2#转运楼</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111.56666100</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30.25286732</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45</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27</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14</w:t>
            </w:r>
          </w:p>
        </w:tc>
        <w:tc>
          <w:tcPr>
            <w:tcW w:w="333" w:type="pct"/>
            <w:vMerge w:val="restart"/>
            <w:tcBorders>
              <w:tl2br w:val="nil"/>
              <w:tr2bl w:val="nil"/>
            </w:tcBorders>
            <w:noWrap w:val="0"/>
            <w:vAlign w:val="center"/>
          </w:tcPr>
          <w:p>
            <w:pPr>
              <w:widowControl w:val="0"/>
              <w:jc w:val="center"/>
              <w:rPr>
                <w:rFonts w:hint="default"/>
                <w:color w:val="auto"/>
                <w:sz w:val="20"/>
                <w:szCs w:val="20"/>
                <w:lang w:val="en-US"/>
              </w:rPr>
            </w:pPr>
            <w:r>
              <w:rPr>
                <w:rFonts w:hint="eastAsia"/>
                <w:color w:val="auto"/>
                <w:sz w:val="20"/>
                <w:szCs w:val="20"/>
                <w:lang w:val="en-US" w:eastAsia="zh-CN"/>
              </w:rPr>
              <w:t>120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0.003</w:t>
            </w:r>
          </w:p>
        </w:tc>
        <w:tc>
          <w:tcPr>
            <w:tcW w:w="365"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0.0014</w:t>
            </w:r>
          </w:p>
        </w:tc>
        <w:tc>
          <w:tcPr>
            <w:tcW w:w="33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5</w:t>
            </w:r>
          </w:p>
        </w:tc>
        <w:tc>
          <w:tcPr>
            <w:tcW w:w="375" w:type="pct"/>
            <w:vMerge w:val="restart"/>
            <w:tcBorders>
              <w:tl2br w:val="nil"/>
              <w:tr2bl w:val="nil"/>
            </w:tcBorders>
            <w:noWrap w:val="0"/>
            <w:vAlign w:val="center"/>
          </w:tcPr>
          <w:p>
            <w:pPr>
              <w:widowControl w:val="0"/>
              <w:jc w:val="center"/>
              <w:rPr>
                <w:rFonts w:hint="default"/>
                <w:color w:val="auto"/>
                <w:kern w:val="0"/>
                <w:sz w:val="20"/>
                <w:szCs w:val="20"/>
                <w:lang w:val="en-US"/>
              </w:rPr>
            </w:pPr>
            <w:r>
              <w:rPr>
                <w:rFonts w:hint="eastAsia"/>
                <w:color w:val="auto"/>
                <w:kern w:val="0"/>
                <w:sz w:val="20"/>
                <w:szCs w:val="20"/>
                <w:lang w:val="en-US" w:eastAsia="zh-CN"/>
              </w:rPr>
              <w:t>1#趸船转运站</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111.56656444</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30.25293683</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10</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7.6</w:t>
            </w:r>
          </w:p>
        </w:tc>
        <w:tc>
          <w:tcPr>
            <w:tcW w:w="333" w:type="pct"/>
            <w:vMerge w:val="restar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8</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0.0015</w:t>
            </w:r>
          </w:p>
        </w:tc>
        <w:tc>
          <w:tcPr>
            <w:tcW w:w="365"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0.0006</w:t>
            </w:r>
          </w:p>
        </w:tc>
        <w:tc>
          <w:tcPr>
            <w:tcW w:w="33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rFonts w:hint="eastAsia" w:eastAsia="宋体"/>
                <w:color w:val="auto"/>
                <w:sz w:val="20"/>
                <w:szCs w:val="20"/>
                <w:lang w:val="en-US" w:eastAsia="zh-CN"/>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75" w:type="pct"/>
            <w:vMerge w:val="restart"/>
            <w:tcBorders>
              <w:tl2br w:val="nil"/>
              <w:tr2bl w:val="nil"/>
            </w:tcBorders>
            <w:noWrap w:val="0"/>
            <w:vAlign w:val="center"/>
          </w:tcPr>
          <w:p>
            <w:pPr>
              <w:widowControl w:val="0"/>
              <w:jc w:val="center"/>
              <w:rPr>
                <w:color w:val="auto"/>
                <w:kern w:val="0"/>
                <w:sz w:val="20"/>
                <w:szCs w:val="20"/>
              </w:rPr>
            </w:pPr>
            <w:r>
              <w:rPr>
                <w:rFonts w:hint="eastAsia"/>
                <w:color w:val="auto"/>
                <w:kern w:val="0"/>
                <w:sz w:val="20"/>
                <w:szCs w:val="20"/>
                <w:lang w:val="en-US" w:eastAsia="zh-CN"/>
              </w:rPr>
              <w:t>2#趸船转运站</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111.56533599</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30.25352069</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10</w:t>
            </w:r>
          </w:p>
        </w:tc>
        <w:tc>
          <w:tcPr>
            <w:tcW w:w="354"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7.6</w:t>
            </w:r>
          </w:p>
        </w:tc>
        <w:tc>
          <w:tcPr>
            <w:tcW w:w="333" w:type="pct"/>
            <w:vMerge w:val="restart"/>
            <w:tcBorders>
              <w:tl2br w:val="nil"/>
              <w:tr2bl w:val="nil"/>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103</w:t>
            </w:r>
          </w:p>
        </w:tc>
        <w:tc>
          <w:tcPr>
            <w:tcW w:w="386" w:type="pct"/>
            <w:vMerge w:val="restar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0.0015</w:t>
            </w:r>
          </w:p>
        </w:tc>
        <w:tc>
          <w:tcPr>
            <w:tcW w:w="365"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0.0006</w:t>
            </w:r>
          </w:p>
        </w:tc>
        <w:tc>
          <w:tcPr>
            <w:tcW w:w="33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color w:val="auto"/>
                <w:sz w:val="20"/>
              </w:rPr>
            </w:pPr>
          </w:p>
        </w:tc>
        <w:tc>
          <w:tcPr>
            <w:tcW w:w="375" w:type="pct"/>
            <w:vMerge w:val="continue"/>
            <w:tcBorders>
              <w:tl2br w:val="nil"/>
              <w:tr2bl w:val="nil"/>
            </w:tcBorders>
            <w:noWrap w:val="0"/>
            <w:vAlign w:val="center"/>
          </w:tcPr>
          <w:p>
            <w:pPr>
              <w:widowControl w:val="0"/>
              <w:jc w:val="center"/>
              <w:rPr>
                <w:color w:val="auto"/>
                <w:kern w:val="0"/>
                <w:sz w:val="20"/>
              </w:rPr>
            </w:pPr>
          </w:p>
        </w:tc>
        <w:tc>
          <w:tcPr>
            <w:tcW w:w="497" w:type="pct"/>
            <w:vMerge w:val="continue"/>
            <w:tcBorders>
              <w:tl2br w:val="nil"/>
              <w:tr2bl w:val="nil"/>
            </w:tcBorders>
            <w:noWrap w:val="0"/>
            <w:vAlign w:val="center"/>
          </w:tcPr>
          <w:p>
            <w:pPr>
              <w:widowControl w:val="0"/>
              <w:jc w:val="center"/>
              <w:rPr>
                <w:color w:val="auto"/>
                <w:sz w:val="20"/>
              </w:rPr>
            </w:pPr>
          </w:p>
        </w:tc>
        <w:tc>
          <w:tcPr>
            <w:tcW w:w="476" w:type="pct"/>
            <w:vMerge w:val="continue"/>
            <w:tcBorders>
              <w:tl2br w:val="nil"/>
              <w:tr2bl w:val="nil"/>
            </w:tcBorders>
            <w:noWrap w:val="0"/>
            <w:vAlign w:val="center"/>
          </w:tcPr>
          <w:p>
            <w:pPr>
              <w:widowControl w:val="0"/>
              <w:jc w:val="center"/>
              <w:rPr>
                <w:color w:val="auto"/>
                <w:sz w:val="20"/>
              </w:rPr>
            </w:pPr>
          </w:p>
        </w:tc>
        <w:tc>
          <w:tcPr>
            <w:tcW w:w="386" w:type="pct"/>
            <w:vMerge w:val="continue"/>
            <w:tcBorders>
              <w:tl2br w:val="nil"/>
              <w:tr2bl w:val="nil"/>
            </w:tcBorders>
            <w:noWrap w:val="0"/>
            <w:vAlign w:val="center"/>
          </w:tcPr>
          <w:p>
            <w:pPr>
              <w:widowControl w:val="0"/>
              <w:jc w:val="center"/>
              <w:rPr>
                <w:color w:val="auto"/>
                <w:sz w:val="20"/>
              </w:rPr>
            </w:pPr>
          </w:p>
        </w:tc>
        <w:tc>
          <w:tcPr>
            <w:tcW w:w="328" w:type="pct"/>
            <w:vMerge w:val="continue"/>
            <w:tcBorders>
              <w:tl2br w:val="nil"/>
              <w:tr2bl w:val="nil"/>
            </w:tcBorders>
            <w:noWrap w:val="0"/>
            <w:vAlign w:val="center"/>
          </w:tcPr>
          <w:p>
            <w:pPr>
              <w:widowControl w:val="0"/>
              <w:jc w:val="center"/>
              <w:rPr>
                <w:color w:val="auto"/>
                <w:sz w:val="20"/>
              </w:rPr>
            </w:pPr>
          </w:p>
        </w:tc>
        <w:tc>
          <w:tcPr>
            <w:tcW w:w="354" w:type="pct"/>
            <w:vMerge w:val="continue"/>
            <w:tcBorders>
              <w:tl2br w:val="nil"/>
              <w:tr2bl w:val="nil"/>
            </w:tcBorders>
            <w:noWrap w:val="0"/>
            <w:vAlign w:val="center"/>
          </w:tcPr>
          <w:p>
            <w:pPr>
              <w:widowControl w:val="0"/>
              <w:jc w:val="center"/>
              <w:rPr>
                <w:color w:val="auto"/>
                <w:sz w:val="20"/>
              </w:rPr>
            </w:pPr>
          </w:p>
        </w:tc>
        <w:tc>
          <w:tcPr>
            <w:tcW w:w="333" w:type="pct"/>
            <w:vMerge w:val="continue"/>
            <w:tcBorders>
              <w:tl2br w:val="nil"/>
              <w:tr2bl w:val="nil"/>
            </w:tcBorders>
            <w:noWrap w:val="0"/>
            <w:vAlign w:val="center"/>
          </w:tcPr>
          <w:p>
            <w:pPr>
              <w:widowControl w:val="0"/>
              <w:jc w:val="center"/>
              <w:rPr>
                <w:rFonts w:hint="default" w:eastAsia="宋体"/>
                <w:color w:val="auto"/>
                <w:sz w:val="20"/>
                <w:lang w:val="en-US" w:eastAsia="zh-CN"/>
              </w:rPr>
            </w:pPr>
          </w:p>
        </w:tc>
        <w:tc>
          <w:tcPr>
            <w:tcW w:w="386" w:type="pct"/>
            <w:vMerge w:val="continue"/>
            <w:tcBorders>
              <w:tl2br w:val="nil"/>
              <w:tr2bl w:val="nil"/>
            </w:tcBorders>
            <w:noWrap w:val="0"/>
            <w:vAlign w:val="center"/>
          </w:tcPr>
          <w:p>
            <w:pPr>
              <w:widowControl w:val="0"/>
              <w:jc w:val="center"/>
              <w:rPr>
                <w:color w:val="auto"/>
                <w:sz w:val="20"/>
              </w:rPr>
            </w:pPr>
          </w:p>
        </w:tc>
        <w:tc>
          <w:tcPr>
            <w:tcW w:w="301" w:type="pct"/>
            <w:vMerge w:val="continue"/>
            <w:tcBorders>
              <w:tl2br w:val="nil"/>
              <w:tr2bl w:val="nil"/>
            </w:tcBorders>
            <w:noWrap w:val="0"/>
            <w:vAlign w:val="center"/>
          </w:tcPr>
          <w:p>
            <w:pPr>
              <w:widowControl w:val="0"/>
              <w:jc w:val="center"/>
              <w:rPr>
                <w:color w:val="auto"/>
                <w:sz w:val="20"/>
              </w:rPr>
            </w:pPr>
          </w:p>
        </w:tc>
        <w:tc>
          <w:tcPr>
            <w:tcW w:w="290" w:type="pct"/>
            <w:vMerge w:val="continue"/>
            <w:tcBorders>
              <w:tl2br w:val="nil"/>
              <w:tr2bl w:val="nil"/>
            </w:tcBorders>
            <w:noWrap w:val="0"/>
            <w:vAlign w:val="center"/>
          </w:tcPr>
          <w:p>
            <w:pPr>
              <w:widowControl w:val="0"/>
              <w:jc w:val="center"/>
              <w:rPr>
                <w:color w:val="auto"/>
                <w:sz w:val="20"/>
              </w:rPr>
            </w:pPr>
          </w:p>
        </w:tc>
        <w:tc>
          <w:tcPr>
            <w:tcW w:w="360" w:type="pct"/>
            <w:vMerge w:val="continue"/>
            <w:tcBorders>
              <w:tl2br w:val="nil"/>
              <w:tr2bl w:val="nil"/>
            </w:tcBorders>
            <w:noWrap w:val="0"/>
            <w:vAlign w:val="center"/>
          </w:tcPr>
          <w:p>
            <w:pPr>
              <w:widowControl w:val="0"/>
              <w:jc w:val="center"/>
              <w:rPr>
                <w:color w:val="auto"/>
                <w:sz w:val="20"/>
              </w:rPr>
            </w:pPr>
          </w:p>
        </w:tc>
        <w:tc>
          <w:tcPr>
            <w:tcW w:w="365" w:type="pct"/>
            <w:vMerge w:val="continue"/>
            <w:tcBorders>
              <w:tl2br w:val="nil"/>
              <w:tr2bl w:val="nil"/>
            </w:tcBorders>
            <w:noWrap w:val="0"/>
            <w:vAlign w:val="center"/>
          </w:tcPr>
          <w:p>
            <w:pPr>
              <w:widowControl w:val="0"/>
              <w:jc w:val="center"/>
              <w:rPr>
                <w:color w:val="auto"/>
                <w:sz w:val="20"/>
              </w:rPr>
            </w:pPr>
          </w:p>
        </w:tc>
        <w:tc>
          <w:tcPr>
            <w:tcW w:w="331" w:type="pct"/>
            <w:vMerge w:val="continue"/>
            <w:tcBorders>
              <w:tl2br w:val="nil"/>
              <w:tr2bl w:val="nil"/>
            </w:tcBorders>
            <w:noWrap w:val="0"/>
            <w:vAlign w:val="center"/>
          </w:tcPr>
          <w:p>
            <w:pPr>
              <w:widowControl w:val="0"/>
              <w:jc w:val="center"/>
              <w:rPr>
                <w:color w:val="auto"/>
                <w:sz w:val="20"/>
              </w:rPr>
            </w:pPr>
          </w:p>
        </w:tc>
      </w:tr>
    </w:tbl>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w:t>
      </w:r>
      <w:r>
        <w:rPr>
          <w:rFonts w:hint="eastAsia" w:eastAsia="仿宋_GB2312"/>
          <w:color w:val="auto"/>
          <w:sz w:val="24"/>
          <w:szCs w:val="24"/>
          <w:lang w:val="en-US" w:eastAsia="zh-CN"/>
        </w:rPr>
        <w:t>8</w:t>
      </w:r>
      <w:r>
        <w:rPr>
          <w:rFonts w:hint="eastAsia" w:eastAsia="仿宋_GB2312"/>
          <w:color w:val="auto"/>
          <w:sz w:val="24"/>
          <w:szCs w:val="24"/>
          <w:lang w:eastAsia="zh-CN"/>
        </w:rPr>
        <w:t>）</w:t>
      </w:r>
      <w:r>
        <w:rPr>
          <w:rFonts w:hint="eastAsia" w:eastAsia="仿宋_GB2312"/>
          <w:color w:val="auto"/>
          <w:sz w:val="24"/>
          <w:szCs w:val="24"/>
          <w:lang w:val="en-US" w:eastAsia="zh-CN"/>
        </w:rPr>
        <w:t>非正常工况下无组织排放源参数</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非正常工况下大气污染源源强参数一览表见</w:t>
      </w:r>
      <w:r>
        <w:rPr>
          <w:rFonts w:hint="eastAsia" w:eastAsia="仿宋_GB2312"/>
          <w:color w:val="auto"/>
          <w:sz w:val="24"/>
          <w:szCs w:val="24"/>
          <w:lang w:val="en-US" w:eastAsia="zh-CN"/>
        </w:rPr>
        <w:t>下</w:t>
      </w:r>
      <w:r>
        <w:rPr>
          <w:rFonts w:hint="eastAsia" w:eastAsia="仿宋_GB2312"/>
          <w:color w:val="auto"/>
          <w:sz w:val="24"/>
          <w:szCs w:val="24"/>
          <w:lang w:eastAsia="zh-CN"/>
        </w:rPr>
        <w:t>表。</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5.2</w:t>
      </w:r>
      <w:r>
        <w:rPr>
          <w:rFonts w:eastAsia="黑体"/>
          <w:b/>
          <w:color w:val="auto"/>
          <w:szCs w:val="21"/>
        </w:rPr>
        <w:t>-</w:t>
      </w:r>
      <w:r>
        <w:rPr>
          <w:rFonts w:hint="eastAsia" w:eastAsia="黑体"/>
          <w:b/>
          <w:color w:val="auto"/>
          <w:szCs w:val="21"/>
          <w:lang w:val="en-US" w:eastAsia="zh-CN"/>
        </w:rPr>
        <w:t>16</w:t>
      </w:r>
      <w:r>
        <w:rPr>
          <w:rFonts w:eastAsia="黑体"/>
          <w:b/>
          <w:color w:val="auto"/>
          <w:szCs w:val="21"/>
        </w:rPr>
        <w:t xml:space="preserve">  非正常工况下源强参数一览表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8"/>
        <w:gridCol w:w="1065"/>
        <w:gridCol w:w="1410"/>
        <w:gridCol w:w="1350"/>
        <w:gridCol w:w="1095"/>
        <w:gridCol w:w="930"/>
        <w:gridCol w:w="1005"/>
        <w:gridCol w:w="945"/>
        <w:gridCol w:w="1095"/>
        <w:gridCol w:w="855"/>
        <w:gridCol w:w="823"/>
        <w:gridCol w:w="1020"/>
        <w:gridCol w:w="1035"/>
        <w:gridCol w:w="9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211" w:type="pct"/>
            <w:vMerge w:val="restart"/>
            <w:noWrap w:val="0"/>
            <w:vAlign w:val="center"/>
          </w:tcPr>
          <w:p>
            <w:pPr>
              <w:widowControl w:val="0"/>
              <w:ind w:left="-105" w:leftChars="-50" w:right="-105" w:rightChars="-50"/>
              <w:jc w:val="center"/>
              <w:rPr>
                <w:color w:val="auto"/>
                <w:sz w:val="20"/>
              </w:rPr>
            </w:pPr>
            <w:r>
              <w:rPr>
                <w:color w:val="auto"/>
                <w:sz w:val="20"/>
              </w:rPr>
              <w:t>编号</w:t>
            </w:r>
          </w:p>
        </w:tc>
        <w:tc>
          <w:tcPr>
            <w:tcW w:w="375" w:type="pct"/>
            <w:vMerge w:val="restart"/>
            <w:noWrap w:val="0"/>
            <w:vAlign w:val="center"/>
          </w:tcPr>
          <w:p>
            <w:pPr>
              <w:widowControl w:val="0"/>
              <w:ind w:left="-105" w:leftChars="-50" w:right="-105" w:rightChars="-50"/>
              <w:jc w:val="center"/>
              <w:rPr>
                <w:color w:val="auto"/>
                <w:sz w:val="20"/>
              </w:rPr>
            </w:pPr>
            <w:r>
              <w:rPr>
                <w:color w:val="auto"/>
                <w:sz w:val="20"/>
              </w:rPr>
              <w:t>名称</w:t>
            </w:r>
          </w:p>
        </w:tc>
        <w:tc>
          <w:tcPr>
            <w:tcW w:w="974" w:type="pct"/>
            <w:gridSpan w:val="2"/>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面源各顶点坐标/m</w:t>
            </w:r>
          </w:p>
        </w:tc>
        <w:tc>
          <w:tcPr>
            <w:tcW w:w="386" w:type="pct"/>
            <w:vMerge w:val="restar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面源海拔高度/m</w:t>
            </w:r>
          </w:p>
        </w:tc>
        <w:tc>
          <w:tcPr>
            <w:tcW w:w="328"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面源长度/m</w:t>
            </w:r>
          </w:p>
        </w:tc>
        <w:tc>
          <w:tcPr>
            <w:tcW w:w="354"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面源宽度/m</w:t>
            </w:r>
          </w:p>
        </w:tc>
        <w:tc>
          <w:tcPr>
            <w:tcW w:w="333" w:type="pct"/>
            <w:vMerge w:val="restart"/>
            <w:noWrap w:val="0"/>
            <w:vAlign w:val="center"/>
          </w:tcPr>
          <w:p>
            <w:pPr>
              <w:widowControl w:val="0"/>
              <w:ind w:left="-105" w:leftChars="-50" w:right="-105" w:rightChars="-50"/>
              <w:jc w:val="center"/>
              <w:rPr>
                <w:rFonts w:hint="eastAsia"/>
                <w:color w:val="auto"/>
                <w:sz w:val="20"/>
                <w:lang w:val="en-US" w:eastAsia="zh-CN"/>
              </w:rPr>
            </w:pPr>
            <w:r>
              <w:rPr>
                <w:rFonts w:hint="eastAsia"/>
                <w:color w:val="auto"/>
                <w:sz w:val="20"/>
                <w:lang w:val="en-US" w:eastAsia="zh-CN"/>
              </w:rPr>
              <w:t>与正北向夹角/°</w:t>
            </w:r>
          </w:p>
        </w:tc>
        <w:tc>
          <w:tcPr>
            <w:tcW w:w="386" w:type="pct"/>
            <w:vMerge w:val="restart"/>
            <w:noWrap w:val="0"/>
            <w:vAlign w:val="center"/>
          </w:tcPr>
          <w:p>
            <w:pPr>
              <w:widowControl w:val="0"/>
              <w:ind w:left="-105" w:leftChars="-50" w:right="-105" w:rightChars="-50"/>
              <w:jc w:val="center"/>
              <w:rPr>
                <w:color w:val="auto"/>
                <w:sz w:val="20"/>
              </w:rPr>
            </w:pPr>
            <w:r>
              <w:rPr>
                <w:rFonts w:hint="eastAsia"/>
                <w:color w:val="auto"/>
                <w:sz w:val="20"/>
                <w:lang w:val="en-US" w:eastAsia="zh-CN"/>
              </w:rPr>
              <w:t>面源有效排放高度/m</w:t>
            </w:r>
          </w:p>
        </w:tc>
        <w:tc>
          <w:tcPr>
            <w:tcW w:w="301" w:type="pct"/>
            <w:vMerge w:val="restart"/>
            <w:noWrap w:val="0"/>
            <w:vAlign w:val="center"/>
          </w:tcPr>
          <w:p>
            <w:pPr>
              <w:widowControl w:val="0"/>
              <w:ind w:left="-105" w:leftChars="-50" w:right="-105" w:rightChars="-50"/>
              <w:jc w:val="center"/>
              <w:rPr>
                <w:color w:val="auto"/>
                <w:sz w:val="20"/>
              </w:rPr>
            </w:pPr>
            <w:r>
              <w:rPr>
                <w:color w:val="auto"/>
                <w:sz w:val="20"/>
              </w:rPr>
              <w:t>年排放小时数h</w:t>
            </w:r>
          </w:p>
        </w:tc>
        <w:tc>
          <w:tcPr>
            <w:tcW w:w="290" w:type="pct"/>
            <w:vMerge w:val="restart"/>
            <w:noWrap w:val="0"/>
            <w:vAlign w:val="center"/>
          </w:tcPr>
          <w:p>
            <w:pPr>
              <w:widowControl w:val="0"/>
              <w:ind w:left="-105" w:leftChars="-50" w:right="-105" w:rightChars="-50"/>
              <w:jc w:val="center"/>
              <w:rPr>
                <w:color w:val="auto"/>
                <w:sz w:val="20"/>
              </w:rPr>
            </w:pPr>
            <w:r>
              <w:rPr>
                <w:color w:val="auto"/>
                <w:sz w:val="20"/>
              </w:rPr>
              <w:t>排放工况</w:t>
            </w:r>
          </w:p>
        </w:tc>
        <w:tc>
          <w:tcPr>
            <w:tcW w:w="1057" w:type="pct"/>
            <w:gridSpan w:val="3"/>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污染物排放速率/</w:t>
            </w:r>
            <w:r>
              <w:rPr>
                <w:rFonts w:hint="eastAsia"/>
                <w:color w:val="auto"/>
                <w:sz w:val="20"/>
              </w:rPr>
              <w:t>kg</w:t>
            </w:r>
            <w:r>
              <w:rPr>
                <w:color w:val="auto"/>
                <w:sz w:val="20"/>
              </w:rPr>
              <w:t>/</w:t>
            </w:r>
            <w:r>
              <w:rPr>
                <w:rFonts w:hint="eastAsia"/>
                <w:color w:val="auto"/>
                <w:sz w:val="20"/>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75"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497" w:type="pct"/>
            <w:tcBorders>
              <w:bottom w:val="single" w:color="auto" w:sz="12" w:space="0"/>
            </w:tcBorders>
            <w:noWrap w:val="0"/>
            <w:vAlign w:val="center"/>
          </w:tcPr>
          <w:p>
            <w:pPr>
              <w:widowControl w:val="0"/>
              <w:ind w:left="-105" w:leftChars="-50" w:right="-105" w:rightChars="-50"/>
              <w:jc w:val="center"/>
              <w:rPr>
                <w:rFonts w:hint="default"/>
                <w:color w:val="auto"/>
                <w:sz w:val="20"/>
                <w:lang w:val="en-US" w:eastAsia="zh-CN"/>
              </w:rPr>
            </w:pPr>
            <w:r>
              <w:rPr>
                <w:rFonts w:hint="eastAsia"/>
                <w:color w:val="auto"/>
                <w:sz w:val="20"/>
                <w:lang w:val="en-US" w:eastAsia="zh-CN"/>
              </w:rPr>
              <w:t>X</w:t>
            </w:r>
          </w:p>
        </w:tc>
        <w:tc>
          <w:tcPr>
            <w:tcW w:w="476" w:type="pct"/>
            <w:tcBorders>
              <w:bottom w:val="single" w:color="auto" w:sz="12" w:space="0"/>
            </w:tcBorders>
            <w:noWrap w:val="0"/>
            <w:vAlign w:val="center"/>
          </w:tcPr>
          <w:p>
            <w:pPr>
              <w:widowControl w:val="0"/>
              <w:ind w:left="-105" w:leftChars="-50" w:right="-105" w:rightChars="-50"/>
              <w:jc w:val="center"/>
              <w:rPr>
                <w:rFonts w:hint="default"/>
                <w:color w:val="auto"/>
                <w:sz w:val="20"/>
                <w:lang w:val="en-US" w:eastAsia="zh-CN"/>
              </w:rPr>
            </w:pPr>
            <w:r>
              <w:rPr>
                <w:rFonts w:hint="eastAsia"/>
                <w:color w:val="auto"/>
                <w:sz w:val="20"/>
                <w:lang w:val="en-US" w:eastAsia="zh-CN"/>
              </w:rPr>
              <w:t>Y</w:t>
            </w:r>
          </w:p>
        </w:tc>
        <w:tc>
          <w:tcPr>
            <w:tcW w:w="386"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28"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54"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33" w:type="pct"/>
            <w:vMerge w:val="continue"/>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p>
        </w:tc>
        <w:tc>
          <w:tcPr>
            <w:tcW w:w="386"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01"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290" w:type="pct"/>
            <w:vMerge w:val="continue"/>
            <w:tcBorders>
              <w:bottom w:val="single" w:color="auto" w:sz="12" w:space="0"/>
            </w:tcBorders>
            <w:noWrap w:val="0"/>
            <w:vAlign w:val="center"/>
          </w:tcPr>
          <w:p>
            <w:pPr>
              <w:widowControl w:val="0"/>
              <w:ind w:left="-105" w:leftChars="-50" w:right="-105" w:rightChars="-50"/>
              <w:jc w:val="center"/>
              <w:rPr>
                <w:color w:val="auto"/>
                <w:sz w:val="20"/>
              </w:rPr>
            </w:pPr>
          </w:p>
        </w:tc>
        <w:tc>
          <w:tcPr>
            <w:tcW w:w="360" w:type="pct"/>
            <w:tcBorders>
              <w:bottom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TSP</w:t>
            </w:r>
          </w:p>
        </w:tc>
        <w:tc>
          <w:tcPr>
            <w:tcW w:w="365" w:type="pct"/>
            <w:tcBorders>
              <w:bottom w:val="single" w:color="auto" w:sz="12" w:space="0"/>
            </w:tcBorders>
            <w:noWrap w:val="0"/>
            <w:vAlign w:val="center"/>
          </w:tcPr>
          <w:p>
            <w:pPr>
              <w:widowControl w:val="0"/>
              <w:ind w:left="-105" w:leftChars="-50" w:right="-105" w:rightChars="-50"/>
              <w:jc w:val="center"/>
              <w:rPr>
                <w:rFonts w:hint="eastAsia"/>
                <w:color w:val="auto"/>
                <w:sz w:val="20"/>
                <w:lang w:val="en-US" w:eastAsia="zh-CN"/>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331" w:type="pct"/>
            <w:tcBorders>
              <w:bottom w:val="single" w:color="auto" w:sz="12" w:space="0"/>
            </w:tcBorders>
            <w:noWrap w:val="0"/>
            <w:vAlign w:val="center"/>
          </w:tcPr>
          <w:p>
            <w:pPr>
              <w:widowControl w:val="0"/>
              <w:ind w:left="-105" w:leftChars="-50" w:right="-105" w:rightChars="-5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tcBorders>
              <w:top w:val="single" w:color="auto" w:sz="12" w:space="0"/>
              <w:tl2br w:val="nil"/>
              <w:tr2bl w:val="nil"/>
            </w:tcBorders>
            <w:noWrap w:val="0"/>
            <w:vAlign w:val="center"/>
          </w:tcPr>
          <w:p>
            <w:pPr>
              <w:widowControl w:val="0"/>
              <w:jc w:val="center"/>
              <w:rPr>
                <w:color w:val="auto"/>
                <w:sz w:val="20"/>
                <w:szCs w:val="20"/>
              </w:rPr>
            </w:pPr>
            <w:r>
              <w:rPr>
                <w:color w:val="auto"/>
                <w:sz w:val="20"/>
                <w:szCs w:val="20"/>
              </w:rPr>
              <w:t>1</w:t>
            </w:r>
          </w:p>
        </w:tc>
        <w:tc>
          <w:tcPr>
            <w:tcW w:w="375" w:type="pct"/>
            <w:tcBorders>
              <w:top w:val="single" w:color="auto" w:sz="12" w:space="0"/>
              <w:tl2br w:val="nil"/>
              <w:tr2bl w:val="nil"/>
            </w:tcBorders>
            <w:noWrap w:val="0"/>
            <w:vAlign w:val="center"/>
          </w:tcPr>
          <w:p>
            <w:pPr>
              <w:widowControl w:val="0"/>
              <w:jc w:val="center"/>
              <w:rPr>
                <w:rFonts w:hint="default" w:eastAsia="宋体"/>
                <w:color w:val="auto"/>
                <w:kern w:val="0"/>
                <w:sz w:val="20"/>
                <w:szCs w:val="20"/>
                <w:lang w:val="en-US" w:eastAsia="zh-CN"/>
              </w:rPr>
            </w:pPr>
            <w:r>
              <w:rPr>
                <w:rFonts w:hint="eastAsia" w:cs="Times New Roman"/>
                <w:b w:val="0"/>
                <w:bCs/>
                <w:color w:val="auto"/>
                <w:sz w:val="20"/>
                <w:szCs w:val="20"/>
                <w:lang w:val="en-US" w:eastAsia="zh-CN"/>
              </w:rPr>
              <w:t>1#泊位</w:t>
            </w:r>
          </w:p>
        </w:tc>
        <w:tc>
          <w:tcPr>
            <w:tcW w:w="497" w:type="pct"/>
            <w:tcBorders>
              <w:top w:val="single" w:color="auto" w:sz="12" w:space="0"/>
              <w:tl2br w:val="nil"/>
              <w:tr2bl w:val="nil"/>
            </w:tcBorders>
            <w:noWrap w:val="0"/>
            <w:vAlign w:val="center"/>
          </w:tcPr>
          <w:p>
            <w:pPr>
              <w:widowControl w:val="0"/>
              <w:jc w:val="center"/>
              <w:rPr>
                <w:color w:val="auto"/>
                <w:sz w:val="20"/>
                <w:szCs w:val="20"/>
              </w:rPr>
            </w:pPr>
            <w:r>
              <w:rPr>
                <w:rFonts w:hint="eastAsia"/>
                <w:color w:val="auto"/>
                <w:sz w:val="20"/>
                <w:szCs w:val="20"/>
              </w:rPr>
              <w:t>111.56510532</w:t>
            </w:r>
          </w:p>
        </w:tc>
        <w:tc>
          <w:tcPr>
            <w:tcW w:w="476" w:type="pct"/>
            <w:tcBorders>
              <w:top w:val="single" w:color="auto" w:sz="12" w:space="0"/>
              <w:tl2br w:val="nil"/>
              <w:tr2bl w:val="nil"/>
            </w:tcBorders>
            <w:noWrap w:val="0"/>
            <w:vAlign w:val="center"/>
          </w:tcPr>
          <w:p>
            <w:pPr>
              <w:widowControl w:val="0"/>
              <w:jc w:val="center"/>
              <w:rPr>
                <w:color w:val="auto"/>
                <w:sz w:val="20"/>
                <w:szCs w:val="20"/>
              </w:rPr>
            </w:pPr>
            <w:r>
              <w:rPr>
                <w:rFonts w:hint="eastAsia"/>
                <w:color w:val="auto"/>
                <w:sz w:val="20"/>
                <w:szCs w:val="20"/>
              </w:rPr>
              <w:t>30.25366897</w:t>
            </w:r>
          </w:p>
        </w:tc>
        <w:tc>
          <w:tcPr>
            <w:tcW w:w="386"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85</w:t>
            </w:r>
          </w:p>
        </w:tc>
        <w:tc>
          <w:tcPr>
            <w:tcW w:w="354"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18</w:t>
            </w:r>
          </w:p>
        </w:tc>
        <w:tc>
          <w:tcPr>
            <w:tcW w:w="333"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w:t>
            </w:r>
          </w:p>
        </w:tc>
        <w:tc>
          <w:tcPr>
            <w:tcW w:w="386" w:type="pct"/>
            <w:tcBorders>
              <w:top w:val="single" w:color="auto" w:sz="12" w:space="0"/>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7920</w:t>
            </w:r>
          </w:p>
        </w:tc>
        <w:tc>
          <w:tcPr>
            <w:tcW w:w="290" w:type="pct"/>
            <w:tcBorders>
              <w:top w:val="single" w:color="auto" w:sz="12" w:space="0"/>
              <w:tl2br w:val="nil"/>
              <w:tr2bl w:val="nil"/>
            </w:tcBorders>
            <w:noWrap w:val="0"/>
            <w:vAlign w:val="center"/>
          </w:tcPr>
          <w:p>
            <w:pPr>
              <w:widowControl w:val="0"/>
              <w:jc w:val="center"/>
              <w:rPr>
                <w:rFonts w:hint="eastAsia" w:eastAsia="宋体"/>
                <w:color w:val="auto"/>
                <w:sz w:val="20"/>
                <w:szCs w:val="20"/>
                <w:lang w:eastAsia="zh-CN"/>
              </w:rPr>
            </w:pPr>
            <w:r>
              <w:rPr>
                <w:rFonts w:hint="eastAsia"/>
                <w:color w:val="auto"/>
                <w:sz w:val="20"/>
                <w:szCs w:val="20"/>
                <w:lang w:val="en-US" w:eastAsia="zh-CN"/>
              </w:rPr>
              <w:t>正常</w:t>
            </w:r>
          </w:p>
        </w:tc>
        <w:tc>
          <w:tcPr>
            <w:tcW w:w="360"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0.098</w:t>
            </w:r>
          </w:p>
        </w:tc>
        <w:tc>
          <w:tcPr>
            <w:tcW w:w="365" w:type="pct"/>
            <w:tcBorders>
              <w:top w:val="single" w:color="auto" w:sz="12" w:space="0"/>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0.046</w:t>
            </w:r>
          </w:p>
        </w:tc>
        <w:tc>
          <w:tcPr>
            <w:tcW w:w="331" w:type="pct"/>
            <w:tcBorders>
              <w:top w:val="single" w:color="auto" w:sz="12" w:space="0"/>
              <w:tl2br w:val="nil"/>
              <w:tr2bl w:val="nil"/>
            </w:tcBorders>
            <w:noWrap w:val="0"/>
            <w:vAlign w:val="center"/>
          </w:tcPr>
          <w:p>
            <w:pPr>
              <w:jc w:val="center"/>
              <w:rPr>
                <w:rFonts w:hint="default" w:eastAsia="宋体"/>
                <w:color w:val="auto"/>
                <w:sz w:val="20"/>
                <w:szCs w:val="20"/>
                <w:lang w:val="en-US" w:eastAsia="zh-CN"/>
              </w:rPr>
            </w:pPr>
            <w:r>
              <w:rPr>
                <w:rFonts w:hint="eastAsia"/>
                <w:color w:val="auto"/>
                <w:sz w:val="20"/>
                <w:szCs w:val="20"/>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1"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2</w:t>
            </w:r>
          </w:p>
        </w:tc>
        <w:tc>
          <w:tcPr>
            <w:tcW w:w="375" w:type="pct"/>
            <w:tcBorders>
              <w:tl2br w:val="nil"/>
              <w:tr2bl w:val="nil"/>
            </w:tcBorders>
            <w:noWrap w:val="0"/>
            <w:vAlign w:val="center"/>
          </w:tcPr>
          <w:p>
            <w:pPr>
              <w:widowControl w:val="0"/>
              <w:jc w:val="center"/>
              <w:rPr>
                <w:rFonts w:hint="eastAsia"/>
                <w:color w:val="auto"/>
                <w:kern w:val="0"/>
                <w:sz w:val="20"/>
                <w:szCs w:val="20"/>
                <w:lang w:val="en-US" w:eastAsia="zh-CN"/>
              </w:rPr>
            </w:pPr>
            <w:r>
              <w:rPr>
                <w:rFonts w:hint="eastAsia" w:cs="Times New Roman"/>
                <w:b w:val="0"/>
                <w:bCs/>
                <w:color w:val="auto"/>
                <w:sz w:val="20"/>
                <w:szCs w:val="20"/>
                <w:lang w:val="en-US" w:eastAsia="zh-CN"/>
              </w:rPr>
              <w:t>2#泊位</w:t>
            </w:r>
          </w:p>
        </w:tc>
        <w:tc>
          <w:tcPr>
            <w:tcW w:w="497" w:type="pct"/>
            <w:tcBorders>
              <w:tl2br w:val="nil"/>
              <w:tr2bl w:val="nil"/>
            </w:tcBorders>
            <w:noWrap w:val="0"/>
            <w:vAlign w:val="center"/>
          </w:tcPr>
          <w:p>
            <w:pPr>
              <w:widowControl w:val="0"/>
              <w:jc w:val="center"/>
              <w:rPr>
                <w:color w:val="auto"/>
                <w:sz w:val="20"/>
                <w:szCs w:val="20"/>
              </w:rPr>
            </w:pPr>
            <w:r>
              <w:rPr>
                <w:rFonts w:hint="eastAsia"/>
                <w:color w:val="auto"/>
                <w:sz w:val="20"/>
                <w:szCs w:val="20"/>
              </w:rPr>
              <w:t>111.56664491</w:t>
            </w:r>
          </w:p>
        </w:tc>
        <w:tc>
          <w:tcPr>
            <w:tcW w:w="476" w:type="pct"/>
            <w:tcBorders>
              <w:tl2br w:val="nil"/>
              <w:tr2bl w:val="nil"/>
            </w:tcBorders>
            <w:noWrap w:val="0"/>
            <w:vAlign w:val="center"/>
          </w:tcPr>
          <w:p>
            <w:pPr>
              <w:widowControl w:val="0"/>
              <w:jc w:val="center"/>
              <w:rPr>
                <w:color w:val="auto"/>
                <w:sz w:val="20"/>
                <w:szCs w:val="20"/>
              </w:rPr>
            </w:pPr>
            <w:r>
              <w:rPr>
                <w:rFonts w:hint="eastAsia"/>
                <w:color w:val="auto"/>
                <w:sz w:val="20"/>
                <w:szCs w:val="20"/>
              </w:rPr>
              <w:t>30.25326120</w:t>
            </w:r>
          </w:p>
        </w:tc>
        <w:tc>
          <w:tcPr>
            <w:tcW w:w="386"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tcBorders>
              <w:tl2br w:val="nil"/>
              <w:tr2bl w:val="nil"/>
            </w:tcBorders>
            <w:noWrap w:val="0"/>
            <w:vAlign w:val="center"/>
          </w:tcPr>
          <w:p>
            <w:pPr>
              <w:widowControl w:val="0"/>
              <w:jc w:val="center"/>
              <w:rPr>
                <w:rFonts w:hint="eastAsia"/>
                <w:color w:val="auto"/>
                <w:sz w:val="20"/>
                <w:szCs w:val="20"/>
                <w:lang w:val="en-US" w:eastAsia="zh-CN"/>
              </w:rPr>
            </w:pPr>
            <w:r>
              <w:rPr>
                <w:rFonts w:hint="eastAsia"/>
                <w:color w:val="auto"/>
                <w:sz w:val="20"/>
                <w:szCs w:val="20"/>
                <w:lang w:val="en-US" w:eastAsia="zh-CN"/>
              </w:rPr>
              <w:t>85</w:t>
            </w:r>
          </w:p>
        </w:tc>
        <w:tc>
          <w:tcPr>
            <w:tcW w:w="354" w:type="pct"/>
            <w:tcBorders>
              <w:tl2br w:val="nil"/>
              <w:tr2bl w:val="nil"/>
            </w:tcBorders>
            <w:noWrap w:val="0"/>
            <w:vAlign w:val="center"/>
          </w:tcPr>
          <w:p>
            <w:pPr>
              <w:widowControl w:val="0"/>
              <w:jc w:val="center"/>
              <w:rPr>
                <w:rFonts w:hint="eastAsia"/>
                <w:color w:val="auto"/>
                <w:sz w:val="20"/>
                <w:szCs w:val="20"/>
                <w:lang w:val="en-US" w:eastAsia="zh-CN"/>
              </w:rPr>
            </w:pPr>
            <w:r>
              <w:rPr>
                <w:rFonts w:hint="eastAsia"/>
                <w:color w:val="auto"/>
                <w:sz w:val="20"/>
                <w:szCs w:val="20"/>
                <w:lang w:val="en-US" w:eastAsia="zh-CN"/>
              </w:rPr>
              <w:t>18</w:t>
            </w:r>
          </w:p>
        </w:tc>
        <w:tc>
          <w:tcPr>
            <w:tcW w:w="3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103</w:t>
            </w:r>
          </w:p>
        </w:tc>
        <w:tc>
          <w:tcPr>
            <w:tcW w:w="386" w:type="pc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0.098</w:t>
            </w:r>
          </w:p>
        </w:tc>
        <w:tc>
          <w:tcPr>
            <w:tcW w:w="365"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0.046</w:t>
            </w:r>
          </w:p>
        </w:tc>
        <w:tc>
          <w:tcPr>
            <w:tcW w:w="331"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3</w:t>
            </w:r>
          </w:p>
        </w:tc>
        <w:tc>
          <w:tcPr>
            <w:tcW w:w="375" w:type="pct"/>
            <w:vMerge w:val="restart"/>
            <w:tcBorders>
              <w:tl2br w:val="nil"/>
              <w:tr2bl w:val="nil"/>
            </w:tcBorders>
            <w:noWrap w:val="0"/>
            <w:vAlign w:val="center"/>
          </w:tcPr>
          <w:p>
            <w:pPr>
              <w:widowControl w:val="0"/>
              <w:jc w:val="center"/>
              <w:rPr>
                <w:rFonts w:hint="eastAsia" w:eastAsia="宋体"/>
                <w:color w:val="auto"/>
                <w:kern w:val="0"/>
                <w:sz w:val="20"/>
                <w:szCs w:val="20"/>
                <w:lang w:val="en-US" w:eastAsia="zh-CN"/>
              </w:rPr>
            </w:pPr>
            <w:r>
              <w:rPr>
                <w:rFonts w:hint="eastAsia"/>
                <w:color w:val="auto"/>
                <w:kern w:val="0"/>
                <w:sz w:val="20"/>
                <w:szCs w:val="20"/>
                <w:lang w:val="en-US" w:eastAsia="zh-CN"/>
              </w:rPr>
              <w:t>1#转运楼</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111.56520724</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30.25317779</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45</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12</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13</w:t>
            </w:r>
          </w:p>
        </w:tc>
        <w:tc>
          <w:tcPr>
            <w:tcW w:w="333"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0.29</w:t>
            </w:r>
          </w:p>
        </w:tc>
        <w:tc>
          <w:tcPr>
            <w:tcW w:w="365"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0.136</w:t>
            </w:r>
          </w:p>
        </w:tc>
        <w:tc>
          <w:tcPr>
            <w:tcW w:w="33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w:t>
            </w:r>
          </w:p>
        </w:tc>
        <w:tc>
          <w:tcPr>
            <w:tcW w:w="375" w:type="pct"/>
            <w:vMerge w:val="restart"/>
            <w:tcBorders>
              <w:tl2br w:val="nil"/>
              <w:tr2bl w:val="nil"/>
            </w:tcBorders>
            <w:noWrap w:val="0"/>
            <w:vAlign w:val="center"/>
          </w:tcPr>
          <w:p>
            <w:pPr>
              <w:widowControl w:val="0"/>
              <w:jc w:val="center"/>
              <w:rPr>
                <w:rFonts w:hint="default"/>
                <w:color w:val="auto"/>
                <w:kern w:val="0"/>
                <w:sz w:val="20"/>
                <w:szCs w:val="20"/>
                <w:lang w:val="en-US"/>
              </w:rPr>
            </w:pPr>
            <w:r>
              <w:rPr>
                <w:rFonts w:hint="eastAsia"/>
                <w:color w:val="auto"/>
                <w:kern w:val="0"/>
                <w:sz w:val="20"/>
                <w:szCs w:val="20"/>
                <w:lang w:val="en-US" w:eastAsia="zh-CN"/>
              </w:rPr>
              <w:t>2#转运楼</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111.56666100</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30.25286732</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45</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27</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14</w:t>
            </w:r>
          </w:p>
        </w:tc>
        <w:tc>
          <w:tcPr>
            <w:tcW w:w="333" w:type="pct"/>
            <w:vMerge w:val="restart"/>
            <w:tcBorders>
              <w:tl2br w:val="nil"/>
              <w:tr2bl w:val="nil"/>
            </w:tcBorders>
            <w:noWrap w:val="0"/>
            <w:vAlign w:val="center"/>
          </w:tcPr>
          <w:p>
            <w:pPr>
              <w:widowControl w:val="0"/>
              <w:jc w:val="center"/>
              <w:rPr>
                <w:rFonts w:hint="default"/>
                <w:color w:val="auto"/>
                <w:sz w:val="20"/>
                <w:szCs w:val="20"/>
                <w:lang w:val="en-US"/>
              </w:rPr>
            </w:pPr>
            <w:r>
              <w:rPr>
                <w:rFonts w:hint="eastAsia"/>
                <w:color w:val="auto"/>
                <w:sz w:val="20"/>
                <w:szCs w:val="20"/>
                <w:lang w:val="en-US" w:eastAsia="zh-CN"/>
              </w:rPr>
              <w:t>120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0.581</w:t>
            </w:r>
          </w:p>
        </w:tc>
        <w:tc>
          <w:tcPr>
            <w:tcW w:w="365"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0.273</w:t>
            </w:r>
          </w:p>
        </w:tc>
        <w:tc>
          <w:tcPr>
            <w:tcW w:w="33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5</w:t>
            </w:r>
          </w:p>
        </w:tc>
        <w:tc>
          <w:tcPr>
            <w:tcW w:w="375" w:type="pct"/>
            <w:vMerge w:val="restart"/>
            <w:tcBorders>
              <w:tl2br w:val="nil"/>
              <w:tr2bl w:val="nil"/>
            </w:tcBorders>
            <w:noWrap w:val="0"/>
            <w:vAlign w:val="center"/>
          </w:tcPr>
          <w:p>
            <w:pPr>
              <w:widowControl w:val="0"/>
              <w:jc w:val="center"/>
              <w:rPr>
                <w:rFonts w:hint="default"/>
                <w:color w:val="auto"/>
                <w:kern w:val="0"/>
                <w:sz w:val="20"/>
                <w:szCs w:val="20"/>
                <w:lang w:val="en-US"/>
              </w:rPr>
            </w:pPr>
            <w:r>
              <w:rPr>
                <w:rFonts w:hint="eastAsia"/>
                <w:color w:val="auto"/>
                <w:kern w:val="0"/>
                <w:sz w:val="20"/>
                <w:szCs w:val="20"/>
                <w:lang w:val="en-US" w:eastAsia="zh-CN"/>
              </w:rPr>
              <w:t>1#趸船转运站</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111.56656444</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30.25293683</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10</w:t>
            </w:r>
          </w:p>
        </w:tc>
        <w:tc>
          <w:tcPr>
            <w:tcW w:w="354" w:type="pct"/>
            <w:vMerge w:val="restar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7.6</w:t>
            </w:r>
          </w:p>
        </w:tc>
        <w:tc>
          <w:tcPr>
            <w:tcW w:w="333" w:type="pct"/>
            <w:vMerge w:val="restar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0</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8</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0.29</w:t>
            </w:r>
          </w:p>
        </w:tc>
        <w:tc>
          <w:tcPr>
            <w:tcW w:w="365"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0.136</w:t>
            </w:r>
          </w:p>
        </w:tc>
        <w:tc>
          <w:tcPr>
            <w:tcW w:w="33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p>
        </w:tc>
        <w:tc>
          <w:tcPr>
            <w:tcW w:w="375" w:type="pct"/>
            <w:vMerge w:val="continue"/>
            <w:tcBorders>
              <w:tl2br w:val="nil"/>
              <w:tr2bl w:val="nil"/>
            </w:tcBorders>
            <w:noWrap w:val="0"/>
            <w:vAlign w:val="center"/>
          </w:tcPr>
          <w:p>
            <w:pPr>
              <w:widowControl w:val="0"/>
              <w:jc w:val="center"/>
              <w:rPr>
                <w:color w:val="auto"/>
                <w:kern w:val="0"/>
                <w:sz w:val="20"/>
                <w:szCs w:val="20"/>
              </w:rPr>
            </w:pPr>
          </w:p>
        </w:tc>
        <w:tc>
          <w:tcPr>
            <w:tcW w:w="497" w:type="pct"/>
            <w:vMerge w:val="continue"/>
            <w:tcBorders>
              <w:tl2br w:val="nil"/>
              <w:tr2bl w:val="nil"/>
            </w:tcBorders>
            <w:noWrap w:val="0"/>
            <w:vAlign w:val="center"/>
          </w:tcPr>
          <w:p>
            <w:pPr>
              <w:widowControl w:val="0"/>
              <w:jc w:val="center"/>
              <w:rPr>
                <w:color w:val="auto"/>
                <w:sz w:val="20"/>
                <w:szCs w:val="20"/>
              </w:rPr>
            </w:pPr>
          </w:p>
        </w:tc>
        <w:tc>
          <w:tcPr>
            <w:tcW w:w="476" w:type="pct"/>
            <w:vMerge w:val="continue"/>
            <w:tcBorders>
              <w:tl2br w:val="nil"/>
              <w:tr2bl w:val="nil"/>
            </w:tcBorders>
            <w:noWrap w:val="0"/>
            <w:vAlign w:val="center"/>
          </w:tcPr>
          <w:p>
            <w:pPr>
              <w:widowControl w:val="0"/>
              <w:jc w:val="center"/>
              <w:rPr>
                <w:color w:val="auto"/>
                <w:sz w:val="20"/>
                <w:szCs w:val="20"/>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28" w:type="pct"/>
            <w:vMerge w:val="continue"/>
            <w:tcBorders>
              <w:tl2br w:val="nil"/>
              <w:tr2bl w:val="nil"/>
            </w:tcBorders>
            <w:noWrap w:val="0"/>
            <w:vAlign w:val="center"/>
          </w:tcPr>
          <w:p>
            <w:pPr>
              <w:widowControl w:val="0"/>
              <w:jc w:val="center"/>
              <w:rPr>
                <w:color w:val="auto"/>
                <w:sz w:val="20"/>
                <w:szCs w:val="20"/>
              </w:rPr>
            </w:pPr>
          </w:p>
        </w:tc>
        <w:tc>
          <w:tcPr>
            <w:tcW w:w="354" w:type="pct"/>
            <w:vMerge w:val="continue"/>
            <w:tcBorders>
              <w:tl2br w:val="nil"/>
              <w:tr2bl w:val="nil"/>
            </w:tcBorders>
            <w:noWrap w:val="0"/>
            <w:vAlign w:val="center"/>
          </w:tcPr>
          <w:p>
            <w:pPr>
              <w:widowControl w:val="0"/>
              <w:jc w:val="center"/>
              <w:rPr>
                <w:color w:val="auto"/>
                <w:sz w:val="20"/>
                <w:szCs w:val="20"/>
              </w:rPr>
            </w:pPr>
          </w:p>
        </w:tc>
        <w:tc>
          <w:tcPr>
            <w:tcW w:w="333" w:type="pct"/>
            <w:vMerge w:val="continue"/>
            <w:tcBorders>
              <w:tl2br w:val="nil"/>
              <w:tr2bl w:val="nil"/>
            </w:tcBorders>
            <w:noWrap w:val="0"/>
            <w:vAlign w:val="center"/>
          </w:tcPr>
          <w:p>
            <w:pPr>
              <w:widowControl w:val="0"/>
              <w:jc w:val="center"/>
              <w:rPr>
                <w:rFonts w:hint="eastAsia" w:eastAsia="宋体"/>
                <w:color w:val="auto"/>
                <w:sz w:val="20"/>
                <w:szCs w:val="20"/>
                <w:lang w:val="en-US" w:eastAsia="zh-CN"/>
              </w:rPr>
            </w:pPr>
          </w:p>
        </w:tc>
        <w:tc>
          <w:tcPr>
            <w:tcW w:w="386" w:type="pct"/>
            <w:vMerge w:val="continue"/>
            <w:tcBorders>
              <w:tl2br w:val="nil"/>
              <w:tr2bl w:val="nil"/>
            </w:tcBorders>
            <w:noWrap w:val="0"/>
            <w:vAlign w:val="center"/>
          </w:tcPr>
          <w:p>
            <w:pPr>
              <w:widowControl w:val="0"/>
              <w:jc w:val="center"/>
              <w:rPr>
                <w:color w:val="auto"/>
                <w:sz w:val="20"/>
                <w:szCs w:val="20"/>
              </w:rPr>
            </w:pPr>
          </w:p>
        </w:tc>
        <w:tc>
          <w:tcPr>
            <w:tcW w:w="301" w:type="pct"/>
            <w:vMerge w:val="continue"/>
            <w:tcBorders>
              <w:tl2br w:val="nil"/>
              <w:tr2bl w:val="nil"/>
            </w:tcBorders>
            <w:noWrap w:val="0"/>
            <w:vAlign w:val="center"/>
          </w:tcPr>
          <w:p>
            <w:pPr>
              <w:widowControl w:val="0"/>
              <w:jc w:val="center"/>
              <w:rPr>
                <w:color w:val="auto"/>
                <w:sz w:val="20"/>
                <w:szCs w:val="20"/>
              </w:rPr>
            </w:pPr>
          </w:p>
        </w:tc>
        <w:tc>
          <w:tcPr>
            <w:tcW w:w="290" w:type="pct"/>
            <w:vMerge w:val="continue"/>
            <w:tcBorders>
              <w:tl2br w:val="nil"/>
              <w:tr2bl w:val="nil"/>
            </w:tcBorders>
            <w:noWrap w:val="0"/>
            <w:vAlign w:val="center"/>
          </w:tcPr>
          <w:p>
            <w:pPr>
              <w:widowControl w:val="0"/>
              <w:jc w:val="center"/>
              <w:rPr>
                <w:color w:val="auto"/>
                <w:sz w:val="20"/>
                <w:szCs w:val="20"/>
              </w:rPr>
            </w:pPr>
          </w:p>
        </w:tc>
        <w:tc>
          <w:tcPr>
            <w:tcW w:w="360" w:type="pct"/>
            <w:vMerge w:val="continue"/>
            <w:tcBorders>
              <w:tl2br w:val="nil"/>
              <w:tr2bl w:val="nil"/>
            </w:tcBorders>
            <w:noWrap w:val="0"/>
            <w:vAlign w:val="center"/>
          </w:tcPr>
          <w:p>
            <w:pPr>
              <w:widowControl w:val="0"/>
              <w:jc w:val="center"/>
              <w:rPr>
                <w:color w:val="auto"/>
                <w:sz w:val="20"/>
                <w:szCs w:val="20"/>
              </w:rPr>
            </w:pPr>
          </w:p>
        </w:tc>
        <w:tc>
          <w:tcPr>
            <w:tcW w:w="365" w:type="pct"/>
            <w:vMerge w:val="continue"/>
            <w:tcBorders>
              <w:tl2br w:val="nil"/>
              <w:tr2bl w:val="nil"/>
            </w:tcBorders>
            <w:noWrap w:val="0"/>
            <w:vAlign w:val="center"/>
          </w:tcPr>
          <w:p>
            <w:pPr>
              <w:widowControl w:val="0"/>
              <w:jc w:val="center"/>
              <w:rPr>
                <w:color w:val="auto"/>
                <w:sz w:val="20"/>
                <w:szCs w:val="20"/>
              </w:rPr>
            </w:pPr>
          </w:p>
        </w:tc>
        <w:tc>
          <w:tcPr>
            <w:tcW w:w="331" w:type="pct"/>
            <w:vMerge w:val="continue"/>
            <w:tcBorders>
              <w:tl2br w:val="nil"/>
              <w:tr2bl w:val="nil"/>
            </w:tcBorders>
            <w:noWrap w:val="0"/>
            <w:vAlign w:val="center"/>
          </w:tcPr>
          <w:p>
            <w:pPr>
              <w:widowControl w:val="0"/>
              <w:jc w:val="center"/>
              <w:rPr>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12" w:hRule="atLeast"/>
          <w:jc w:val="center"/>
        </w:trPr>
        <w:tc>
          <w:tcPr>
            <w:tcW w:w="211"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6</w:t>
            </w:r>
          </w:p>
        </w:tc>
        <w:tc>
          <w:tcPr>
            <w:tcW w:w="375" w:type="pct"/>
            <w:vMerge w:val="restart"/>
            <w:tcBorders>
              <w:tl2br w:val="nil"/>
              <w:tr2bl w:val="nil"/>
            </w:tcBorders>
            <w:noWrap w:val="0"/>
            <w:vAlign w:val="center"/>
          </w:tcPr>
          <w:p>
            <w:pPr>
              <w:widowControl w:val="0"/>
              <w:jc w:val="center"/>
              <w:rPr>
                <w:color w:val="auto"/>
                <w:kern w:val="0"/>
                <w:sz w:val="20"/>
                <w:szCs w:val="20"/>
              </w:rPr>
            </w:pPr>
            <w:r>
              <w:rPr>
                <w:rFonts w:hint="eastAsia"/>
                <w:color w:val="auto"/>
                <w:kern w:val="0"/>
                <w:sz w:val="20"/>
                <w:szCs w:val="20"/>
                <w:lang w:val="en-US" w:eastAsia="zh-CN"/>
              </w:rPr>
              <w:t>2#趸船转运站</w:t>
            </w:r>
          </w:p>
        </w:tc>
        <w:tc>
          <w:tcPr>
            <w:tcW w:w="497"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111.56533599</w:t>
            </w:r>
          </w:p>
        </w:tc>
        <w:tc>
          <w:tcPr>
            <w:tcW w:w="476" w:type="pct"/>
            <w:vMerge w:val="restart"/>
            <w:tcBorders>
              <w:tl2br w:val="nil"/>
              <w:tr2bl w:val="nil"/>
            </w:tcBorders>
            <w:noWrap w:val="0"/>
            <w:vAlign w:val="center"/>
          </w:tcPr>
          <w:p>
            <w:pPr>
              <w:widowControl w:val="0"/>
              <w:jc w:val="center"/>
              <w:rPr>
                <w:color w:val="auto"/>
                <w:sz w:val="20"/>
                <w:szCs w:val="20"/>
              </w:rPr>
            </w:pPr>
            <w:r>
              <w:rPr>
                <w:rFonts w:hint="eastAsia"/>
                <w:color w:val="auto"/>
                <w:sz w:val="20"/>
                <w:szCs w:val="20"/>
              </w:rPr>
              <w:t>30.25352069</w:t>
            </w:r>
          </w:p>
        </w:tc>
        <w:tc>
          <w:tcPr>
            <w:tcW w:w="386" w:type="pct"/>
            <w:vMerge w:val="restar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42</w:t>
            </w:r>
          </w:p>
        </w:tc>
        <w:tc>
          <w:tcPr>
            <w:tcW w:w="328"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10</w:t>
            </w:r>
          </w:p>
        </w:tc>
        <w:tc>
          <w:tcPr>
            <w:tcW w:w="354"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7.6</w:t>
            </w:r>
          </w:p>
        </w:tc>
        <w:tc>
          <w:tcPr>
            <w:tcW w:w="333" w:type="pct"/>
            <w:vMerge w:val="restart"/>
            <w:tcBorders>
              <w:tl2br w:val="nil"/>
              <w:tr2bl w:val="nil"/>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103</w:t>
            </w:r>
          </w:p>
        </w:tc>
        <w:tc>
          <w:tcPr>
            <w:tcW w:w="386" w:type="pct"/>
            <w:vMerge w:val="restart"/>
            <w:tcBorders>
              <w:tl2br w:val="nil"/>
              <w:tr2bl w:val="nil"/>
            </w:tcBorders>
            <w:noWrap w:val="0"/>
            <w:vAlign w:val="center"/>
          </w:tcPr>
          <w:p>
            <w:pPr>
              <w:widowControl w:val="0"/>
              <w:jc w:val="center"/>
              <w:rPr>
                <w:rFonts w:hint="eastAsia" w:eastAsia="宋体"/>
                <w:color w:val="auto"/>
                <w:sz w:val="20"/>
                <w:szCs w:val="20"/>
                <w:lang w:val="en-US" w:eastAsia="zh-CN"/>
              </w:rPr>
            </w:pPr>
            <w:r>
              <w:rPr>
                <w:rFonts w:hint="eastAsia"/>
                <w:color w:val="auto"/>
                <w:sz w:val="20"/>
                <w:szCs w:val="20"/>
                <w:lang w:val="en-US" w:eastAsia="zh-CN"/>
              </w:rPr>
              <w:t>8</w:t>
            </w:r>
          </w:p>
        </w:tc>
        <w:tc>
          <w:tcPr>
            <w:tcW w:w="30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7920</w:t>
            </w:r>
          </w:p>
        </w:tc>
        <w:tc>
          <w:tcPr>
            <w:tcW w:w="290"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正常</w:t>
            </w:r>
          </w:p>
        </w:tc>
        <w:tc>
          <w:tcPr>
            <w:tcW w:w="360"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0.29</w:t>
            </w:r>
          </w:p>
        </w:tc>
        <w:tc>
          <w:tcPr>
            <w:tcW w:w="365"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0.136</w:t>
            </w:r>
          </w:p>
        </w:tc>
        <w:tc>
          <w:tcPr>
            <w:tcW w:w="331"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11" w:type="pct"/>
            <w:vMerge w:val="continue"/>
            <w:tcBorders>
              <w:tl2br w:val="nil"/>
              <w:tr2bl w:val="nil"/>
            </w:tcBorders>
            <w:noWrap w:val="0"/>
            <w:vAlign w:val="center"/>
          </w:tcPr>
          <w:p>
            <w:pPr>
              <w:widowControl w:val="0"/>
              <w:jc w:val="center"/>
              <w:rPr>
                <w:color w:val="auto"/>
                <w:sz w:val="20"/>
              </w:rPr>
            </w:pPr>
          </w:p>
        </w:tc>
        <w:tc>
          <w:tcPr>
            <w:tcW w:w="375" w:type="pct"/>
            <w:vMerge w:val="continue"/>
            <w:tcBorders>
              <w:tl2br w:val="nil"/>
              <w:tr2bl w:val="nil"/>
            </w:tcBorders>
            <w:noWrap w:val="0"/>
            <w:vAlign w:val="center"/>
          </w:tcPr>
          <w:p>
            <w:pPr>
              <w:widowControl w:val="0"/>
              <w:jc w:val="center"/>
              <w:rPr>
                <w:color w:val="auto"/>
                <w:kern w:val="0"/>
                <w:sz w:val="20"/>
              </w:rPr>
            </w:pPr>
          </w:p>
        </w:tc>
        <w:tc>
          <w:tcPr>
            <w:tcW w:w="497" w:type="pct"/>
            <w:vMerge w:val="continue"/>
            <w:tcBorders>
              <w:tl2br w:val="nil"/>
              <w:tr2bl w:val="nil"/>
            </w:tcBorders>
            <w:noWrap w:val="0"/>
            <w:vAlign w:val="center"/>
          </w:tcPr>
          <w:p>
            <w:pPr>
              <w:widowControl w:val="0"/>
              <w:jc w:val="center"/>
              <w:rPr>
                <w:color w:val="auto"/>
                <w:sz w:val="20"/>
              </w:rPr>
            </w:pPr>
          </w:p>
        </w:tc>
        <w:tc>
          <w:tcPr>
            <w:tcW w:w="476" w:type="pct"/>
            <w:vMerge w:val="continue"/>
            <w:tcBorders>
              <w:tl2br w:val="nil"/>
              <w:tr2bl w:val="nil"/>
            </w:tcBorders>
            <w:noWrap w:val="0"/>
            <w:vAlign w:val="center"/>
          </w:tcPr>
          <w:p>
            <w:pPr>
              <w:widowControl w:val="0"/>
              <w:jc w:val="center"/>
              <w:rPr>
                <w:color w:val="auto"/>
                <w:sz w:val="20"/>
              </w:rPr>
            </w:pPr>
          </w:p>
        </w:tc>
        <w:tc>
          <w:tcPr>
            <w:tcW w:w="386" w:type="pct"/>
            <w:vMerge w:val="continue"/>
            <w:tcBorders>
              <w:tl2br w:val="nil"/>
              <w:tr2bl w:val="nil"/>
            </w:tcBorders>
            <w:noWrap w:val="0"/>
            <w:vAlign w:val="center"/>
          </w:tcPr>
          <w:p>
            <w:pPr>
              <w:widowControl w:val="0"/>
              <w:jc w:val="center"/>
              <w:rPr>
                <w:color w:val="auto"/>
                <w:sz w:val="20"/>
              </w:rPr>
            </w:pPr>
          </w:p>
        </w:tc>
        <w:tc>
          <w:tcPr>
            <w:tcW w:w="328" w:type="pct"/>
            <w:vMerge w:val="continue"/>
            <w:tcBorders>
              <w:tl2br w:val="nil"/>
              <w:tr2bl w:val="nil"/>
            </w:tcBorders>
            <w:noWrap w:val="0"/>
            <w:vAlign w:val="center"/>
          </w:tcPr>
          <w:p>
            <w:pPr>
              <w:widowControl w:val="0"/>
              <w:jc w:val="center"/>
              <w:rPr>
                <w:color w:val="auto"/>
                <w:sz w:val="20"/>
              </w:rPr>
            </w:pPr>
          </w:p>
        </w:tc>
        <w:tc>
          <w:tcPr>
            <w:tcW w:w="354" w:type="pct"/>
            <w:vMerge w:val="continue"/>
            <w:tcBorders>
              <w:tl2br w:val="nil"/>
              <w:tr2bl w:val="nil"/>
            </w:tcBorders>
            <w:noWrap w:val="0"/>
            <w:vAlign w:val="center"/>
          </w:tcPr>
          <w:p>
            <w:pPr>
              <w:widowControl w:val="0"/>
              <w:jc w:val="center"/>
              <w:rPr>
                <w:color w:val="auto"/>
                <w:sz w:val="20"/>
              </w:rPr>
            </w:pPr>
          </w:p>
        </w:tc>
        <w:tc>
          <w:tcPr>
            <w:tcW w:w="333" w:type="pct"/>
            <w:vMerge w:val="continue"/>
            <w:tcBorders>
              <w:tl2br w:val="nil"/>
              <w:tr2bl w:val="nil"/>
            </w:tcBorders>
            <w:noWrap w:val="0"/>
            <w:vAlign w:val="center"/>
          </w:tcPr>
          <w:p>
            <w:pPr>
              <w:widowControl w:val="0"/>
              <w:jc w:val="center"/>
              <w:rPr>
                <w:rFonts w:hint="default" w:eastAsia="宋体"/>
                <w:color w:val="auto"/>
                <w:sz w:val="20"/>
                <w:lang w:val="en-US" w:eastAsia="zh-CN"/>
              </w:rPr>
            </w:pPr>
          </w:p>
        </w:tc>
        <w:tc>
          <w:tcPr>
            <w:tcW w:w="386" w:type="pct"/>
            <w:vMerge w:val="continue"/>
            <w:tcBorders>
              <w:tl2br w:val="nil"/>
              <w:tr2bl w:val="nil"/>
            </w:tcBorders>
            <w:noWrap w:val="0"/>
            <w:vAlign w:val="center"/>
          </w:tcPr>
          <w:p>
            <w:pPr>
              <w:widowControl w:val="0"/>
              <w:jc w:val="center"/>
              <w:rPr>
                <w:color w:val="auto"/>
                <w:sz w:val="20"/>
              </w:rPr>
            </w:pPr>
          </w:p>
        </w:tc>
        <w:tc>
          <w:tcPr>
            <w:tcW w:w="301" w:type="pct"/>
            <w:vMerge w:val="continue"/>
            <w:tcBorders>
              <w:tl2br w:val="nil"/>
              <w:tr2bl w:val="nil"/>
            </w:tcBorders>
            <w:noWrap w:val="0"/>
            <w:vAlign w:val="center"/>
          </w:tcPr>
          <w:p>
            <w:pPr>
              <w:widowControl w:val="0"/>
              <w:jc w:val="center"/>
              <w:rPr>
                <w:color w:val="auto"/>
                <w:sz w:val="20"/>
              </w:rPr>
            </w:pPr>
          </w:p>
        </w:tc>
        <w:tc>
          <w:tcPr>
            <w:tcW w:w="290" w:type="pct"/>
            <w:vMerge w:val="continue"/>
            <w:tcBorders>
              <w:tl2br w:val="nil"/>
              <w:tr2bl w:val="nil"/>
            </w:tcBorders>
            <w:noWrap w:val="0"/>
            <w:vAlign w:val="center"/>
          </w:tcPr>
          <w:p>
            <w:pPr>
              <w:widowControl w:val="0"/>
              <w:jc w:val="center"/>
              <w:rPr>
                <w:color w:val="auto"/>
                <w:sz w:val="20"/>
              </w:rPr>
            </w:pPr>
          </w:p>
        </w:tc>
        <w:tc>
          <w:tcPr>
            <w:tcW w:w="360" w:type="pct"/>
            <w:vMerge w:val="continue"/>
            <w:tcBorders>
              <w:tl2br w:val="nil"/>
              <w:tr2bl w:val="nil"/>
            </w:tcBorders>
            <w:noWrap w:val="0"/>
            <w:vAlign w:val="center"/>
          </w:tcPr>
          <w:p>
            <w:pPr>
              <w:widowControl w:val="0"/>
              <w:jc w:val="center"/>
              <w:rPr>
                <w:color w:val="auto"/>
                <w:sz w:val="20"/>
              </w:rPr>
            </w:pPr>
          </w:p>
        </w:tc>
        <w:tc>
          <w:tcPr>
            <w:tcW w:w="365" w:type="pct"/>
            <w:vMerge w:val="continue"/>
            <w:tcBorders>
              <w:tl2br w:val="nil"/>
              <w:tr2bl w:val="nil"/>
            </w:tcBorders>
            <w:noWrap w:val="0"/>
            <w:vAlign w:val="center"/>
          </w:tcPr>
          <w:p>
            <w:pPr>
              <w:widowControl w:val="0"/>
              <w:jc w:val="center"/>
              <w:rPr>
                <w:color w:val="auto"/>
                <w:sz w:val="20"/>
              </w:rPr>
            </w:pPr>
          </w:p>
        </w:tc>
        <w:tc>
          <w:tcPr>
            <w:tcW w:w="331" w:type="pct"/>
            <w:vMerge w:val="continue"/>
            <w:tcBorders>
              <w:tl2br w:val="nil"/>
              <w:tr2bl w:val="nil"/>
            </w:tcBorders>
            <w:noWrap w:val="0"/>
            <w:vAlign w:val="center"/>
          </w:tcPr>
          <w:p>
            <w:pPr>
              <w:widowControl w:val="0"/>
              <w:jc w:val="center"/>
              <w:rPr>
                <w:color w:val="auto"/>
                <w:sz w:val="20"/>
              </w:rPr>
            </w:pPr>
          </w:p>
        </w:tc>
      </w:tr>
    </w:tbl>
    <w:p>
      <w:pPr>
        <w:pStyle w:val="117"/>
        <w:rPr>
          <w:rFonts w:eastAsia="黑体"/>
          <w:b/>
          <w:color w:val="auto"/>
          <w:szCs w:val="21"/>
        </w:rPr>
      </w:pPr>
    </w:p>
    <w:p>
      <w:pPr>
        <w:rPr>
          <w:rFonts w:eastAsia="黑体"/>
          <w:b/>
          <w:color w:val="auto"/>
          <w:szCs w:val="21"/>
        </w:rPr>
      </w:pPr>
    </w:p>
    <w:p>
      <w:pPr>
        <w:widowControl w:val="0"/>
        <w:spacing w:before="120" w:after="120" w:line="360" w:lineRule="auto"/>
        <w:outlineLvl w:val="3"/>
        <w:rPr>
          <w:rFonts w:eastAsia="黑体"/>
          <w:color w:val="auto"/>
          <w:sz w:val="24"/>
        </w:rPr>
        <w:sectPr>
          <w:headerReference r:id="rId21" w:type="default"/>
          <w:pgSz w:w="16838" w:h="11905" w:orient="landscape"/>
          <w:pgMar w:top="1803" w:right="1440" w:bottom="1803" w:left="1440" w:header="851" w:footer="964" w:gutter="0"/>
          <w:pgBorders>
            <w:top w:val="none" w:sz="0" w:space="0"/>
            <w:left w:val="none" w:sz="0" w:space="0"/>
            <w:bottom w:val="none" w:sz="0" w:space="0"/>
            <w:right w:val="none" w:sz="0" w:space="0"/>
          </w:pgBorders>
          <w:pgNumType w:fmt="decimal"/>
          <w:cols w:space="0" w:num="1"/>
          <w:rtlGutter w:val="0"/>
          <w:docGrid w:linePitch="312" w:charSpace="0"/>
        </w:sectPr>
      </w:pP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.2.2.3预测结果</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大气污染源影响估算结果见下表。</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5.2</w:t>
      </w:r>
      <w:r>
        <w:rPr>
          <w:rFonts w:eastAsia="黑体"/>
          <w:b/>
          <w:color w:val="auto"/>
          <w:szCs w:val="21"/>
        </w:rPr>
        <w:t>-</w:t>
      </w:r>
      <w:r>
        <w:rPr>
          <w:rFonts w:hint="eastAsia" w:eastAsia="黑体"/>
          <w:b/>
          <w:color w:val="auto"/>
          <w:szCs w:val="21"/>
          <w:lang w:val="en-US" w:eastAsia="zh-CN"/>
        </w:rPr>
        <w:t>17</w:t>
      </w:r>
      <w:r>
        <w:rPr>
          <w:rFonts w:eastAsia="黑体"/>
          <w:b/>
          <w:color w:val="auto"/>
          <w:szCs w:val="21"/>
        </w:rPr>
        <w:t xml:space="preserve">  </w:t>
      </w:r>
      <w:r>
        <w:rPr>
          <w:rFonts w:hint="eastAsia" w:eastAsia="黑体"/>
          <w:b/>
          <w:color w:val="auto"/>
          <w:szCs w:val="21"/>
          <w:lang w:val="en-US" w:eastAsia="zh-CN"/>
        </w:rPr>
        <w:t>大气污染源强影响估算结果</w:t>
      </w:r>
      <w:r>
        <w:rPr>
          <w:rFonts w:eastAsia="黑体"/>
          <w:b/>
          <w:color w:val="auto"/>
          <w:szCs w:val="21"/>
        </w:rPr>
        <w:t>一览表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065"/>
        <w:gridCol w:w="1155"/>
        <w:gridCol w:w="1094"/>
        <w:gridCol w:w="1094"/>
        <w:gridCol w:w="1079"/>
        <w:gridCol w:w="1063"/>
        <w:gridCol w:w="12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noWrap w:val="0"/>
            <w:vAlign w:val="center"/>
          </w:tcPr>
          <w:p>
            <w:pPr>
              <w:widowControl w:val="0"/>
              <w:ind w:left="-105" w:leftChars="-50" w:right="-105" w:rightChars="-50"/>
              <w:jc w:val="center"/>
              <w:rPr>
                <w:rFonts w:hint="eastAsia" w:eastAsia="宋体"/>
                <w:color w:val="auto"/>
                <w:sz w:val="20"/>
                <w:lang w:val="en-US" w:eastAsia="zh-CN"/>
              </w:rPr>
            </w:pPr>
            <w:r>
              <w:rPr>
                <w:rFonts w:hint="eastAsia"/>
                <w:color w:val="auto"/>
                <w:sz w:val="20"/>
                <w:lang w:val="en-US" w:eastAsia="zh-CN"/>
              </w:rPr>
              <w:t>工况</w:t>
            </w:r>
          </w:p>
        </w:tc>
        <w:tc>
          <w:tcPr>
            <w:tcW w:w="625" w:type="pc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污染源名称</w:t>
            </w:r>
          </w:p>
        </w:tc>
        <w:tc>
          <w:tcPr>
            <w:tcW w:w="678" w:type="pc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污染源</w:t>
            </w:r>
          </w:p>
        </w:tc>
        <w:tc>
          <w:tcPr>
            <w:tcW w:w="642" w:type="pct"/>
            <w:noWrap w:val="0"/>
            <w:vAlign w:val="center"/>
          </w:tcPr>
          <w:p>
            <w:pPr>
              <w:widowControl w:val="0"/>
              <w:ind w:left="-105" w:leftChars="-50" w:right="-105" w:rightChars="-50"/>
              <w:jc w:val="center"/>
              <w:rPr>
                <w:rFonts w:hint="eastAsia" w:eastAsia="宋体"/>
                <w:color w:val="auto"/>
                <w:sz w:val="20"/>
                <w:lang w:val="en-US" w:eastAsia="zh-CN"/>
              </w:rPr>
            </w:pPr>
            <w:r>
              <w:rPr>
                <w:rFonts w:hint="eastAsia"/>
                <w:color w:val="auto"/>
                <w:sz w:val="20"/>
                <w:lang w:val="en-US" w:eastAsia="zh-CN"/>
              </w:rPr>
              <w:t>评价因子</w:t>
            </w:r>
          </w:p>
        </w:tc>
        <w:tc>
          <w:tcPr>
            <w:tcW w:w="642" w:type="pc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评价标准mg/m</w:t>
            </w:r>
            <w:r>
              <w:rPr>
                <w:rFonts w:hint="eastAsia"/>
                <w:color w:val="auto"/>
                <w:sz w:val="20"/>
                <w:vertAlign w:val="superscript"/>
                <w:lang w:val="en-US" w:eastAsia="zh-CN"/>
              </w:rPr>
              <w:t>3</w:t>
            </w:r>
          </w:p>
        </w:tc>
        <w:tc>
          <w:tcPr>
            <w:tcW w:w="633" w:type="pc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C</w:t>
            </w:r>
            <w:r>
              <w:rPr>
                <w:rFonts w:hint="eastAsia"/>
                <w:color w:val="auto"/>
                <w:sz w:val="20"/>
                <w:vertAlign w:val="subscript"/>
                <w:lang w:val="en-US" w:eastAsia="zh-CN"/>
              </w:rPr>
              <w:t>max</w:t>
            </w:r>
          </w:p>
        </w:tc>
        <w:tc>
          <w:tcPr>
            <w:tcW w:w="624" w:type="pct"/>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P</w:t>
            </w:r>
            <w:r>
              <w:rPr>
                <w:rFonts w:hint="eastAsia"/>
                <w:color w:val="auto"/>
                <w:sz w:val="20"/>
                <w:vertAlign w:val="subscript"/>
                <w:lang w:val="en-US" w:eastAsia="zh-CN"/>
              </w:rPr>
              <w:t>max</w:t>
            </w:r>
          </w:p>
        </w:tc>
        <w:tc>
          <w:tcPr>
            <w:tcW w:w="748" w:type="pct"/>
            <w:tcBorders>
              <w:bottom w:val="single" w:color="auto" w:sz="12" w:space="0"/>
            </w:tcBorders>
            <w:noWrap w:val="0"/>
            <w:vAlign w:val="center"/>
          </w:tcPr>
          <w:p>
            <w:pPr>
              <w:widowControl w:val="0"/>
              <w:ind w:left="-105" w:leftChars="-50" w:right="-105" w:rightChars="-50"/>
              <w:jc w:val="center"/>
              <w:rPr>
                <w:rFonts w:hint="default" w:eastAsia="宋体"/>
                <w:color w:val="auto"/>
                <w:sz w:val="20"/>
                <w:lang w:val="en-US" w:eastAsia="zh-CN"/>
              </w:rPr>
            </w:pPr>
            <w:r>
              <w:rPr>
                <w:rFonts w:hint="eastAsia"/>
                <w:color w:val="auto"/>
                <w:sz w:val="20"/>
                <w:lang w:val="en-US" w:eastAsia="zh-CN"/>
              </w:rPr>
              <w:t>D</w:t>
            </w:r>
            <w:r>
              <w:rPr>
                <w:rFonts w:hint="eastAsia"/>
                <w:color w:val="auto"/>
                <w:sz w:val="20"/>
                <w:vertAlign w:val="subscript"/>
                <w:lang w:val="en-US" w:eastAsia="zh-CN"/>
              </w:rPr>
              <w:t>10%</w:t>
            </w:r>
            <w:r>
              <w:rPr>
                <w:rFonts w:hint="eastAsia"/>
                <w:color w:val="auto"/>
                <w:sz w:val="20"/>
                <w:lang w:val="en-US" w:eastAsia="zh-CN"/>
              </w:rPr>
              <w:t>出现的最远距离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restart"/>
            <w:tcBorders>
              <w:top w:val="single" w:color="auto" w:sz="12" w:space="0"/>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正常工况</w:t>
            </w:r>
          </w:p>
        </w:tc>
        <w:tc>
          <w:tcPr>
            <w:tcW w:w="625" w:type="pct"/>
            <w:vMerge w:val="restart"/>
            <w:tcBorders>
              <w:top w:val="single" w:color="auto" w:sz="12" w:space="0"/>
              <w:tl2br w:val="nil"/>
              <w:tr2bl w:val="nil"/>
            </w:tcBorders>
            <w:noWrap w:val="0"/>
            <w:vAlign w:val="center"/>
          </w:tcPr>
          <w:p>
            <w:pPr>
              <w:widowControl w:val="0"/>
              <w:jc w:val="center"/>
              <w:rPr>
                <w:rFonts w:hint="default"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bidi="ar-SA"/>
              </w:rPr>
              <w:t>1#泊位</w:t>
            </w:r>
          </w:p>
        </w:tc>
        <w:tc>
          <w:tcPr>
            <w:tcW w:w="678" w:type="pct"/>
            <w:vMerge w:val="restart"/>
            <w:tcBorders>
              <w:top w:val="single" w:color="auto" w:sz="12" w:space="0"/>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装卸粉尘</w:t>
            </w:r>
          </w:p>
        </w:tc>
        <w:tc>
          <w:tcPr>
            <w:tcW w:w="642" w:type="pct"/>
            <w:tcBorders>
              <w:top w:val="single" w:color="auto" w:sz="12" w:space="0"/>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0.9</w:t>
            </w:r>
          </w:p>
        </w:tc>
        <w:tc>
          <w:tcPr>
            <w:tcW w:w="633"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0.009584</w:t>
            </w:r>
          </w:p>
        </w:tc>
        <w:tc>
          <w:tcPr>
            <w:tcW w:w="624" w:type="pct"/>
            <w:tcBorders>
              <w:top w:val="single" w:color="auto" w:sz="12" w:space="0"/>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1.06</w:t>
            </w:r>
          </w:p>
        </w:tc>
        <w:tc>
          <w:tcPr>
            <w:tcW w:w="748" w:type="pct"/>
            <w:tcBorders>
              <w:top w:val="single" w:color="auto" w:sz="12" w:space="0"/>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continue"/>
            <w:tcBorders>
              <w:tl2br w:val="nil"/>
              <w:tr2bl w:val="nil"/>
            </w:tcBorders>
            <w:noWrap w:val="0"/>
            <w:vAlign w:val="center"/>
          </w:tcPr>
          <w:p>
            <w:pPr>
              <w:widowControl w:val="0"/>
              <w:jc w:val="center"/>
              <w:rPr>
                <w:rFonts w:hint="eastAsia" w:cs="Times New Roman"/>
                <w:color w:val="auto"/>
                <w:kern w:val="0"/>
                <w:sz w:val="20"/>
                <w:szCs w:val="20"/>
                <w:lang w:val="en-US" w:eastAsia="zh-CN" w:bidi="ar-SA"/>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color w:val="auto"/>
                <w:sz w:val="20"/>
                <w:szCs w:val="20"/>
                <w:lang w:val="en-US" w:eastAsia="zh-CN"/>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0.004313</w:t>
            </w:r>
          </w:p>
        </w:tc>
        <w:tc>
          <w:tcPr>
            <w:tcW w:w="624" w:type="pct"/>
            <w:tcBorders>
              <w:tl2br w:val="nil"/>
              <w:tr2bl w:val="nil"/>
            </w:tcBorders>
            <w:noWrap w:val="0"/>
            <w:vAlign w:val="center"/>
          </w:tcPr>
          <w:p>
            <w:pPr>
              <w:widowControl w:val="0"/>
              <w:jc w:val="center"/>
              <w:rPr>
                <w:rFonts w:hint="default" w:cs="Times New Roman"/>
                <w:color w:val="auto"/>
                <w:kern w:val="2"/>
                <w:sz w:val="20"/>
                <w:szCs w:val="20"/>
                <w:lang w:val="en-US" w:eastAsia="zh-CN" w:bidi="ar-SA"/>
              </w:rPr>
            </w:pPr>
            <w:r>
              <w:rPr>
                <w:rFonts w:hint="eastAsia" w:cs="Times New Roman"/>
                <w:color w:val="auto"/>
                <w:kern w:val="2"/>
                <w:sz w:val="20"/>
                <w:szCs w:val="20"/>
                <w:lang w:val="en-US" w:eastAsia="zh-CN" w:bidi="ar-SA"/>
              </w:rPr>
              <w:t>0.96</w:t>
            </w:r>
          </w:p>
        </w:tc>
        <w:tc>
          <w:tcPr>
            <w:tcW w:w="748" w:type="pct"/>
            <w:tcBorders>
              <w:tl2br w:val="nil"/>
              <w:tr2bl w:val="nil"/>
            </w:tcBorders>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continue"/>
            <w:tcBorders>
              <w:tl2br w:val="nil"/>
              <w:tr2bl w:val="nil"/>
            </w:tcBorders>
            <w:noWrap w:val="0"/>
            <w:vAlign w:val="center"/>
          </w:tcPr>
          <w:p>
            <w:pPr>
              <w:widowControl w:val="0"/>
              <w:jc w:val="center"/>
              <w:rPr>
                <w:rFonts w:hint="eastAsia" w:cs="Times New Roman"/>
                <w:color w:val="auto"/>
                <w:kern w:val="0"/>
                <w:sz w:val="20"/>
                <w:szCs w:val="20"/>
                <w:lang w:val="en-US" w:eastAsia="zh-CN" w:bidi="ar-SA"/>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default"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0.0004792</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0.21</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restart"/>
            <w:tcBorders>
              <w:tl2br w:val="nil"/>
              <w:tr2bl w:val="nil"/>
            </w:tcBorders>
            <w:noWrap w:val="0"/>
            <w:vAlign w:val="center"/>
          </w:tcPr>
          <w:p>
            <w:pPr>
              <w:widowControl w:val="0"/>
              <w:jc w:val="center"/>
              <w:rPr>
                <w:rFonts w:hint="eastAsia" w:ascii="Times New Roman" w:hAnsi="Times New Roman" w:eastAsia="宋体" w:cs="Times New Roman"/>
                <w:color w:val="auto"/>
                <w:kern w:val="0"/>
                <w:sz w:val="20"/>
                <w:szCs w:val="20"/>
                <w:lang w:val="en-US" w:eastAsia="zh-CN" w:bidi="ar-SA"/>
              </w:rPr>
            </w:pPr>
            <w:r>
              <w:rPr>
                <w:rFonts w:hint="eastAsia" w:cs="Times New Roman"/>
                <w:color w:val="auto"/>
                <w:kern w:val="0"/>
                <w:sz w:val="20"/>
                <w:szCs w:val="20"/>
                <w:lang w:val="en-US" w:eastAsia="zh-CN" w:bidi="ar-SA"/>
              </w:rPr>
              <w:t>2#泊位</w:t>
            </w:r>
          </w:p>
        </w:tc>
        <w:tc>
          <w:tcPr>
            <w:tcW w:w="678" w:type="pct"/>
            <w:vMerge w:val="restar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装卸粉尘</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0.9</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0.009584</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1.06</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continue"/>
            <w:tcBorders>
              <w:tl2br w:val="nil"/>
              <w:tr2bl w:val="nil"/>
            </w:tcBorders>
            <w:noWrap w:val="0"/>
            <w:vAlign w:val="center"/>
          </w:tcPr>
          <w:p>
            <w:pPr>
              <w:widowControl w:val="0"/>
              <w:jc w:val="center"/>
              <w:rPr>
                <w:rFonts w:hint="eastAsia" w:cs="Times New Roman"/>
                <w:color w:val="auto"/>
                <w:kern w:val="0"/>
                <w:sz w:val="20"/>
                <w:szCs w:val="20"/>
                <w:lang w:val="en-US" w:eastAsia="zh-CN" w:bidi="ar-SA"/>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0.004313</w:t>
            </w:r>
          </w:p>
        </w:tc>
        <w:tc>
          <w:tcPr>
            <w:tcW w:w="624"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0.96</w:t>
            </w:r>
          </w:p>
        </w:tc>
        <w:tc>
          <w:tcPr>
            <w:tcW w:w="748" w:type="pct"/>
            <w:tcBorders>
              <w:tl2br w:val="nil"/>
              <w:tr2bl w:val="nil"/>
            </w:tcBorders>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continue"/>
            <w:tcBorders>
              <w:tl2br w:val="nil"/>
              <w:tr2bl w:val="nil"/>
            </w:tcBorders>
            <w:noWrap w:val="0"/>
            <w:vAlign w:val="center"/>
          </w:tcPr>
          <w:p>
            <w:pPr>
              <w:widowControl w:val="0"/>
              <w:jc w:val="center"/>
              <w:rPr>
                <w:rFonts w:hint="eastAsia" w:cs="Times New Roman"/>
                <w:color w:val="auto"/>
                <w:kern w:val="0"/>
                <w:sz w:val="20"/>
                <w:szCs w:val="20"/>
                <w:lang w:val="en-US" w:eastAsia="zh-CN" w:bidi="ar-SA"/>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0.0004792</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0.21</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restart"/>
            <w:tcBorders>
              <w:tl2br w:val="nil"/>
              <w:tr2bl w:val="nil"/>
            </w:tcBorders>
            <w:noWrap w:val="0"/>
            <w:vAlign w:val="center"/>
          </w:tcPr>
          <w:p>
            <w:pPr>
              <w:widowControl w:val="0"/>
              <w:jc w:val="center"/>
              <w:rPr>
                <w:rFonts w:hint="eastAsia" w:cs="Times New Roman"/>
                <w:color w:val="auto"/>
                <w:kern w:val="0"/>
                <w:sz w:val="20"/>
                <w:szCs w:val="20"/>
                <w:lang w:val="en-US" w:eastAsia="zh-CN" w:bidi="ar-SA"/>
              </w:rPr>
            </w:pPr>
            <w:r>
              <w:rPr>
                <w:rFonts w:hint="eastAsia"/>
                <w:color w:val="auto"/>
                <w:kern w:val="0"/>
                <w:sz w:val="20"/>
                <w:szCs w:val="20"/>
                <w:lang w:val="en-US" w:eastAsia="zh-CN"/>
              </w:rPr>
              <w:t>1#转运楼</w:t>
            </w:r>
          </w:p>
        </w:tc>
        <w:tc>
          <w:tcPr>
            <w:tcW w:w="678" w:type="pct"/>
            <w:vMerge w:val="restart"/>
            <w:tcBorders>
              <w:tl2br w:val="nil"/>
              <w:tr2bl w:val="nil"/>
            </w:tcBorders>
            <w:noWrap w:val="0"/>
            <w:vAlign w:val="center"/>
          </w:tcPr>
          <w:p>
            <w:pPr>
              <w:widowControl w:val="0"/>
              <w:jc w:val="center"/>
              <w:rPr>
                <w:rFonts w:hint="default" w:cs="Times New Roman"/>
                <w:color w:val="auto"/>
                <w:kern w:val="2"/>
                <w:sz w:val="20"/>
                <w:szCs w:val="20"/>
                <w:lang w:val="en-US" w:eastAsia="zh-CN" w:bidi="ar-SA"/>
              </w:rPr>
            </w:pPr>
            <w:r>
              <w:rPr>
                <w:rFonts w:hint="eastAsia" w:cs="Times New Roman"/>
                <w:color w:val="auto"/>
                <w:kern w:val="2"/>
                <w:sz w:val="20"/>
                <w:szCs w:val="20"/>
                <w:lang w:val="en-US" w:eastAsia="zh-CN" w:bidi="ar-SA"/>
              </w:rPr>
              <w:t>转运粉尘</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0.9</w:t>
            </w:r>
          </w:p>
        </w:tc>
        <w:tc>
          <w:tcPr>
            <w:tcW w:w="6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0.001255</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p>
        </w:tc>
        <w:tc>
          <w:tcPr>
            <w:tcW w:w="625" w:type="pct"/>
            <w:vMerge w:val="continue"/>
            <w:tcBorders>
              <w:tl2br w:val="nil"/>
              <w:tr2bl w:val="nil"/>
            </w:tcBorders>
            <w:noWrap w:val="0"/>
            <w:vAlign w:val="center"/>
          </w:tcPr>
          <w:p>
            <w:pPr>
              <w:widowControl w:val="0"/>
              <w:jc w:val="center"/>
              <w:rPr>
                <w:rFonts w:hint="eastAsia"/>
                <w:color w:val="auto"/>
                <w:kern w:val="0"/>
                <w:sz w:val="20"/>
                <w:szCs w:val="20"/>
                <w:lang w:val="en-US" w:eastAsia="zh-CN"/>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0.0005794</w:t>
            </w:r>
          </w:p>
        </w:tc>
        <w:tc>
          <w:tcPr>
            <w:tcW w:w="624" w:type="pct"/>
            <w:tcBorders>
              <w:tl2br w:val="nil"/>
              <w:tr2bl w:val="nil"/>
            </w:tcBorders>
            <w:noWrap w:val="0"/>
            <w:vAlign w:val="center"/>
          </w:tcPr>
          <w:p>
            <w:pPr>
              <w:widowControl w:val="0"/>
              <w:jc w:val="center"/>
              <w:rPr>
                <w:rFonts w:hint="default"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748" w:type="pct"/>
            <w:tcBorders>
              <w:tl2br w:val="nil"/>
              <w:tr2bl w:val="nil"/>
            </w:tcBorders>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continue"/>
            <w:tcBorders>
              <w:tl2br w:val="nil"/>
              <w:tr2bl w:val="nil"/>
            </w:tcBorders>
            <w:noWrap w:val="0"/>
            <w:vAlign w:val="center"/>
          </w:tcPr>
          <w:p>
            <w:pPr>
              <w:widowControl w:val="0"/>
              <w:jc w:val="center"/>
              <w:rPr>
                <w:color w:val="auto"/>
                <w:kern w:val="0"/>
                <w:sz w:val="20"/>
                <w:szCs w:val="20"/>
              </w:rPr>
            </w:pPr>
          </w:p>
        </w:tc>
        <w:tc>
          <w:tcPr>
            <w:tcW w:w="678" w:type="pct"/>
            <w:vMerge w:val="continue"/>
            <w:tcBorders>
              <w:tl2br w:val="nil"/>
              <w:tr2bl w:val="nil"/>
            </w:tcBorders>
            <w:noWrap w:val="0"/>
            <w:vAlign w:val="center"/>
          </w:tcPr>
          <w:p>
            <w:pPr>
              <w:widowControl w:val="0"/>
              <w:jc w:val="center"/>
              <w:rPr>
                <w:color w:val="auto"/>
                <w:sz w:val="20"/>
                <w:szCs w:val="20"/>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0.000087</w:t>
            </w:r>
          </w:p>
        </w:tc>
        <w:tc>
          <w:tcPr>
            <w:tcW w:w="624"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restart"/>
            <w:tcBorders>
              <w:tl2br w:val="nil"/>
              <w:tr2bl w:val="nil"/>
            </w:tcBorders>
            <w:noWrap w:val="0"/>
            <w:vAlign w:val="center"/>
          </w:tcPr>
          <w:p>
            <w:pPr>
              <w:widowControl w:val="0"/>
              <w:jc w:val="center"/>
              <w:rPr>
                <w:color w:val="auto"/>
                <w:kern w:val="0"/>
                <w:sz w:val="20"/>
                <w:szCs w:val="20"/>
              </w:rPr>
            </w:pPr>
            <w:r>
              <w:rPr>
                <w:rFonts w:hint="eastAsia"/>
                <w:color w:val="auto"/>
                <w:kern w:val="0"/>
                <w:sz w:val="20"/>
                <w:szCs w:val="20"/>
                <w:lang w:val="en-US" w:eastAsia="zh-CN"/>
              </w:rPr>
              <w:t>2#转运楼</w:t>
            </w:r>
          </w:p>
        </w:tc>
        <w:tc>
          <w:tcPr>
            <w:tcW w:w="678" w:type="pct"/>
            <w:vMerge w:val="restart"/>
            <w:tcBorders>
              <w:tl2br w:val="nil"/>
              <w:tr2bl w:val="nil"/>
            </w:tcBorders>
            <w:noWrap w:val="0"/>
            <w:vAlign w:val="center"/>
          </w:tcPr>
          <w:p>
            <w:pPr>
              <w:widowControl w:val="0"/>
              <w:jc w:val="center"/>
              <w:rPr>
                <w:color w:val="auto"/>
                <w:sz w:val="20"/>
                <w:szCs w:val="20"/>
              </w:rPr>
            </w:pPr>
            <w:r>
              <w:rPr>
                <w:rFonts w:hint="eastAsia" w:cs="Times New Roman"/>
                <w:color w:val="auto"/>
                <w:kern w:val="2"/>
                <w:sz w:val="20"/>
                <w:szCs w:val="20"/>
                <w:lang w:val="en-US" w:eastAsia="zh-CN" w:bidi="ar-SA"/>
              </w:rPr>
              <w:t>转运粉尘</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0.9</w:t>
            </w:r>
          </w:p>
        </w:tc>
        <w:tc>
          <w:tcPr>
            <w:tcW w:w="633"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0.002414</w:t>
            </w:r>
          </w:p>
        </w:tc>
        <w:tc>
          <w:tcPr>
            <w:tcW w:w="624"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0.27</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continue"/>
            <w:tcBorders>
              <w:tl2br w:val="nil"/>
              <w:tr2bl w:val="nil"/>
            </w:tcBorders>
            <w:noWrap w:val="0"/>
            <w:vAlign w:val="center"/>
          </w:tcPr>
          <w:p>
            <w:pPr>
              <w:widowControl w:val="0"/>
              <w:jc w:val="center"/>
              <w:rPr>
                <w:rFonts w:hint="eastAsia"/>
                <w:color w:val="auto"/>
                <w:kern w:val="0"/>
                <w:sz w:val="20"/>
                <w:szCs w:val="20"/>
                <w:lang w:val="en-US" w:eastAsia="zh-CN"/>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0.0009657</w:t>
            </w:r>
          </w:p>
        </w:tc>
        <w:tc>
          <w:tcPr>
            <w:tcW w:w="624" w:type="pct"/>
            <w:tcBorders>
              <w:tl2br w:val="nil"/>
              <w:tr2bl w:val="nil"/>
            </w:tcBorders>
            <w:noWrap w:val="0"/>
            <w:vAlign w:val="center"/>
          </w:tcPr>
          <w:p>
            <w:pPr>
              <w:widowControl w:val="0"/>
              <w:jc w:val="center"/>
              <w:rPr>
                <w:rFonts w:hint="default"/>
                <w:color w:val="auto"/>
                <w:sz w:val="20"/>
                <w:szCs w:val="20"/>
                <w:lang w:val="en-US" w:eastAsia="zh-CN"/>
              </w:rPr>
            </w:pPr>
            <w:r>
              <w:rPr>
                <w:rFonts w:hint="eastAsia"/>
                <w:color w:val="auto"/>
                <w:sz w:val="20"/>
                <w:szCs w:val="20"/>
                <w:lang w:val="en-US" w:eastAsia="zh-CN"/>
              </w:rPr>
              <w:t>0.21</w:t>
            </w:r>
          </w:p>
        </w:tc>
        <w:tc>
          <w:tcPr>
            <w:tcW w:w="748" w:type="pct"/>
            <w:tcBorders>
              <w:tl2br w:val="nil"/>
              <w:tr2bl w:val="nil"/>
            </w:tcBorders>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continue"/>
            <w:tcBorders>
              <w:tl2br w:val="nil"/>
              <w:tr2bl w:val="nil"/>
            </w:tcBorders>
            <w:noWrap w:val="0"/>
            <w:vAlign w:val="center"/>
          </w:tcPr>
          <w:p>
            <w:pPr>
              <w:widowControl w:val="0"/>
              <w:jc w:val="center"/>
              <w:rPr>
                <w:color w:val="auto"/>
                <w:kern w:val="0"/>
                <w:sz w:val="20"/>
                <w:szCs w:val="20"/>
              </w:rPr>
            </w:pPr>
          </w:p>
        </w:tc>
        <w:tc>
          <w:tcPr>
            <w:tcW w:w="678" w:type="pct"/>
            <w:vMerge w:val="continue"/>
            <w:tcBorders>
              <w:tl2br w:val="nil"/>
              <w:tr2bl w:val="nil"/>
            </w:tcBorders>
            <w:noWrap w:val="0"/>
            <w:vAlign w:val="center"/>
          </w:tcPr>
          <w:p>
            <w:pPr>
              <w:widowControl w:val="0"/>
              <w:jc w:val="center"/>
              <w:rPr>
                <w:color w:val="auto"/>
                <w:sz w:val="20"/>
                <w:szCs w:val="20"/>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0.000097</w:t>
            </w:r>
          </w:p>
        </w:tc>
        <w:tc>
          <w:tcPr>
            <w:tcW w:w="624" w:type="pct"/>
            <w:tcBorders>
              <w:tl2br w:val="nil"/>
              <w:tr2bl w:val="nil"/>
            </w:tcBorders>
            <w:noWrap w:val="0"/>
            <w:vAlign w:val="center"/>
          </w:tcPr>
          <w:p>
            <w:pPr>
              <w:widowControl w:val="0"/>
              <w:jc w:val="center"/>
              <w:rPr>
                <w:rFonts w:hint="default" w:eastAsia="宋体"/>
                <w:color w:val="auto"/>
                <w:sz w:val="20"/>
                <w:szCs w:val="20"/>
                <w:lang w:val="en-US" w:eastAsia="zh-CN"/>
              </w:rPr>
            </w:pPr>
            <w:r>
              <w:rPr>
                <w:rFonts w:hint="eastAsia"/>
                <w:color w:val="auto"/>
                <w:sz w:val="20"/>
                <w:szCs w:val="20"/>
                <w:lang w:val="en-US" w:eastAsia="zh-CN"/>
              </w:rPr>
              <w:t>0.04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restart"/>
            <w:tcBorders>
              <w:tl2br w:val="nil"/>
              <w:tr2bl w:val="nil"/>
            </w:tcBorders>
            <w:noWrap w:val="0"/>
            <w:vAlign w:val="center"/>
          </w:tcPr>
          <w:p>
            <w:pPr>
              <w:widowControl w:val="0"/>
              <w:jc w:val="center"/>
              <w:rPr>
                <w:color w:val="auto"/>
                <w:kern w:val="0"/>
                <w:sz w:val="20"/>
                <w:szCs w:val="20"/>
              </w:rPr>
            </w:pPr>
            <w:r>
              <w:rPr>
                <w:rFonts w:hint="eastAsia"/>
                <w:color w:val="auto"/>
                <w:kern w:val="0"/>
                <w:sz w:val="20"/>
                <w:szCs w:val="20"/>
                <w:lang w:val="en-US" w:eastAsia="zh-CN"/>
              </w:rPr>
              <w:t>1#趸船转运站</w:t>
            </w:r>
          </w:p>
        </w:tc>
        <w:tc>
          <w:tcPr>
            <w:tcW w:w="678" w:type="pct"/>
            <w:vMerge w:val="restart"/>
            <w:tcBorders>
              <w:tl2br w:val="nil"/>
              <w:tr2bl w:val="nil"/>
            </w:tcBorders>
            <w:noWrap w:val="0"/>
            <w:vAlign w:val="center"/>
          </w:tcPr>
          <w:p>
            <w:pPr>
              <w:widowControl w:val="0"/>
              <w:jc w:val="center"/>
              <w:rPr>
                <w:color w:val="auto"/>
                <w:sz w:val="20"/>
                <w:szCs w:val="20"/>
              </w:rPr>
            </w:pPr>
            <w:r>
              <w:rPr>
                <w:rFonts w:hint="eastAsia" w:cs="Times New Roman"/>
                <w:color w:val="auto"/>
                <w:kern w:val="2"/>
                <w:sz w:val="20"/>
                <w:szCs w:val="20"/>
                <w:lang w:val="en-US" w:eastAsia="zh-CN" w:bidi="ar-SA"/>
              </w:rPr>
              <w:t>转运粉尘</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0.9</w:t>
            </w:r>
          </w:p>
        </w:tc>
        <w:tc>
          <w:tcPr>
            <w:tcW w:w="633"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0.001255</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color w:val="auto"/>
                <w:sz w:val="20"/>
                <w:szCs w:val="20"/>
              </w:rPr>
            </w:pPr>
          </w:p>
        </w:tc>
        <w:tc>
          <w:tcPr>
            <w:tcW w:w="625" w:type="pct"/>
            <w:vMerge w:val="continue"/>
            <w:tcBorders>
              <w:tl2br w:val="nil"/>
              <w:tr2bl w:val="nil"/>
            </w:tcBorders>
            <w:noWrap w:val="0"/>
            <w:vAlign w:val="center"/>
          </w:tcPr>
          <w:p>
            <w:pPr>
              <w:widowControl w:val="0"/>
              <w:jc w:val="center"/>
              <w:rPr>
                <w:rFonts w:hint="eastAsia"/>
                <w:color w:val="auto"/>
                <w:kern w:val="0"/>
                <w:sz w:val="20"/>
                <w:szCs w:val="20"/>
                <w:lang w:val="en-US" w:eastAsia="zh-CN"/>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0.0005794</w:t>
            </w:r>
          </w:p>
        </w:tc>
        <w:tc>
          <w:tcPr>
            <w:tcW w:w="624"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748" w:type="pct"/>
            <w:tcBorders>
              <w:tl2br w:val="nil"/>
              <w:tr2bl w:val="nil"/>
            </w:tcBorders>
            <w:noWrap w:val="0"/>
            <w:vAlign w:val="center"/>
          </w:tcPr>
          <w:p>
            <w:pPr>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625" w:type="pct"/>
            <w:vMerge w:val="continue"/>
            <w:tcBorders>
              <w:tl2br w:val="nil"/>
              <w:tr2bl w:val="nil"/>
            </w:tcBorders>
            <w:noWrap w:val="0"/>
            <w:vAlign w:val="center"/>
          </w:tcPr>
          <w:p>
            <w:pPr>
              <w:widowControl w:val="0"/>
              <w:jc w:val="center"/>
              <w:rPr>
                <w:rFonts w:hint="default"/>
                <w:color w:val="auto"/>
                <w:kern w:val="0"/>
                <w:sz w:val="20"/>
                <w:szCs w:val="20"/>
                <w:lang w:val="en-US"/>
              </w:rPr>
            </w:pPr>
          </w:p>
        </w:tc>
        <w:tc>
          <w:tcPr>
            <w:tcW w:w="678" w:type="pct"/>
            <w:vMerge w:val="continue"/>
            <w:tcBorders>
              <w:tl2br w:val="nil"/>
              <w:tr2bl w:val="nil"/>
            </w:tcBorders>
            <w:noWrap w:val="0"/>
            <w:vAlign w:val="center"/>
          </w:tcPr>
          <w:p>
            <w:pPr>
              <w:widowControl w:val="0"/>
              <w:jc w:val="center"/>
              <w:rPr>
                <w:color w:val="auto"/>
                <w:sz w:val="20"/>
                <w:szCs w:val="20"/>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0.000087</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625" w:type="pct"/>
            <w:vMerge w:val="restart"/>
            <w:tcBorders>
              <w:tl2br w:val="nil"/>
              <w:tr2bl w:val="nil"/>
            </w:tcBorders>
            <w:noWrap w:val="0"/>
            <w:vAlign w:val="center"/>
          </w:tcPr>
          <w:p>
            <w:pPr>
              <w:widowControl w:val="0"/>
              <w:jc w:val="center"/>
              <w:rPr>
                <w:rFonts w:hint="default"/>
                <w:color w:val="auto"/>
                <w:kern w:val="0"/>
                <w:sz w:val="20"/>
                <w:szCs w:val="20"/>
                <w:lang w:val="en-US"/>
              </w:rPr>
            </w:pPr>
            <w:r>
              <w:rPr>
                <w:rFonts w:hint="eastAsia"/>
                <w:color w:val="auto"/>
                <w:kern w:val="0"/>
                <w:sz w:val="20"/>
                <w:szCs w:val="20"/>
                <w:lang w:val="en-US" w:eastAsia="zh-CN"/>
              </w:rPr>
              <w:t>2#趸船转运站</w:t>
            </w:r>
          </w:p>
        </w:tc>
        <w:tc>
          <w:tcPr>
            <w:tcW w:w="678" w:type="pct"/>
            <w:vMerge w:val="restart"/>
            <w:tcBorders>
              <w:tl2br w:val="nil"/>
              <w:tr2bl w:val="nil"/>
            </w:tcBorders>
            <w:noWrap w:val="0"/>
            <w:vAlign w:val="center"/>
          </w:tcPr>
          <w:p>
            <w:pPr>
              <w:widowControl w:val="0"/>
              <w:jc w:val="center"/>
              <w:rPr>
                <w:color w:val="auto"/>
                <w:sz w:val="20"/>
                <w:szCs w:val="20"/>
              </w:rPr>
            </w:pPr>
            <w:r>
              <w:rPr>
                <w:rFonts w:hint="eastAsia" w:cs="Times New Roman"/>
                <w:color w:val="auto"/>
                <w:kern w:val="2"/>
                <w:sz w:val="20"/>
                <w:szCs w:val="20"/>
                <w:lang w:val="en-US" w:eastAsia="zh-CN" w:bidi="ar-SA"/>
              </w:rPr>
              <w:t>转运粉尘</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TSP</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0.9</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0.001255</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625" w:type="pct"/>
            <w:vMerge w:val="continue"/>
            <w:tcBorders>
              <w:tl2br w:val="nil"/>
              <w:tr2bl w:val="nil"/>
            </w:tcBorders>
            <w:noWrap w:val="0"/>
            <w:vAlign w:val="center"/>
          </w:tcPr>
          <w:p>
            <w:pPr>
              <w:widowControl w:val="0"/>
              <w:jc w:val="center"/>
              <w:rPr>
                <w:rFonts w:hint="eastAsia"/>
                <w:color w:val="auto"/>
                <w:kern w:val="0"/>
                <w:sz w:val="20"/>
                <w:szCs w:val="20"/>
                <w:lang w:val="en-US" w:eastAsia="zh-CN"/>
              </w:rPr>
            </w:pPr>
          </w:p>
        </w:tc>
        <w:tc>
          <w:tcPr>
            <w:tcW w:w="678" w:type="pct"/>
            <w:vMerge w:val="continue"/>
            <w:tcBorders>
              <w:tl2br w:val="nil"/>
              <w:tr2bl w:val="nil"/>
            </w:tcBorders>
            <w:noWrap w:val="0"/>
            <w:vAlign w:val="center"/>
          </w:tcPr>
          <w:p>
            <w:pPr>
              <w:widowControl w:val="0"/>
              <w:jc w:val="center"/>
              <w:rPr>
                <w:rFonts w:hint="eastAsia" w:cs="Times New Roman"/>
                <w:color w:val="auto"/>
                <w:kern w:val="2"/>
                <w:sz w:val="20"/>
                <w:szCs w:val="20"/>
                <w:lang w:val="en-US" w:eastAsia="zh-CN" w:bidi="ar-SA"/>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10</w:t>
            </w: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0.45</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0.0005794</w:t>
            </w:r>
          </w:p>
        </w:tc>
        <w:tc>
          <w:tcPr>
            <w:tcW w:w="624"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0.13</w:t>
            </w:r>
          </w:p>
        </w:tc>
        <w:tc>
          <w:tcPr>
            <w:tcW w:w="748" w:type="pct"/>
            <w:tcBorders>
              <w:tl2br w:val="nil"/>
              <w:tr2bl w:val="nil"/>
            </w:tcBorders>
            <w:noWrap w:val="0"/>
            <w:vAlign w:val="center"/>
          </w:tcPr>
          <w:p>
            <w:pPr>
              <w:jc w:val="center"/>
              <w:rPr>
                <w:rFonts w:hint="eastAsia"/>
                <w:color w:val="auto"/>
                <w:sz w:val="20"/>
                <w:szCs w:val="20"/>
                <w:lang w:val="en-US" w:eastAsia="zh-CN"/>
              </w:rPr>
            </w:pPr>
            <w:r>
              <w:rPr>
                <w:rFonts w:hint="eastAsia"/>
                <w:color w:val="auto"/>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04" w:type="pct"/>
            <w:vMerge w:val="continue"/>
            <w:tcBorders>
              <w:tl2br w:val="nil"/>
              <w:tr2bl w:val="nil"/>
            </w:tcBorders>
            <w:noWrap w:val="0"/>
            <w:vAlign w:val="center"/>
          </w:tcPr>
          <w:p>
            <w:pPr>
              <w:widowControl w:val="0"/>
              <w:jc w:val="center"/>
              <w:rPr>
                <w:rFonts w:hint="default" w:eastAsia="宋体"/>
                <w:color w:val="auto"/>
                <w:sz w:val="20"/>
                <w:szCs w:val="20"/>
                <w:lang w:val="en-US" w:eastAsia="zh-CN"/>
              </w:rPr>
            </w:pPr>
          </w:p>
        </w:tc>
        <w:tc>
          <w:tcPr>
            <w:tcW w:w="625" w:type="pct"/>
            <w:vMerge w:val="continue"/>
            <w:tcBorders>
              <w:tl2br w:val="nil"/>
              <w:tr2bl w:val="nil"/>
            </w:tcBorders>
            <w:noWrap w:val="0"/>
            <w:vAlign w:val="center"/>
          </w:tcPr>
          <w:p>
            <w:pPr>
              <w:widowControl w:val="0"/>
              <w:jc w:val="center"/>
              <w:rPr>
                <w:rFonts w:hint="default"/>
                <w:color w:val="auto"/>
                <w:kern w:val="0"/>
                <w:sz w:val="20"/>
                <w:szCs w:val="20"/>
                <w:lang w:val="en-US"/>
              </w:rPr>
            </w:pPr>
          </w:p>
        </w:tc>
        <w:tc>
          <w:tcPr>
            <w:tcW w:w="678" w:type="pct"/>
            <w:vMerge w:val="continue"/>
            <w:tcBorders>
              <w:tl2br w:val="nil"/>
              <w:tr2bl w:val="nil"/>
            </w:tcBorders>
            <w:noWrap w:val="0"/>
            <w:vAlign w:val="center"/>
          </w:tcPr>
          <w:p>
            <w:pPr>
              <w:widowControl w:val="0"/>
              <w:jc w:val="center"/>
              <w:rPr>
                <w:color w:val="auto"/>
                <w:sz w:val="20"/>
                <w:szCs w:val="20"/>
              </w:rPr>
            </w:pPr>
          </w:p>
        </w:tc>
        <w:tc>
          <w:tcPr>
            <w:tcW w:w="642"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s="Times New Roman"/>
                <w:color w:val="auto"/>
                <w:kern w:val="2"/>
                <w:sz w:val="20"/>
                <w:lang w:val="en-US" w:eastAsia="zh-CN" w:bidi="ar-SA"/>
              </w:rPr>
              <w:t>PM</w:t>
            </w:r>
            <w:r>
              <w:rPr>
                <w:rFonts w:hint="eastAsia" w:cs="Times New Roman"/>
                <w:color w:val="auto"/>
                <w:kern w:val="2"/>
                <w:sz w:val="20"/>
                <w:vertAlign w:val="subscript"/>
                <w:lang w:val="en-US" w:eastAsia="zh-CN" w:bidi="ar-SA"/>
              </w:rPr>
              <w:t>2.5</w:t>
            </w:r>
          </w:p>
        </w:tc>
        <w:tc>
          <w:tcPr>
            <w:tcW w:w="642"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0.225</w:t>
            </w:r>
          </w:p>
        </w:tc>
        <w:tc>
          <w:tcPr>
            <w:tcW w:w="633" w:type="pct"/>
            <w:tcBorders>
              <w:tl2br w:val="nil"/>
              <w:tr2bl w:val="nil"/>
            </w:tcBorders>
            <w:noWrap w:val="0"/>
            <w:vAlign w:val="center"/>
          </w:tcPr>
          <w:p>
            <w:pPr>
              <w:widowControl w:val="0"/>
              <w:jc w:val="center"/>
              <w:rPr>
                <w:rFonts w:hint="eastAsia"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0.000087</w:t>
            </w:r>
          </w:p>
        </w:tc>
        <w:tc>
          <w:tcPr>
            <w:tcW w:w="624" w:type="pct"/>
            <w:tcBorders>
              <w:tl2br w:val="nil"/>
              <w:tr2bl w:val="nil"/>
            </w:tcBorders>
            <w:noWrap w:val="0"/>
            <w:vAlign w:val="center"/>
          </w:tcPr>
          <w:p>
            <w:pPr>
              <w:widowControl w:val="0"/>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0.04</w:t>
            </w:r>
          </w:p>
        </w:tc>
        <w:tc>
          <w:tcPr>
            <w:tcW w:w="748" w:type="pct"/>
            <w:tcBorders>
              <w:tl2br w:val="nil"/>
              <w:tr2bl w:val="nil"/>
            </w:tcBorders>
            <w:noWrap w:val="0"/>
            <w:vAlign w:val="center"/>
          </w:tcPr>
          <w:p>
            <w:pPr>
              <w:jc w:val="center"/>
              <w:rPr>
                <w:rFonts w:hint="default" w:ascii="Times New Roman" w:hAnsi="Times New Roman" w:eastAsia="宋体" w:cs="Times New Roman"/>
                <w:color w:val="auto"/>
                <w:kern w:val="2"/>
                <w:sz w:val="20"/>
                <w:szCs w:val="20"/>
                <w:lang w:val="en-US" w:eastAsia="zh-CN" w:bidi="ar-SA"/>
              </w:rPr>
            </w:pPr>
            <w:r>
              <w:rPr>
                <w:rFonts w:hint="eastAsia"/>
                <w:color w:val="auto"/>
                <w:sz w:val="20"/>
                <w:szCs w:val="20"/>
                <w:lang w:val="en-US" w:eastAsia="zh-CN"/>
              </w:rPr>
              <w:t>/</w:t>
            </w:r>
          </w:p>
        </w:tc>
      </w:tr>
    </w:tbl>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eastAsia="zh-CN"/>
        </w:rPr>
        <w:t>由上表可知</w:t>
      </w:r>
      <w:r>
        <w:rPr>
          <w:rFonts w:hint="default" w:ascii="Times New Roman" w:hAnsi="Times New Roman" w:eastAsia="仿宋_GB2312" w:cs="Times New Roman"/>
          <w:color w:val="auto"/>
          <w:sz w:val="24"/>
          <w:szCs w:val="24"/>
          <w:lang w:eastAsia="zh-CN"/>
        </w:rPr>
        <w:t>，</w:t>
      </w:r>
      <w:r>
        <w:rPr>
          <w:rFonts w:hint="default" w:ascii="Times New Roman" w:hAnsi="Times New Roman" w:eastAsia="仿宋_GB2312" w:cs="Times New Roman"/>
          <w:color w:val="auto"/>
          <w:sz w:val="24"/>
          <w:szCs w:val="24"/>
          <w:lang w:val="en-US" w:eastAsia="zh-CN"/>
        </w:rPr>
        <w:t>1#泊位装卸粉尘经大气扩散后下风向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最大落地浓度及占标率为0.009584μg/m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、1.06%，</w:t>
      </w:r>
      <w:r>
        <w:rPr>
          <w:rFonts w:hint="eastAsia" w:eastAsia="仿宋_GB2312" w:cs="Times New Roman"/>
          <w:color w:val="auto"/>
          <w:sz w:val="24"/>
          <w:szCs w:val="24"/>
          <w:lang w:val="en-US" w:eastAsia="zh-CN"/>
        </w:rPr>
        <w:t>2</w:t>
      </w:r>
      <w:r>
        <w:rPr>
          <w:rFonts w:hint="default" w:ascii="Times New Roman" w:hAnsi="Times New Roman" w:eastAsia="仿宋_GB2312" w:cs="Times New Roman"/>
          <w:color w:val="auto"/>
          <w:sz w:val="24"/>
          <w:szCs w:val="24"/>
          <w:lang w:val="en-US" w:eastAsia="zh-CN"/>
        </w:rPr>
        <w:t>#泊位装卸粉尘经大气扩散后下风向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w:t>
      </w:r>
      <w:r>
        <w:rPr>
          <w:rFonts w:hint="eastAsia" w:eastAsia="仿宋_GB2312" w:cs="Times New Roman"/>
          <w:color w:val="auto"/>
          <w:sz w:val="24"/>
          <w:szCs w:val="24"/>
          <w:lang w:val="en-US" w:eastAsia="zh-CN"/>
        </w:rPr>
        <w:t>0.009584</w:t>
      </w:r>
      <w:r>
        <w:rPr>
          <w:rFonts w:hint="default" w:ascii="Times New Roman" w:hAnsi="Times New Roman" w:eastAsia="仿宋_GB2312" w:cs="Times New Roman"/>
          <w:color w:val="auto"/>
          <w:sz w:val="24"/>
          <w:szCs w:val="24"/>
          <w:lang w:val="en-US" w:eastAsia="zh-CN"/>
        </w:rPr>
        <w:t>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、1.06%</w:t>
      </w:r>
      <w:r>
        <w:rPr>
          <w:rFonts w:hint="eastAsia" w:eastAsia="仿宋_GB2312" w:cs="Times New Roman"/>
          <w:color w:val="auto"/>
          <w:sz w:val="24"/>
          <w:szCs w:val="24"/>
          <w:lang w:val="en-US" w:eastAsia="zh-CN"/>
        </w:rPr>
        <w:t>，</w:t>
      </w:r>
      <w:r>
        <w:rPr>
          <w:rFonts w:hint="default" w:ascii="Times New Roman" w:hAnsi="Times New Roman" w:eastAsia="仿宋_GB2312" w:cs="Times New Roman"/>
          <w:color w:val="auto"/>
          <w:sz w:val="24"/>
          <w:szCs w:val="24"/>
          <w:lang w:val="en-US" w:eastAsia="zh-CN"/>
        </w:rPr>
        <w:t>1#</w:t>
      </w:r>
      <w:r>
        <w:rPr>
          <w:rFonts w:hint="eastAsia" w:eastAsia="仿宋_GB2312" w:cs="Times New Roman"/>
          <w:color w:val="auto"/>
          <w:sz w:val="24"/>
          <w:szCs w:val="24"/>
          <w:lang w:val="en-US" w:eastAsia="zh-CN"/>
        </w:rPr>
        <w:t>转运楼转运</w:t>
      </w:r>
      <w:r>
        <w:rPr>
          <w:rFonts w:hint="default" w:ascii="Times New Roman" w:hAnsi="Times New Roman" w:eastAsia="仿宋_GB2312" w:cs="Times New Roman"/>
          <w:color w:val="auto"/>
          <w:sz w:val="24"/>
          <w:szCs w:val="24"/>
          <w:lang w:val="en-US" w:eastAsia="zh-CN"/>
        </w:rPr>
        <w:t>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w:t>
      </w:r>
      <w:r>
        <w:rPr>
          <w:rFonts w:hint="eastAsia" w:eastAsia="仿宋_GB2312" w:cs="Times New Roman"/>
          <w:color w:val="auto"/>
          <w:sz w:val="24"/>
          <w:szCs w:val="24"/>
          <w:lang w:val="en-US" w:eastAsia="zh-CN"/>
        </w:rPr>
        <w:t>0.001255</w:t>
      </w:r>
      <w:r>
        <w:rPr>
          <w:rFonts w:hint="default" w:ascii="Times New Roman" w:hAnsi="Times New Roman" w:eastAsia="仿宋_GB2312" w:cs="Times New Roman"/>
          <w:color w:val="auto"/>
          <w:sz w:val="24"/>
          <w:szCs w:val="24"/>
          <w:lang w:val="en-US" w:eastAsia="zh-CN"/>
        </w:rPr>
        <w:t>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0.14</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2</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转运楼转运</w:t>
      </w:r>
      <w:r>
        <w:rPr>
          <w:rFonts w:hint="default" w:ascii="Times New Roman" w:hAnsi="Times New Roman" w:eastAsia="仿宋_GB2312" w:cs="Times New Roman"/>
          <w:color w:val="auto"/>
          <w:sz w:val="24"/>
          <w:szCs w:val="24"/>
          <w:lang w:val="en-US" w:eastAsia="zh-CN"/>
        </w:rPr>
        <w:t>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w:t>
      </w:r>
      <w:r>
        <w:rPr>
          <w:rFonts w:hint="eastAsia" w:eastAsia="仿宋_GB2312" w:cs="Times New Roman"/>
          <w:color w:val="auto"/>
          <w:sz w:val="24"/>
          <w:szCs w:val="24"/>
          <w:lang w:val="en-US" w:eastAsia="zh-CN"/>
        </w:rPr>
        <w:t>0.002414</w:t>
      </w:r>
      <w:r>
        <w:rPr>
          <w:rFonts w:hint="default" w:ascii="Times New Roman" w:hAnsi="Times New Roman" w:eastAsia="仿宋_GB2312" w:cs="Times New Roman"/>
          <w:color w:val="auto"/>
          <w:sz w:val="24"/>
          <w:szCs w:val="24"/>
          <w:lang w:val="en-US" w:eastAsia="zh-CN"/>
        </w:rPr>
        <w:t>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0.27</w:t>
      </w:r>
      <w:r>
        <w:rPr>
          <w:rFonts w:hint="default" w:ascii="Times New Roman" w:hAnsi="Times New Roman" w:eastAsia="仿宋_GB2312" w:cs="Times New Roman"/>
          <w:color w:val="auto"/>
          <w:sz w:val="24"/>
          <w:szCs w:val="24"/>
          <w:lang w:val="en-US" w:eastAsia="zh-CN"/>
        </w:rPr>
        <w:t>%，1#</w:t>
      </w:r>
      <w:r>
        <w:rPr>
          <w:rFonts w:hint="eastAsia" w:eastAsia="仿宋_GB2312" w:cs="Times New Roman"/>
          <w:color w:val="auto"/>
          <w:sz w:val="24"/>
          <w:szCs w:val="24"/>
          <w:lang w:val="en-US" w:eastAsia="zh-CN"/>
        </w:rPr>
        <w:t>趸船转运站转运</w:t>
      </w:r>
      <w:r>
        <w:rPr>
          <w:rFonts w:hint="default" w:ascii="Times New Roman" w:hAnsi="Times New Roman" w:eastAsia="仿宋_GB2312" w:cs="Times New Roman"/>
          <w:color w:val="auto"/>
          <w:sz w:val="24"/>
          <w:szCs w:val="24"/>
          <w:lang w:val="en-US" w:eastAsia="zh-CN"/>
        </w:rPr>
        <w:t>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w:t>
      </w:r>
      <w:r>
        <w:rPr>
          <w:rFonts w:hint="eastAsia" w:eastAsia="仿宋_GB2312" w:cs="Times New Roman"/>
          <w:color w:val="auto"/>
          <w:sz w:val="24"/>
          <w:szCs w:val="24"/>
          <w:lang w:val="en-US" w:eastAsia="zh-CN"/>
        </w:rPr>
        <w:t>0.001255</w:t>
      </w:r>
      <w:r>
        <w:rPr>
          <w:rFonts w:hint="default" w:ascii="Times New Roman" w:hAnsi="Times New Roman" w:eastAsia="仿宋_GB2312" w:cs="Times New Roman"/>
          <w:color w:val="auto"/>
          <w:sz w:val="24"/>
          <w:szCs w:val="24"/>
          <w:lang w:val="en-US" w:eastAsia="zh-CN"/>
        </w:rPr>
        <w:t>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0.14</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2</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趸船转运站转运</w:t>
      </w:r>
      <w:r>
        <w:rPr>
          <w:rFonts w:hint="default" w:ascii="Times New Roman" w:hAnsi="Times New Roman" w:eastAsia="仿宋_GB2312" w:cs="Times New Roman"/>
          <w:color w:val="auto"/>
          <w:sz w:val="24"/>
          <w:szCs w:val="24"/>
          <w:lang w:val="en-US" w:eastAsia="zh-CN"/>
        </w:rPr>
        <w:t>粉尘经大气扩散后下风向</w:t>
      </w:r>
      <w:r>
        <w:rPr>
          <w:rFonts w:hint="eastAsia" w:ascii="Times New Roman" w:hAnsi="Times New Roman" w:eastAsia="仿宋_GB2312" w:cs="Times New Roman"/>
          <w:color w:val="auto"/>
          <w:sz w:val="24"/>
          <w:szCs w:val="24"/>
          <w:lang w:val="en-US" w:eastAsia="zh-CN"/>
        </w:rPr>
        <w:t>TSP</w:t>
      </w:r>
      <w:r>
        <w:rPr>
          <w:rFonts w:hint="default" w:ascii="Times New Roman" w:hAnsi="Times New Roman" w:eastAsia="仿宋_GB2312" w:cs="Times New Roman"/>
          <w:color w:val="auto"/>
          <w:sz w:val="24"/>
          <w:szCs w:val="24"/>
          <w:lang w:val="en-US" w:eastAsia="zh-CN"/>
        </w:rPr>
        <w:t>最大落地浓度及占标率为</w:t>
      </w:r>
      <w:r>
        <w:rPr>
          <w:rFonts w:hint="eastAsia" w:eastAsia="仿宋_GB2312" w:cs="Times New Roman"/>
          <w:color w:val="auto"/>
          <w:sz w:val="24"/>
          <w:szCs w:val="24"/>
          <w:lang w:val="en-US" w:eastAsia="zh-CN"/>
        </w:rPr>
        <w:t>0.001255</w:t>
      </w:r>
      <w:r>
        <w:rPr>
          <w:rFonts w:hint="default" w:ascii="Times New Roman" w:hAnsi="Times New Roman" w:eastAsia="仿宋_GB2312" w:cs="Times New Roman"/>
          <w:color w:val="auto"/>
          <w:sz w:val="24"/>
          <w:szCs w:val="24"/>
          <w:lang w:val="en-US" w:eastAsia="zh-CN"/>
        </w:rPr>
        <w:t>μg/m</w:t>
      </w:r>
      <w:r>
        <w:rPr>
          <w:rFonts w:hint="default" w:ascii="Times New Roman" w:hAnsi="Times New Roman" w:eastAsia="仿宋_GB2312" w:cs="Times New Roman"/>
          <w:color w:val="auto"/>
          <w:sz w:val="24"/>
          <w:szCs w:val="24"/>
          <w:vertAlign w:val="superscript"/>
          <w:lang w:val="en-US" w:eastAsia="zh-CN"/>
        </w:rPr>
        <w:t>3</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0.14</w:t>
      </w:r>
      <w:r>
        <w:rPr>
          <w:rFonts w:hint="default" w:ascii="Times New Roman" w:hAnsi="Times New Roman" w:eastAsia="仿宋_GB2312" w:cs="Times New Roman"/>
          <w:color w:val="auto"/>
          <w:sz w:val="24"/>
          <w:szCs w:val="24"/>
          <w:lang w:val="en-US" w:eastAsia="zh-CN"/>
        </w:rPr>
        <w:t>%</w:t>
      </w:r>
      <w:r>
        <w:rPr>
          <w:rFonts w:hint="eastAsia" w:eastAsia="仿宋_GB2312" w:cs="Times New Roman"/>
          <w:color w:val="auto"/>
          <w:sz w:val="24"/>
          <w:szCs w:val="24"/>
          <w:lang w:val="en-US" w:eastAsia="zh-CN"/>
        </w:rPr>
        <w:t>。以上各污染工序中TSP最大落地浓度均可满足《环境空气质量标准》（GB3095-2012）中二级标准。</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val="en-US" w:eastAsia="zh-CN"/>
        </w:rPr>
        <w:t>同时</w:t>
      </w:r>
      <w:r>
        <w:rPr>
          <w:rFonts w:hint="eastAsia" w:eastAsia="仿宋_GB2312"/>
          <w:color w:val="auto"/>
          <w:sz w:val="24"/>
          <w:szCs w:val="24"/>
          <w:lang w:eastAsia="zh-CN"/>
        </w:rPr>
        <w:t>由上表可知，评价项目最大地面浓度占标率来自于</w:t>
      </w:r>
      <w:r>
        <w:rPr>
          <w:rFonts w:hint="eastAsia" w:eastAsia="仿宋_GB2312"/>
          <w:color w:val="auto"/>
          <w:sz w:val="24"/>
          <w:szCs w:val="24"/>
          <w:lang w:val="en-US" w:eastAsia="zh-CN"/>
        </w:rPr>
        <w:t>1#泊位</w:t>
      </w:r>
      <w:r>
        <w:rPr>
          <w:rFonts w:hint="eastAsia" w:eastAsia="仿宋_GB2312"/>
          <w:color w:val="auto"/>
          <w:sz w:val="24"/>
          <w:szCs w:val="24"/>
          <w:lang w:eastAsia="zh-CN"/>
        </w:rPr>
        <w:t>排放的粉尘（TSP），P</w:t>
      </w:r>
      <w:r>
        <w:rPr>
          <w:rFonts w:hint="eastAsia" w:eastAsia="仿宋_GB2312"/>
          <w:color w:val="auto"/>
          <w:sz w:val="24"/>
          <w:szCs w:val="24"/>
          <w:vertAlign w:val="subscript"/>
          <w:lang w:eastAsia="zh-CN"/>
        </w:rPr>
        <w:t>max</w:t>
      </w:r>
      <w:r>
        <w:rPr>
          <w:rFonts w:hint="eastAsia" w:eastAsia="仿宋_GB2312"/>
          <w:color w:val="auto"/>
          <w:sz w:val="24"/>
          <w:szCs w:val="24"/>
          <w:lang w:eastAsia="zh-CN"/>
        </w:rPr>
        <w:t>=</w:t>
      </w:r>
      <w:r>
        <w:rPr>
          <w:rFonts w:hint="eastAsia" w:eastAsia="仿宋_GB2312"/>
          <w:color w:val="auto"/>
          <w:sz w:val="24"/>
          <w:szCs w:val="24"/>
          <w:lang w:val="en-US" w:eastAsia="zh-CN"/>
        </w:rPr>
        <w:t>1.06</w:t>
      </w:r>
      <w:r>
        <w:rPr>
          <w:rFonts w:hint="eastAsia" w:eastAsia="仿宋_GB2312"/>
          <w:color w:val="auto"/>
          <w:sz w:val="24"/>
          <w:szCs w:val="24"/>
          <w:lang w:eastAsia="zh-CN"/>
        </w:rPr>
        <w:t>%，1%≤P</w:t>
      </w:r>
      <w:r>
        <w:rPr>
          <w:rFonts w:hint="eastAsia" w:eastAsia="仿宋_GB2312"/>
          <w:color w:val="auto"/>
          <w:sz w:val="24"/>
          <w:szCs w:val="24"/>
          <w:vertAlign w:val="subscript"/>
          <w:lang w:eastAsia="zh-CN"/>
        </w:rPr>
        <w:t>max</w:t>
      </w:r>
      <w:r>
        <w:rPr>
          <w:rFonts w:hint="eastAsia" w:eastAsia="仿宋_GB2312"/>
          <w:color w:val="auto"/>
          <w:sz w:val="24"/>
          <w:szCs w:val="24"/>
          <w:lang w:eastAsia="zh-CN"/>
        </w:rPr>
        <w:t>＜10%。根据《环境影响评价技术导则 大气环境》（HJ/2.2-2018），本项目大气评价等级为二级，二级评价项目不进行进一步预测与评价，只对污染物排放量进行核算。</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.2.2.4废气污染物排放量核算</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根据《环境影响评价技术导则</w:t>
      </w:r>
      <w:r>
        <w:rPr>
          <w:rFonts w:hint="eastAsia" w:eastAsia="仿宋_GB2312"/>
          <w:color w:val="auto"/>
          <w:sz w:val="24"/>
          <w:szCs w:val="24"/>
          <w:lang w:val="en-US" w:eastAsia="zh-CN"/>
        </w:rPr>
        <w:t xml:space="preserve"> </w:t>
      </w:r>
      <w:r>
        <w:rPr>
          <w:rFonts w:hint="eastAsia" w:eastAsia="仿宋_GB2312"/>
          <w:color w:val="auto"/>
          <w:sz w:val="24"/>
          <w:szCs w:val="24"/>
          <w:lang w:eastAsia="zh-CN"/>
        </w:rPr>
        <w:t>大气环境》（HJ2.2-2018）中附表“C6”的相关要求，以及环境影响评价审批内容和排污许可证申请与核发要求，项目大气污染物无组织排放量核算见表</w:t>
      </w:r>
      <w:r>
        <w:rPr>
          <w:rFonts w:hint="eastAsia" w:eastAsia="仿宋_GB2312"/>
          <w:color w:val="auto"/>
          <w:sz w:val="24"/>
          <w:szCs w:val="24"/>
          <w:lang w:val="en-US" w:eastAsia="zh-CN"/>
        </w:rPr>
        <w:t>5.2-18</w:t>
      </w:r>
      <w:r>
        <w:rPr>
          <w:rFonts w:hint="eastAsia" w:eastAsia="仿宋_GB2312"/>
          <w:color w:val="auto"/>
          <w:sz w:val="24"/>
          <w:szCs w:val="24"/>
          <w:lang w:eastAsia="zh-CN"/>
        </w:rPr>
        <w:t>，年排放量核算见表</w:t>
      </w:r>
      <w:r>
        <w:rPr>
          <w:rFonts w:hint="eastAsia" w:eastAsia="仿宋_GB2312"/>
          <w:color w:val="auto"/>
          <w:sz w:val="24"/>
          <w:szCs w:val="24"/>
          <w:lang w:val="en-US" w:eastAsia="zh-CN"/>
        </w:rPr>
        <w:t>5.2-19</w:t>
      </w:r>
      <w:r>
        <w:rPr>
          <w:rFonts w:hint="eastAsia" w:eastAsia="仿宋_GB2312"/>
          <w:color w:val="auto"/>
          <w:sz w:val="24"/>
          <w:szCs w:val="24"/>
          <w:lang w:eastAsia="zh-CN"/>
        </w:rPr>
        <w:t>。</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rPr>
        <w:t>5</w:t>
      </w:r>
      <w:r>
        <w:rPr>
          <w:rFonts w:eastAsia="黑体"/>
          <w:b/>
          <w:color w:val="auto"/>
          <w:szCs w:val="21"/>
        </w:rPr>
        <w:t>.</w:t>
      </w:r>
      <w:r>
        <w:rPr>
          <w:rFonts w:hint="eastAsia" w:eastAsia="黑体"/>
          <w:b/>
          <w:color w:val="auto"/>
          <w:szCs w:val="21"/>
          <w:lang w:val="en-US" w:eastAsia="zh-CN"/>
        </w:rPr>
        <w:t>2-18</w:t>
      </w:r>
      <w:r>
        <w:rPr>
          <w:rFonts w:eastAsia="黑体"/>
          <w:b/>
          <w:color w:val="auto"/>
          <w:szCs w:val="21"/>
        </w:rPr>
        <w:t xml:space="preserve">  大气污染物无组织排放量核算表</w:t>
      </w:r>
    </w:p>
    <w:tbl>
      <w:tblPr>
        <w:tblStyle w:val="92"/>
        <w:tblW w:w="495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4"/>
        <w:gridCol w:w="1078"/>
        <w:gridCol w:w="635"/>
        <w:gridCol w:w="880"/>
        <w:gridCol w:w="1957"/>
        <w:gridCol w:w="1528"/>
        <w:gridCol w:w="1064"/>
        <w:gridCol w:w="8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vMerge w:val="restart"/>
            <w:tcBorders>
              <w:top w:val="single" w:color="auto" w:sz="12"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序号</w:t>
            </w:r>
          </w:p>
        </w:tc>
        <w:tc>
          <w:tcPr>
            <w:tcW w:w="638" w:type="pct"/>
            <w:vMerge w:val="restart"/>
            <w:tcBorders>
              <w:top w:val="single" w:color="auto" w:sz="12" w:space="0"/>
              <w:left w:val="single" w:color="auto" w:sz="6"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排放口编号</w:t>
            </w:r>
          </w:p>
        </w:tc>
        <w:tc>
          <w:tcPr>
            <w:tcW w:w="376" w:type="pct"/>
            <w:vMerge w:val="restart"/>
            <w:tcBorders>
              <w:top w:val="single" w:color="auto" w:sz="12" w:space="0"/>
              <w:left w:val="single" w:color="auto" w:sz="6"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产污环节</w:t>
            </w:r>
          </w:p>
        </w:tc>
        <w:tc>
          <w:tcPr>
            <w:tcW w:w="520" w:type="pct"/>
            <w:vMerge w:val="restart"/>
            <w:tcBorders>
              <w:top w:val="single" w:color="auto" w:sz="12" w:space="0"/>
              <w:left w:val="single" w:color="auto" w:sz="6"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污染物</w:t>
            </w:r>
          </w:p>
        </w:tc>
        <w:tc>
          <w:tcPr>
            <w:tcW w:w="1159" w:type="pct"/>
            <w:vMerge w:val="restart"/>
            <w:tcBorders>
              <w:top w:val="single" w:color="auto" w:sz="12" w:space="0"/>
              <w:left w:val="single" w:color="auto" w:sz="6"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主要污染防治措施</w:t>
            </w:r>
          </w:p>
        </w:tc>
        <w:tc>
          <w:tcPr>
            <w:tcW w:w="1534" w:type="pct"/>
            <w:gridSpan w:val="2"/>
            <w:tcBorders>
              <w:top w:val="single" w:color="auto" w:sz="12" w:space="0"/>
              <w:left w:val="single" w:color="auto" w:sz="6" w:space="0"/>
              <w:bottom w:val="single" w:color="auto" w:sz="4"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污染物排放标准</w:t>
            </w:r>
          </w:p>
        </w:tc>
        <w:tc>
          <w:tcPr>
            <w:tcW w:w="525" w:type="pct"/>
            <w:vMerge w:val="restart"/>
            <w:tcBorders>
              <w:top w:val="single" w:color="auto" w:sz="12" w:space="0"/>
              <w:left w:val="single" w:color="auto" w:sz="6" w:space="0"/>
              <w:bottom w:val="single" w:color="auto" w:sz="4" w:space="0"/>
            </w:tcBorders>
            <w:noWrap w:val="0"/>
            <w:vAlign w:val="center"/>
          </w:tcPr>
          <w:p>
            <w:pPr>
              <w:pStyle w:val="1375"/>
              <w:rPr>
                <w:rFonts w:ascii="Times New Roman" w:hAnsi="Times New Roman"/>
                <w:color w:val="auto"/>
                <w:sz w:val="20"/>
              </w:rPr>
            </w:pPr>
            <w:r>
              <w:rPr>
                <w:rFonts w:ascii="Times New Roman" w:hAnsi="Times New Roman"/>
                <w:color w:val="auto"/>
                <w:sz w:val="20"/>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vMerge w:val="continue"/>
            <w:tcBorders>
              <w:top w:val="single" w:color="auto" w:sz="4" w:space="0"/>
              <w:bottom w:val="single" w:color="auto" w:sz="12" w:space="0"/>
              <w:right w:val="single" w:color="auto" w:sz="6" w:space="0"/>
            </w:tcBorders>
            <w:noWrap w:val="0"/>
            <w:vAlign w:val="center"/>
          </w:tcPr>
          <w:p>
            <w:pPr>
              <w:pStyle w:val="1375"/>
              <w:rPr>
                <w:rFonts w:ascii="Times New Roman" w:hAnsi="Times New Roman"/>
                <w:color w:val="auto"/>
                <w:sz w:val="20"/>
              </w:rPr>
            </w:pPr>
          </w:p>
        </w:tc>
        <w:tc>
          <w:tcPr>
            <w:tcW w:w="638" w:type="pct"/>
            <w:vMerge w:val="continue"/>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p>
        </w:tc>
        <w:tc>
          <w:tcPr>
            <w:tcW w:w="376" w:type="pct"/>
            <w:vMerge w:val="continue"/>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p>
        </w:tc>
        <w:tc>
          <w:tcPr>
            <w:tcW w:w="520" w:type="pct"/>
            <w:vMerge w:val="continue"/>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p>
        </w:tc>
        <w:tc>
          <w:tcPr>
            <w:tcW w:w="1159" w:type="pct"/>
            <w:vMerge w:val="continue"/>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p>
        </w:tc>
        <w:tc>
          <w:tcPr>
            <w:tcW w:w="904" w:type="pct"/>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标准名称</w:t>
            </w:r>
          </w:p>
        </w:tc>
        <w:tc>
          <w:tcPr>
            <w:tcW w:w="629" w:type="pct"/>
            <w:tcBorders>
              <w:top w:val="single" w:color="auto" w:sz="4"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浓度限值（μg/m</w:t>
            </w:r>
            <w:r>
              <w:rPr>
                <w:rFonts w:ascii="Times New Roman" w:hAnsi="Times New Roman"/>
                <w:color w:val="auto"/>
                <w:sz w:val="20"/>
                <w:vertAlign w:val="superscript"/>
              </w:rPr>
              <w:t>3</w:t>
            </w:r>
            <w:r>
              <w:rPr>
                <w:rFonts w:ascii="Times New Roman" w:hAnsi="Times New Roman"/>
                <w:color w:val="auto"/>
                <w:sz w:val="20"/>
              </w:rPr>
              <w:t>）</w:t>
            </w:r>
          </w:p>
        </w:tc>
        <w:tc>
          <w:tcPr>
            <w:tcW w:w="525" w:type="pct"/>
            <w:vMerge w:val="continue"/>
            <w:tcBorders>
              <w:top w:val="single" w:color="auto" w:sz="4" w:space="0"/>
              <w:left w:val="single" w:color="auto" w:sz="6" w:space="0"/>
              <w:bottom w:val="single" w:color="auto" w:sz="12" w:space="0"/>
            </w:tcBorders>
            <w:noWrap w:val="0"/>
            <w:vAlign w:val="center"/>
          </w:tcPr>
          <w:p>
            <w:pPr>
              <w:pStyle w:val="1375"/>
              <w:rPr>
                <w:rFonts w:ascii="Times New Roman" w:hAnsi="Times New Roman"/>
                <w:color w:val="auto"/>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trPr>
        <w:tc>
          <w:tcPr>
            <w:tcW w:w="245" w:type="pct"/>
            <w:noWrap w:val="0"/>
            <w:vAlign w:val="center"/>
          </w:tcPr>
          <w:p>
            <w:pPr>
              <w:pStyle w:val="1375"/>
              <w:rPr>
                <w:rFonts w:hint="eastAsia" w:ascii="Times New Roman" w:hAnsi="Times New Roman" w:eastAsia="宋体"/>
                <w:color w:val="auto"/>
                <w:sz w:val="20"/>
                <w:lang w:eastAsia="zh-CN"/>
              </w:rPr>
            </w:pPr>
            <w:r>
              <w:rPr>
                <w:rFonts w:hint="eastAsia" w:ascii="Times New Roman" w:hAnsi="Times New Roman"/>
                <w:color w:val="auto"/>
                <w:sz w:val="20"/>
                <w:lang w:val="en-US" w:eastAsia="zh-CN"/>
              </w:rPr>
              <w:t>1</w:t>
            </w:r>
          </w:p>
        </w:tc>
        <w:tc>
          <w:tcPr>
            <w:tcW w:w="638" w:type="pct"/>
            <w:noWrap w:val="0"/>
            <w:vAlign w:val="center"/>
          </w:tcPr>
          <w:p>
            <w:pPr>
              <w:pStyle w:val="1375"/>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1#泊位</w:t>
            </w:r>
          </w:p>
        </w:tc>
        <w:tc>
          <w:tcPr>
            <w:tcW w:w="376"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装卸</w:t>
            </w:r>
          </w:p>
        </w:tc>
        <w:tc>
          <w:tcPr>
            <w:tcW w:w="520" w:type="pct"/>
            <w:noWrap w:val="0"/>
            <w:vAlign w:val="center"/>
          </w:tcPr>
          <w:p>
            <w:pPr>
              <w:pStyle w:val="1375"/>
              <w:rPr>
                <w:rFonts w:hint="eastAsia" w:ascii="Times New Roman" w:hAnsi="Times New Roman" w:eastAsia="宋体"/>
                <w:color w:val="auto"/>
                <w:sz w:val="20"/>
                <w:lang w:val="en-US" w:eastAsia="zh-CN"/>
              </w:rPr>
            </w:pPr>
            <w:r>
              <w:rPr>
                <w:rFonts w:hint="eastAsia" w:ascii="Times New Roman" w:hAnsi="Times New Roman"/>
                <w:color w:val="auto"/>
                <w:sz w:val="20"/>
                <w:lang w:val="en-US" w:eastAsia="zh-CN"/>
              </w:rPr>
              <w:t>颗粒物</w:t>
            </w:r>
          </w:p>
        </w:tc>
        <w:tc>
          <w:tcPr>
            <w:tcW w:w="1159" w:type="pct"/>
            <w:vMerge w:val="restart"/>
            <w:noWrap w:val="0"/>
            <w:vAlign w:val="center"/>
          </w:tcPr>
          <w:p>
            <w:pPr>
              <w:pStyle w:val="1375"/>
              <w:rPr>
                <w:rFonts w:hint="eastAsia" w:ascii="Times New Roman" w:hAnsi="Times New Roman"/>
                <w:color w:val="auto"/>
                <w:sz w:val="20"/>
                <w:lang w:val="en-US" w:eastAsia="zh-CN"/>
              </w:rPr>
            </w:pPr>
            <w:r>
              <w:rPr>
                <w:rFonts w:hint="eastAsia" w:ascii="Times New Roman" w:hAnsi="Times New Roman"/>
                <w:color w:val="auto"/>
                <w:sz w:val="20"/>
                <w:lang w:val="en-US" w:eastAsia="zh-CN"/>
              </w:rPr>
              <w:t>降低装卸高度及脉冲布袋除尘器装置</w:t>
            </w:r>
          </w:p>
        </w:tc>
        <w:tc>
          <w:tcPr>
            <w:tcW w:w="904" w:type="pct"/>
            <w:vMerge w:val="restart"/>
            <w:noWrap w:val="0"/>
            <w:vAlign w:val="center"/>
          </w:tcPr>
          <w:p>
            <w:pPr>
              <w:pStyle w:val="1375"/>
              <w:rPr>
                <w:rFonts w:ascii="Times New Roman" w:hAnsi="Times New Roman"/>
                <w:color w:val="auto"/>
                <w:sz w:val="20"/>
              </w:rPr>
            </w:pPr>
            <w:r>
              <w:rPr>
                <w:rFonts w:hint="eastAsia" w:ascii="Times New Roman" w:hAnsi="Times New Roman"/>
                <w:color w:val="auto"/>
                <w:sz w:val="20"/>
              </w:rPr>
              <w:t>《大气污染物综合排放标准》（GB16297-1996）表2中二级标准</w:t>
            </w: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2</w:t>
            </w:r>
          </w:p>
        </w:tc>
        <w:tc>
          <w:tcPr>
            <w:tcW w:w="638"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2#泊位</w:t>
            </w:r>
          </w:p>
        </w:tc>
        <w:tc>
          <w:tcPr>
            <w:tcW w:w="376"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val="en-US" w:eastAsia="zh-CN"/>
              </w:rPr>
              <w:t>装卸</w:t>
            </w:r>
          </w:p>
        </w:tc>
        <w:tc>
          <w:tcPr>
            <w:tcW w:w="520"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颗粒物</w:t>
            </w:r>
          </w:p>
        </w:tc>
        <w:tc>
          <w:tcPr>
            <w:tcW w:w="1159" w:type="pct"/>
            <w:vMerge w:val="continue"/>
            <w:noWrap w:val="0"/>
            <w:vAlign w:val="center"/>
          </w:tcPr>
          <w:p>
            <w:pPr>
              <w:pStyle w:val="1375"/>
              <w:rPr>
                <w:rFonts w:hint="eastAsia" w:ascii="Times New Roman" w:hAnsi="Times New Roman"/>
                <w:color w:val="auto"/>
                <w:sz w:val="20"/>
                <w:lang w:val="en-US" w:eastAsia="zh-CN"/>
              </w:rPr>
            </w:pP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3</w:t>
            </w:r>
          </w:p>
        </w:tc>
        <w:tc>
          <w:tcPr>
            <w:tcW w:w="638" w:type="pct"/>
            <w:noWrap w:val="0"/>
            <w:vAlign w:val="center"/>
          </w:tcPr>
          <w:p>
            <w:pPr>
              <w:widowControl w:val="0"/>
              <w:jc w:val="center"/>
              <w:rPr>
                <w:rFonts w:ascii="Times New Roman" w:hAnsi="Times New Roman"/>
                <w:color w:val="auto"/>
                <w:sz w:val="20"/>
              </w:rPr>
            </w:pPr>
            <w:r>
              <w:rPr>
                <w:rFonts w:hint="eastAsia"/>
                <w:color w:val="auto"/>
                <w:kern w:val="0"/>
                <w:sz w:val="20"/>
                <w:szCs w:val="20"/>
                <w:lang w:val="en-US" w:eastAsia="zh-CN"/>
              </w:rPr>
              <w:t>1#转运楼</w:t>
            </w:r>
          </w:p>
        </w:tc>
        <w:tc>
          <w:tcPr>
            <w:tcW w:w="376"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转运</w:t>
            </w:r>
          </w:p>
        </w:tc>
        <w:tc>
          <w:tcPr>
            <w:tcW w:w="520"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颗粒物</w:t>
            </w:r>
          </w:p>
        </w:tc>
        <w:tc>
          <w:tcPr>
            <w:tcW w:w="1159" w:type="pct"/>
            <w:vMerge w:val="restart"/>
            <w:noWrap w:val="0"/>
            <w:vAlign w:val="center"/>
          </w:tcPr>
          <w:p>
            <w:pPr>
              <w:pStyle w:val="1375"/>
              <w:rPr>
                <w:rFonts w:hint="eastAsia" w:ascii="Times New Roman" w:hAnsi="Times New Roman"/>
                <w:color w:val="auto"/>
                <w:sz w:val="20"/>
                <w:lang w:val="en-US" w:eastAsia="zh-CN"/>
              </w:rPr>
            </w:pPr>
            <w:r>
              <w:rPr>
                <w:rFonts w:hint="eastAsia" w:ascii="Times New Roman" w:hAnsi="Times New Roman"/>
                <w:color w:val="auto"/>
                <w:sz w:val="20"/>
                <w:lang w:val="en-US" w:eastAsia="zh-CN"/>
              </w:rPr>
              <w:t>密封，脉冲布袋除尘器装置</w:t>
            </w: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4</w:t>
            </w:r>
          </w:p>
        </w:tc>
        <w:tc>
          <w:tcPr>
            <w:tcW w:w="638" w:type="pct"/>
            <w:noWrap w:val="0"/>
            <w:vAlign w:val="center"/>
          </w:tcPr>
          <w:p>
            <w:pPr>
              <w:widowControl w:val="0"/>
              <w:jc w:val="center"/>
              <w:rPr>
                <w:rFonts w:ascii="Times New Roman" w:hAnsi="Times New Roman"/>
                <w:color w:val="auto"/>
                <w:sz w:val="20"/>
              </w:rPr>
            </w:pPr>
            <w:r>
              <w:rPr>
                <w:rFonts w:hint="eastAsia"/>
                <w:color w:val="auto"/>
                <w:kern w:val="0"/>
                <w:sz w:val="20"/>
                <w:szCs w:val="20"/>
                <w:lang w:val="en-US" w:eastAsia="zh-CN"/>
              </w:rPr>
              <w:t>2#转运楼</w:t>
            </w:r>
          </w:p>
        </w:tc>
        <w:tc>
          <w:tcPr>
            <w:tcW w:w="376"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val="en-US" w:eastAsia="zh-CN"/>
              </w:rPr>
              <w:t>转运</w:t>
            </w:r>
          </w:p>
        </w:tc>
        <w:tc>
          <w:tcPr>
            <w:tcW w:w="520"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颗粒物</w:t>
            </w:r>
          </w:p>
        </w:tc>
        <w:tc>
          <w:tcPr>
            <w:tcW w:w="1159" w:type="pct"/>
            <w:vMerge w:val="continue"/>
            <w:noWrap w:val="0"/>
            <w:vAlign w:val="center"/>
          </w:tcPr>
          <w:p>
            <w:pPr>
              <w:pStyle w:val="1375"/>
              <w:rPr>
                <w:rFonts w:ascii="Times New Roman" w:hAnsi="Times New Roman"/>
                <w:color w:val="auto"/>
                <w:sz w:val="20"/>
              </w:rPr>
            </w:pP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5</w:t>
            </w:r>
          </w:p>
        </w:tc>
        <w:tc>
          <w:tcPr>
            <w:tcW w:w="638" w:type="pct"/>
            <w:noWrap w:val="0"/>
            <w:vAlign w:val="center"/>
          </w:tcPr>
          <w:p>
            <w:pPr>
              <w:widowControl w:val="0"/>
              <w:jc w:val="center"/>
              <w:rPr>
                <w:rFonts w:ascii="Times New Roman" w:hAnsi="Times New Roman"/>
                <w:color w:val="auto"/>
                <w:sz w:val="20"/>
              </w:rPr>
            </w:pPr>
            <w:r>
              <w:rPr>
                <w:rFonts w:hint="eastAsia"/>
                <w:color w:val="auto"/>
                <w:kern w:val="0"/>
                <w:sz w:val="20"/>
                <w:szCs w:val="20"/>
                <w:lang w:val="en-US" w:eastAsia="zh-CN"/>
              </w:rPr>
              <w:t>1#趸船转运站</w:t>
            </w:r>
          </w:p>
        </w:tc>
        <w:tc>
          <w:tcPr>
            <w:tcW w:w="376"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val="en-US" w:eastAsia="zh-CN"/>
              </w:rPr>
              <w:t>转运</w:t>
            </w:r>
          </w:p>
        </w:tc>
        <w:tc>
          <w:tcPr>
            <w:tcW w:w="520"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颗粒物</w:t>
            </w:r>
          </w:p>
        </w:tc>
        <w:tc>
          <w:tcPr>
            <w:tcW w:w="1159" w:type="pct"/>
            <w:vMerge w:val="continue"/>
            <w:noWrap w:val="0"/>
            <w:vAlign w:val="center"/>
          </w:tcPr>
          <w:p>
            <w:pPr>
              <w:pStyle w:val="1375"/>
              <w:rPr>
                <w:rFonts w:ascii="Times New Roman" w:hAnsi="Times New Roman"/>
                <w:color w:val="auto"/>
                <w:sz w:val="20"/>
              </w:rPr>
            </w:pP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6</w:t>
            </w:r>
          </w:p>
        </w:tc>
        <w:tc>
          <w:tcPr>
            <w:tcW w:w="638" w:type="pct"/>
            <w:noWrap w:val="0"/>
            <w:vAlign w:val="center"/>
          </w:tcPr>
          <w:p>
            <w:pPr>
              <w:widowControl w:val="0"/>
              <w:jc w:val="center"/>
              <w:rPr>
                <w:rFonts w:ascii="Times New Roman" w:hAnsi="Times New Roman"/>
                <w:color w:val="auto"/>
                <w:sz w:val="20"/>
              </w:rPr>
            </w:pPr>
            <w:r>
              <w:rPr>
                <w:rFonts w:hint="eastAsia"/>
                <w:color w:val="auto"/>
                <w:kern w:val="0"/>
                <w:sz w:val="20"/>
                <w:szCs w:val="20"/>
                <w:lang w:val="en-US" w:eastAsia="zh-CN"/>
              </w:rPr>
              <w:t>2#趸船转运站</w:t>
            </w:r>
          </w:p>
        </w:tc>
        <w:tc>
          <w:tcPr>
            <w:tcW w:w="376"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val="en-US" w:eastAsia="zh-CN"/>
              </w:rPr>
              <w:t>转运</w:t>
            </w:r>
          </w:p>
        </w:tc>
        <w:tc>
          <w:tcPr>
            <w:tcW w:w="520" w:type="pct"/>
            <w:noWrap w:val="0"/>
            <w:vAlign w:val="center"/>
          </w:tcPr>
          <w:p>
            <w:pPr>
              <w:pStyle w:val="1375"/>
              <w:rPr>
                <w:rFonts w:ascii="Times New Roman" w:hAnsi="Times New Roman"/>
                <w:color w:val="auto"/>
                <w:sz w:val="20"/>
              </w:rPr>
            </w:pPr>
            <w:r>
              <w:rPr>
                <w:rFonts w:hint="eastAsia" w:ascii="Times New Roman" w:hAnsi="Times New Roman"/>
                <w:color w:val="auto"/>
                <w:sz w:val="20"/>
                <w:lang w:val="en-US" w:eastAsia="zh-CN"/>
              </w:rPr>
              <w:t>颗粒物</w:t>
            </w:r>
          </w:p>
        </w:tc>
        <w:tc>
          <w:tcPr>
            <w:tcW w:w="1159" w:type="pct"/>
            <w:vMerge w:val="continue"/>
            <w:noWrap w:val="0"/>
            <w:vAlign w:val="center"/>
          </w:tcPr>
          <w:p>
            <w:pPr>
              <w:pStyle w:val="1375"/>
              <w:rPr>
                <w:rFonts w:ascii="Times New Roman" w:hAnsi="Times New Roman"/>
                <w:color w:val="auto"/>
                <w:sz w:val="20"/>
              </w:rPr>
            </w:pP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1</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vMerge w:val="restar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7</w:t>
            </w:r>
          </w:p>
        </w:tc>
        <w:tc>
          <w:tcPr>
            <w:tcW w:w="638" w:type="pct"/>
            <w:vMerge w:val="restart"/>
            <w:noWrap w:val="0"/>
            <w:vAlign w:val="center"/>
          </w:tcPr>
          <w:p>
            <w:pPr>
              <w:widowControl w:val="0"/>
              <w:jc w:val="center"/>
              <w:rPr>
                <w:rFonts w:hint="default"/>
                <w:color w:val="auto"/>
                <w:kern w:val="0"/>
                <w:sz w:val="20"/>
                <w:szCs w:val="20"/>
                <w:lang w:val="en-US" w:eastAsia="zh-CN"/>
              </w:rPr>
            </w:pPr>
            <w:r>
              <w:rPr>
                <w:rFonts w:hint="eastAsia"/>
                <w:color w:val="auto"/>
                <w:kern w:val="0"/>
                <w:sz w:val="20"/>
                <w:szCs w:val="20"/>
                <w:lang w:val="en-US" w:eastAsia="zh-CN"/>
              </w:rPr>
              <w:t>泊位</w:t>
            </w:r>
          </w:p>
        </w:tc>
        <w:tc>
          <w:tcPr>
            <w:tcW w:w="376" w:type="pct"/>
            <w:vMerge w:val="restar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船舶废气</w:t>
            </w:r>
          </w:p>
        </w:tc>
        <w:tc>
          <w:tcPr>
            <w:tcW w:w="520" w:type="pct"/>
            <w:noWrap w:val="0"/>
            <w:vAlign w:val="center"/>
          </w:tcPr>
          <w:p>
            <w:pPr>
              <w:pStyle w:val="1375"/>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SO</w:t>
            </w:r>
            <w:r>
              <w:rPr>
                <w:rFonts w:hint="eastAsia" w:ascii="Times New Roman" w:hAnsi="Times New Roman"/>
                <w:color w:val="auto"/>
                <w:sz w:val="20"/>
                <w:vertAlign w:val="subscript"/>
                <w:lang w:val="en-US" w:eastAsia="zh-CN"/>
              </w:rPr>
              <w:t>2</w:t>
            </w:r>
          </w:p>
        </w:tc>
        <w:tc>
          <w:tcPr>
            <w:tcW w:w="1159" w:type="pct"/>
            <w:vMerge w:val="restart"/>
            <w:noWrap w:val="0"/>
            <w:vAlign w:val="center"/>
          </w:tcPr>
          <w:p>
            <w:pPr>
              <w:pStyle w:val="1375"/>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到港后使用岸电</w:t>
            </w: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0.4</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5" w:type="pct"/>
            <w:vMerge w:val="continue"/>
            <w:noWrap w:val="0"/>
            <w:vAlign w:val="center"/>
          </w:tcPr>
          <w:p>
            <w:pPr>
              <w:pStyle w:val="1375"/>
              <w:rPr>
                <w:rFonts w:hint="default" w:ascii="Times New Roman" w:hAnsi="Times New Roman"/>
                <w:color w:val="auto"/>
                <w:sz w:val="20"/>
                <w:lang w:val="en-US" w:eastAsia="zh-CN"/>
              </w:rPr>
            </w:pPr>
          </w:p>
        </w:tc>
        <w:tc>
          <w:tcPr>
            <w:tcW w:w="638" w:type="pct"/>
            <w:vMerge w:val="continue"/>
            <w:noWrap w:val="0"/>
            <w:vAlign w:val="center"/>
          </w:tcPr>
          <w:p>
            <w:pPr>
              <w:widowControl w:val="0"/>
              <w:jc w:val="center"/>
              <w:rPr>
                <w:rFonts w:hint="eastAsia"/>
                <w:color w:val="auto"/>
                <w:kern w:val="0"/>
                <w:sz w:val="20"/>
                <w:szCs w:val="20"/>
                <w:lang w:val="en-US" w:eastAsia="zh-CN"/>
              </w:rPr>
            </w:pPr>
          </w:p>
        </w:tc>
        <w:tc>
          <w:tcPr>
            <w:tcW w:w="376" w:type="pct"/>
            <w:vMerge w:val="continue"/>
            <w:noWrap w:val="0"/>
            <w:vAlign w:val="center"/>
          </w:tcPr>
          <w:p>
            <w:pPr>
              <w:pStyle w:val="1375"/>
              <w:rPr>
                <w:rFonts w:hint="eastAsia" w:ascii="Times New Roman" w:hAnsi="Times New Roman"/>
                <w:color w:val="auto"/>
                <w:sz w:val="20"/>
                <w:lang w:val="en-US" w:eastAsia="zh-CN"/>
              </w:rPr>
            </w:pPr>
          </w:p>
        </w:tc>
        <w:tc>
          <w:tcPr>
            <w:tcW w:w="520" w:type="pct"/>
            <w:noWrap w:val="0"/>
            <w:vAlign w:val="center"/>
          </w:tcPr>
          <w:p>
            <w:pPr>
              <w:pStyle w:val="1375"/>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NO</w:t>
            </w:r>
            <w:r>
              <w:rPr>
                <w:rFonts w:hint="eastAsia" w:ascii="Times New Roman" w:hAnsi="Times New Roman"/>
                <w:color w:val="auto"/>
                <w:sz w:val="20"/>
                <w:vertAlign w:val="subscript"/>
                <w:lang w:val="en-US" w:eastAsia="zh-CN"/>
              </w:rPr>
              <w:t>x</w:t>
            </w:r>
          </w:p>
        </w:tc>
        <w:tc>
          <w:tcPr>
            <w:tcW w:w="1159" w:type="pct"/>
            <w:vMerge w:val="continue"/>
            <w:noWrap w:val="0"/>
            <w:vAlign w:val="center"/>
          </w:tcPr>
          <w:p>
            <w:pPr>
              <w:pStyle w:val="1375"/>
              <w:rPr>
                <w:rFonts w:ascii="Times New Roman" w:hAnsi="Times New Roman"/>
                <w:color w:val="auto"/>
                <w:sz w:val="20"/>
              </w:rPr>
            </w:pPr>
          </w:p>
        </w:tc>
        <w:tc>
          <w:tcPr>
            <w:tcW w:w="904" w:type="pct"/>
            <w:vMerge w:val="continue"/>
            <w:noWrap w:val="0"/>
            <w:vAlign w:val="center"/>
          </w:tcPr>
          <w:p>
            <w:pPr>
              <w:pStyle w:val="1375"/>
              <w:rPr>
                <w:rFonts w:ascii="Times New Roman" w:hAnsi="Times New Roman"/>
                <w:color w:val="auto"/>
                <w:sz w:val="20"/>
              </w:rPr>
            </w:pPr>
          </w:p>
        </w:tc>
        <w:tc>
          <w:tcPr>
            <w:tcW w:w="629" w:type="pct"/>
            <w:noWrap w:val="0"/>
            <w:vAlign w:val="center"/>
          </w:tcPr>
          <w:p>
            <w:pPr>
              <w:widowControl w:val="0"/>
              <w:jc w:val="center"/>
              <w:rPr>
                <w:color w:val="auto"/>
                <w:sz w:val="20"/>
              </w:rPr>
            </w:pPr>
            <w:r>
              <w:rPr>
                <w:rFonts w:hint="eastAsia" w:ascii="Times New Roman" w:hAnsi="Times New Roman"/>
                <w:color w:val="auto"/>
                <w:sz w:val="20"/>
                <w:lang w:val="en-US" w:eastAsia="zh-CN"/>
              </w:rPr>
              <w:t>0.12</w:t>
            </w:r>
          </w:p>
        </w:tc>
        <w:tc>
          <w:tcPr>
            <w:tcW w:w="525" w:type="pct"/>
            <w:noWrap w:val="0"/>
            <w:vAlign w:val="center"/>
          </w:tcPr>
          <w:p>
            <w:pPr>
              <w:pStyle w:val="1375"/>
              <w:rPr>
                <w:rFonts w:hint="default" w:ascii="Times New Roman" w:hAnsi="Times New Roman"/>
                <w:color w:val="auto"/>
                <w:sz w:val="20"/>
                <w:lang w:val="en-US" w:eastAsia="zh-CN"/>
              </w:rPr>
            </w:pPr>
            <w:r>
              <w:rPr>
                <w:rFonts w:hint="eastAsia" w:ascii="Times New Roman" w:hAnsi="Times New Roman"/>
                <w:color w:val="auto"/>
                <w:sz w:val="20"/>
                <w:lang w:val="en-US" w:eastAsia="zh-CN"/>
              </w:rPr>
              <w:t>0.378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8"/>
            <w:noWrap w:val="0"/>
            <w:vAlign w:val="center"/>
          </w:tcPr>
          <w:p>
            <w:pPr>
              <w:pStyle w:val="1375"/>
              <w:rPr>
                <w:rFonts w:ascii="Times New Roman" w:hAnsi="Times New Roman"/>
                <w:color w:val="auto"/>
                <w:sz w:val="20"/>
              </w:rPr>
            </w:pPr>
            <w:r>
              <w:rPr>
                <w:rFonts w:ascii="Times New Roman" w:hAnsi="Times New Roman"/>
                <w:color w:val="auto"/>
                <w:sz w:val="20"/>
              </w:rPr>
              <w:t>无组织排放合计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80" w:type="pct"/>
            <w:gridSpan w:val="4"/>
            <w:vMerge w:val="restart"/>
            <w:tcBorders>
              <w:right w:val="single" w:color="auto" w:sz="6" w:space="0"/>
            </w:tcBorders>
            <w:noWrap w:val="0"/>
            <w:vAlign w:val="center"/>
          </w:tcPr>
          <w:p>
            <w:pPr>
              <w:jc w:val="center"/>
              <w:rPr>
                <w:color w:val="auto"/>
                <w:sz w:val="20"/>
              </w:rPr>
            </w:pPr>
            <w:r>
              <w:rPr>
                <w:color w:val="auto"/>
                <w:sz w:val="20"/>
              </w:rPr>
              <w:t>无组织排放合计</w:t>
            </w:r>
          </w:p>
        </w:tc>
        <w:tc>
          <w:tcPr>
            <w:tcW w:w="2693" w:type="pct"/>
            <w:gridSpan w:val="3"/>
            <w:tcBorders>
              <w:left w:val="single" w:color="auto" w:sz="6" w:space="0"/>
            </w:tcBorders>
            <w:noWrap w:val="0"/>
            <w:vAlign w:val="center"/>
          </w:tcPr>
          <w:p>
            <w:pPr>
              <w:pStyle w:val="1375"/>
              <w:rPr>
                <w:rFonts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颗粒物</w:t>
            </w:r>
          </w:p>
        </w:tc>
        <w:tc>
          <w:tcPr>
            <w:tcW w:w="525" w:type="pct"/>
            <w:noWrap w:val="0"/>
            <w:vAlign w:val="center"/>
          </w:tcPr>
          <w:p>
            <w:pPr>
              <w:pStyle w:val="1375"/>
              <w:rPr>
                <w:rFonts w:hint="default" w:ascii="Times New Roman" w:hAnsi="Times New Roman" w:eastAsia="宋体"/>
                <w:color w:val="auto"/>
                <w:sz w:val="20"/>
                <w:lang w:val="en-US" w:eastAsia="zh-CN"/>
              </w:rPr>
            </w:pPr>
            <w:r>
              <w:rPr>
                <w:rFonts w:hint="eastAsia" w:ascii="Times New Roman" w:hAnsi="Times New Roman"/>
                <w:color w:val="auto"/>
                <w:sz w:val="20"/>
                <w:lang w:val="en-US" w:eastAsia="zh-CN"/>
              </w:rPr>
              <w:t>0.377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80" w:type="pct"/>
            <w:gridSpan w:val="4"/>
            <w:vMerge w:val="continue"/>
            <w:tcBorders>
              <w:right w:val="single" w:color="auto" w:sz="6" w:space="0"/>
            </w:tcBorders>
            <w:noWrap w:val="0"/>
            <w:vAlign w:val="center"/>
          </w:tcPr>
          <w:p>
            <w:pPr>
              <w:jc w:val="center"/>
              <w:rPr>
                <w:color w:val="auto"/>
                <w:sz w:val="20"/>
              </w:rPr>
            </w:pPr>
          </w:p>
        </w:tc>
        <w:tc>
          <w:tcPr>
            <w:tcW w:w="2693" w:type="pct"/>
            <w:gridSpan w:val="3"/>
            <w:tcBorders>
              <w:left w:val="single" w:color="auto" w:sz="6" w:space="0"/>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SO</w:t>
            </w:r>
            <w:r>
              <w:rPr>
                <w:rFonts w:hint="eastAsia" w:ascii="Times New Roman" w:hAnsi="Times New Roman"/>
                <w:color w:val="auto"/>
                <w:sz w:val="20"/>
                <w:vertAlign w:val="subscript"/>
                <w:lang w:val="en-US" w:eastAsia="zh-CN"/>
              </w:rPr>
              <w:t>2</w:t>
            </w:r>
          </w:p>
        </w:tc>
        <w:tc>
          <w:tcPr>
            <w:tcW w:w="52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80" w:type="pct"/>
            <w:gridSpan w:val="4"/>
            <w:vMerge w:val="continue"/>
            <w:tcBorders>
              <w:right w:val="single" w:color="auto" w:sz="6" w:space="0"/>
            </w:tcBorders>
            <w:noWrap w:val="0"/>
            <w:vAlign w:val="center"/>
          </w:tcPr>
          <w:p>
            <w:pPr>
              <w:jc w:val="center"/>
              <w:rPr>
                <w:color w:val="auto"/>
                <w:sz w:val="20"/>
              </w:rPr>
            </w:pPr>
          </w:p>
        </w:tc>
        <w:tc>
          <w:tcPr>
            <w:tcW w:w="2693" w:type="pct"/>
            <w:gridSpan w:val="3"/>
            <w:tcBorders>
              <w:left w:val="single" w:color="auto" w:sz="6" w:space="0"/>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NO</w:t>
            </w:r>
            <w:r>
              <w:rPr>
                <w:rFonts w:hint="eastAsia" w:ascii="Times New Roman" w:hAnsi="Times New Roman"/>
                <w:color w:val="auto"/>
                <w:sz w:val="20"/>
                <w:vertAlign w:val="subscript"/>
                <w:lang w:val="en-US" w:eastAsia="zh-CN"/>
              </w:rPr>
              <w:t>x</w:t>
            </w:r>
          </w:p>
        </w:tc>
        <w:tc>
          <w:tcPr>
            <w:tcW w:w="52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0.378</w:t>
            </w:r>
          </w:p>
        </w:tc>
      </w:tr>
    </w:tbl>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rPr>
        <w:t>5</w:t>
      </w:r>
      <w:r>
        <w:rPr>
          <w:rFonts w:eastAsia="黑体"/>
          <w:b/>
          <w:color w:val="auto"/>
          <w:szCs w:val="21"/>
        </w:rPr>
        <w:t>.</w:t>
      </w:r>
      <w:r>
        <w:rPr>
          <w:rFonts w:hint="eastAsia" w:eastAsia="黑体"/>
          <w:b/>
          <w:color w:val="auto"/>
          <w:szCs w:val="21"/>
          <w:lang w:val="en-US" w:eastAsia="zh-CN"/>
        </w:rPr>
        <w:t>2-19</w:t>
      </w:r>
      <w:r>
        <w:rPr>
          <w:rFonts w:eastAsia="黑体"/>
          <w:b/>
          <w:color w:val="auto"/>
          <w:szCs w:val="21"/>
        </w:rPr>
        <w:t xml:space="preserve">  大气污染物</w:t>
      </w:r>
      <w:r>
        <w:rPr>
          <w:rFonts w:hint="eastAsia" w:eastAsia="黑体"/>
          <w:b/>
          <w:color w:val="auto"/>
          <w:szCs w:val="21"/>
          <w:lang w:val="en-US" w:eastAsia="zh-CN"/>
        </w:rPr>
        <w:t>正常工况</w:t>
      </w:r>
      <w:r>
        <w:rPr>
          <w:rFonts w:eastAsia="黑体"/>
          <w:b/>
          <w:color w:val="auto"/>
          <w:szCs w:val="21"/>
        </w:rPr>
        <w:t>年排放量核算表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764"/>
        <w:gridCol w:w="2006"/>
        <w:gridCol w:w="2023"/>
        <w:gridCol w:w="1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tcBorders>
              <w:top w:val="single" w:color="auto" w:sz="12"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序号</w:t>
            </w:r>
          </w:p>
        </w:tc>
        <w:tc>
          <w:tcPr>
            <w:tcW w:w="1035"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污染物</w:t>
            </w:r>
          </w:p>
        </w:tc>
        <w:tc>
          <w:tcPr>
            <w:tcW w:w="1177"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有组织排放量（t/a）</w:t>
            </w:r>
          </w:p>
        </w:tc>
        <w:tc>
          <w:tcPr>
            <w:tcW w:w="1187"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无组织排放量（t/a）</w:t>
            </w:r>
          </w:p>
        </w:tc>
        <w:tc>
          <w:tcPr>
            <w:tcW w:w="1159" w:type="pct"/>
            <w:tcBorders>
              <w:top w:val="single" w:color="auto" w:sz="12" w:space="0"/>
              <w:left w:val="single" w:color="auto" w:sz="6" w:space="0"/>
              <w:bottom w:val="single" w:color="auto" w:sz="12" w:space="0"/>
            </w:tcBorders>
            <w:noWrap w:val="0"/>
            <w:vAlign w:val="center"/>
          </w:tcPr>
          <w:p>
            <w:pPr>
              <w:pStyle w:val="1375"/>
              <w:rPr>
                <w:rFonts w:ascii="Times New Roman" w:hAnsi="Times New Roman"/>
                <w:color w:val="auto"/>
                <w:sz w:val="20"/>
              </w:rPr>
            </w:pPr>
            <w:r>
              <w:rPr>
                <w:rFonts w:ascii="Times New Roman" w:hAnsi="Times New Roman"/>
                <w:color w:val="auto"/>
                <w:sz w:val="20"/>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tcBorders>
              <w:top w:val="single" w:color="auto" w:sz="12" w:space="0"/>
            </w:tcBorders>
            <w:noWrap w:val="0"/>
            <w:vAlign w:val="center"/>
          </w:tcPr>
          <w:p>
            <w:pPr>
              <w:pStyle w:val="1375"/>
              <w:rPr>
                <w:rFonts w:ascii="Times New Roman" w:hAnsi="Times New Roman"/>
                <w:color w:val="auto"/>
                <w:sz w:val="20"/>
              </w:rPr>
            </w:pPr>
            <w:r>
              <w:rPr>
                <w:rFonts w:ascii="Times New Roman" w:hAnsi="Times New Roman"/>
                <w:color w:val="auto"/>
                <w:sz w:val="20"/>
              </w:rPr>
              <w:t>1</w:t>
            </w:r>
          </w:p>
        </w:tc>
        <w:tc>
          <w:tcPr>
            <w:tcW w:w="1035" w:type="pct"/>
            <w:tcBorders>
              <w:top w:val="single" w:color="auto" w:sz="12" w:space="0"/>
            </w:tcBorders>
            <w:noWrap w:val="0"/>
            <w:vAlign w:val="center"/>
          </w:tcPr>
          <w:p>
            <w:pPr>
              <w:pStyle w:val="1375"/>
              <w:rPr>
                <w:rFonts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颗粒物</w:t>
            </w:r>
          </w:p>
        </w:tc>
        <w:tc>
          <w:tcPr>
            <w:tcW w:w="1177" w:type="pct"/>
            <w:tcBorders>
              <w:top w:val="single" w:color="auto" w:sz="12" w:space="0"/>
            </w:tcBorders>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tcBorders>
              <w:top w:val="single" w:color="auto" w:sz="12" w:space="0"/>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0.377</w:t>
            </w:r>
          </w:p>
        </w:tc>
        <w:tc>
          <w:tcPr>
            <w:tcW w:w="1159" w:type="pct"/>
            <w:tcBorders>
              <w:top w:val="single" w:color="auto" w:sz="12" w:space="0"/>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eastAsia="zh-CN"/>
              </w:rPr>
              <w:t>2</w:t>
            </w:r>
          </w:p>
        </w:tc>
        <w:tc>
          <w:tcPr>
            <w:tcW w:w="103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SO</w:t>
            </w:r>
            <w:r>
              <w:rPr>
                <w:rFonts w:hint="eastAsia" w:ascii="Times New Roman" w:hAnsi="Times New Roman"/>
                <w:color w:val="auto"/>
                <w:sz w:val="20"/>
                <w:vertAlign w:val="subscript"/>
                <w:lang w:val="en-US" w:eastAsia="zh-CN"/>
              </w:rPr>
              <w:t>2</w:t>
            </w:r>
          </w:p>
        </w:tc>
        <w:tc>
          <w:tcPr>
            <w:tcW w:w="1177" w:type="pct"/>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0.0031</w:t>
            </w:r>
          </w:p>
        </w:tc>
        <w:tc>
          <w:tcPr>
            <w:tcW w:w="1159"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eastAsia="zh-CN"/>
              </w:rPr>
              <w:t>3</w:t>
            </w:r>
          </w:p>
        </w:tc>
        <w:tc>
          <w:tcPr>
            <w:tcW w:w="103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NO</w:t>
            </w:r>
            <w:r>
              <w:rPr>
                <w:rFonts w:hint="eastAsia" w:ascii="Times New Roman" w:hAnsi="Times New Roman"/>
                <w:color w:val="auto"/>
                <w:sz w:val="20"/>
                <w:vertAlign w:val="subscript"/>
                <w:lang w:val="en-US" w:eastAsia="zh-CN"/>
              </w:rPr>
              <w:t>x</w:t>
            </w:r>
          </w:p>
        </w:tc>
        <w:tc>
          <w:tcPr>
            <w:tcW w:w="1177" w:type="pct"/>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0.378</w:t>
            </w:r>
          </w:p>
        </w:tc>
        <w:tc>
          <w:tcPr>
            <w:tcW w:w="1159"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0.378</w:t>
            </w:r>
          </w:p>
        </w:tc>
      </w:tr>
    </w:tbl>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rPr>
        <w:t>5</w:t>
      </w:r>
      <w:r>
        <w:rPr>
          <w:rFonts w:eastAsia="黑体"/>
          <w:b/>
          <w:color w:val="auto"/>
          <w:szCs w:val="21"/>
        </w:rPr>
        <w:t>.</w:t>
      </w:r>
      <w:r>
        <w:rPr>
          <w:rFonts w:hint="eastAsia" w:eastAsia="黑体"/>
          <w:b/>
          <w:color w:val="auto"/>
          <w:szCs w:val="21"/>
          <w:lang w:val="en-US" w:eastAsia="zh-CN"/>
        </w:rPr>
        <w:t>2-20</w:t>
      </w:r>
      <w:r>
        <w:rPr>
          <w:rFonts w:eastAsia="黑体"/>
          <w:b/>
          <w:color w:val="auto"/>
          <w:szCs w:val="21"/>
        </w:rPr>
        <w:t xml:space="preserve">  大气污染物</w:t>
      </w:r>
      <w:r>
        <w:rPr>
          <w:rFonts w:hint="eastAsia" w:eastAsia="黑体"/>
          <w:b/>
          <w:color w:val="auto"/>
          <w:szCs w:val="21"/>
          <w:lang w:val="en-US" w:eastAsia="zh-CN"/>
        </w:rPr>
        <w:t>非正常工况</w:t>
      </w:r>
      <w:r>
        <w:rPr>
          <w:rFonts w:eastAsia="黑体"/>
          <w:b/>
          <w:color w:val="auto"/>
          <w:szCs w:val="21"/>
        </w:rPr>
        <w:t>年排放量核算表</w:t>
      </w:r>
    </w:p>
    <w:tbl>
      <w:tblPr>
        <w:tblStyle w:val="9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764"/>
        <w:gridCol w:w="2006"/>
        <w:gridCol w:w="2023"/>
        <w:gridCol w:w="1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tcBorders>
              <w:top w:val="single" w:color="auto" w:sz="12"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序号</w:t>
            </w:r>
          </w:p>
        </w:tc>
        <w:tc>
          <w:tcPr>
            <w:tcW w:w="1035"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污染物</w:t>
            </w:r>
          </w:p>
        </w:tc>
        <w:tc>
          <w:tcPr>
            <w:tcW w:w="1177"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有组织排放量（t/a）</w:t>
            </w:r>
          </w:p>
        </w:tc>
        <w:tc>
          <w:tcPr>
            <w:tcW w:w="1187" w:type="pct"/>
            <w:tcBorders>
              <w:top w:val="single" w:color="auto" w:sz="12" w:space="0"/>
              <w:left w:val="single" w:color="auto" w:sz="6" w:space="0"/>
              <w:bottom w:val="single" w:color="auto" w:sz="12" w:space="0"/>
              <w:right w:val="single" w:color="auto" w:sz="6" w:space="0"/>
            </w:tcBorders>
            <w:noWrap w:val="0"/>
            <w:vAlign w:val="center"/>
          </w:tcPr>
          <w:p>
            <w:pPr>
              <w:pStyle w:val="1375"/>
              <w:rPr>
                <w:rFonts w:ascii="Times New Roman" w:hAnsi="Times New Roman"/>
                <w:color w:val="auto"/>
                <w:sz w:val="20"/>
              </w:rPr>
            </w:pPr>
            <w:r>
              <w:rPr>
                <w:rFonts w:ascii="Times New Roman" w:hAnsi="Times New Roman"/>
                <w:color w:val="auto"/>
                <w:sz w:val="20"/>
              </w:rPr>
              <w:t>无组织排放量（t/a）</w:t>
            </w:r>
          </w:p>
        </w:tc>
        <w:tc>
          <w:tcPr>
            <w:tcW w:w="1159" w:type="pct"/>
            <w:tcBorders>
              <w:top w:val="single" w:color="auto" w:sz="12" w:space="0"/>
              <w:left w:val="single" w:color="auto" w:sz="6" w:space="0"/>
              <w:bottom w:val="single" w:color="auto" w:sz="12" w:space="0"/>
            </w:tcBorders>
            <w:noWrap w:val="0"/>
            <w:vAlign w:val="center"/>
          </w:tcPr>
          <w:p>
            <w:pPr>
              <w:pStyle w:val="1375"/>
              <w:rPr>
                <w:rFonts w:ascii="Times New Roman" w:hAnsi="Times New Roman"/>
                <w:color w:val="auto"/>
                <w:sz w:val="20"/>
              </w:rPr>
            </w:pPr>
            <w:r>
              <w:rPr>
                <w:rFonts w:ascii="Times New Roman" w:hAnsi="Times New Roman"/>
                <w:color w:val="auto"/>
                <w:sz w:val="20"/>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tcBorders>
              <w:top w:val="single" w:color="auto" w:sz="12" w:space="0"/>
            </w:tcBorders>
            <w:noWrap w:val="0"/>
            <w:vAlign w:val="center"/>
          </w:tcPr>
          <w:p>
            <w:pPr>
              <w:pStyle w:val="1375"/>
              <w:rPr>
                <w:rFonts w:ascii="Times New Roman" w:hAnsi="Times New Roman"/>
                <w:color w:val="auto"/>
                <w:sz w:val="20"/>
              </w:rPr>
            </w:pPr>
            <w:r>
              <w:rPr>
                <w:rFonts w:ascii="Times New Roman" w:hAnsi="Times New Roman"/>
                <w:color w:val="auto"/>
                <w:sz w:val="20"/>
              </w:rPr>
              <w:t>1</w:t>
            </w:r>
          </w:p>
        </w:tc>
        <w:tc>
          <w:tcPr>
            <w:tcW w:w="1035" w:type="pct"/>
            <w:tcBorders>
              <w:top w:val="single" w:color="auto" w:sz="12" w:space="0"/>
            </w:tcBorders>
            <w:noWrap w:val="0"/>
            <w:vAlign w:val="center"/>
          </w:tcPr>
          <w:p>
            <w:pPr>
              <w:pStyle w:val="1375"/>
              <w:rPr>
                <w:rFonts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颗粒物</w:t>
            </w:r>
          </w:p>
        </w:tc>
        <w:tc>
          <w:tcPr>
            <w:tcW w:w="1177" w:type="pct"/>
            <w:tcBorders>
              <w:top w:val="single" w:color="auto" w:sz="12" w:space="0"/>
            </w:tcBorders>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tcBorders>
              <w:top w:val="single" w:color="auto" w:sz="12" w:space="0"/>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13.052</w:t>
            </w:r>
          </w:p>
        </w:tc>
        <w:tc>
          <w:tcPr>
            <w:tcW w:w="1159" w:type="pct"/>
            <w:tcBorders>
              <w:top w:val="single" w:color="auto" w:sz="12" w:space="0"/>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13.052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eastAsia="zh-CN"/>
              </w:rPr>
              <w:t>2</w:t>
            </w:r>
          </w:p>
        </w:tc>
        <w:tc>
          <w:tcPr>
            <w:tcW w:w="103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SO</w:t>
            </w:r>
            <w:r>
              <w:rPr>
                <w:rFonts w:hint="eastAsia" w:ascii="Times New Roman" w:hAnsi="Times New Roman"/>
                <w:color w:val="auto"/>
                <w:sz w:val="20"/>
                <w:vertAlign w:val="subscript"/>
                <w:lang w:val="en-US" w:eastAsia="zh-CN"/>
              </w:rPr>
              <w:t>2</w:t>
            </w:r>
          </w:p>
        </w:tc>
        <w:tc>
          <w:tcPr>
            <w:tcW w:w="1177" w:type="pct"/>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0.0031</w:t>
            </w:r>
          </w:p>
        </w:tc>
        <w:tc>
          <w:tcPr>
            <w:tcW w:w="1159"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9" w:type="pct"/>
            <w:noWrap w:val="0"/>
            <w:vAlign w:val="center"/>
          </w:tcPr>
          <w:p>
            <w:pPr>
              <w:pStyle w:val="1375"/>
              <w:rPr>
                <w:rFonts w:hint="eastAsia" w:ascii="Times New Roman" w:hAnsi="Times New Roman"/>
                <w:color w:val="auto"/>
                <w:sz w:val="20"/>
                <w:lang w:eastAsia="zh-CN"/>
              </w:rPr>
            </w:pPr>
            <w:r>
              <w:rPr>
                <w:rFonts w:hint="eastAsia" w:ascii="Times New Roman" w:hAnsi="Times New Roman"/>
                <w:color w:val="auto"/>
                <w:sz w:val="20"/>
                <w:lang w:eastAsia="zh-CN"/>
              </w:rPr>
              <w:t>3</w:t>
            </w:r>
          </w:p>
        </w:tc>
        <w:tc>
          <w:tcPr>
            <w:tcW w:w="1035"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NO</w:t>
            </w:r>
            <w:r>
              <w:rPr>
                <w:rFonts w:hint="eastAsia" w:ascii="Times New Roman" w:hAnsi="Times New Roman"/>
                <w:color w:val="auto"/>
                <w:sz w:val="20"/>
                <w:vertAlign w:val="subscript"/>
                <w:lang w:val="en-US" w:eastAsia="zh-CN"/>
              </w:rPr>
              <w:t>x</w:t>
            </w:r>
          </w:p>
        </w:tc>
        <w:tc>
          <w:tcPr>
            <w:tcW w:w="1177" w:type="pct"/>
            <w:noWrap w:val="0"/>
            <w:vAlign w:val="center"/>
          </w:tcPr>
          <w:p>
            <w:pPr>
              <w:widowControl w:val="0"/>
              <w:jc w:val="center"/>
              <w:rPr>
                <w:rFonts w:hint="eastAsia" w:eastAsia="宋体"/>
                <w:color w:val="auto"/>
                <w:kern w:val="0"/>
                <w:sz w:val="20"/>
                <w:lang w:val="en-US" w:eastAsia="zh-CN"/>
              </w:rPr>
            </w:pPr>
            <w:r>
              <w:rPr>
                <w:rFonts w:hint="eastAsia"/>
                <w:color w:val="auto"/>
                <w:kern w:val="0"/>
                <w:sz w:val="20"/>
                <w:lang w:val="en-US" w:eastAsia="zh-CN"/>
              </w:rPr>
              <w:t>/</w:t>
            </w:r>
          </w:p>
        </w:tc>
        <w:tc>
          <w:tcPr>
            <w:tcW w:w="1187"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0.378</w:t>
            </w:r>
          </w:p>
        </w:tc>
        <w:tc>
          <w:tcPr>
            <w:tcW w:w="1159" w:type="pct"/>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olor w:val="auto"/>
                <w:sz w:val="20"/>
                <w:lang w:val="en-US" w:eastAsia="zh-CN"/>
              </w:rPr>
              <w:t>0.378</w:t>
            </w:r>
          </w:p>
        </w:tc>
      </w:tr>
    </w:tbl>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.2.2.5环境防护距离</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根据《环境影响评价技术导则 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预测，项目场界浓度满足大气污染物厂界浓度限值，且场界外大气污染物短期贡献浓度不超过环境质量浓度限值，所以本项目不需要设置大气环境防护距离。</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.2.2.6到港船舶废气影响分析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到港船舶排放系无组织排放源，具有近距离的污染特点，其少量废气对环境空气将产生一定的污染影响，且本项目采用码头岸电系统代替船舶辅机为停靠的船舶提供能源，可避免辅机工作时的废气污染，仅在船舶靠岸和驶离码头时产生少量的船舶尾气。</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但这种影响仅局限在排放点50m范围内，均发生在港区范围内，不会对本工程的环境空气保护目标产生污染影响。而且国内已有监测资料表明，在距离船舶航道中心线40m处NO</w:t>
      </w:r>
      <w:r>
        <w:rPr>
          <w:rFonts w:hint="eastAsia" w:eastAsia="仿宋_GB2312"/>
          <w:color w:val="auto"/>
          <w:sz w:val="24"/>
          <w:szCs w:val="24"/>
          <w:vertAlign w:val="subscript"/>
          <w:lang w:eastAsia="zh-CN"/>
        </w:rPr>
        <w:t>x</w:t>
      </w:r>
      <w:r>
        <w:rPr>
          <w:rFonts w:hint="eastAsia" w:eastAsia="仿宋_GB2312"/>
          <w:color w:val="auto"/>
          <w:sz w:val="24"/>
          <w:szCs w:val="24"/>
          <w:lang w:eastAsia="zh-CN"/>
        </w:rPr>
        <w:t>浓度均满足《环境空气质量标准》（GB3095-2012）中二级标准。故本工程船舶废气不会对的环境空气保护目标产生污染影响。</w:t>
      </w:r>
    </w:p>
    <w:p>
      <w:pPr>
        <w:pStyle w:val="9"/>
        <w:keepNext w:val="0"/>
        <w:keepLines w:val="0"/>
        <w:widowControl w:val="0"/>
        <w:spacing w:before="120" w:after="120" w:line="360" w:lineRule="auto"/>
        <w:rPr>
          <w:rFonts w:hint="eastAsia" w:eastAsia="黑体"/>
          <w:b w:val="0"/>
          <w:color w:val="auto"/>
          <w:sz w:val="24"/>
          <w:lang w:eastAsia="zh-CN"/>
        </w:rPr>
      </w:pPr>
      <w:bookmarkStart w:id="422" w:name="_Toc23862"/>
      <w:r>
        <w:rPr>
          <w:rFonts w:eastAsia="黑体"/>
          <w:b w:val="0"/>
          <w:color w:val="auto"/>
          <w:sz w:val="24"/>
        </w:rPr>
        <w:t>5.</w:t>
      </w:r>
      <w:r>
        <w:rPr>
          <w:rFonts w:hint="eastAsia" w:eastAsia="黑体"/>
          <w:b w:val="0"/>
          <w:color w:val="auto"/>
          <w:sz w:val="24"/>
          <w:lang w:val="en-US" w:eastAsia="zh-CN"/>
        </w:rPr>
        <w:t>2.3运营期</w:t>
      </w:r>
      <w:r>
        <w:rPr>
          <w:rFonts w:eastAsia="黑体"/>
          <w:b w:val="0"/>
          <w:color w:val="auto"/>
          <w:sz w:val="24"/>
        </w:rPr>
        <w:t>声环境影响</w:t>
      </w:r>
      <w:r>
        <w:rPr>
          <w:rFonts w:hint="eastAsia" w:eastAsia="黑体"/>
          <w:b w:val="0"/>
          <w:color w:val="auto"/>
          <w:sz w:val="24"/>
          <w:lang w:val="en-US" w:eastAsia="zh-CN"/>
        </w:rPr>
        <w:t>分析</w:t>
      </w:r>
      <w:bookmarkEnd w:id="422"/>
    </w:p>
    <w:p>
      <w:pPr>
        <w:widowControl w:val="0"/>
        <w:spacing w:before="120" w:after="120" w:line="360" w:lineRule="auto"/>
        <w:outlineLvl w:val="3"/>
        <w:rPr>
          <w:rFonts w:eastAsia="黑体"/>
          <w:color w:val="auto"/>
          <w:sz w:val="24"/>
        </w:rPr>
      </w:pPr>
      <w:bookmarkStart w:id="423" w:name="_Toc500342727"/>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3.</w:t>
      </w:r>
      <w:r>
        <w:rPr>
          <w:rFonts w:eastAsia="黑体"/>
          <w:color w:val="auto"/>
          <w:sz w:val="24"/>
        </w:rPr>
        <w:t>1项目主要噪声源概况</w:t>
      </w:r>
    </w:p>
    <w:p>
      <w:pPr>
        <w:widowControl w:val="0"/>
        <w:spacing w:line="360" w:lineRule="auto"/>
        <w:ind w:firstLine="480" w:firstLineChars="200"/>
        <w:rPr>
          <w:rFonts w:eastAsia="仿宋_GB2312"/>
          <w:color w:val="auto"/>
          <w:sz w:val="24"/>
        </w:rPr>
      </w:pPr>
      <w:r>
        <w:rPr>
          <w:rFonts w:hint="eastAsia" w:eastAsia="仿宋_GB2312"/>
          <w:color w:val="auto"/>
          <w:sz w:val="24"/>
          <w:lang w:eastAsia="zh-CN"/>
        </w:rPr>
        <w:t>运营期</w:t>
      </w:r>
      <w:r>
        <w:rPr>
          <w:rFonts w:hint="eastAsia" w:eastAsia="仿宋_GB2312"/>
          <w:color w:val="auto"/>
          <w:sz w:val="24"/>
        </w:rPr>
        <w:t>噪声源主要为</w:t>
      </w:r>
      <w:r>
        <w:rPr>
          <w:rFonts w:hint="eastAsia" w:eastAsia="仿宋_GB2312"/>
          <w:color w:val="auto"/>
          <w:sz w:val="24"/>
          <w:lang w:val="en-US" w:eastAsia="zh-CN"/>
        </w:rPr>
        <w:t>装船机装船</w:t>
      </w:r>
      <w:r>
        <w:rPr>
          <w:rFonts w:hint="eastAsia" w:eastAsia="仿宋_GB2312"/>
          <w:color w:val="auto"/>
          <w:sz w:val="24"/>
        </w:rPr>
        <w:t>、</w:t>
      </w:r>
      <w:r>
        <w:rPr>
          <w:rFonts w:hint="eastAsia" w:eastAsia="仿宋_GB2312"/>
          <w:color w:val="auto"/>
          <w:sz w:val="24"/>
          <w:lang w:val="en-US" w:eastAsia="zh-CN"/>
        </w:rPr>
        <w:t>廊道皮带机等设备运行噪声</w:t>
      </w:r>
      <w:r>
        <w:rPr>
          <w:rFonts w:eastAsia="仿宋_GB2312"/>
          <w:color w:val="auto"/>
          <w:sz w:val="24"/>
        </w:rPr>
        <w:t>。</w:t>
      </w:r>
    </w:p>
    <w:p>
      <w:pPr>
        <w:widowControl w:val="0"/>
        <w:spacing w:before="120" w:after="120" w:line="360" w:lineRule="auto"/>
        <w:outlineLvl w:val="3"/>
        <w:rPr>
          <w:rFonts w:eastAsia="黑体"/>
          <w:color w:val="auto"/>
          <w:sz w:val="24"/>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3.</w:t>
      </w:r>
      <w:r>
        <w:rPr>
          <w:rFonts w:eastAsia="黑体"/>
          <w:color w:val="auto"/>
          <w:sz w:val="24"/>
        </w:rPr>
        <w:t>2预测范围、点位与评价因子</w:t>
      </w:r>
      <w:bookmarkEnd w:id="423"/>
    </w:p>
    <w:p>
      <w:pPr>
        <w:widowControl w:val="0"/>
        <w:spacing w:line="360" w:lineRule="auto"/>
        <w:ind w:firstLine="480" w:firstLineChars="200"/>
        <w:rPr>
          <w:rFonts w:eastAsia="仿宋_GB2312"/>
          <w:color w:val="auto"/>
          <w:sz w:val="24"/>
        </w:rPr>
      </w:pPr>
      <w:r>
        <w:rPr>
          <w:rFonts w:eastAsia="仿宋_GB2312"/>
          <w:color w:val="auto"/>
          <w:sz w:val="24"/>
        </w:rPr>
        <w:t>（1）预测范围及点位</w:t>
      </w:r>
    </w:p>
    <w:p>
      <w:pPr>
        <w:widowControl w:val="0"/>
        <w:spacing w:line="360" w:lineRule="auto"/>
        <w:ind w:firstLine="480" w:firstLineChars="200"/>
        <w:rPr>
          <w:rFonts w:eastAsia="仿宋_GB2312"/>
          <w:color w:val="auto"/>
          <w:sz w:val="24"/>
        </w:rPr>
      </w:pPr>
      <w:r>
        <w:rPr>
          <w:rFonts w:hint="eastAsia" w:ascii="宋体" w:hAnsi="宋体" w:cs="宋体"/>
          <w:color w:val="auto"/>
          <w:sz w:val="24"/>
        </w:rPr>
        <w:t>①</w:t>
      </w:r>
      <w:r>
        <w:rPr>
          <w:rFonts w:eastAsia="仿宋_GB2312"/>
          <w:color w:val="auto"/>
          <w:sz w:val="24"/>
        </w:rPr>
        <w:t>噪声预测范围为：厂界外1m及周围敏感点；</w:t>
      </w:r>
    </w:p>
    <w:p>
      <w:pPr>
        <w:widowControl w:val="0"/>
        <w:spacing w:line="360" w:lineRule="auto"/>
        <w:ind w:firstLine="480" w:firstLineChars="200"/>
        <w:rPr>
          <w:rFonts w:eastAsia="仿宋_GB2312"/>
          <w:color w:val="auto"/>
          <w:sz w:val="24"/>
        </w:rPr>
      </w:pPr>
      <w:r>
        <w:rPr>
          <w:rFonts w:hint="eastAsia" w:ascii="宋体" w:hAnsi="宋体" w:cs="宋体"/>
          <w:color w:val="auto"/>
          <w:sz w:val="24"/>
        </w:rPr>
        <w:t>②</w:t>
      </w:r>
      <w:r>
        <w:rPr>
          <w:rFonts w:eastAsia="仿宋_GB2312"/>
          <w:color w:val="auto"/>
          <w:sz w:val="24"/>
        </w:rPr>
        <w:t>预测点位：以现状监测点为预测评价点；</w:t>
      </w:r>
    </w:p>
    <w:p>
      <w:pPr>
        <w:widowControl w:val="0"/>
        <w:spacing w:line="360" w:lineRule="auto"/>
        <w:ind w:firstLine="480" w:firstLineChars="200"/>
        <w:rPr>
          <w:rFonts w:eastAsia="仿宋_GB2312"/>
          <w:color w:val="auto"/>
          <w:sz w:val="24"/>
        </w:rPr>
      </w:pPr>
      <w:r>
        <w:rPr>
          <w:rFonts w:hint="eastAsia" w:ascii="宋体" w:hAnsi="宋体" w:cs="宋体"/>
          <w:color w:val="auto"/>
          <w:sz w:val="24"/>
        </w:rPr>
        <w:t>③</w:t>
      </w:r>
      <w:r>
        <w:rPr>
          <w:rFonts w:eastAsia="仿宋_GB2312"/>
          <w:color w:val="auto"/>
          <w:sz w:val="24"/>
        </w:rPr>
        <w:t>厂界噪声：在东、南、西厂界各设置一个。</w:t>
      </w:r>
    </w:p>
    <w:p>
      <w:pPr>
        <w:widowControl w:val="0"/>
        <w:spacing w:line="360" w:lineRule="auto"/>
        <w:ind w:firstLine="480" w:firstLineChars="200"/>
        <w:rPr>
          <w:rFonts w:eastAsia="仿宋_GB2312"/>
          <w:color w:val="auto"/>
          <w:sz w:val="24"/>
        </w:rPr>
      </w:pPr>
      <w:r>
        <w:rPr>
          <w:rFonts w:eastAsia="仿宋_GB2312"/>
          <w:color w:val="auto"/>
          <w:sz w:val="24"/>
        </w:rPr>
        <w:t>（2）预测因子</w:t>
      </w:r>
    </w:p>
    <w:p>
      <w:pPr>
        <w:widowControl w:val="0"/>
        <w:spacing w:line="360" w:lineRule="auto"/>
        <w:ind w:firstLine="480" w:firstLineChars="200"/>
        <w:rPr>
          <w:rFonts w:hint="eastAsia" w:eastAsia="仿宋_GB2312"/>
          <w:color w:val="auto"/>
          <w:sz w:val="24"/>
        </w:rPr>
      </w:pPr>
      <w:r>
        <w:rPr>
          <w:rFonts w:eastAsia="仿宋_GB2312"/>
          <w:color w:val="auto"/>
          <w:sz w:val="24"/>
        </w:rPr>
        <w:t>厂界噪声预测因子：等效连续A声级。</w:t>
      </w:r>
    </w:p>
    <w:p>
      <w:pPr>
        <w:widowControl w:val="0"/>
        <w:spacing w:before="120" w:after="120" w:line="360" w:lineRule="auto"/>
        <w:outlineLvl w:val="3"/>
        <w:rPr>
          <w:rFonts w:eastAsia="黑体"/>
          <w:color w:val="auto"/>
          <w:sz w:val="24"/>
        </w:rPr>
      </w:pPr>
      <w:bookmarkStart w:id="424" w:name="_Toc500342728"/>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3.</w:t>
      </w:r>
      <w:r>
        <w:rPr>
          <w:rFonts w:eastAsia="黑体"/>
          <w:color w:val="auto"/>
          <w:sz w:val="24"/>
        </w:rPr>
        <w:t>3预测方法与模式</w:t>
      </w:r>
      <w:bookmarkEnd w:id="424"/>
    </w:p>
    <w:p>
      <w:pPr>
        <w:widowControl w:val="0"/>
        <w:spacing w:line="360" w:lineRule="auto"/>
        <w:ind w:firstLine="480" w:firstLineChars="200"/>
        <w:rPr>
          <w:rFonts w:eastAsia="仿宋_GB2312"/>
          <w:color w:val="auto"/>
          <w:sz w:val="24"/>
        </w:rPr>
      </w:pPr>
      <w:r>
        <w:rPr>
          <w:rFonts w:eastAsia="仿宋_GB2312"/>
          <w:color w:val="auto"/>
          <w:sz w:val="24"/>
        </w:rPr>
        <w:t>本次噪声影响预测，主要是对噪声源对厂界影响进行预测，以现状监测点为受测点。根据《环境影响评价技术导则－声环境》</w:t>
      </w:r>
      <w:r>
        <w:rPr>
          <w:rFonts w:hint="eastAsia" w:eastAsia="仿宋_GB2312"/>
          <w:color w:val="auto"/>
          <w:sz w:val="24"/>
          <w:lang w:eastAsia="zh-CN"/>
        </w:rPr>
        <w:t>（</w:t>
      </w:r>
      <w:r>
        <w:rPr>
          <w:rFonts w:eastAsia="仿宋_GB2312"/>
          <w:color w:val="auto"/>
          <w:sz w:val="24"/>
        </w:rPr>
        <w:t>HJ2.4-20</w:t>
      </w:r>
      <w:r>
        <w:rPr>
          <w:rFonts w:hint="eastAsia" w:eastAsia="仿宋_GB2312"/>
          <w:color w:val="auto"/>
          <w:sz w:val="24"/>
          <w:lang w:val="en-US" w:eastAsia="zh-CN"/>
        </w:rPr>
        <w:t>21</w:t>
      </w:r>
      <w:r>
        <w:rPr>
          <w:rFonts w:hint="eastAsia" w:eastAsia="仿宋_GB2312"/>
          <w:color w:val="auto"/>
          <w:sz w:val="24"/>
          <w:lang w:eastAsia="zh-CN"/>
        </w:rPr>
        <w:t>）</w:t>
      </w:r>
      <w:r>
        <w:rPr>
          <w:rFonts w:eastAsia="仿宋_GB2312"/>
          <w:color w:val="auto"/>
          <w:sz w:val="24"/>
        </w:rPr>
        <w:t>中规定：进行环境预测时所使用的工业噪声源都可按点声源处理。</w:t>
      </w:r>
    </w:p>
    <w:p>
      <w:pPr>
        <w:widowControl w:val="0"/>
        <w:spacing w:line="360" w:lineRule="auto"/>
        <w:ind w:firstLine="480" w:firstLineChars="200"/>
        <w:rPr>
          <w:rFonts w:eastAsia="仿宋_GB2312"/>
          <w:color w:val="auto"/>
          <w:sz w:val="24"/>
        </w:rPr>
      </w:pPr>
      <w:r>
        <w:rPr>
          <w:rFonts w:eastAsia="仿宋_GB2312"/>
          <w:color w:val="auto"/>
          <w:sz w:val="24"/>
        </w:rPr>
        <w:t>以测试的环境本底噪声为基础，根据点声源几何发散衰减基本公式进行声叠加，预测工程投产后的环境噪声状况。本评价预测采用的软件是“噪声环评助手EIAN2.0”，所采用的预测模式如下：</w:t>
      </w:r>
    </w:p>
    <w:p>
      <w:pPr>
        <w:widowControl w:val="0"/>
        <w:spacing w:line="360" w:lineRule="auto"/>
        <w:ind w:firstLine="480" w:firstLineChars="200"/>
        <w:rPr>
          <w:rFonts w:eastAsia="仿宋_GB2312"/>
          <w:color w:val="auto"/>
          <w:sz w:val="24"/>
        </w:rPr>
      </w:pPr>
      <w:r>
        <w:rPr>
          <w:rFonts w:eastAsia="仿宋_GB2312"/>
          <w:color w:val="auto"/>
          <w:sz w:val="24"/>
        </w:rPr>
        <w:t>（1）室外声源</w:t>
      </w:r>
    </w:p>
    <w:p>
      <w:pPr>
        <w:widowControl w:val="0"/>
        <w:spacing w:line="360" w:lineRule="auto"/>
        <w:ind w:firstLine="480" w:firstLineChars="200"/>
        <w:rPr>
          <w:rFonts w:eastAsia="仿宋_GB2312"/>
          <w:color w:val="auto"/>
          <w:sz w:val="24"/>
        </w:rPr>
      </w:pPr>
      <w:r>
        <w:rPr>
          <w:rFonts w:hint="eastAsia" w:ascii="宋体" w:hAnsi="宋体" w:cs="宋体"/>
          <w:color w:val="auto"/>
          <w:sz w:val="24"/>
        </w:rPr>
        <w:t>◆</w:t>
      </w:r>
      <w:r>
        <w:rPr>
          <w:rFonts w:eastAsia="仿宋_GB2312"/>
          <w:color w:val="auto"/>
          <w:sz w:val="24"/>
        </w:rPr>
        <w:t>计算某个声源在预测点的倍频带声压级：</w:t>
      </w:r>
    </w:p>
    <w:p>
      <w:pPr>
        <w:pStyle w:val="316"/>
        <w:widowControl w:val="0"/>
        <w:ind w:firstLine="0" w:firstLineChars="0"/>
        <w:jc w:val="center"/>
        <w:rPr>
          <w:color w:val="auto"/>
        </w:rPr>
      </w:pPr>
      <w:r>
        <w:rPr>
          <w:color w:val="auto"/>
        </w:rPr>
        <w:object>
          <v:shape id="_x0000_i1106" o:spt="75" type="#_x0000_t75" style="height:37.6pt;width:174pt;" o:ole="t" filled="f" stroked="f" coordsize="21600,21600">
            <v:path/>
            <v:fill on="f" focussize="0,0"/>
            <v:stroke on="f"/>
            <v:imagedata r:id="rId227" o:title=""/>
            <o:lock v:ext="edit" grouping="f" rotation="f" text="f" aspectratio="t"/>
            <w10:wrap type="none"/>
            <w10:anchorlock/>
          </v:shape>
          <o:OLEObject Type="Embed" ProgID="Equation.3" ShapeID="_x0000_i1106" DrawAspect="Content" ObjectID="_1468075806" r:id="rId226">
            <o:LockedField>false</o:LockedField>
          </o:OLEObject>
        </w:object>
      </w:r>
    </w:p>
    <w:p>
      <w:pPr>
        <w:widowControl w:val="0"/>
        <w:spacing w:line="360" w:lineRule="auto"/>
        <w:ind w:firstLine="480" w:firstLineChars="200"/>
        <w:rPr>
          <w:rFonts w:eastAsia="仿宋_GB2312"/>
          <w:color w:val="auto"/>
          <w:sz w:val="24"/>
        </w:rPr>
      </w:pPr>
      <w:r>
        <w:rPr>
          <w:rFonts w:eastAsia="仿宋_GB2312"/>
          <w:color w:val="auto"/>
          <w:sz w:val="24"/>
        </w:rPr>
        <w:t>式中：Loct(r)－点声源在预测点产生的倍频带声压级；</w:t>
      </w:r>
    </w:p>
    <w:p>
      <w:pPr>
        <w:widowControl w:val="0"/>
        <w:spacing w:line="360" w:lineRule="auto"/>
        <w:ind w:firstLine="480" w:firstLineChars="200"/>
        <w:rPr>
          <w:rFonts w:eastAsia="仿宋_GB2312"/>
          <w:color w:val="auto"/>
          <w:sz w:val="24"/>
        </w:rPr>
      </w:pPr>
      <w:r>
        <w:rPr>
          <w:rFonts w:eastAsia="仿宋_GB2312"/>
          <w:color w:val="auto"/>
          <w:sz w:val="24"/>
        </w:rPr>
        <w:t xml:space="preserve">      Loct(r</w:t>
      </w:r>
      <w:r>
        <w:rPr>
          <w:rFonts w:eastAsia="仿宋_GB2312"/>
          <w:color w:val="auto"/>
          <w:sz w:val="24"/>
          <w:vertAlign w:val="subscript"/>
        </w:rPr>
        <w:t>0</w:t>
      </w:r>
      <w:r>
        <w:rPr>
          <w:rFonts w:eastAsia="仿宋_GB2312"/>
          <w:color w:val="auto"/>
          <w:sz w:val="24"/>
        </w:rPr>
        <w:t>)－参考位置r</w:t>
      </w:r>
      <w:r>
        <w:rPr>
          <w:rFonts w:eastAsia="仿宋_GB2312"/>
          <w:color w:val="auto"/>
          <w:sz w:val="24"/>
          <w:vertAlign w:val="subscript"/>
        </w:rPr>
        <w:t>0</w:t>
      </w:r>
      <w:r>
        <w:rPr>
          <w:rFonts w:eastAsia="仿宋_GB2312"/>
          <w:color w:val="auto"/>
          <w:sz w:val="24"/>
        </w:rPr>
        <w:t>处的倍频带声压级；</w:t>
      </w:r>
    </w:p>
    <w:p>
      <w:pPr>
        <w:pStyle w:val="26"/>
        <w:widowControl w:val="0"/>
        <w:spacing w:line="360" w:lineRule="auto"/>
        <w:ind w:firstLine="480" w:firstLineChars="200"/>
        <w:rPr>
          <w:rFonts w:ascii="Times New Roman" w:hAnsi="Times New Roman"/>
          <w:color w:val="auto"/>
        </w:rPr>
      </w:pPr>
      <w:r>
        <w:rPr>
          <w:rFonts w:ascii="Times New Roman" w:hAnsi="Times New Roman"/>
          <w:color w:val="auto"/>
        </w:rPr>
        <w:t xml:space="preserve">           r－</w:t>
      </w:r>
      <w:r>
        <w:rPr>
          <w:rFonts w:ascii="Times New Roman" w:hAnsi="Times New Roman" w:eastAsia="仿宋_GB2312"/>
          <w:color w:val="auto"/>
        </w:rPr>
        <w:t>预测点距声源的距离</w:t>
      </w:r>
      <w:r>
        <w:rPr>
          <w:rFonts w:ascii="Times New Roman" w:hAnsi="Times New Roman"/>
          <w:color w:val="auto"/>
        </w:rPr>
        <w:t>，m；</w:t>
      </w:r>
    </w:p>
    <w:p>
      <w:pPr>
        <w:pStyle w:val="26"/>
        <w:widowControl w:val="0"/>
        <w:spacing w:line="360" w:lineRule="auto"/>
        <w:ind w:firstLine="480" w:firstLineChars="200"/>
        <w:rPr>
          <w:rFonts w:ascii="Times New Roman" w:hAnsi="Times New Roman"/>
          <w:color w:val="auto"/>
        </w:rPr>
      </w:pPr>
      <w:r>
        <w:rPr>
          <w:rFonts w:ascii="Times New Roman" w:hAnsi="Times New Roman"/>
          <w:color w:val="auto"/>
        </w:rPr>
        <w:t xml:space="preserve">           r</w:t>
      </w:r>
      <w:r>
        <w:rPr>
          <w:rFonts w:ascii="Times New Roman" w:hAnsi="Times New Roman"/>
          <w:color w:val="auto"/>
          <w:vertAlign w:val="subscript"/>
        </w:rPr>
        <w:t>0</w:t>
      </w:r>
      <w:r>
        <w:rPr>
          <w:rFonts w:ascii="Times New Roman" w:hAnsi="Times New Roman"/>
          <w:color w:val="auto"/>
        </w:rPr>
        <w:t>－</w:t>
      </w:r>
      <w:r>
        <w:rPr>
          <w:rFonts w:ascii="Times New Roman" w:hAnsi="Times New Roman" w:eastAsia="仿宋_GB2312"/>
          <w:color w:val="auto"/>
        </w:rPr>
        <w:t>参考位置距声源的距离</w:t>
      </w:r>
      <w:r>
        <w:rPr>
          <w:rFonts w:ascii="Times New Roman" w:hAnsi="Times New Roman"/>
          <w:color w:val="auto"/>
        </w:rPr>
        <w:t>，m；</w:t>
      </w:r>
    </w:p>
    <w:p>
      <w:pPr>
        <w:pStyle w:val="26"/>
        <w:widowControl w:val="0"/>
        <w:spacing w:line="360" w:lineRule="auto"/>
        <w:ind w:firstLine="480" w:firstLineChars="200"/>
        <w:rPr>
          <w:rFonts w:ascii="Times New Roman" w:hAnsi="Times New Roman"/>
          <w:color w:val="auto"/>
        </w:rPr>
      </w:pPr>
      <w:r>
        <w:rPr>
          <w:rFonts w:ascii="Times New Roman" w:hAnsi="Times New Roman"/>
          <w:color w:val="auto"/>
          <w:kern w:val="0"/>
        </w:rPr>
        <w:t xml:space="preserve">       </w:t>
      </w:r>
      <w:r>
        <w:rPr>
          <w:rFonts w:ascii="Times New Roman" w:hAnsi="Times New Roman"/>
          <w:color w:val="auto"/>
        </w:rPr>
        <w:t xml:space="preserve"> ΔL</w:t>
      </w:r>
      <w:r>
        <w:rPr>
          <w:rFonts w:ascii="Times New Roman" w:hAnsi="Times New Roman"/>
          <w:color w:val="auto"/>
          <w:vertAlign w:val="subscript"/>
        </w:rPr>
        <w:t>oct</w:t>
      </w:r>
      <w:r>
        <w:rPr>
          <w:rFonts w:ascii="Times New Roman" w:hAnsi="Times New Roman"/>
          <w:color w:val="auto"/>
        </w:rPr>
        <w:t>－</w:t>
      </w:r>
      <w:r>
        <w:rPr>
          <w:rFonts w:ascii="Times New Roman" w:hAnsi="Times New Roman" w:eastAsia="仿宋_GB2312"/>
          <w:color w:val="auto"/>
        </w:rPr>
        <w:t>各种因素引起的衰减量(包括声屏障、遮挡物、空气吸收、地面效应等引起的衰减量，其计算方法详见“导则”正文)。</w:t>
      </w:r>
    </w:p>
    <w:p>
      <w:pPr>
        <w:widowControl w:val="0"/>
        <w:spacing w:line="360" w:lineRule="auto"/>
        <w:ind w:firstLine="480" w:firstLineChars="200"/>
        <w:rPr>
          <w:rFonts w:eastAsia="仿宋_GB2312"/>
          <w:color w:val="auto"/>
          <w:sz w:val="24"/>
        </w:rPr>
      </w:pPr>
      <w:r>
        <w:rPr>
          <w:rFonts w:eastAsia="仿宋_GB2312"/>
          <w:color w:val="auto"/>
          <w:sz w:val="24"/>
        </w:rPr>
        <w:t>若已知声源倍频带声功率级Lwoct，且声源可看作是位于地面上的，则由各倍频带声压级合成计算出该声源产生的声级L</w:t>
      </w:r>
      <w:r>
        <w:rPr>
          <w:rFonts w:eastAsia="仿宋_GB2312"/>
          <w:color w:val="auto"/>
          <w:sz w:val="24"/>
          <w:vertAlign w:val="subscript"/>
        </w:rPr>
        <w:t>A</w:t>
      </w:r>
      <w:r>
        <w:rPr>
          <w:rFonts w:eastAsia="仿宋_GB2312"/>
          <w:color w:val="auto"/>
          <w:sz w:val="24"/>
        </w:rPr>
        <w:t>。</w:t>
      </w:r>
    </w:p>
    <w:p>
      <w:pPr>
        <w:widowControl w:val="0"/>
        <w:spacing w:line="360" w:lineRule="auto"/>
        <w:ind w:firstLine="480" w:firstLineChars="200"/>
        <w:rPr>
          <w:rFonts w:eastAsia="仿宋_GB2312"/>
          <w:color w:val="auto"/>
          <w:sz w:val="24"/>
        </w:rPr>
      </w:pPr>
      <w:r>
        <w:rPr>
          <w:rFonts w:eastAsia="仿宋_GB2312"/>
          <w:color w:val="auto"/>
          <w:sz w:val="24"/>
        </w:rPr>
        <w:t>（2）室内声源</w: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首先计算出某个室内靠近围护结构处的倍频带声压级：</w:t>
      </w:r>
    </w:p>
    <w:p>
      <w:pPr>
        <w:pStyle w:val="316"/>
        <w:widowControl w:val="0"/>
        <w:ind w:firstLine="0" w:firstLineChars="0"/>
        <w:jc w:val="center"/>
        <w:rPr>
          <w:rFonts w:eastAsia="仿宋_GB2312"/>
          <w:color w:val="auto"/>
        </w:rPr>
      </w:pPr>
      <w:r>
        <w:rPr>
          <w:rFonts w:eastAsia="仿宋_GB2312"/>
          <w:color w:val="auto"/>
        </w:rPr>
        <w:object>
          <v:shape id="_x0000_i1107" o:spt="75" type="#_x0000_t75" style="height:37.6pt;width:159pt;" o:ole="t" filled="f" stroked="f" coordsize="21600,21600">
            <v:path/>
            <v:fill on="f" focussize="0,0"/>
            <v:stroke on="f"/>
            <v:imagedata r:id="rId229" o:title=""/>
            <o:lock v:ext="edit" grouping="f" rotation="f" text="f" aspectratio="t"/>
            <w10:wrap type="none"/>
            <w10:anchorlock/>
          </v:shape>
          <o:OLEObject Type="Embed" ProgID="Equation.3" ShapeID="_x0000_i1107" DrawAspect="Content" ObjectID="_1468075807" r:id="rId228">
            <o:LockedField>false</o:LockedField>
          </o:OLEObject>
        </w:objec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式中：L</w:t>
      </w:r>
      <w:r>
        <w:rPr>
          <w:rFonts w:ascii="Times New Roman" w:hAnsi="Times New Roman" w:eastAsia="仿宋_GB2312"/>
          <w:color w:val="auto"/>
          <w:vertAlign w:val="subscript"/>
        </w:rPr>
        <w:t>oct,1</w:t>
      </w:r>
      <w:r>
        <w:rPr>
          <w:rFonts w:ascii="Times New Roman" w:hAnsi="Times New Roman" w:eastAsia="仿宋_GB2312"/>
          <w:color w:val="auto"/>
        </w:rPr>
        <w:t>－某个室内声源在靠近围护结构处产生的倍频带声压级；</w:t>
      </w:r>
    </w:p>
    <w:p>
      <w:pPr>
        <w:widowControl w:val="0"/>
        <w:spacing w:line="360" w:lineRule="auto"/>
        <w:ind w:firstLine="480" w:firstLineChars="200"/>
        <w:rPr>
          <w:rFonts w:eastAsia="仿宋_GB2312"/>
          <w:color w:val="auto"/>
          <w:sz w:val="24"/>
        </w:rPr>
      </w:pPr>
      <w:r>
        <w:rPr>
          <w:rFonts w:eastAsia="仿宋_GB2312"/>
          <w:color w:val="auto"/>
          <w:sz w:val="24"/>
        </w:rPr>
        <w:t xml:space="preserve">       L</w:t>
      </w:r>
      <w:r>
        <w:rPr>
          <w:rFonts w:eastAsia="仿宋_GB2312"/>
          <w:color w:val="auto"/>
          <w:sz w:val="24"/>
          <w:vertAlign w:val="subscript"/>
        </w:rPr>
        <w:t>woct</w:t>
      </w:r>
      <w:r>
        <w:rPr>
          <w:rFonts w:eastAsia="仿宋_GB2312"/>
          <w:color w:val="auto"/>
          <w:sz w:val="24"/>
        </w:rPr>
        <w:t>－某个声源的倍频带声功率级；</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r</w:t>
      </w:r>
      <w:r>
        <w:rPr>
          <w:rFonts w:ascii="Times New Roman" w:hAnsi="Times New Roman" w:eastAsia="仿宋_GB2312"/>
          <w:color w:val="auto"/>
          <w:vertAlign w:val="subscript"/>
        </w:rPr>
        <w:t>1</w:t>
      </w:r>
      <w:r>
        <w:rPr>
          <w:rFonts w:ascii="Times New Roman" w:hAnsi="Times New Roman" w:eastAsia="仿宋_GB2312"/>
          <w:color w:val="auto"/>
        </w:rPr>
        <w:t>－室内某个声源与靠近围护结构处的距离；</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R－房间常数；</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Q－方向因子。</w: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计算出所有室内声源在靠近围护结构处产生的总倍频带声压级：</w:t>
      </w:r>
    </w:p>
    <w:p>
      <w:pPr>
        <w:pStyle w:val="316"/>
        <w:widowControl w:val="0"/>
        <w:ind w:firstLine="0" w:firstLineChars="0"/>
        <w:jc w:val="center"/>
        <w:rPr>
          <w:rFonts w:eastAsia="仿宋_GB2312"/>
          <w:color w:val="auto"/>
        </w:rPr>
      </w:pPr>
      <w:r>
        <w:rPr>
          <w:rFonts w:eastAsia="仿宋_GB2312"/>
          <w:color w:val="auto"/>
        </w:rPr>
        <w:object>
          <v:shape id="_x0000_i1108" o:spt="75" type="#_x0000_t75" style="height:36pt;width:145pt;" o:ole="t" filled="f" stroked="f" coordsize="21600,21600">
            <v:path/>
            <v:fill on="f" focussize="0,0"/>
            <v:stroke on="f"/>
            <v:imagedata r:id="rId231" o:title=""/>
            <o:lock v:ext="edit" grouping="f" rotation="f" text="f" aspectratio="t"/>
            <w10:wrap type="none"/>
            <w10:anchorlock/>
          </v:shape>
          <o:OLEObject Type="Embed" ProgID="Equation.3" ShapeID="_x0000_i1108" DrawAspect="Content" ObjectID="_1468075808" r:id="rId230">
            <o:LockedField>false</o:LockedField>
          </o:OLEObject>
        </w:objec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计算出室外靠近围护结构处的声压级：</w:t>
      </w:r>
    </w:p>
    <w:p>
      <w:pPr>
        <w:pStyle w:val="316"/>
        <w:widowControl w:val="0"/>
        <w:ind w:firstLine="0" w:firstLineChars="0"/>
        <w:jc w:val="center"/>
        <w:rPr>
          <w:rFonts w:eastAsia="仿宋_GB2312"/>
          <w:color w:val="auto"/>
        </w:rPr>
      </w:pPr>
      <w:r>
        <w:rPr>
          <w:rFonts w:eastAsia="仿宋_GB2312"/>
          <w:color w:val="auto"/>
        </w:rPr>
        <w:object>
          <v:shape id="_x0000_i1109" o:spt="75" type="#_x0000_t75" style="height:19pt;width:154.05pt;" o:ole="t" filled="f" stroked="f" coordsize="21600,21600">
            <v:path/>
            <v:fill on="f" focussize="0,0"/>
            <v:stroke on="f"/>
            <v:imagedata r:id="rId233" o:title=""/>
            <o:lock v:ext="edit" grouping="f" rotation="f" text="f" aspectratio="t"/>
            <w10:wrap type="none"/>
            <w10:anchorlock/>
          </v:shape>
          <o:OLEObject Type="Embed" ProgID="Equation.3" ShapeID="_x0000_i1109" DrawAspect="Content" ObjectID="_1468075809" r:id="rId232">
            <o:LockedField>false</o:LockedField>
          </o:OLEObject>
        </w:objec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将室外声级L</w:t>
      </w:r>
      <w:r>
        <w:rPr>
          <w:rFonts w:ascii="Times New Roman" w:hAnsi="Times New Roman" w:eastAsia="仿宋_GB2312"/>
          <w:color w:val="auto"/>
          <w:vertAlign w:val="subscript"/>
        </w:rPr>
        <w:t>oct,2</w:t>
      </w:r>
      <w:r>
        <w:rPr>
          <w:rFonts w:ascii="Times New Roman" w:hAnsi="Times New Roman" w:eastAsia="仿宋_GB2312"/>
          <w:color w:val="auto"/>
        </w:rPr>
        <w:t>(T)和透声面积换算成等效的室外声源，计算出等效声源第i个倍频带的声功率级Lwoct：</w:t>
      </w:r>
    </w:p>
    <w:p>
      <w:pPr>
        <w:pStyle w:val="316"/>
        <w:widowControl w:val="0"/>
        <w:rPr>
          <w:rFonts w:eastAsia="仿宋_GB2312"/>
          <w:color w:val="auto"/>
        </w:rPr>
      </w:pPr>
      <w:r>
        <w:rPr>
          <w:rFonts w:eastAsia="仿宋_GB2312"/>
          <w:color w:val="auto"/>
        </w:rPr>
        <w:t xml:space="preserve">         </w:t>
      </w:r>
      <w:r>
        <w:rPr>
          <w:rFonts w:eastAsia="仿宋_GB2312"/>
          <w:color w:val="auto"/>
        </w:rPr>
        <w:object>
          <v:shape id="_x0000_i1110" o:spt="75" type="#_x0000_t75" style="height:19pt;width:127pt;" o:ole="t" filled="f" stroked="f" coordsize="21600,21600">
            <v:path/>
            <v:fill on="f" focussize="0,0"/>
            <v:stroke on="f"/>
            <v:imagedata r:id="rId235" o:title=""/>
            <o:lock v:ext="edit" grouping="f" rotation="f" text="f" aspectratio="t"/>
            <w10:wrap type="none"/>
            <w10:anchorlock/>
          </v:shape>
          <o:OLEObject Type="Embed" ProgID="Equation.3" ShapeID="_x0000_i1110" DrawAspect="Content" ObjectID="_1468075810" r:id="rId234">
            <o:LockedField>false</o:LockedField>
          </o:OLEObject>
        </w:objec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式中：S为透声面积，m</w:t>
      </w:r>
      <w:r>
        <w:rPr>
          <w:rFonts w:ascii="Times New Roman" w:hAnsi="Times New Roman" w:eastAsia="仿宋_GB2312"/>
          <w:color w:val="auto"/>
          <w:vertAlign w:val="superscript"/>
        </w:rPr>
        <w:t>2</w:t>
      </w:r>
      <w:r>
        <w:rPr>
          <w:rFonts w:ascii="Times New Roman" w:hAnsi="Times New Roman" w:eastAsia="仿宋_GB2312"/>
          <w:color w:val="auto"/>
        </w:rPr>
        <w:t>。</w:t>
      </w:r>
    </w:p>
    <w:p>
      <w:pPr>
        <w:pStyle w:val="26"/>
        <w:widowControl w:val="0"/>
        <w:spacing w:line="360" w:lineRule="auto"/>
        <w:ind w:left="560" w:firstLine="0"/>
        <w:jc w:val="center"/>
        <w:rPr>
          <w:rFonts w:ascii="Times New Roman" w:hAnsi="Times New Roman" w:eastAsia="仿宋_GB2312"/>
          <w:color w:val="auto"/>
        </w:rPr>
      </w:pPr>
      <w:r>
        <w:rPr>
          <w:rFonts w:ascii="Times New Roman" w:hAnsi="Times New Roman"/>
          <w:color w:val="auto"/>
        </w:rPr>
        <w:drawing>
          <wp:inline distT="0" distB="0" distL="114300" distR="114300">
            <wp:extent cx="2060575" cy="986790"/>
            <wp:effectExtent l="0" t="0" r="15875" b="3810"/>
            <wp:docPr id="18" name="图片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50"/>
                    <pic:cNvPicPr>
                      <a:picLocks noChangeAspect="1"/>
                    </pic:cNvPicPr>
                  </pic:nvPicPr>
                  <pic:blipFill>
                    <a:blip r:embed="rId236"/>
                    <a:srcRect t="6979" b="9262"/>
                    <a:stretch>
                      <a:fillRect/>
                    </a:stretch>
                  </pic:blipFill>
                  <pic:spPr>
                    <a:xfrm>
                      <a:off x="0" y="0"/>
                      <a:ext cx="2060575" cy="986790"/>
                    </a:xfrm>
                    <a:prstGeom prst="rect">
                      <a:avLst/>
                    </a:prstGeom>
                    <a:noFill/>
                    <a:ln>
                      <a:noFill/>
                    </a:ln>
                  </pic:spPr>
                </pic:pic>
              </a:graphicData>
            </a:graphic>
          </wp:inline>
        </w:drawing>
      </w:r>
    </w:p>
    <w:p>
      <w:pPr>
        <w:pStyle w:val="26"/>
        <w:widowControl w:val="0"/>
        <w:numPr>
          <w:ilvl w:val="0"/>
          <w:numId w:val="9"/>
        </w:numPr>
        <w:spacing w:line="360" w:lineRule="auto"/>
        <w:rPr>
          <w:rFonts w:ascii="Times New Roman" w:hAnsi="Times New Roman" w:eastAsia="仿宋_GB2312"/>
          <w:color w:val="auto"/>
        </w:rPr>
      </w:pPr>
      <w:r>
        <w:rPr>
          <w:rFonts w:ascii="Times New Roman" w:hAnsi="Times New Roman" w:eastAsia="仿宋_GB2312"/>
          <w:color w:val="auto"/>
        </w:rPr>
        <w:t>等效室外声源的位置为围护结构的位置，其倍频带声功率级为Lw oct，由此按室外声源方法计算等效室外声源在预测点产生的声级。</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由上述各式可计算出厂区声环境因本工程运行所增加的声级值，综合该区内的声环境本底值，再按声能量迭加模式预测出某点的总声压级值，预测模式如下：</w:t>
      </w:r>
    </w:p>
    <w:p>
      <w:pPr>
        <w:pStyle w:val="316"/>
        <w:widowControl w:val="0"/>
        <w:ind w:firstLine="0" w:firstLineChars="0"/>
        <w:jc w:val="center"/>
        <w:rPr>
          <w:rFonts w:eastAsia="仿宋_GB2312"/>
          <w:color w:val="auto"/>
        </w:rPr>
      </w:pPr>
      <w:r>
        <w:rPr>
          <w:rFonts w:eastAsia="仿宋_GB2312"/>
          <w:color w:val="auto"/>
          <w:position w:val="-30"/>
        </w:rPr>
        <w:object>
          <v:shape id="_x0000_i1111" o:spt="75" type="#_x0000_t75" style="height:35pt;width:233pt;" o:ole="t" fillcolor="#6D6D6D" filled="f" o:preferrelative="t" stroked="f" coordsize="21600,21600">
            <v:path/>
            <v:fill on="f" focussize="0,0"/>
            <v:stroke on="f"/>
            <v:imagedata r:id="rId238" o:title=""/>
            <o:lock v:ext="edit" grouping="f" rotation="f" text="f" aspectratio="t"/>
            <w10:wrap type="none"/>
            <w10:anchorlock/>
          </v:shape>
          <o:OLEObject Type="Embed" ProgID="Equation.3" ShapeID="_x0000_i1111" DrawAspect="Content" ObjectID="_1468075811" r:id="rId237">
            <o:LockedField>false</o:LockedField>
          </o:OLEObject>
        </w:objec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式中：Leq</w:t>
      </w:r>
      <w:r>
        <w:rPr>
          <w:rFonts w:ascii="Times New Roman" w:hAnsi="Times New Roman" w:eastAsia="仿宋_GB2312"/>
          <w:color w:val="auto"/>
          <w:vertAlign w:val="subscript"/>
        </w:rPr>
        <w:t>总</w:t>
      </w:r>
      <w:r>
        <w:rPr>
          <w:rFonts w:ascii="Times New Roman" w:hAnsi="Times New Roman" w:eastAsia="仿宋_GB2312"/>
          <w:color w:val="auto"/>
        </w:rPr>
        <w:t>－某预测点总声压级，dB(A)；</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n－室外声源个数；</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m－等效室外声源个数；</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 xml:space="preserve">          T－计算等效声级时间。</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预测参数：</w:t>
      </w:r>
    </w:p>
    <w:p>
      <w:pPr>
        <w:pStyle w:val="26"/>
        <w:widowControl w:val="0"/>
        <w:spacing w:line="360" w:lineRule="auto"/>
        <w:ind w:firstLine="480" w:firstLineChars="200"/>
        <w:rPr>
          <w:rFonts w:ascii="Times New Roman" w:hAnsi="Times New Roman" w:eastAsia="仿宋_GB2312"/>
          <w:color w:val="auto"/>
        </w:rPr>
      </w:pPr>
      <w:r>
        <w:rPr>
          <w:rFonts w:ascii="Times New Roman" w:hAnsi="Times New Roman" w:eastAsia="仿宋_GB2312"/>
          <w:color w:val="auto"/>
        </w:rPr>
        <w:t>经对现有资料整理分析，拟选用如下参数和条件进行计算：</w: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一般属性：声源离车间地面高度为0，室内点源位置为地面，声源所在房间内壁的吸声系数0.01，声源离隔墙的距离取3m，声源与测点间隔墙隔声损失取15dB(A)，声源与测点间隔墙厚取0.24m。</w: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发声特性：稳态发声，不分频。</w:t>
      </w:r>
    </w:p>
    <w:p>
      <w:pPr>
        <w:pStyle w:val="26"/>
        <w:widowControl w:val="0"/>
        <w:spacing w:line="360" w:lineRule="auto"/>
        <w:ind w:firstLine="480" w:firstLineChars="200"/>
        <w:rPr>
          <w:rFonts w:ascii="Times New Roman" w:hAnsi="Times New Roman" w:eastAsia="仿宋_GB2312"/>
          <w:color w:val="auto"/>
        </w:rPr>
      </w:pPr>
      <w:r>
        <w:rPr>
          <w:rFonts w:hint="eastAsia" w:cs="宋体"/>
          <w:color w:val="auto"/>
        </w:rPr>
        <w:t>◆</w:t>
      </w:r>
      <w:r>
        <w:rPr>
          <w:rFonts w:ascii="Times New Roman" w:hAnsi="Times New Roman" w:eastAsia="仿宋_GB2312"/>
          <w:color w:val="auto"/>
        </w:rPr>
        <w:t>声地及地况：树林带或其他稀疏声屏隔声能力取0.1dB(A)/m，声波在地面的反射系数为0.5。</w:t>
      </w:r>
    </w:p>
    <w:p>
      <w:pPr>
        <w:widowControl w:val="0"/>
        <w:spacing w:before="120" w:after="120" w:line="360" w:lineRule="auto"/>
        <w:outlineLvl w:val="3"/>
        <w:rPr>
          <w:rFonts w:hint="default" w:ascii="Times New Roman" w:hAnsi="Times New Roman" w:eastAsia="黑体" w:cs="Times New Roman"/>
          <w:color w:val="auto"/>
          <w:sz w:val="24"/>
        </w:rPr>
      </w:pPr>
      <w:bookmarkStart w:id="425" w:name="_Toc500342729"/>
      <w:r>
        <w:rPr>
          <w:rFonts w:hint="eastAsia" w:ascii="Times New Roman" w:hAnsi="Times New Roman" w:eastAsia="黑体" w:cs="Times New Roman"/>
          <w:color w:val="auto"/>
          <w:sz w:val="24"/>
          <w:lang w:val="en-US" w:eastAsia="zh-CN"/>
        </w:rPr>
        <w:t>5.2.3.4</w:t>
      </w:r>
      <w:r>
        <w:rPr>
          <w:rFonts w:hint="default" w:ascii="Times New Roman" w:hAnsi="Times New Roman" w:eastAsia="黑体" w:cs="Times New Roman"/>
          <w:color w:val="auto"/>
          <w:sz w:val="24"/>
        </w:rPr>
        <w:t>港界噪声预测结果及达标情况分析</w:t>
      </w:r>
    </w:p>
    <w:p>
      <w:pPr>
        <w:pStyle w:val="26"/>
        <w:widowControl w:val="0"/>
        <w:spacing w:line="360" w:lineRule="auto"/>
        <w:ind w:firstLine="480" w:firstLineChars="200"/>
        <w:rPr>
          <w:rFonts w:hint="default" w:ascii="Times New Roman" w:hAnsi="Times New Roman" w:eastAsia="仿宋_GB2312" w:cs="Times New Roman"/>
          <w:color w:val="auto"/>
        </w:rPr>
      </w:pPr>
      <w:r>
        <w:rPr>
          <w:rFonts w:hint="default" w:ascii="Times New Roman" w:hAnsi="Times New Roman" w:eastAsia="仿宋_GB2312" w:cs="Times New Roman"/>
          <w:color w:val="auto"/>
        </w:rPr>
        <w:t>本工程营运后的噪声污染源主要来自是港口机械作业噪声。</w:t>
      </w:r>
    </w:p>
    <w:p>
      <w:pPr>
        <w:pStyle w:val="26"/>
        <w:widowControl w:val="0"/>
        <w:numPr>
          <w:ilvl w:val="0"/>
          <w:numId w:val="10"/>
        </w:numPr>
        <w:spacing w:line="360" w:lineRule="auto"/>
        <w:ind w:firstLine="480" w:firstLineChars="200"/>
        <w:rPr>
          <w:rFonts w:hint="default" w:ascii="Times New Roman" w:hAnsi="Times New Roman" w:eastAsia="仿宋_GB2312" w:cs="Times New Roman"/>
          <w:color w:val="auto"/>
        </w:rPr>
      </w:pPr>
      <w:r>
        <w:rPr>
          <w:rFonts w:hint="default" w:ascii="Times New Roman" w:hAnsi="Times New Roman" w:eastAsia="仿宋_GB2312" w:cs="Times New Roman"/>
          <w:color w:val="auto"/>
        </w:rPr>
        <w:t>单机作业噪声预测结果及分析</w:t>
      </w:r>
    </w:p>
    <w:p>
      <w:pPr>
        <w:pStyle w:val="26"/>
        <w:widowControl w:val="0"/>
        <w:spacing w:line="360" w:lineRule="auto"/>
        <w:ind w:firstLine="480" w:firstLineChars="200"/>
        <w:jc w:val="both"/>
        <w:rPr>
          <w:rFonts w:hint="default" w:ascii="Times New Roman" w:hAnsi="Times New Roman" w:eastAsia="仿宋_GB2312" w:cs="Times New Roman"/>
          <w:color w:val="auto"/>
        </w:rPr>
      </w:pPr>
      <w:r>
        <w:rPr>
          <w:rFonts w:hint="default" w:ascii="Times New Roman" w:hAnsi="Times New Roman" w:eastAsia="仿宋_GB2312" w:cs="Times New Roman"/>
          <w:color w:val="auto"/>
        </w:rPr>
        <w:t>各作业机械单机噪声衰减到符合《工业企业厂界环境噪声排放标准》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w:t>
      </w:r>
      <w:r>
        <w:rPr>
          <w:rFonts w:hint="eastAsia" w:ascii="Times New Roman" w:hAnsi="Times New Roman" w:eastAsia="仿宋_GB2312" w:cs="Times New Roman"/>
          <w:color w:val="auto"/>
          <w:lang w:eastAsia="zh-CN"/>
        </w:rPr>
        <w:t>4a类</w:t>
      </w:r>
      <w:r>
        <w:rPr>
          <w:rFonts w:hint="default" w:ascii="Times New Roman" w:hAnsi="Times New Roman" w:eastAsia="仿宋_GB2312" w:cs="Times New Roman"/>
          <w:color w:val="auto"/>
        </w:rPr>
        <w:t>标准的距离见</w:t>
      </w:r>
      <w:r>
        <w:rPr>
          <w:rFonts w:hint="eastAsia" w:ascii="Times New Roman" w:hAnsi="Times New Roman" w:eastAsia="仿宋_GB2312" w:cs="Times New Roman"/>
          <w:color w:val="auto"/>
          <w:lang w:val="en-US" w:eastAsia="zh-CN"/>
        </w:rPr>
        <w:t>下表</w:t>
      </w:r>
      <w:r>
        <w:rPr>
          <w:rFonts w:hint="default" w:ascii="Times New Roman" w:hAnsi="Times New Roman" w:eastAsia="仿宋_GB2312" w:cs="Times New Roman"/>
          <w:color w:val="auto"/>
        </w:rPr>
        <w:t>。</w:t>
      </w:r>
    </w:p>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5.2-</w:t>
      </w:r>
      <w:r>
        <w:rPr>
          <w:rFonts w:hint="eastAsia" w:eastAsia="黑体" w:cs="Times New Roman"/>
          <w:b/>
          <w:color w:val="auto"/>
          <w:szCs w:val="21"/>
          <w:lang w:val="en-US" w:eastAsia="zh-CN"/>
        </w:rPr>
        <w:t>21</w:t>
      </w:r>
      <w:r>
        <w:rPr>
          <w:rFonts w:hint="default" w:ascii="Times New Roman" w:hAnsi="Times New Roman" w:eastAsia="黑体" w:cs="Times New Roman"/>
          <w:b/>
          <w:color w:val="auto"/>
          <w:szCs w:val="21"/>
        </w:rPr>
        <w:t xml:space="preserve">  装卸机械单机噪声预测结果</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1494"/>
        <w:gridCol w:w="1188"/>
        <w:gridCol w:w="1255"/>
        <w:gridCol w:w="1662"/>
        <w:gridCol w:w="15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pct"/>
            <w:vMerge w:val="restar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作业区域</w:t>
            </w:r>
          </w:p>
        </w:tc>
        <w:tc>
          <w:tcPr>
            <w:tcW w:w="894" w:type="pct"/>
            <w:vMerge w:val="restar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装卸机械类型</w:t>
            </w:r>
          </w:p>
        </w:tc>
        <w:tc>
          <w:tcPr>
            <w:tcW w:w="711" w:type="pct"/>
            <w:vMerge w:val="restar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最大声级[dB(A)]</w:t>
            </w:r>
          </w:p>
        </w:tc>
        <w:tc>
          <w:tcPr>
            <w:tcW w:w="751" w:type="pct"/>
            <w:vMerge w:val="restar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测点距声源的距离(m)</w:t>
            </w:r>
          </w:p>
        </w:tc>
        <w:tc>
          <w:tcPr>
            <w:tcW w:w="1939" w:type="pct"/>
            <w:gridSpan w:val="2"/>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衰减至《工业企业厂界环境噪声排放标准》噪声值的距离(m)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pct"/>
            <w:vMerge w:val="continue"/>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p>
        </w:tc>
        <w:tc>
          <w:tcPr>
            <w:tcW w:w="894" w:type="pct"/>
            <w:vMerge w:val="continue"/>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p>
        </w:tc>
        <w:tc>
          <w:tcPr>
            <w:tcW w:w="711" w:type="pct"/>
            <w:vMerge w:val="continue"/>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p>
        </w:tc>
        <w:tc>
          <w:tcPr>
            <w:tcW w:w="751" w:type="pct"/>
            <w:vMerge w:val="continue"/>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p>
        </w:tc>
        <w:tc>
          <w:tcPr>
            <w:tcW w:w="995"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65dB(A)</w:t>
            </w:r>
          </w:p>
        </w:tc>
        <w:tc>
          <w:tcPr>
            <w:tcW w:w="943"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55dB(A)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pct"/>
            <w:vMerge w:val="restar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码头</w:t>
            </w:r>
          </w:p>
        </w:tc>
        <w:tc>
          <w:tcPr>
            <w:tcW w:w="894"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装船</w:t>
            </w:r>
            <w:r>
              <w:rPr>
                <w:rFonts w:hint="default" w:ascii="Times New Roman" w:hAnsi="Times New Roman" w:cs="Times New Roman"/>
                <w:color w:val="auto"/>
                <w:sz w:val="20"/>
              </w:rPr>
              <w:t>机</w:t>
            </w:r>
          </w:p>
        </w:tc>
        <w:tc>
          <w:tcPr>
            <w:tcW w:w="711"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rPr>
            </w:pPr>
            <w:r>
              <w:rPr>
                <w:rFonts w:hint="eastAsia" w:ascii="Times New Roman" w:hAnsi="Times New Roman" w:cs="Times New Roman"/>
                <w:color w:val="auto"/>
                <w:sz w:val="20"/>
                <w:lang w:val="en-US" w:eastAsia="zh-CN"/>
              </w:rPr>
              <w:t>90</w:t>
            </w:r>
          </w:p>
        </w:tc>
        <w:tc>
          <w:tcPr>
            <w:tcW w:w="751"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1</w:t>
            </w:r>
          </w:p>
        </w:tc>
        <w:tc>
          <w:tcPr>
            <w:tcW w:w="995" w:type="pct"/>
            <w:tcBorders>
              <w:tl2br w:val="nil"/>
              <w:tr2bl w:val="nil"/>
            </w:tcBorders>
            <w:noWrap w:val="0"/>
            <w:tcMar>
              <w:left w:w="28"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18</w:t>
            </w:r>
          </w:p>
        </w:tc>
        <w:tc>
          <w:tcPr>
            <w:tcW w:w="943" w:type="pct"/>
            <w:tcBorders>
              <w:tl2br w:val="nil"/>
              <w:tr2bl w:val="nil"/>
            </w:tcBorders>
            <w:noWrap w:val="0"/>
            <w:tcMar>
              <w:left w:w="28"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pct"/>
            <w:vMerge w:val="continue"/>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rPr>
            </w:pPr>
          </w:p>
        </w:tc>
        <w:tc>
          <w:tcPr>
            <w:tcW w:w="894"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皮带输送机</w:t>
            </w:r>
          </w:p>
        </w:tc>
        <w:tc>
          <w:tcPr>
            <w:tcW w:w="711"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75</w:t>
            </w:r>
          </w:p>
        </w:tc>
        <w:tc>
          <w:tcPr>
            <w:tcW w:w="751"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w:t>
            </w:r>
          </w:p>
        </w:tc>
        <w:tc>
          <w:tcPr>
            <w:tcW w:w="995"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w:t>
            </w:r>
          </w:p>
        </w:tc>
        <w:tc>
          <w:tcPr>
            <w:tcW w:w="943" w:type="pct"/>
            <w:tcBorders>
              <w:tl2br w:val="nil"/>
              <w:tr2bl w:val="nil"/>
            </w:tcBorders>
            <w:noWrap w:val="0"/>
            <w:tcMar>
              <w:left w:w="28"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10</w:t>
            </w:r>
          </w:p>
        </w:tc>
      </w:tr>
    </w:tbl>
    <w:p>
      <w:pPr>
        <w:widowControl w:val="0"/>
        <w:spacing w:line="360" w:lineRule="auto"/>
        <w:ind w:firstLine="480" w:firstLineChars="200"/>
        <w:rPr>
          <w:rFonts w:hint="default" w:eastAsia="仿宋_GB2312"/>
          <w:color w:val="auto"/>
          <w:sz w:val="24"/>
        </w:rPr>
      </w:pPr>
      <w:r>
        <w:rPr>
          <w:rFonts w:hint="default" w:eastAsia="仿宋_GB2312"/>
          <w:color w:val="auto"/>
          <w:sz w:val="24"/>
        </w:rPr>
        <w:t>根据预测结果，单机械作业时噪声影响分析如下：</w:t>
      </w:r>
    </w:p>
    <w:p>
      <w:pPr>
        <w:widowControl w:val="0"/>
        <w:spacing w:line="360" w:lineRule="auto"/>
        <w:ind w:firstLine="480" w:firstLineChars="200"/>
        <w:rPr>
          <w:rFonts w:hint="default" w:eastAsia="仿宋_GB2312"/>
          <w:color w:val="auto"/>
          <w:sz w:val="24"/>
        </w:rPr>
      </w:pPr>
      <w:r>
        <w:rPr>
          <w:rFonts w:hint="eastAsia" w:eastAsia="仿宋_GB2312"/>
          <w:color w:val="auto"/>
          <w:sz w:val="24"/>
          <w:lang w:val="en-US" w:eastAsia="zh-CN"/>
        </w:rPr>
        <w:t>①</w:t>
      </w:r>
      <w:r>
        <w:rPr>
          <w:rFonts w:hint="default" w:eastAsia="仿宋_GB2312"/>
          <w:color w:val="auto"/>
          <w:sz w:val="24"/>
        </w:rPr>
        <w:t>码头区域卸船起重机噪声值最大，影响距离相对较远，衰减至《声环境质量标准》(GB3096-2008)中4a类标准最大距离为昼间18m、夜间56m，结合总平面布置图，船舶装船的装卸机械噪声不会造成港界噪声超标。</w:t>
      </w:r>
    </w:p>
    <w:p>
      <w:pPr>
        <w:widowControl w:val="0"/>
        <w:spacing w:line="360" w:lineRule="auto"/>
        <w:ind w:firstLine="480" w:firstLineChars="200"/>
        <w:rPr>
          <w:rFonts w:hint="default" w:eastAsia="仿宋_GB2312"/>
          <w:color w:val="auto"/>
          <w:sz w:val="24"/>
        </w:rPr>
      </w:pPr>
      <w:r>
        <w:rPr>
          <w:rFonts w:hint="eastAsia" w:eastAsia="仿宋_GB2312"/>
          <w:color w:val="auto"/>
          <w:sz w:val="24"/>
          <w:lang w:val="en-US" w:eastAsia="zh-CN"/>
        </w:rPr>
        <w:t>②</w:t>
      </w:r>
      <w:r>
        <w:rPr>
          <w:rFonts w:hint="default" w:eastAsia="仿宋_GB2312"/>
          <w:color w:val="auto"/>
          <w:sz w:val="24"/>
        </w:rPr>
        <w:t>皮带机作业范围与港界距离较近，衰减至4a类标准的最大距离为昼间3m、夜间10m，单机作业时各港界昼间、夜间噪声仍能满足《工业企业厂界环境噪声排放标准》（GB12348-2008）中4a类标准要求。</w:t>
      </w:r>
    </w:p>
    <w:p>
      <w:pPr>
        <w:widowControl w:val="0"/>
        <w:spacing w:line="360" w:lineRule="auto"/>
        <w:ind w:firstLine="480" w:firstLineChars="200"/>
        <w:rPr>
          <w:rFonts w:hint="default" w:eastAsia="仿宋_GB2312"/>
          <w:color w:val="auto"/>
          <w:sz w:val="24"/>
        </w:rPr>
      </w:pPr>
      <w:r>
        <w:rPr>
          <w:rFonts w:hint="eastAsia" w:eastAsia="仿宋_GB2312"/>
          <w:color w:val="auto"/>
          <w:sz w:val="24"/>
          <w:lang w:val="en-US" w:eastAsia="zh-CN"/>
        </w:rPr>
        <w:t>③</w:t>
      </w:r>
      <w:r>
        <w:rPr>
          <w:rFonts w:hint="default" w:eastAsia="仿宋_GB2312"/>
          <w:color w:val="auto"/>
          <w:sz w:val="24"/>
        </w:rPr>
        <w:t>根据现场调查，本工程声环境保护目标洋溪社区位于港界南侧外约69m处，港区单机作业噪声昼间对敏感点影响较小。</w:t>
      </w:r>
    </w:p>
    <w:p>
      <w:pPr>
        <w:widowControl w:val="0"/>
        <w:spacing w:line="360" w:lineRule="auto"/>
        <w:ind w:firstLine="480" w:firstLineChars="200"/>
        <w:rPr>
          <w:rFonts w:hint="default" w:eastAsia="仿宋_GB2312"/>
          <w:color w:val="auto"/>
          <w:sz w:val="24"/>
        </w:rPr>
        <w:sectPr>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2" w:charSpace="0"/>
        </w:sectPr>
      </w:pPr>
      <w:r>
        <w:rPr>
          <w:rFonts w:hint="default" w:eastAsia="仿宋_GB2312"/>
          <w:color w:val="auto"/>
          <w:sz w:val="24"/>
        </w:rPr>
        <w:t>综上所述，</w:t>
      </w:r>
      <w:r>
        <w:rPr>
          <w:rFonts w:hint="eastAsia" w:eastAsia="仿宋_GB2312"/>
          <w:color w:val="auto"/>
          <w:sz w:val="24"/>
          <w:lang w:eastAsia="zh-CN"/>
        </w:rPr>
        <w:t>运营期</w:t>
      </w:r>
      <w:r>
        <w:rPr>
          <w:rFonts w:hint="default" w:eastAsia="仿宋_GB2312"/>
          <w:color w:val="auto"/>
          <w:sz w:val="24"/>
        </w:rPr>
        <w:t>港区内各机械单机作业时，各港界昼间、夜间噪声均达标。</w:t>
      </w:r>
    </w:p>
    <w:p>
      <w:pPr>
        <w:widowControl w:val="0"/>
        <w:spacing w:line="360" w:lineRule="auto"/>
        <w:ind w:firstLine="480" w:firstLineChars="200"/>
        <w:rPr>
          <w:rFonts w:hint="default"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default" w:eastAsia="仿宋_GB2312"/>
          <w:color w:val="auto"/>
          <w:sz w:val="24"/>
          <w:lang w:eastAsia="zh-CN"/>
        </w:rPr>
        <w:t>港界</w:t>
      </w:r>
      <w:r>
        <w:rPr>
          <w:rFonts w:hint="default" w:eastAsia="仿宋_GB2312"/>
          <w:color w:val="auto"/>
          <w:sz w:val="24"/>
        </w:rPr>
        <w:t>噪声预测结果及分析</w:t>
      </w:r>
    </w:p>
    <w:p>
      <w:pPr>
        <w:widowControl w:val="0"/>
        <w:spacing w:line="360" w:lineRule="auto"/>
        <w:ind w:firstLine="480" w:firstLineChars="200"/>
        <w:rPr>
          <w:rFonts w:hint="default" w:eastAsia="仿宋_GB2312"/>
          <w:color w:val="auto"/>
          <w:sz w:val="24"/>
        </w:rPr>
      </w:pPr>
      <w:r>
        <w:rPr>
          <w:rFonts w:hint="default" w:eastAsia="仿宋_GB2312"/>
          <w:color w:val="auto"/>
          <w:sz w:val="24"/>
        </w:rPr>
        <w:t>结合总平面布置方案，港区</w:t>
      </w:r>
      <w:r>
        <w:rPr>
          <w:rFonts w:hint="eastAsia" w:eastAsia="仿宋_GB2312"/>
          <w:color w:val="auto"/>
          <w:sz w:val="24"/>
          <w:lang w:val="en-US" w:eastAsia="zh-CN"/>
        </w:rPr>
        <w:t>北</w:t>
      </w:r>
      <w:r>
        <w:rPr>
          <w:rFonts w:hint="default" w:eastAsia="仿宋_GB2312"/>
          <w:color w:val="auto"/>
          <w:sz w:val="24"/>
        </w:rPr>
        <w:t>侧为长江，评价主要考虑</w:t>
      </w:r>
      <w:r>
        <w:rPr>
          <w:rFonts w:hint="eastAsia" w:eastAsia="仿宋_GB2312"/>
          <w:color w:val="auto"/>
          <w:sz w:val="24"/>
          <w:lang w:eastAsia="zh-CN"/>
        </w:rPr>
        <w:t>运营期</w:t>
      </w:r>
      <w:r>
        <w:rPr>
          <w:rFonts w:hint="default" w:eastAsia="仿宋_GB2312"/>
          <w:color w:val="auto"/>
          <w:sz w:val="24"/>
        </w:rPr>
        <w:t>装卸机械对其余三面港界</w:t>
      </w:r>
      <w:r>
        <w:rPr>
          <w:rFonts w:hint="eastAsia" w:eastAsia="仿宋_GB2312"/>
          <w:color w:val="auto"/>
          <w:sz w:val="24"/>
          <w:lang w:eastAsia="zh-CN"/>
        </w:rPr>
        <w:t>（</w:t>
      </w:r>
      <w:r>
        <w:rPr>
          <w:rFonts w:hint="default" w:eastAsia="仿宋_GB2312"/>
          <w:color w:val="auto"/>
          <w:sz w:val="24"/>
        </w:rPr>
        <w:t>东侧、</w:t>
      </w:r>
      <w:r>
        <w:rPr>
          <w:rFonts w:hint="eastAsia" w:eastAsia="仿宋_GB2312"/>
          <w:color w:val="auto"/>
          <w:sz w:val="24"/>
          <w:lang w:val="en-US" w:eastAsia="zh-CN"/>
        </w:rPr>
        <w:t>西</w:t>
      </w:r>
      <w:r>
        <w:rPr>
          <w:rFonts w:hint="default" w:eastAsia="仿宋_GB2312"/>
          <w:color w:val="auto"/>
          <w:sz w:val="24"/>
        </w:rPr>
        <w:t>侧、</w:t>
      </w:r>
      <w:r>
        <w:rPr>
          <w:rFonts w:hint="eastAsia" w:eastAsia="仿宋_GB2312"/>
          <w:color w:val="auto"/>
          <w:sz w:val="24"/>
          <w:lang w:val="en-US" w:eastAsia="zh-CN"/>
        </w:rPr>
        <w:t>南</w:t>
      </w:r>
      <w:r>
        <w:rPr>
          <w:rFonts w:hint="default" w:eastAsia="仿宋_GB2312"/>
          <w:color w:val="auto"/>
          <w:sz w:val="24"/>
        </w:rPr>
        <w:t>侧</w:t>
      </w:r>
      <w:r>
        <w:rPr>
          <w:rFonts w:hint="eastAsia" w:eastAsia="仿宋_GB2312"/>
          <w:color w:val="auto"/>
          <w:sz w:val="24"/>
          <w:lang w:eastAsia="zh-CN"/>
        </w:rPr>
        <w:t>）</w:t>
      </w:r>
      <w:r>
        <w:rPr>
          <w:rFonts w:hint="default" w:eastAsia="仿宋_GB2312"/>
          <w:color w:val="auto"/>
          <w:sz w:val="24"/>
        </w:rPr>
        <w:t>的噪声影响。各向港界达标情况见</w:t>
      </w:r>
      <w:r>
        <w:rPr>
          <w:rFonts w:hint="eastAsia" w:eastAsia="仿宋_GB2312"/>
          <w:color w:val="auto"/>
          <w:sz w:val="24"/>
          <w:lang w:val="en-US" w:eastAsia="zh-CN"/>
        </w:rPr>
        <w:t>下表</w:t>
      </w:r>
      <w:r>
        <w:rPr>
          <w:rFonts w:hint="default" w:eastAsia="仿宋_GB2312"/>
          <w:color w:val="auto"/>
          <w:sz w:val="24"/>
        </w:rPr>
        <w:t>。</w:t>
      </w:r>
    </w:p>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5.2-</w:t>
      </w:r>
      <w:r>
        <w:rPr>
          <w:rFonts w:hint="eastAsia" w:eastAsia="黑体" w:cs="Times New Roman"/>
          <w:b/>
          <w:color w:val="auto"/>
          <w:szCs w:val="21"/>
          <w:lang w:val="en-US" w:eastAsia="zh-CN"/>
        </w:rPr>
        <w:t>22</w:t>
      </w:r>
      <w:r>
        <w:rPr>
          <w:rFonts w:hint="eastAsia" w:ascii="Times New Roman" w:hAnsi="Times New Roman" w:eastAsia="黑体" w:cs="Times New Roman"/>
          <w:b/>
          <w:color w:val="auto"/>
          <w:szCs w:val="21"/>
          <w:lang w:val="en-US" w:eastAsia="zh-CN"/>
        </w:rPr>
        <w:t xml:space="preserve">  </w:t>
      </w:r>
      <w:r>
        <w:rPr>
          <w:rFonts w:hint="default" w:ascii="Times New Roman" w:hAnsi="Times New Roman" w:eastAsia="黑体" w:cs="Times New Roman"/>
          <w:b/>
          <w:color w:val="auto"/>
          <w:szCs w:val="21"/>
        </w:rPr>
        <w:t>港区装卸机械作业港界噪声达标情况分析</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1857"/>
        <w:gridCol w:w="838"/>
        <w:gridCol w:w="969"/>
        <w:gridCol w:w="1045"/>
        <w:gridCol w:w="796"/>
        <w:gridCol w:w="1039"/>
        <w:gridCol w:w="1081"/>
        <w:gridCol w:w="910"/>
        <w:gridCol w:w="983"/>
        <w:gridCol w:w="1059"/>
        <w:gridCol w:w="871"/>
        <w:gridCol w:w="838"/>
        <w:gridCol w:w="10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序号</w:t>
            </w:r>
          </w:p>
        </w:tc>
        <w:tc>
          <w:tcPr>
            <w:tcW w:w="663"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装卸机械类型</w:t>
            </w:r>
          </w:p>
        </w:tc>
        <w:tc>
          <w:tcPr>
            <w:tcW w:w="4106" w:type="pct"/>
            <w:gridSpan w:val="12"/>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距各</w:t>
            </w:r>
            <w:r>
              <w:rPr>
                <w:rFonts w:hint="eastAsia" w:ascii="Times New Roman" w:hAnsi="Times New Roman" w:cs="Times New Roman"/>
                <w:color w:val="auto"/>
                <w:sz w:val="20"/>
                <w:lang w:val="en-US" w:eastAsia="zh-CN"/>
              </w:rPr>
              <w:t>方</w:t>
            </w:r>
            <w:r>
              <w:rPr>
                <w:rFonts w:hint="default" w:ascii="Times New Roman" w:hAnsi="Times New Roman" w:cs="Times New Roman"/>
                <w:color w:val="auto"/>
                <w:sz w:val="20"/>
              </w:rPr>
              <w:t>向港界最近距离及港界超标情况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vMerge w:val="continue"/>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663" w:type="pct"/>
            <w:vMerge w:val="continue"/>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1018" w:type="pct"/>
            <w:gridSpan w:val="3"/>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东</w:t>
            </w:r>
            <w:r>
              <w:rPr>
                <w:rFonts w:hint="default" w:ascii="Times New Roman" w:hAnsi="Times New Roman" w:cs="Times New Roman"/>
                <w:color w:val="auto"/>
                <w:sz w:val="20"/>
              </w:rPr>
              <w:t>港界</w:t>
            </w:r>
          </w:p>
        </w:tc>
        <w:tc>
          <w:tcPr>
            <w:tcW w:w="1041" w:type="pct"/>
            <w:gridSpan w:val="3"/>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西</w:t>
            </w:r>
            <w:r>
              <w:rPr>
                <w:rFonts w:hint="default" w:ascii="Times New Roman" w:hAnsi="Times New Roman" w:cs="Times New Roman"/>
                <w:color w:val="auto"/>
                <w:sz w:val="20"/>
              </w:rPr>
              <w:t>港界</w:t>
            </w:r>
          </w:p>
        </w:tc>
        <w:tc>
          <w:tcPr>
            <w:tcW w:w="1054" w:type="pct"/>
            <w:gridSpan w:val="3"/>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南</w:t>
            </w:r>
            <w:r>
              <w:rPr>
                <w:rFonts w:hint="default" w:ascii="Times New Roman" w:hAnsi="Times New Roman" w:cs="Times New Roman"/>
                <w:color w:val="auto"/>
                <w:sz w:val="20"/>
              </w:rPr>
              <w:t>港界</w:t>
            </w:r>
          </w:p>
        </w:tc>
        <w:tc>
          <w:tcPr>
            <w:tcW w:w="990" w:type="pct"/>
            <w:gridSpan w:val="3"/>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北</w:t>
            </w:r>
            <w:r>
              <w:rPr>
                <w:rFonts w:hint="default" w:ascii="Times New Roman" w:hAnsi="Times New Roman" w:cs="Times New Roman"/>
                <w:color w:val="auto"/>
                <w:sz w:val="20"/>
              </w:rPr>
              <w:t>港界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vMerge w:val="continue"/>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663" w:type="pct"/>
            <w:vMerge w:val="continue"/>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299"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最近距离(m)</w:t>
            </w:r>
          </w:p>
        </w:tc>
        <w:tc>
          <w:tcPr>
            <w:tcW w:w="718" w:type="pct"/>
            <w:gridSpan w:val="2"/>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达标情况</w:t>
            </w:r>
          </w:p>
        </w:tc>
        <w:tc>
          <w:tcPr>
            <w:tcW w:w="284"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最近距离(m)</w:t>
            </w:r>
          </w:p>
        </w:tc>
        <w:tc>
          <w:tcPr>
            <w:tcW w:w="757" w:type="pct"/>
            <w:gridSpan w:val="2"/>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达标情况</w:t>
            </w:r>
          </w:p>
        </w:tc>
        <w:tc>
          <w:tcPr>
            <w:tcW w:w="325"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最近距离(m)</w:t>
            </w:r>
          </w:p>
        </w:tc>
        <w:tc>
          <w:tcPr>
            <w:tcW w:w="728" w:type="pct"/>
            <w:gridSpan w:val="2"/>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达标情况</w:t>
            </w:r>
          </w:p>
        </w:tc>
        <w:tc>
          <w:tcPr>
            <w:tcW w:w="311" w:type="pct"/>
            <w:vMerge w:val="restart"/>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最近距离(m)</w:t>
            </w:r>
          </w:p>
        </w:tc>
        <w:tc>
          <w:tcPr>
            <w:tcW w:w="678" w:type="pct"/>
            <w:gridSpan w:val="2"/>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vMerge w:val="continue"/>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663" w:type="pct"/>
            <w:vMerge w:val="continue"/>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299" w:type="pct"/>
            <w:vMerge w:val="continue"/>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346" w:type="pct"/>
            <w:tcBorders>
              <w:bottom w:val="single" w:color="auto" w:sz="12" w:space="0"/>
            </w:tcBorders>
            <w:noWrap w:val="0"/>
            <w:tcMar>
              <w:top w:w="17" w:type="dxa"/>
              <w:left w:w="28" w:type="dxa"/>
              <w:bottom w:w="17" w:type="dxa"/>
              <w:right w:w="28" w:type="dxa"/>
            </w:tcMar>
            <w:vAlign w:val="center"/>
          </w:tcPr>
          <w:p>
            <w:pPr>
              <w:pStyle w:val="1375"/>
              <w:rPr>
                <w:rFonts w:hint="eastAsia" w:ascii="Times New Roman" w:hAnsi="Times New Roman" w:eastAsia="宋体" w:cs="Times New Roman"/>
                <w:color w:val="auto"/>
                <w:sz w:val="20"/>
                <w:lang w:eastAsia="zh-CN"/>
              </w:rPr>
            </w:pPr>
            <w:r>
              <w:rPr>
                <w:rFonts w:hint="eastAsia" w:ascii="Times New Roman" w:hAnsi="Times New Roman" w:cs="Times New Roman"/>
                <w:color w:val="auto"/>
                <w:sz w:val="20"/>
                <w:lang w:val="en-US" w:eastAsia="zh-CN"/>
              </w:rPr>
              <w:t>贡献值</w:t>
            </w:r>
          </w:p>
        </w:tc>
        <w:tc>
          <w:tcPr>
            <w:tcW w:w="371" w:type="pct"/>
            <w:tcBorders>
              <w:bottom w:val="single" w:color="auto" w:sz="12" w:space="0"/>
            </w:tcBorders>
            <w:noWrap w:val="0"/>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达标情况</w:t>
            </w:r>
          </w:p>
        </w:tc>
        <w:tc>
          <w:tcPr>
            <w:tcW w:w="284" w:type="pct"/>
            <w:vMerge w:val="continue"/>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371" w:type="pct"/>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贡献值</w:t>
            </w:r>
          </w:p>
        </w:tc>
        <w:tc>
          <w:tcPr>
            <w:tcW w:w="385" w:type="pct"/>
            <w:tcBorders>
              <w:bottom w:val="single" w:color="auto" w:sz="12" w:space="0"/>
            </w:tcBorders>
            <w:noWrap w:val="0"/>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达标情况</w:t>
            </w:r>
          </w:p>
        </w:tc>
        <w:tc>
          <w:tcPr>
            <w:tcW w:w="325" w:type="pct"/>
            <w:vMerge w:val="continue"/>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p>
        </w:tc>
        <w:tc>
          <w:tcPr>
            <w:tcW w:w="351" w:type="pct"/>
            <w:tcBorders>
              <w:bottom w:val="single" w:color="auto" w:sz="12" w:space="0"/>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贡献值</w:t>
            </w:r>
          </w:p>
        </w:tc>
        <w:tc>
          <w:tcPr>
            <w:tcW w:w="376" w:type="pct"/>
            <w:tcBorders>
              <w:bottom w:val="single" w:color="auto" w:sz="12" w:space="0"/>
            </w:tcBorders>
            <w:noWrap w:val="0"/>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达标情况</w:t>
            </w:r>
          </w:p>
        </w:tc>
        <w:tc>
          <w:tcPr>
            <w:tcW w:w="311" w:type="pct"/>
            <w:vMerge w:val="continue"/>
            <w:tcBorders>
              <w:bottom w:val="single" w:color="auto" w:sz="12" w:space="0"/>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p>
        </w:tc>
        <w:tc>
          <w:tcPr>
            <w:tcW w:w="299" w:type="pct"/>
            <w:tcBorders>
              <w:bottom w:val="single" w:color="auto" w:sz="12" w:space="0"/>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贡献值</w:t>
            </w:r>
          </w:p>
        </w:tc>
        <w:tc>
          <w:tcPr>
            <w:tcW w:w="379" w:type="pct"/>
            <w:tcBorders>
              <w:bottom w:val="single" w:color="auto" w:sz="12" w:space="0"/>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1</w:t>
            </w:r>
          </w:p>
        </w:tc>
        <w:tc>
          <w:tcPr>
            <w:tcW w:w="663"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1#装船</w:t>
            </w:r>
            <w:r>
              <w:rPr>
                <w:rFonts w:hint="default" w:ascii="Times New Roman" w:hAnsi="Times New Roman" w:cs="Times New Roman"/>
                <w:color w:val="auto"/>
                <w:sz w:val="20"/>
              </w:rPr>
              <w:t>机</w:t>
            </w:r>
          </w:p>
        </w:tc>
        <w:tc>
          <w:tcPr>
            <w:tcW w:w="299"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172</w:t>
            </w:r>
          </w:p>
        </w:tc>
        <w:tc>
          <w:tcPr>
            <w:tcW w:w="346"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45.3</w:t>
            </w:r>
          </w:p>
        </w:tc>
        <w:tc>
          <w:tcPr>
            <w:tcW w:w="371"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76</w:t>
            </w:r>
          </w:p>
        </w:tc>
        <w:tc>
          <w:tcPr>
            <w:tcW w:w="371"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52.4</w:t>
            </w:r>
          </w:p>
        </w:tc>
        <w:tc>
          <w:tcPr>
            <w:tcW w:w="385"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66</w:t>
            </w:r>
          </w:p>
        </w:tc>
        <w:tc>
          <w:tcPr>
            <w:tcW w:w="351"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53.6</w:t>
            </w:r>
          </w:p>
        </w:tc>
        <w:tc>
          <w:tcPr>
            <w:tcW w:w="376"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op w:val="single" w:color="auto" w:sz="12" w:space="0"/>
              <w:tl2br w:val="nil"/>
              <w:tr2bl w:val="nil"/>
            </w:tcBorders>
            <w:noWrap w:val="0"/>
            <w:tcMar>
              <w:top w:w="17" w:type="dxa"/>
              <w:left w:w="28" w:type="dxa"/>
              <w:bottom w:w="17" w:type="dxa"/>
              <w:right w:w="28" w:type="dxa"/>
            </w:tcMar>
            <w:vAlign w:val="center"/>
          </w:tcPr>
          <w:p>
            <w:pPr>
              <w:pStyle w:val="1375"/>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58</w:t>
            </w:r>
          </w:p>
        </w:tc>
        <w:tc>
          <w:tcPr>
            <w:tcW w:w="299" w:type="pct"/>
            <w:tcBorders>
              <w:top w:val="single" w:color="auto" w:sz="12" w:space="0"/>
              <w:tl2br w:val="nil"/>
              <w:tr2bl w:val="nil"/>
            </w:tcBorders>
            <w:noWrap w:val="0"/>
            <w:tcMar>
              <w:top w:w="17" w:type="dxa"/>
              <w:left w:w="28" w:type="dxa"/>
              <w:bottom w:w="17" w:type="dxa"/>
              <w:right w:w="28" w:type="dxa"/>
            </w:tcMar>
            <w:vAlign w:val="center"/>
          </w:tcPr>
          <w:p>
            <w:pPr>
              <w:pStyle w:val="1375"/>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54.7</w:t>
            </w:r>
          </w:p>
        </w:tc>
        <w:tc>
          <w:tcPr>
            <w:tcW w:w="379" w:type="pct"/>
            <w:tcBorders>
              <w:top w:val="single" w:color="auto" w:sz="12" w:space="0"/>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w:t>
            </w:r>
          </w:p>
        </w:tc>
        <w:tc>
          <w:tcPr>
            <w:tcW w:w="663"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2#装船</w:t>
            </w:r>
            <w:r>
              <w:rPr>
                <w:rFonts w:hint="default" w:ascii="Times New Roman" w:hAnsi="Times New Roman" w:cs="Times New Roman"/>
                <w:color w:val="auto"/>
                <w:sz w:val="20"/>
              </w:rPr>
              <w:t>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183</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44.8</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65</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53.7</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66</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53.6</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58</w:t>
            </w:r>
          </w:p>
        </w:tc>
        <w:tc>
          <w:tcPr>
            <w:tcW w:w="299"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54.7</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3#装船</w:t>
            </w:r>
            <w:r>
              <w:rPr>
                <w:rFonts w:hint="default" w:ascii="Times New Roman" w:hAnsi="Times New Roman" w:cs="Times New Roman"/>
                <w:color w:val="auto"/>
                <w:sz w:val="20"/>
              </w:rPr>
              <w:t>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76</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52.4</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172</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45.3</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66</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53.6</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58</w:t>
            </w:r>
          </w:p>
        </w:tc>
        <w:tc>
          <w:tcPr>
            <w:tcW w:w="299"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54.7</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4#装船</w:t>
            </w:r>
            <w:r>
              <w:rPr>
                <w:rFonts w:hint="default" w:ascii="Times New Roman" w:hAnsi="Times New Roman" w:cs="Times New Roman"/>
                <w:color w:val="auto"/>
                <w:sz w:val="20"/>
              </w:rPr>
              <w:t>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65</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53.7</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183</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44.8</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66</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53.6</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58</w:t>
            </w:r>
          </w:p>
        </w:tc>
        <w:tc>
          <w:tcPr>
            <w:tcW w:w="299" w:type="pct"/>
            <w:tcBorders>
              <w:tl2br w:val="nil"/>
              <w:tr2bl w:val="nil"/>
            </w:tcBorders>
            <w:noWrap w:val="0"/>
            <w:tcMar>
              <w:top w:w="17" w:type="dxa"/>
              <w:left w:w="28" w:type="dxa"/>
              <w:bottom w:w="17" w:type="dxa"/>
              <w:right w:w="28" w:type="dxa"/>
            </w:tcMar>
            <w:vAlign w:val="center"/>
          </w:tcPr>
          <w:p>
            <w:pPr>
              <w:jc w:val="center"/>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54.7</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BC11皮带输送机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189</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29.5</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59</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39.6</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39.3</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63</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39.0</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BC12皮带输送机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189</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29.5</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59</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39.6</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39.3</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63</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39.0</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7</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BC13皮带输送机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189</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29.5</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59</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39.6</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49.9</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106</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34.5</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8</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BC14皮带输送机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82</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36.7</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166</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30.1</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49.9</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106</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34.5</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9</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BC21皮带输送机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39.3</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187</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29.6</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100</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35</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24</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47.4</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10</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BC22皮带输送机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39.3</w:t>
            </w:r>
          </w:p>
        </w:tc>
        <w:tc>
          <w:tcPr>
            <w:tcW w:w="371"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187</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29.6</w:t>
            </w:r>
          </w:p>
        </w:tc>
        <w:tc>
          <w:tcPr>
            <w:tcW w:w="385"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100</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35</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24</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47.4</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11</w:t>
            </w:r>
          </w:p>
        </w:tc>
        <w:tc>
          <w:tcPr>
            <w:tcW w:w="663"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BC23皮带输送机</w:t>
            </w:r>
          </w:p>
        </w:tc>
        <w:tc>
          <w:tcPr>
            <w:tcW w:w="299"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82</w:t>
            </w:r>
          </w:p>
        </w:tc>
        <w:tc>
          <w:tcPr>
            <w:tcW w:w="346"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36.7</w:t>
            </w:r>
          </w:p>
        </w:tc>
        <w:tc>
          <w:tcPr>
            <w:tcW w:w="371" w:type="pct"/>
            <w:tcBorders>
              <w:tl2br w:val="nil"/>
              <w:tr2bl w:val="nil"/>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c>
          <w:tcPr>
            <w:tcW w:w="284"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166</w:t>
            </w:r>
          </w:p>
        </w:tc>
        <w:tc>
          <w:tcPr>
            <w:tcW w:w="37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eastAsia" w:ascii="Times New Roman" w:hAnsi="Times New Roman" w:cs="Times New Roman"/>
                <w:color w:val="auto"/>
                <w:kern w:val="2"/>
                <w:sz w:val="20"/>
                <w:lang w:val="en-US" w:eastAsia="zh-CN" w:bidi="ar-SA"/>
              </w:rPr>
              <w:t>30.1</w:t>
            </w:r>
          </w:p>
        </w:tc>
        <w:tc>
          <w:tcPr>
            <w:tcW w:w="385" w:type="pct"/>
            <w:tcBorders>
              <w:tl2br w:val="nil"/>
              <w:tr2bl w:val="nil"/>
            </w:tcBorders>
            <w:noWrap w:val="0"/>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c>
          <w:tcPr>
            <w:tcW w:w="325" w:type="pct"/>
            <w:tcBorders>
              <w:tl2br w:val="nil"/>
              <w:tr2bl w:val="nil"/>
            </w:tcBorders>
            <w:noWrap w:val="0"/>
            <w:tcMar>
              <w:top w:w="17" w:type="dxa"/>
              <w:left w:w="28" w:type="dxa"/>
              <w:bottom w:w="17" w:type="dxa"/>
              <w:right w:w="28" w:type="dxa"/>
            </w:tcMar>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18</w:t>
            </w:r>
          </w:p>
        </w:tc>
        <w:tc>
          <w:tcPr>
            <w:tcW w:w="35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49.9</w:t>
            </w:r>
          </w:p>
        </w:tc>
        <w:tc>
          <w:tcPr>
            <w:tcW w:w="376" w:type="pct"/>
            <w:tcBorders>
              <w:tl2br w:val="nil"/>
              <w:tr2bl w:val="nil"/>
            </w:tcBorders>
            <w:noWrap w:val="0"/>
            <w:vAlign w:val="center"/>
          </w:tcPr>
          <w:p>
            <w:pPr>
              <w:pStyle w:val="1375"/>
              <w:rPr>
                <w:rFonts w:hint="default" w:ascii="Times New Roman" w:hAnsi="Times New Roman" w:cs="Times New Roman"/>
                <w:color w:val="auto"/>
                <w:sz w:val="20"/>
              </w:rPr>
            </w:pPr>
            <w:r>
              <w:rPr>
                <w:rFonts w:hint="default" w:ascii="Times New Roman" w:hAnsi="Times New Roman" w:cs="Times New Roman"/>
                <w:color w:val="auto"/>
                <w:sz w:val="20"/>
              </w:rPr>
              <w:t>达标</w:t>
            </w:r>
          </w:p>
        </w:tc>
        <w:tc>
          <w:tcPr>
            <w:tcW w:w="311"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106</w:t>
            </w:r>
          </w:p>
        </w:tc>
        <w:tc>
          <w:tcPr>
            <w:tcW w:w="29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34.5</w:t>
            </w:r>
          </w:p>
        </w:tc>
        <w:tc>
          <w:tcPr>
            <w:tcW w:w="379" w:type="pct"/>
            <w:tcBorders>
              <w:tl2br w:val="nil"/>
              <w:tr2bl w:val="nil"/>
            </w:tcBorders>
            <w:noWrap w:val="0"/>
            <w:tcMar>
              <w:top w:w="17" w:type="dxa"/>
              <w:left w:w="28" w:type="dxa"/>
              <w:bottom w:w="17" w:type="dxa"/>
              <w:right w:w="28" w:type="dxa"/>
            </w:tcMar>
            <w:vAlign w:val="center"/>
          </w:tcPr>
          <w:p>
            <w:pPr>
              <w:pStyle w:val="1375"/>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sz w:val="20"/>
              </w:rPr>
              <w:t>达标</w:t>
            </w:r>
          </w:p>
        </w:tc>
      </w:tr>
    </w:tbl>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rPr>
      </w:pP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3</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rPr>
        <w:t>各类装卸机械同时作业噪声预测结果及分析</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根据港区总平面布置方案，针对不同方向港界，考虑各类装卸机械在距离该港界最近距离时，同时作业产生的噪声影响情况。</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根据工程总平面布置、装卸机械设备配备情况，确定多台机械同时作业噪声预测工况如下：按</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4</w:t>
      </w:r>
      <w:r>
        <w:rPr>
          <w:rFonts w:hint="default" w:ascii="Times New Roman" w:hAnsi="Times New Roman" w:eastAsia="仿宋_GB2312" w:cs="Times New Roman"/>
          <w:color w:val="auto"/>
        </w:rPr>
        <w:t>台</w:t>
      </w:r>
      <w:r>
        <w:rPr>
          <w:rFonts w:hint="eastAsia" w:ascii="Times New Roman" w:hAnsi="Times New Roman" w:eastAsia="仿宋_GB2312" w:cs="Times New Roman"/>
          <w:color w:val="auto"/>
          <w:lang w:val="en-US" w:eastAsia="zh-CN"/>
        </w:rPr>
        <w:t>装船机</w:t>
      </w:r>
      <w:r>
        <w:rPr>
          <w:rFonts w:hint="default" w:ascii="Times New Roman" w:hAnsi="Times New Roman" w:eastAsia="仿宋_GB2312" w:cs="Times New Roman"/>
          <w:color w:val="auto"/>
        </w:rPr>
        <w:t>+</w:t>
      </w:r>
      <w:r>
        <w:rPr>
          <w:rFonts w:hint="eastAsia" w:ascii="Times New Roman" w:hAnsi="Times New Roman" w:eastAsia="仿宋_GB2312" w:cs="Times New Roman"/>
          <w:color w:val="auto"/>
          <w:lang w:val="en-US" w:eastAsia="zh-CN"/>
        </w:rPr>
        <w:t>7</w:t>
      </w:r>
      <w:r>
        <w:rPr>
          <w:rFonts w:hint="default" w:ascii="Times New Roman" w:hAnsi="Times New Roman" w:eastAsia="仿宋_GB2312" w:cs="Times New Roman"/>
          <w:color w:val="auto"/>
        </w:rPr>
        <w:t>台</w:t>
      </w:r>
      <w:r>
        <w:rPr>
          <w:rFonts w:hint="eastAsia" w:ascii="Times New Roman" w:hAnsi="Times New Roman" w:eastAsia="仿宋_GB2312" w:cs="Times New Roman"/>
          <w:color w:val="auto"/>
          <w:lang w:val="en-US" w:eastAsia="zh-CN"/>
        </w:rPr>
        <w:t>皮带</w:t>
      </w:r>
      <w:r>
        <w:rPr>
          <w:rFonts w:hint="default" w:ascii="Times New Roman" w:hAnsi="Times New Roman" w:eastAsia="仿宋_GB2312" w:cs="Times New Roman"/>
          <w:color w:val="auto"/>
        </w:rPr>
        <w:t>输送机</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rPr>
        <w:t>同时工作的工况考虑，计算声源衰减到符合《工业企业厂界环境噪声排放标准》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中4a</w:t>
      </w:r>
      <w:r>
        <w:rPr>
          <w:rFonts w:hint="default" w:ascii="Times New Roman" w:hAnsi="Times New Roman" w:eastAsia="仿宋_GB2312" w:cs="Times New Roman"/>
          <w:color w:val="auto"/>
        </w:rPr>
        <w:t>类标准的距离。选取</w:t>
      </w:r>
      <w:r>
        <w:rPr>
          <w:rFonts w:hint="default" w:ascii="Times New Roman" w:hAnsi="Times New Roman" w:eastAsia="仿宋_GB2312" w:cs="Times New Roman"/>
          <w:color w:val="auto"/>
          <w:lang w:eastAsia="zh-CN"/>
        </w:rPr>
        <w:t>居民点</w:t>
      </w:r>
      <w:r>
        <w:rPr>
          <w:rFonts w:hint="default" w:ascii="Times New Roman" w:hAnsi="Times New Roman" w:eastAsia="仿宋_GB2312" w:cs="Times New Roman"/>
          <w:color w:val="auto"/>
        </w:rPr>
        <w:t>现状监测结果中最大值作为环境现状值，</w:t>
      </w:r>
      <w:r>
        <w:rPr>
          <w:rFonts w:hint="default" w:ascii="Times New Roman" w:hAnsi="Times New Roman" w:eastAsia="仿宋_GB2312" w:cs="Times New Roman"/>
          <w:color w:val="auto"/>
          <w:lang w:eastAsia="zh-CN"/>
        </w:rPr>
        <w:t>预测结果见</w:t>
      </w:r>
      <w:r>
        <w:rPr>
          <w:rFonts w:hint="eastAsia" w:ascii="Times New Roman" w:hAnsi="Times New Roman" w:eastAsia="仿宋_GB2312" w:cs="Times New Roman"/>
          <w:color w:val="auto"/>
          <w:lang w:val="en-US" w:eastAsia="zh-CN"/>
        </w:rPr>
        <w:t>下表</w:t>
      </w:r>
      <w:r>
        <w:rPr>
          <w:rFonts w:hint="default" w:ascii="Times New Roman" w:hAnsi="Times New Roman" w:eastAsia="仿宋_GB2312" w:cs="Times New Roman"/>
          <w:color w:val="auto"/>
        </w:rPr>
        <w:t>。</w:t>
      </w:r>
    </w:p>
    <w:p>
      <w:pPr>
        <w:widowControl w:val="0"/>
        <w:spacing w:line="360" w:lineRule="auto"/>
        <w:jc w:val="center"/>
        <w:rPr>
          <w:rFonts w:hint="eastAsia" w:ascii="Times New Roman" w:hAnsi="Times New Roman" w:eastAsia="黑体" w:cs="Times New Roman"/>
          <w:b/>
          <w:color w:val="auto"/>
          <w:szCs w:val="21"/>
        </w:rPr>
      </w:pPr>
      <w:r>
        <w:rPr>
          <w:rFonts w:hint="eastAsia" w:ascii="Times New Roman" w:hAnsi="Times New Roman" w:eastAsia="黑体" w:cs="Times New Roman"/>
          <w:b/>
          <w:color w:val="auto"/>
          <w:szCs w:val="21"/>
          <w:lang w:val="en-US" w:eastAsia="zh-CN"/>
        </w:rPr>
        <w:t>表5.2-</w:t>
      </w:r>
      <w:r>
        <w:rPr>
          <w:rFonts w:hint="eastAsia" w:eastAsia="黑体" w:cs="Times New Roman"/>
          <w:b/>
          <w:color w:val="auto"/>
          <w:szCs w:val="21"/>
          <w:lang w:val="en-US" w:eastAsia="zh-CN"/>
        </w:rPr>
        <w:t>23</w:t>
      </w:r>
      <w:r>
        <w:rPr>
          <w:rFonts w:hint="eastAsia" w:ascii="Times New Roman" w:hAnsi="Times New Roman" w:eastAsia="黑体" w:cs="Times New Roman"/>
          <w:b/>
          <w:color w:val="auto"/>
          <w:szCs w:val="21"/>
          <w:lang w:val="en-US" w:eastAsia="zh-CN"/>
        </w:rPr>
        <w:t xml:space="preserve">  码头作业最大噪声影响值</w:t>
      </w:r>
      <w:r>
        <w:rPr>
          <w:rFonts w:hint="eastAsia" w:ascii="Times New Roman" w:hAnsi="Times New Roman" w:eastAsia="黑体" w:cs="Times New Roman"/>
          <w:b/>
          <w:color w:val="auto"/>
          <w:szCs w:val="21"/>
        </w:rPr>
        <w:t xml:space="preserve">  Leq(dB(A))</w:t>
      </w:r>
    </w:p>
    <w:tbl>
      <w:tblPr>
        <w:tblStyle w:val="92"/>
        <w:tblW w:w="491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39"/>
        <w:gridCol w:w="1923"/>
        <w:gridCol w:w="2040"/>
        <w:gridCol w:w="2040"/>
        <w:gridCol w:w="2040"/>
        <w:gridCol w:w="2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tcBorders>
              <w:bottom w:val="single" w:color="auto" w:sz="12" w:space="0"/>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名称</w:t>
            </w:r>
          </w:p>
        </w:tc>
        <w:tc>
          <w:tcPr>
            <w:tcW w:w="690" w:type="pct"/>
            <w:tcBorders>
              <w:bottom w:val="single" w:color="auto" w:sz="12" w:space="0"/>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时段</w:t>
            </w:r>
          </w:p>
        </w:tc>
        <w:tc>
          <w:tcPr>
            <w:tcW w:w="732" w:type="pct"/>
            <w:tcBorders>
              <w:bottom w:val="single" w:color="auto" w:sz="12" w:space="0"/>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lang w:val="en-US" w:eastAsia="zh-CN"/>
              </w:rPr>
              <w:t>东</w:t>
            </w:r>
            <w:r>
              <w:rPr>
                <w:rFonts w:hint="eastAsia" w:ascii="Times New Roman" w:hAnsi="Times New Roman" w:cs="Times New Roman"/>
                <w:color w:val="auto"/>
                <w:sz w:val="20"/>
              </w:rPr>
              <w:t>港界</w:t>
            </w:r>
          </w:p>
        </w:tc>
        <w:tc>
          <w:tcPr>
            <w:tcW w:w="732" w:type="pct"/>
            <w:tcBorders>
              <w:bottom w:val="single" w:color="auto" w:sz="12" w:space="0"/>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西港界</w:t>
            </w:r>
          </w:p>
        </w:tc>
        <w:tc>
          <w:tcPr>
            <w:tcW w:w="732" w:type="pct"/>
            <w:tcBorders>
              <w:bottom w:val="single" w:color="auto" w:sz="12" w:space="0"/>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南港界</w:t>
            </w:r>
          </w:p>
        </w:tc>
        <w:tc>
          <w:tcPr>
            <w:tcW w:w="733" w:type="pct"/>
            <w:tcBorders>
              <w:bottom w:val="single" w:color="auto" w:sz="12" w:space="0"/>
            </w:tcBorders>
            <w:noWrap w:val="0"/>
            <w:vAlign w:val="center"/>
          </w:tcPr>
          <w:p>
            <w:pPr>
              <w:pStyle w:val="1375"/>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北港界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tcBorders>
              <w:top w:val="single" w:color="auto" w:sz="12" w:space="0"/>
              <w:tl2br w:val="nil"/>
              <w:tr2bl w:val="nil"/>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lang w:val="en-US" w:eastAsia="zh-CN"/>
              </w:rPr>
              <w:t>贡献</w:t>
            </w:r>
            <w:r>
              <w:rPr>
                <w:rFonts w:hint="eastAsia" w:ascii="Times New Roman" w:hAnsi="Times New Roman" w:cs="Times New Roman"/>
                <w:color w:val="auto"/>
                <w:sz w:val="20"/>
              </w:rPr>
              <w:t>值</w:t>
            </w:r>
          </w:p>
        </w:tc>
        <w:tc>
          <w:tcPr>
            <w:tcW w:w="690" w:type="pct"/>
            <w:tcBorders>
              <w:top w:val="single" w:color="auto" w:sz="12" w:space="0"/>
              <w:tl2br w:val="nil"/>
              <w:tr2bl w:val="nil"/>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昼夜</w:t>
            </w:r>
          </w:p>
        </w:tc>
        <w:tc>
          <w:tcPr>
            <w:tcW w:w="732"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57.0</w:t>
            </w:r>
          </w:p>
        </w:tc>
        <w:tc>
          <w:tcPr>
            <w:tcW w:w="732"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57.0</w:t>
            </w:r>
          </w:p>
        </w:tc>
        <w:tc>
          <w:tcPr>
            <w:tcW w:w="732"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60.9</w:t>
            </w:r>
          </w:p>
        </w:tc>
        <w:tc>
          <w:tcPr>
            <w:tcW w:w="733" w:type="pct"/>
            <w:tcBorders>
              <w:top w:val="single" w:color="auto" w:sz="12" w:space="0"/>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vMerge w:val="restart"/>
            <w:tcBorders>
              <w:tl2br w:val="nil"/>
              <w:tr2bl w:val="nil"/>
            </w:tcBorders>
            <w:noWrap w:val="0"/>
            <w:vAlign w:val="center"/>
          </w:tcPr>
          <w:p>
            <w:pPr>
              <w:pStyle w:val="1375"/>
              <w:rPr>
                <w:rFonts w:hint="eastAsia"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背景值</w:t>
            </w:r>
          </w:p>
        </w:tc>
        <w:tc>
          <w:tcPr>
            <w:tcW w:w="690" w:type="pct"/>
            <w:tcBorders>
              <w:tl2br w:val="nil"/>
              <w:tr2bl w:val="nil"/>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rPr>
              <w:t>昼间</w:t>
            </w:r>
          </w:p>
        </w:tc>
        <w:tc>
          <w:tcPr>
            <w:tcW w:w="732" w:type="pct"/>
            <w:tcBorders>
              <w:tl2br w:val="nil"/>
              <w:tr2bl w:val="nil"/>
            </w:tcBorders>
            <w:noWrap w:val="0"/>
            <w:vAlign w:val="center"/>
          </w:tcPr>
          <w:p>
            <w:pPr>
              <w:pStyle w:val="1375"/>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55</w:t>
            </w:r>
          </w:p>
        </w:tc>
        <w:tc>
          <w:tcPr>
            <w:tcW w:w="2040" w:type="dxa"/>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53</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52</w:t>
            </w:r>
          </w:p>
        </w:tc>
        <w:tc>
          <w:tcPr>
            <w:tcW w:w="733" w:type="pct"/>
            <w:tcBorders>
              <w:tl2br w:val="nil"/>
              <w:tr2bl w:val="nil"/>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vMerge w:val="continue"/>
            <w:tcBorders>
              <w:tl2br w:val="nil"/>
              <w:tr2bl w:val="nil"/>
            </w:tcBorders>
            <w:noWrap w:val="0"/>
            <w:vAlign w:val="center"/>
          </w:tcPr>
          <w:p>
            <w:pPr>
              <w:pStyle w:val="1375"/>
              <w:rPr>
                <w:rFonts w:hint="eastAsia" w:ascii="Times New Roman" w:hAnsi="Times New Roman" w:cs="Times New Roman"/>
                <w:color w:val="auto"/>
                <w:sz w:val="20"/>
                <w:lang w:val="en-US" w:eastAsia="zh-CN"/>
              </w:rPr>
            </w:pPr>
          </w:p>
        </w:tc>
        <w:tc>
          <w:tcPr>
            <w:tcW w:w="690" w:type="pct"/>
            <w:tcBorders>
              <w:tl2br w:val="nil"/>
              <w:tr2bl w:val="nil"/>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rPr>
              <w:t>夜间</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44</w:t>
            </w:r>
          </w:p>
        </w:tc>
        <w:tc>
          <w:tcPr>
            <w:tcW w:w="2040" w:type="dxa"/>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43</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43</w:t>
            </w:r>
          </w:p>
        </w:tc>
        <w:tc>
          <w:tcPr>
            <w:tcW w:w="733" w:type="pct"/>
            <w:tcBorders>
              <w:tl2br w:val="nil"/>
              <w:tr2bl w:val="nil"/>
            </w:tcBorders>
            <w:noWrap w:val="0"/>
            <w:vAlign w:val="center"/>
          </w:tcPr>
          <w:p>
            <w:pPr>
              <w:pStyle w:val="1375"/>
              <w:rPr>
                <w:rFonts w:hint="eastAsia" w:ascii="Times New Roman" w:hAnsi="Times New Roman" w:eastAsia="宋体" w:cs="Times New Roman"/>
                <w:color w:val="auto"/>
                <w:kern w:val="2"/>
                <w:sz w:val="20"/>
                <w:lang w:val="en-US" w:eastAsia="zh-CN" w:bidi="ar-SA"/>
              </w:rPr>
            </w:pPr>
            <w:r>
              <w:rPr>
                <w:rFonts w:hint="eastAsia" w:ascii="Times New Roman" w:hAnsi="Times New Roman" w:cs="Times New Roman"/>
                <w:color w:val="auto"/>
                <w:sz w:val="20"/>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vMerge w:val="restart"/>
            <w:tcBorders>
              <w:tl2br w:val="nil"/>
              <w:tr2bl w:val="nil"/>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叠加背景值后预测值</w:t>
            </w:r>
          </w:p>
        </w:tc>
        <w:tc>
          <w:tcPr>
            <w:tcW w:w="690" w:type="pct"/>
            <w:tcBorders>
              <w:tl2br w:val="nil"/>
              <w:tr2bl w:val="nil"/>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昼间</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59.1</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58.5</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61.4</w:t>
            </w:r>
          </w:p>
        </w:tc>
        <w:tc>
          <w:tcPr>
            <w:tcW w:w="733"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pct"/>
            <w:vMerge w:val="continue"/>
            <w:tcBorders>
              <w:tl2br w:val="nil"/>
              <w:tr2bl w:val="nil"/>
            </w:tcBorders>
            <w:noWrap w:val="0"/>
            <w:vAlign w:val="center"/>
          </w:tcPr>
          <w:p>
            <w:pPr>
              <w:pStyle w:val="1375"/>
              <w:rPr>
                <w:rFonts w:hint="eastAsia" w:ascii="Times New Roman" w:hAnsi="Times New Roman" w:cs="Times New Roman"/>
                <w:color w:val="auto"/>
                <w:sz w:val="20"/>
              </w:rPr>
            </w:pPr>
          </w:p>
        </w:tc>
        <w:tc>
          <w:tcPr>
            <w:tcW w:w="690" w:type="pct"/>
            <w:tcBorders>
              <w:tl2br w:val="nil"/>
              <w:tr2bl w:val="nil"/>
            </w:tcBorders>
            <w:noWrap w:val="0"/>
            <w:vAlign w:val="center"/>
          </w:tcPr>
          <w:p>
            <w:pPr>
              <w:pStyle w:val="1375"/>
              <w:rPr>
                <w:rFonts w:hint="eastAsia" w:ascii="Times New Roman" w:hAnsi="Times New Roman" w:cs="Times New Roman"/>
                <w:color w:val="auto"/>
                <w:sz w:val="20"/>
              </w:rPr>
            </w:pPr>
            <w:r>
              <w:rPr>
                <w:rFonts w:hint="eastAsia" w:ascii="Times New Roman" w:hAnsi="Times New Roman" w:cs="Times New Roman"/>
                <w:color w:val="auto"/>
                <w:sz w:val="20"/>
              </w:rPr>
              <w:t>夜间</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57.2</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57.2</w:t>
            </w:r>
          </w:p>
        </w:tc>
        <w:tc>
          <w:tcPr>
            <w:tcW w:w="732"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61.0</w:t>
            </w:r>
          </w:p>
        </w:tc>
        <w:tc>
          <w:tcPr>
            <w:tcW w:w="733" w:type="pct"/>
            <w:tcBorders>
              <w:tl2br w:val="nil"/>
              <w:tr2bl w:val="nil"/>
            </w:tcBorders>
            <w:noWrap w:val="0"/>
            <w:vAlign w:val="center"/>
          </w:tcPr>
          <w:p>
            <w:pPr>
              <w:pStyle w:val="1375"/>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61.3</w:t>
            </w:r>
          </w:p>
        </w:tc>
      </w:tr>
    </w:tbl>
    <w:p>
      <w:pPr>
        <w:widowControl w:val="0"/>
        <w:spacing w:line="360" w:lineRule="auto"/>
        <w:jc w:val="center"/>
        <w:rPr>
          <w:rFonts w:hint="default" w:ascii="Times New Roman" w:hAnsi="Times New Roman" w:eastAsia="黑体" w:cs="Times New Roman"/>
          <w:b/>
          <w:color w:val="auto"/>
          <w:szCs w:val="21"/>
          <w:lang w:val="en-US" w:eastAsia="zh-CN"/>
        </w:rPr>
      </w:pPr>
      <w:r>
        <w:rPr>
          <w:rFonts w:hint="default" w:ascii="Times New Roman" w:hAnsi="Times New Roman" w:eastAsia="黑体" w:cs="Times New Roman"/>
          <w:b/>
          <w:color w:val="auto"/>
          <w:szCs w:val="21"/>
          <w:lang w:val="en-US" w:eastAsia="zh-CN"/>
        </w:rPr>
        <w:t>表</w:t>
      </w:r>
      <w:r>
        <w:rPr>
          <w:rFonts w:hint="eastAsia" w:ascii="Times New Roman" w:hAnsi="Times New Roman" w:eastAsia="黑体" w:cs="Times New Roman"/>
          <w:b/>
          <w:color w:val="auto"/>
          <w:szCs w:val="21"/>
          <w:lang w:val="en-US" w:eastAsia="zh-CN"/>
        </w:rPr>
        <w:t>5.2-</w:t>
      </w:r>
      <w:r>
        <w:rPr>
          <w:rFonts w:hint="eastAsia" w:eastAsia="黑体" w:cs="Times New Roman"/>
          <w:b/>
          <w:color w:val="auto"/>
          <w:szCs w:val="21"/>
          <w:lang w:val="en-US" w:eastAsia="zh-CN"/>
        </w:rPr>
        <w:t>24</w:t>
      </w:r>
      <w:r>
        <w:rPr>
          <w:rFonts w:hint="default" w:ascii="Times New Roman" w:hAnsi="Times New Roman" w:eastAsia="黑体" w:cs="Times New Roman"/>
          <w:b/>
          <w:color w:val="auto"/>
          <w:szCs w:val="21"/>
          <w:lang w:val="en-US" w:eastAsia="zh-CN"/>
        </w:rPr>
        <w:t xml:space="preserve"> </w:t>
      </w:r>
      <w:r>
        <w:rPr>
          <w:rFonts w:hint="eastAsia" w:ascii="Times New Roman" w:hAnsi="Times New Roman" w:eastAsia="黑体" w:cs="Times New Roman"/>
          <w:b/>
          <w:color w:val="auto"/>
          <w:szCs w:val="21"/>
          <w:lang w:val="en-US" w:eastAsia="zh-CN"/>
        </w:rPr>
        <w:t xml:space="preserve"> </w:t>
      </w:r>
      <w:r>
        <w:rPr>
          <w:rFonts w:hint="default" w:ascii="Times New Roman" w:hAnsi="Times New Roman" w:eastAsia="黑体" w:cs="Times New Roman"/>
          <w:b/>
          <w:color w:val="auto"/>
          <w:szCs w:val="21"/>
          <w:lang w:val="en-US" w:eastAsia="zh-CN"/>
        </w:rPr>
        <w:t>码头</w:t>
      </w:r>
      <w:r>
        <w:rPr>
          <w:rFonts w:hint="eastAsia" w:ascii="Times New Roman" w:hAnsi="Times New Roman" w:eastAsia="黑体" w:cs="Times New Roman"/>
          <w:b/>
          <w:color w:val="auto"/>
          <w:szCs w:val="21"/>
          <w:lang w:val="en-US" w:eastAsia="zh-CN"/>
        </w:rPr>
        <w:t>多台机械</w:t>
      </w:r>
      <w:r>
        <w:rPr>
          <w:rFonts w:hint="default" w:ascii="Times New Roman" w:hAnsi="Times New Roman" w:eastAsia="黑体" w:cs="Times New Roman"/>
          <w:b/>
          <w:color w:val="auto"/>
          <w:szCs w:val="21"/>
          <w:lang w:val="en-US" w:eastAsia="zh-CN"/>
        </w:rPr>
        <w:t>作业</w:t>
      </w:r>
      <w:r>
        <w:rPr>
          <w:rFonts w:hint="eastAsia" w:ascii="Times New Roman" w:hAnsi="Times New Roman" w:eastAsia="黑体" w:cs="Times New Roman"/>
          <w:b/>
          <w:color w:val="auto"/>
          <w:szCs w:val="21"/>
          <w:lang w:val="en-US" w:eastAsia="zh-CN"/>
        </w:rPr>
        <w:t>声环境影响预测结果与达标分析表</w:t>
      </w:r>
      <w:r>
        <w:rPr>
          <w:rFonts w:hint="default" w:ascii="Times New Roman" w:hAnsi="Times New Roman" w:eastAsia="黑体" w:cs="Times New Roman"/>
          <w:b/>
          <w:color w:val="auto"/>
          <w:szCs w:val="21"/>
          <w:lang w:val="en-US" w:eastAsia="zh-CN"/>
        </w:rPr>
        <w:t xml:space="preserve">  Leq(dB(A))</w:t>
      </w:r>
    </w:p>
    <w:tbl>
      <w:tblPr>
        <w:tblStyle w:val="9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595"/>
        <w:gridCol w:w="1062"/>
        <w:gridCol w:w="1141"/>
        <w:gridCol w:w="1186"/>
        <w:gridCol w:w="1110"/>
        <w:gridCol w:w="989"/>
        <w:gridCol w:w="1085"/>
        <w:gridCol w:w="1104"/>
        <w:gridCol w:w="1183"/>
        <w:gridCol w:w="1239"/>
        <w:gridCol w:w="12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vMerge w:val="restart"/>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名称</w:t>
            </w:r>
          </w:p>
        </w:tc>
        <w:tc>
          <w:tcPr>
            <w:tcW w:w="569" w:type="pct"/>
            <w:vMerge w:val="restart"/>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与南侧港界距离m</w:t>
            </w:r>
          </w:p>
        </w:tc>
        <w:tc>
          <w:tcPr>
            <w:tcW w:w="786" w:type="pct"/>
            <w:gridSpan w:val="2"/>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噪声现状值</w:t>
            </w:r>
          </w:p>
        </w:tc>
        <w:tc>
          <w:tcPr>
            <w:tcW w:w="819" w:type="pct"/>
            <w:gridSpan w:val="2"/>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噪声贡献值</w:t>
            </w:r>
          </w:p>
        </w:tc>
        <w:tc>
          <w:tcPr>
            <w:tcW w:w="740" w:type="pct"/>
            <w:gridSpan w:val="2"/>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噪声预测值</w:t>
            </w:r>
          </w:p>
        </w:tc>
        <w:tc>
          <w:tcPr>
            <w:tcW w:w="816" w:type="pct"/>
            <w:gridSpan w:val="2"/>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噪声标准值</w:t>
            </w:r>
          </w:p>
        </w:tc>
        <w:tc>
          <w:tcPr>
            <w:tcW w:w="879" w:type="pct"/>
            <w:gridSpan w:val="2"/>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rPr>
            </w:pPr>
            <w:r>
              <w:rPr>
                <w:rFonts w:hint="eastAsia" w:ascii="Times New Roman" w:hAnsi="Times New Roman" w:cs="Times New Roman"/>
                <w:color w:val="auto"/>
                <w:sz w:val="20"/>
                <w:lang w:val="en-US" w:eastAsia="zh-CN"/>
              </w:rPr>
              <w:t>超标和达标情况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vMerge w:val="continue"/>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lang w:val="en-US" w:eastAsia="zh-CN"/>
              </w:rPr>
            </w:pPr>
          </w:p>
        </w:tc>
        <w:tc>
          <w:tcPr>
            <w:tcW w:w="569" w:type="pct"/>
            <w:vMerge w:val="continue"/>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lang w:val="en-US" w:eastAsia="zh-CN"/>
              </w:rPr>
            </w:pPr>
          </w:p>
        </w:tc>
        <w:tc>
          <w:tcPr>
            <w:tcW w:w="379"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昼间</w:t>
            </w:r>
          </w:p>
        </w:tc>
        <w:tc>
          <w:tcPr>
            <w:tcW w:w="407"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夜间</w:t>
            </w:r>
          </w:p>
        </w:tc>
        <w:tc>
          <w:tcPr>
            <w:tcW w:w="423" w:type="pct"/>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昼间</w:t>
            </w:r>
          </w:p>
        </w:tc>
        <w:tc>
          <w:tcPr>
            <w:tcW w:w="396" w:type="pct"/>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夜间</w:t>
            </w:r>
          </w:p>
        </w:tc>
        <w:tc>
          <w:tcPr>
            <w:tcW w:w="353"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昼间</w:t>
            </w:r>
          </w:p>
        </w:tc>
        <w:tc>
          <w:tcPr>
            <w:tcW w:w="387"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夜间</w:t>
            </w:r>
          </w:p>
        </w:tc>
        <w:tc>
          <w:tcPr>
            <w:tcW w:w="394"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昼间</w:t>
            </w:r>
          </w:p>
        </w:tc>
        <w:tc>
          <w:tcPr>
            <w:tcW w:w="422" w:type="pct"/>
            <w:tcBorders>
              <w:bottom w:val="single" w:color="auto" w:sz="12" w:space="0"/>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rPr>
            </w:pPr>
            <w:r>
              <w:rPr>
                <w:rFonts w:hint="eastAsia" w:ascii="Times New Roman" w:hAnsi="Times New Roman" w:cs="Times New Roman"/>
                <w:color w:val="auto"/>
                <w:sz w:val="20"/>
                <w:lang w:val="en-US" w:eastAsia="zh-CN"/>
              </w:rPr>
              <w:t>夜间</w:t>
            </w:r>
          </w:p>
        </w:tc>
        <w:tc>
          <w:tcPr>
            <w:tcW w:w="442" w:type="pct"/>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rPr>
            </w:pPr>
            <w:r>
              <w:rPr>
                <w:rFonts w:hint="eastAsia" w:ascii="Times New Roman" w:hAnsi="Times New Roman" w:cs="Times New Roman"/>
                <w:color w:val="auto"/>
                <w:sz w:val="20"/>
                <w:lang w:val="en-US" w:eastAsia="zh-CN"/>
              </w:rPr>
              <w:t>昼间</w:t>
            </w:r>
          </w:p>
        </w:tc>
        <w:tc>
          <w:tcPr>
            <w:tcW w:w="437" w:type="pct"/>
            <w:tcBorders>
              <w:bottom w:val="single" w:color="auto" w:sz="12" w:space="0"/>
            </w:tcBorders>
            <w:noWrap w:val="0"/>
            <w:tcMar>
              <w:top w:w="0" w:type="dxa"/>
              <w:left w:w="28" w:type="dxa"/>
              <w:bottom w:w="0" w:type="dxa"/>
              <w:right w:w="28" w:type="dxa"/>
            </w:tcMar>
            <w:vAlign w:val="center"/>
          </w:tcPr>
          <w:p>
            <w:pPr>
              <w:pStyle w:val="1375"/>
              <w:widowControl w:val="0"/>
              <w:rPr>
                <w:rFonts w:hint="eastAsia" w:ascii="Times New Roman" w:hAnsi="Times New Roman" w:cs="Times New Roman"/>
                <w:color w:val="auto"/>
                <w:sz w:val="20"/>
              </w:rPr>
            </w:pPr>
            <w:r>
              <w:rPr>
                <w:rFonts w:hint="eastAsia" w:ascii="Times New Roman" w:hAnsi="Times New Roman" w:cs="Times New Roman"/>
                <w:color w:val="auto"/>
                <w:sz w:val="20"/>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洋溪社区</w:t>
            </w:r>
          </w:p>
        </w:tc>
        <w:tc>
          <w:tcPr>
            <w:tcW w:w="569"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69</w:t>
            </w:r>
          </w:p>
        </w:tc>
        <w:tc>
          <w:tcPr>
            <w:tcW w:w="379"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rPr>
            </w:pPr>
            <w:r>
              <w:rPr>
                <w:rFonts w:hint="eastAsia" w:ascii="Times New Roman" w:hAnsi="Times New Roman" w:cs="Times New Roman"/>
                <w:color w:val="auto"/>
                <w:sz w:val="20"/>
                <w:lang w:val="en-US" w:eastAsia="zh-CN"/>
              </w:rPr>
              <w:t>54</w:t>
            </w:r>
          </w:p>
        </w:tc>
        <w:tc>
          <w:tcPr>
            <w:tcW w:w="407"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eastAsia="宋体" w:cs="Times New Roman"/>
                <w:color w:val="auto"/>
                <w:sz w:val="20"/>
                <w:lang w:val="en-US" w:eastAsia="zh-CN"/>
              </w:rPr>
            </w:pPr>
            <w:r>
              <w:rPr>
                <w:rFonts w:hint="eastAsia" w:ascii="Times New Roman" w:hAnsi="Times New Roman" w:cs="Times New Roman"/>
                <w:color w:val="auto"/>
                <w:sz w:val="20"/>
                <w:lang w:val="en-US" w:eastAsia="zh-CN"/>
              </w:rPr>
              <w:t>44</w:t>
            </w:r>
          </w:p>
        </w:tc>
        <w:tc>
          <w:tcPr>
            <w:tcW w:w="423"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24.6</w:t>
            </w:r>
          </w:p>
        </w:tc>
        <w:tc>
          <w:tcPr>
            <w:tcW w:w="396"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24.2</w:t>
            </w:r>
          </w:p>
        </w:tc>
        <w:tc>
          <w:tcPr>
            <w:tcW w:w="353"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55</w:t>
            </w:r>
          </w:p>
        </w:tc>
        <w:tc>
          <w:tcPr>
            <w:tcW w:w="387"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44</w:t>
            </w:r>
          </w:p>
        </w:tc>
        <w:tc>
          <w:tcPr>
            <w:tcW w:w="394"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60</w:t>
            </w:r>
          </w:p>
        </w:tc>
        <w:tc>
          <w:tcPr>
            <w:tcW w:w="422" w:type="pct"/>
            <w:tcBorders>
              <w:top w:val="single" w:color="auto" w:sz="12" w:space="0"/>
              <w:tl2br w:val="nil"/>
              <w:tr2bl w:val="nil"/>
            </w:tcBorders>
            <w:noWrap w:val="0"/>
            <w:tcMar>
              <w:top w:w="0" w:type="dxa"/>
              <w:left w:w="28" w:type="dxa"/>
              <w:bottom w:w="0" w:type="dxa"/>
              <w:right w:w="28" w:type="dxa"/>
            </w:tcMar>
            <w:vAlign w:val="center"/>
          </w:tcPr>
          <w:p>
            <w:pPr>
              <w:pStyle w:val="1375"/>
              <w:widowControl w:val="0"/>
              <w:rPr>
                <w:rFonts w:hint="default" w:ascii="Times New Roman" w:hAnsi="Times New Roman" w:cs="Times New Roman"/>
                <w:color w:val="auto"/>
                <w:sz w:val="20"/>
                <w:lang w:val="en-US" w:eastAsia="zh-CN"/>
              </w:rPr>
            </w:pPr>
            <w:r>
              <w:rPr>
                <w:rFonts w:hint="eastAsia" w:ascii="Times New Roman" w:hAnsi="Times New Roman" w:cs="Times New Roman"/>
                <w:color w:val="auto"/>
                <w:sz w:val="20"/>
                <w:lang w:val="en-US" w:eastAsia="zh-CN"/>
              </w:rPr>
              <w:t>50</w:t>
            </w:r>
          </w:p>
        </w:tc>
        <w:tc>
          <w:tcPr>
            <w:tcW w:w="442" w:type="pct"/>
            <w:tcBorders>
              <w:top w:val="single" w:color="auto" w:sz="12" w:space="0"/>
              <w:tl2br w:val="nil"/>
              <w:tr2bl w:val="nil"/>
            </w:tcBorders>
            <w:noWrap w:val="0"/>
            <w:tcMar>
              <w:top w:w="0" w:type="dxa"/>
              <w:left w:w="28" w:type="dxa"/>
              <w:bottom w:w="0" w:type="dxa"/>
              <w:right w:w="28" w:type="dxa"/>
            </w:tcMar>
            <w:vAlign w:val="center"/>
          </w:tcPr>
          <w:p>
            <w:pPr>
              <w:widowControl w:val="0"/>
              <w:jc w:val="center"/>
              <w:rPr>
                <w:rFonts w:hint="default" w:ascii="Times New Roman" w:hAnsi="Times New Roman" w:cs="Times New Roman"/>
                <w:color w:val="auto"/>
                <w:sz w:val="20"/>
                <w:lang w:val="en-US"/>
              </w:rPr>
            </w:pPr>
            <w:r>
              <w:rPr>
                <w:rFonts w:hint="eastAsia" w:ascii="Times New Roman" w:hAnsi="Times New Roman" w:cs="Times New Roman"/>
                <w:color w:val="auto"/>
                <w:sz w:val="20"/>
                <w:lang w:val="en-US" w:eastAsia="zh-CN"/>
              </w:rPr>
              <w:t>达标</w:t>
            </w:r>
          </w:p>
        </w:tc>
        <w:tc>
          <w:tcPr>
            <w:tcW w:w="437" w:type="pct"/>
            <w:tcBorders>
              <w:top w:val="single" w:color="auto" w:sz="12" w:space="0"/>
              <w:tl2br w:val="nil"/>
              <w:tr2bl w:val="nil"/>
            </w:tcBorders>
            <w:noWrap w:val="0"/>
            <w:tcMar>
              <w:top w:w="0" w:type="dxa"/>
              <w:left w:w="28" w:type="dxa"/>
              <w:bottom w:w="0" w:type="dxa"/>
              <w:right w:w="28" w:type="dxa"/>
            </w:tcMar>
            <w:vAlign w:val="center"/>
          </w:tcPr>
          <w:p>
            <w:pPr>
              <w:widowControl w:val="0"/>
              <w:jc w:val="center"/>
              <w:rPr>
                <w:rFonts w:hint="default" w:ascii="Times New Roman" w:hAnsi="Times New Roman" w:cs="Times New Roman"/>
                <w:color w:val="auto"/>
                <w:sz w:val="20"/>
                <w:lang w:val="en-US"/>
              </w:rPr>
            </w:pPr>
            <w:r>
              <w:rPr>
                <w:rFonts w:hint="eastAsia" w:ascii="Times New Roman" w:hAnsi="Times New Roman" w:cs="Times New Roman"/>
                <w:color w:val="auto"/>
                <w:sz w:val="20"/>
                <w:lang w:val="en-US" w:eastAsia="zh-CN"/>
              </w:rPr>
              <w:t>达标</w:t>
            </w:r>
          </w:p>
        </w:tc>
      </w:tr>
    </w:tbl>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t>在考虑多台作业机械同时作业且作业位置距离厂界和居民区最近的不利条件下，码头作业噪声产生的影响如下：</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①</w:t>
      </w:r>
      <w:r>
        <w:rPr>
          <w:rFonts w:hint="default" w:ascii="Times New Roman" w:hAnsi="Times New Roman" w:eastAsia="仿宋_GB2312" w:cs="Times New Roman"/>
          <w:color w:val="auto"/>
          <w:lang w:eastAsia="zh-CN"/>
        </w:rPr>
        <w:t>厂界：最不利组合时，</w:t>
      </w:r>
      <w:r>
        <w:rPr>
          <w:rFonts w:hint="eastAsia" w:ascii="Times New Roman" w:hAnsi="Times New Roman" w:eastAsia="仿宋_GB2312" w:cs="Times New Roman"/>
          <w:color w:val="auto"/>
          <w:lang w:val="en-US" w:eastAsia="zh-CN"/>
        </w:rPr>
        <w:t>东西侧港</w:t>
      </w:r>
      <w:r>
        <w:rPr>
          <w:rFonts w:hint="default" w:ascii="Times New Roman" w:hAnsi="Times New Roman" w:eastAsia="仿宋_GB2312" w:cs="Times New Roman"/>
          <w:color w:val="auto"/>
          <w:lang w:eastAsia="zh-CN"/>
        </w:rPr>
        <w:t>界</w:t>
      </w:r>
      <w:r>
        <w:rPr>
          <w:rFonts w:hint="eastAsia" w:ascii="Times New Roman" w:hAnsi="Times New Roman" w:eastAsia="仿宋_GB2312" w:cs="Times New Roman"/>
          <w:color w:val="auto"/>
          <w:lang w:val="en-US" w:eastAsia="zh-CN"/>
        </w:rPr>
        <w:t>昼间噪声</w:t>
      </w:r>
      <w:r>
        <w:rPr>
          <w:rFonts w:hint="default" w:ascii="Times New Roman" w:hAnsi="Times New Roman" w:eastAsia="仿宋_GB2312" w:cs="Times New Roman"/>
          <w:color w:val="auto"/>
          <w:lang w:eastAsia="zh-CN"/>
        </w:rPr>
        <w:t>满足《工业企业厂界环境噪声排放标准》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lang w:eastAsia="zh-CN"/>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中3类</w:t>
      </w:r>
      <w:r>
        <w:rPr>
          <w:rFonts w:hint="default" w:ascii="Times New Roman" w:hAnsi="Times New Roman" w:eastAsia="仿宋_GB2312" w:cs="Times New Roman"/>
          <w:color w:val="auto"/>
          <w:lang w:eastAsia="zh-CN"/>
        </w:rPr>
        <w:t>标准</w:t>
      </w:r>
      <w:r>
        <w:rPr>
          <w:rFonts w:hint="eastAsia" w:ascii="Times New Roman" w:hAnsi="Times New Roman" w:eastAsia="仿宋_GB2312" w:cs="Times New Roman"/>
          <w:color w:val="auto"/>
          <w:lang w:val="en-US" w:eastAsia="zh-CN"/>
        </w:rPr>
        <w:t>要求，南、北侧港</w:t>
      </w:r>
      <w:r>
        <w:rPr>
          <w:rFonts w:hint="default" w:ascii="Times New Roman" w:hAnsi="Times New Roman" w:eastAsia="仿宋_GB2312" w:cs="Times New Roman"/>
          <w:color w:val="auto"/>
          <w:lang w:eastAsia="zh-CN"/>
        </w:rPr>
        <w:t>界</w:t>
      </w:r>
      <w:r>
        <w:rPr>
          <w:rFonts w:hint="eastAsia" w:ascii="Times New Roman" w:hAnsi="Times New Roman" w:eastAsia="仿宋_GB2312" w:cs="Times New Roman"/>
          <w:color w:val="auto"/>
          <w:lang w:val="en-US" w:eastAsia="zh-CN"/>
        </w:rPr>
        <w:t>昼间噪声</w:t>
      </w:r>
      <w:r>
        <w:rPr>
          <w:rFonts w:hint="default" w:ascii="Times New Roman" w:hAnsi="Times New Roman" w:eastAsia="仿宋_GB2312" w:cs="Times New Roman"/>
          <w:color w:val="auto"/>
          <w:lang w:eastAsia="zh-CN"/>
        </w:rPr>
        <w:t>满足《工业企业厂界环境噪声排放标准》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lang w:eastAsia="zh-CN"/>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中4类</w:t>
      </w:r>
      <w:r>
        <w:rPr>
          <w:rFonts w:hint="default" w:ascii="Times New Roman" w:hAnsi="Times New Roman" w:eastAsia="仿宋_GB2312" w:cs="Times New Roman"/>
          <w:color w:val="auto"/>
          <w:lang w:eastAsia="zh-CN"/>
        </w:rPr>
        <w:t>标准</w:t>
      </w:r>
      <w:r>
        <w:rPr>
          <w:rFonts w:hint="eastAsia" w:ascii="Times New Roman" w:hAnsi="Times New Roman" w:eastAsia="仿宋_GB2312" w:cs="Times New Roman"/>
          <w:color w:val="auto"/>
          <w:lang w:val="en-US" w:eastAsia="zh-CN"/>
        </w:rPr>
        <w:t>要求；各港界夜间噪声值均有不同程度的超标。</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_GB2312" w:cs="Times New Roman"/>
          <w:color w:val="auto"/>
          <w:lang w:val="en-US" w:eastAsia="zh-CN"/>
        </w:rPr>
        <w:sectPr>
          <w:pgSz w:w="16838" w:h="11905" w:orient="landscape"/>
          <w:pgMar w:top="1803" w:right="1440" w:bottom="1803" w:left="1440" w:header="851" w:footer="964" w:gutter="0"/>
          <w:pgBorders>
            <w:top w:val="none" w:sz="0" w:space="0"/>
            <w:left w:val="none" w:sz="0" w:space="0"/>
            <w:bottom w:val="none" w:sz="0" w:space="0"/>
            <w:right w:val="none" w:sz="0" w:space="0"/>
          </w:pgBorders>
          <w:pgNumType w:fmt="decimal"/>
          <w:cols w:space="0" w:num="1"/>
          <w:rtlGutter w:val="0"/>
          <w:docGrid w:linePitch="312" w:charSpace="0"/>
        </w:sectPr>
      </w:pP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lang w:eastAsia="zh-CN"/>
        </w:rPr>
      </w:pPr>
      <w:r>
        <w:rPr>
          <w:rFonts w:hint="eastAsia" w:ascii="Times New Roman" w:hAnsi="Times New Roman" w:eastAsia="仿宋_GB2312" w:cs="Times New Roman"/>
          <w:color w:val="auto"/>
          <w:lang w:val="en-US" w:eastAsia="zh-CN"/>
        </w:rPr>
        <w:t>②</w:t>
      </w:r>
      <w:r>
        <w:rPr>
          <w:rFonts w:hint="default" w:ascii="Times New Roman" w:hAnsi="Times New Roman" w:eastAsia="仿宋_GB2312" w:cs="Times New Roman"/>
          <w:color w:val="auto"/>
          <w:lang w:eastAsia="zh-CN"/>
        </w:rPr>
        <w:t>环境保护目标：最不利组合时，迭加噪声现状值后，码头昼</w:t>
      </w:r>
      <w:r>
        <w:rPr>
          <w:rFonts w:hint="eastAsia" w:ascii="Times New Roman" w:hAnsi="Times New Roman" w:eastAsia="仿宋_GB2312" w:cs="Times New Roman"/>
          <w:color w:val="auto"/>
          <w:lang w:val="en-US" w:eastAsia="zh-CN"/>
        </w:rPr>
        <w:t>夜</w:t>
      </w:r>
      <w:r>
        <w:rPr>
          <w:rFonts w:hint="default" w:ascii="Times New Roman" w:hAnsi="Times New Roman" w:eastAsia="仿宋_GB2312" w:cs="Times New Roman"/>
          <w:color w:val="auto"/>
          <w:lang w:eastAsia="zh-CN"/>
        </w:rPr>
        <w:t>间作业机械噪声对</w:t>
      </w:r>
      <w:r>
        <w:rPr>
          <w:rFonts w:hint="eastAsia" w:ascii="Times New Roman" w:hAnsi="Times New Roman" w:eastAsia="仿宋_GB2312" w:cs="Times New Roman"/>
          <w:color w:val="auto"/>
          <w:lang w:val="en-US" w:eastAsia="zh-CN"/>
        </w:rPr>
        <w:t>洋溪社区</w:t>
      </w:r>
      <w:r>
        <w:rPr>
          <w:rFonts w:hint="default" w:ascii="Times New Roman" w:hAnsi="Times New Roman" w:eastAsia="仿宋_GB2312" w:cs="Times New Roman"/>
          <w:color w:val="auto"/>
          <w:lang w:eastAsia="zh-CN"/>
        </w:rPr>
        <w:t>的影响</w:t>
      </w:r>
      <w:r>
        <w:rPr>
          <w:rFonts w:hint="eastAsia" w:ascii="Times New Roman" w:hAnsi="Times New Roman" w:eastAsia="仿宋_GB2312" w:cs="Times New Roman"/>
          <w:color w:val="auto"/>
          <w:lang w:val="en-US" w:eastAsia="zh-CN"/>
        </w:rPr>
        <w:t>可</w:t>
      </w:r>
      <w:r>
        <w:rPr>
          <w:rFonts w:hint="default" w:ascii="Times New Roman" w:hAnsi="Times New Roman" w:eastAsia="仿宋_GB2312" w:cs="Times New Roman"/>
          <w:color w:val="auto"/>
          <w:lang w:eastAsia="zh-CN"/>
        </w:rPr>
        <w:t>满足《声环境质量标准》（GB3096-2008）2类标准要求。</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t>鉴于装卸作业机械噪声对环境敏感目标的影响主要表现在夜间，在东</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西、南</w:t>
      </w:r>
      <w:r>
        <w:rPr>
          <w:rFonts w:hint="default" w:ascii="Times New Roman" w:hAnsi="Times New Roman" w:eastAsia="仿宋_GB2312" w:cs="Times New Roman"/>
          <w:color w:val="auto"/>
          <w:lang w:eastAsia="zh-CN"/>
        </w:rPr>
        <w:t>侧</w:t>
      </w:r>
      <w:r>
        <w:rPr>
          <w:rFonts w:hint="eastAsia" w:ascii="Times New Roman" w:hAnsi="Times New Roman" w:eastAsia="仿宋_GB2312" w:cs="Times New Roman"/>
          <w:color w:val="auto"/>
          <w:lang w:val="en-US" w:eastAsia="zh-CN"/>
        </w:rPr>
        <w:t>港</w:t>
      </w:r>
      <w:r>
        <w:rPr>
          <w:rFonts w:hint="default" w:ascii="Times New Roman" w:hAnsi="Times New Roman" w:eastAsia="仿宋_GB2312" w:cs="Times New Roman"/>
          <w:color w:val="auto"/>
          <w:lang w:eastAsia="zh-CN"/>
        </w:rPr>
        <w:t>界修建围墙并设置绿化带，且皮带机采用封闭廊道密闭，可大幅度降低皮带机启动的运输噪声。装卸机械设备应选择符合声环境标准的低噪声设备，并加强保养和维修，使其保持低噪声运行状态。在采取上述措施后，港区作业噪声对环境保护目标的影响可满足标准要求，</w:t>
      </w:r>
      <w:r>
        <w:rPr>
          <w:rFonts w:hint="eastAsia" w:ascii="Times New Roman" w:hAnsi="Times New Roman" w:eastAsia="仿宋_GB2312" w:cs="Times New Roman"/>
          <w:color w:val="auto"/>
          <w:lang w:val="en-US" w:eastAsia="zh-CN"/>
        </w:rPr>
        <w:t>同时</w:t>
      </w:r>
      <w:r>
        <w:rPr>
          <w:rFonts w:hint="default" w:ascii="Times New Roman" w:hAnsi="Times New Roman" w:eastAsia="仿宋_GB2312" w:cs="Times New Roman"/>
          <w:color w:val="auto"/>
          <w:lang w:eastAsia="zh-CN"/>
        </w:rPr>
        <w:t>港区作业噪声对厂界的影响将得到较好的控制。</w:t>
      </w:r>
    </w:p>
    <w:bookmarkEnd w:id="425"/>
    <w:p>
      <w:pPr>
        <w:pStyle w:val="9"/>
        <w:keepNext w:val="0"/>
        <w:keepLines w:val="0"/>
        <w:widowControl w:val="0"/>
        <w:spacing w:before="120" w:after="120" w:line="360" w:lineRule="auto"/>
        <w:rPr>
          <w:rFonts w:eastAsia="黑体"/>
          <w:b w:val="0"/>
          <w:color w:val="auto"/>
          <w:sz w:val="24"/>
        </w:rPr>
      </w:pPr>
      <w:bookmarkStart w:id="426" w:name="_Toc500342730"/>
      <w:bookmarkStart w:id="427" w:name="_Toc25855"/>
      <w:r>
        <w:rPr>
          <w:rFonts w:eastAsia="黑体"/>
          <w:b w:val="0"/>
          <w:color w:val="auto"/>
          <w:sz w:val="24"/>
        </w:rPr>
        <w:t>5.</w:t>
      </w:r>
      <w:r>
        <w:rPr>
          <w:rFonts w:hint="eastAsia" w:eastAsia="黑体"/>
          <w:b w:val="0"/>
          <w:color w:val="auto"/>
          <w:sz w:val="24"/>
          <w:lang w:val="en-US" w:eastAsia="zh-CN"/>
        </w:rPr>
        <w:t>2.</w:t>
      </w:r>
      <w:r>
        <w:rPr>
          <w:rFonts w:eastAsia="黑体"/>
          <w:b w:val="0"/>
          <w:color w:val="auto"/>
          <w:sz w:val="24"/>
        </w:rPr>
        <w:t>4</w:t>
      </w:r>
      <w:r>
        <w:rPr>
          <w:rFonts w:hint="eastAsia" w:eastAsia="黑体"/>
          <w:b w:val="0"/>
          <w:color w:val="auto"/>
          <w:sz w:val="24"/>
          <w:lang w:val="en-US" w:eastAsia="zh-CN"/>
        </w:rPr>
        <w:t>运营期</w:t>
      </w:r>
      <w:r>
        <w:rPr>
          <w:rFonts w:eastAsia="黑体"/>
          <w:b w:val="0"/>
          <w:color w:val="auto"/>
          <w:sz w:val="24"/>
        </w:rPr>
        <w:t>固体废物影响分析</w:t>
      </w:r>
      <w:bookmarkEnd w:id="426"/>
      <w:bookmarkEnd w:id="427"/>
    </w:p>
    <w:p>
      <w:pPr>
        <w:widowControl w:val="0"/>
        <w:spacing w:before="120" w:after="120" w:line="360" w:lineRule="auto"/>
        <w:outlineLvl w:val="3"/>
        <w:rPr>
          <w:rFonts w:eastAsia="黑体"/>
          <w:color w:val="auto"/>
          <w:sz w:val="24"/>
        </w:rPr>
      </w:pPr>
      <w:bookmarkStart w:id="428" w:name="_Toc500342731"/>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4.</w:t>
      </w:r>
      <w:r>
        <w:rPr>
          <w:rFonts w:eastAsia="黑体"/>
          <w:color w:val="auto"/>
          <w:sz w:val="24"/>
        </w:rPr>
        <w:t>1固体废物识别</w:t>
      </w:r>
      <w:bookmarkEnd w:id="428"/>
    </w:p>
    <w:p>
      <w:pPr>
        <w:widowControl w:val="0"/>
        <w:spacing w:line="360" w:lineRule="auto"/>
        <w:ind w:firstLine="504" w:firstLineChars="210"/>
        <w:rPr>
          <w:rFonts w:eastAsia="仿宋_GB2312"/>
          <w:color w:val="auto"/>
          <w:sz w:val="24"/>
          <w:szCs w:val="24"/>
        </w:rPr>
      </w:pPr>
      <w:r>
        <w:rPr>
          <w:rFonts w:eastAsia="仿宋_GB2312"/>
          <w:color w:val="auto"/>
          <w:sz w:val="24"/>
          <w:szCs w:val="24"/>
        </w:rPr>
        <w:t>在</w:t>
      </w:r>
      <w:r>
        <w:rPr>
          <w:rFonts w:hint="eastAsia" w:eastAsia="仿宋_GB2312"/>
          <w:color w:val="auto"/>
          <w:sz w:val="24"/>
          <w:szCs w:val="24"/>
        </w:rPr>
        <w:t>原</w:t>
      </w:r>
      <w:r>
        <w:rPr>
          <w:rFonts w:eastAsia="仿宋_GB2312"/>
          <w:color w:val="auto"/>
          <w:sz w:val="24"/>
          <w:szCs w:val="24"/>
        </w:rPr>
        <w:t>国家环保局环控[1994]345号文件《关于在全国开展固体废物申报登记工作的通知》和《固体废物申报登记工作指南》中，固体废物被分为危险废物、一般工业废物和其他废物三类。对照《固体废物名称和类别代码》及《国家危险废物名录》，拟建项目的固废种类和产生情况见表5.</w:t>
      </w:r>
      <w:r>
        <w:rPr>
          <w:rFonts w:hint="eastAsia" w:eastAsia="仿宋_GB2312"/>
          <w:color w:val="auto"/>
          <w:sz w:val="24"/>
          <w:szCs w:val="24"/>
          <w:lang w:val="en-US" w:eastAsia="zh-CN"/>
        </w:rPr>
        <w:t>2</w:t>
      </w:r>
      <w:r>
        <w:rPr>
          <w:rFonts w:eastAsia="仿宋_GB2312"/>
          <w:color w:val="auto"/>
          <w:sz w:val="24"/>
          <w:szCs w:val="24"/>
        </w:rPr>
        <w:t>-</w:t>
      </w:r>
      <w:r>
        <w:rPr>
          <w:rFonts w:hint="eastAsia" w:eastAsia="仿宋_GB2312"/>
          <w:color w:val="auto"/>
          <w:sz w:val="24"/>
          <w:szCs w:val="24"/>
          <w:lang w:val="en-US" w:eastAsia="zh-CN"/>
        </w:rPr>
        <w:t>25</w:t>
      </w:r>
      <w:r>
        <w:rPr>
          <w:rFonts w:eastAsia="仿宋_GB2312"/>
          <w:color w:val="auto"/>
          <w:sz w:val="24"/>
          <w:szCs w:val="24"/>
        </w:rPr>
        <w:t>。</w:t>
      </w:r>
    </w:p>
    <w:p>
      <w:pPr>
        <w:widowControl w:val="0"/>
        <w:spacing w:line="360" w:lineRule="auto"/>
        <w:jc w:val="center"/>
        <w:rPr>
          <w:rFonts w:hint="eastAsia" w:eastAsia="黑体"/>
          <w:b/>
          <w:color w:val="auto"/>
          <w:szCs w:val="21"/>
        </w:rPr>
      </w:pPr>
      <w:r>
        <w:rPr>
          <w:rFonts w:eastAsia="黑体"/>
          <w:b/>
          <w:bCs/>
          <w:color w:val="auto"/>
          <w:szCs w:val="21"/>
        </w:rPr>
        <w:t>表5.</w:t>
      </w:r>
      <w:r>
        <w:rPr>
          <w:rFonts w:hint="eastAsia" w:eastAsia="黑体"/>
          <w:b/>
          <w:bCs/>
          <w:color w:val="auto"/>
          <w:szCs w:val="21"/>
          <w:lang w:val="en-US" w:eastAsia="zh-CN"/>
        </w:rPr>
        <w:t>2</w:t>
      </w:r>
      <w:r>
        <w:rPr>
          <w:rFonts w:eastAsia="黑体"/>
          <w:b/>
          <w:bCs/>
          <w:color w:val="auto"/>
          <w:szCs w:val="21"/>
        </w:rPr>
        <w:t>-</w:t>
      </w:r>
      <w:r>
        <w:rPr>
          <w:rFonts w:hint="eastAsia" w:eastAsia="黑体"/>
          <w:b/>
          <w:bCs/>
          <w:color w:val="auto"/>
          <w:szCs w:val="21"/>
          <w:lang w:val="en-US" w:eastAsia="zh-CN"/>
        </w:rPr>
        <w:t>25</w:t>
      </w:r>
      <w:r>
        <w:rPr>
          <w:rFonts w:eastAsia="黑体"/>
          <w:b/>
          <w:bCs/>
          <w:color w:val="auto"/>
          <w:szCs w:val="21"/>
        </w:rPr>
        <w:t xml:space="preserve">  </w:t>
      </w:r>
      <w:r>
        <w:rPr>
          <w:rFonts w:eastAsia="黑体"/>
          <w:b/>
          <w:color w:val="auto"/>
          <w:szCs w:val="21"/>
        </w:rPr>
        <w:t>固体废物类别、产生量及处置方式</w:t>
      </w:r>
    </w:p>
    <w:tbl>
      <w:tblPr>
        <w:tblStyle w:val="92"/>
        <w:tblW w:w="879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78"/>
        <w:gridCol w:w="2160"/>
        <w:gridCol w:w="1380"/>
        <w:gridCol w:w="780"/>
        <w:gridCol w:w="615"/>
        <w:gridCol w:w="2645"/>
        <w:gridCol w:w="7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序号</w:t>
            </w:r>
          </w:p>
        </w:tc>
        <w:tc>
          <w:tcPr>
            <w:tcW w:w="2160"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名称</w:t>
            </w:r>
          </w:p>
        </w:tc>
        <w:tc>
          <w:tcPr>
            <w:tcW w:w="1380"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分类编号</w:t>
            </w:r>
          </w:p>
        </w:tc>
        <w:tc>
          <w:tcPr>
            <w:tcW w:w="780"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产生量（t/a）</w:t>
            </w:r>
          </w:p>
        </w:tc>
        <w:tc>
          <w:tcPr>
            <w:tcW w:w="615"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成分</w:t>
            </w:r>
          </w:p>
        </w:tc>
        <w:tc>
          <w:tcPr>
            <w:tcW w:w="2645"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处理处置方式</w:t>
            </w:r>
          </w:p>
        </w:tc>
        <w:tc>
          <w:tcPr>
            <w:tcW w:w="733" w:type="dxa"/>
            <w:tcBorders>
              <w:top w:val="single" w:color="auto" w:sz="12" w:space="0"/>
              <w:bottom w:val="single" w:color="auto" w:sz="12" w:space="0"/>
            </w:tcBorders>
            <w:noWrap w:val="0"/>
            <w:tcMar>
              <w:left w:w="57" w:type="dxa"/>
              <w:right w:w="57" w:type="dxa"/>
            </w:tcMar>
            <w:vAlign w:val="center"/>
          </w:tcPr>
          <w:p>
            <w:pPr>
              <w:widowControl w:val="0"/>
              <w:jc w:val="center"/>
              <w:rPr>
                <w:color w:val="auto"/>
                <w:sz w:val="20"/>
              </w:rPr>
            </w:pPr>
            <w:r>
              <w:rPr>
                <w:color w:val="auto"/>
                <w:sz w:val="20"/>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1</w:t>
            </w:r>
          </w:p>
        </w:tc>
        <w:tc>
          <w:tcPr>
            <w:tcW w:w="2160" w:type="dxa"/>
            <w:noWrap w:val="0"/>
            <w:tcMar>
              <w:left w:w="57" w:type="dxa"/>
              <w:right w:w="57" w:type="dxa"/>
            </w:tcMar>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码头工作人员</w:t>
            </w:r>
            <w:r>
              <w:rPr>
                <w:color w:val="auto"/>
                <w:sz w:val="20"/>
              </w:rPr>
              <w:t>生活垃圾</w:t>
            </w:r>
          </w:p>
        </w:tc>
        <w:tc>
          <w:tcPr>
            <w:tcW w:w="1380" w:type="dxa"/>
            <w:noWrap w:val="0"/>
            <w:tcMar>
              <w:left w:w="57" w:type="dxa"/>
              <w:right w:w="57" w:type="dxa"/>
            </w:tcMar>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780" w:type="dxa"/>
            <w:noWrap w:val="0"/>
            <w:tcMar>
              <w:left w:w="57" w:type="dxa"/>
              <w:right w:w="57" w:type="dxa"/>
            </w:tcMar>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14.85</w:t>
            </w:r>
          </w:p>
        </w:tc>
        <w:tc>
          <w:tcPr>
            <w:tcW w:w="615" w:type="dxa"/>
            <w:noWrap w:val="0"/>
            <w:tcMar>
              <w:left w:w="57" w:type="dxa"/>
              <w:right w:w="57" w:type="dxa"/>
            </w:tcMar>
            <w:vAlign w:val="center"/>
          </w:tcPr>
          <w:p>
            <w:pPr>
              <w:pStyle w:val="544"/>
              <w:widowControl w:val="0"/>
              <w:spacing w:before="0" w:after="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w:t>
            </w:r>
          </w:p>
        </w:tc>
        <w:tc>
          <w:tcPr>
            <w:tcW w:w="2645"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ascii="Times New Roman" w:hAnsi="Times New Roman" w:eastAsia="宋体" w:cs="Times New Roman"/>
                <w:color w:val="auto"/>
                <w:kern w:val="2"/>
                <w:sz w:val="20"/>
                <w:lang w:val="en-US" w:eastAsia="zh-CN" w:bidi="ar-SA"/>
              </w:rPr>
            </w:pPr>
            <w:r>
              <w:rPr>
                <w:rFonts w:hint="eastAsia"/>
                <w:b w:val="0"/>
                <w:bCs/>
                <w:color w:val="auto"/>
                <w:sz w:val="20"/>
                <w:szCs w:val="20"/>
                <w:lang w:val="en-US" w:eastAsia="zh-CN"/>
              </w:rPr>
              <w:t>集中收集后交由环卫部门处理</w:t>
            </w:r>
          </w:p>
        </w:tc>
        <w:tc>
          <w:tcPr>
            <w:tcW w:w="733" w:type="dxa"/>
            <w:noWrap w:val="0"/>
            <w:tcMar>
              <w:left w:w="57" w:type="dxa"/>
              <w:right w:w="57" w:type="dxa"/>
            </w:tcMar>
            <w:vAlign w:val="center"/>
          </w:tcPr>
          <w:p>
            <w:pPr>
              <w:widowControl w:val="0"/>
              <w:jc w:val="center"/>
              <w:rPr>
                <w:color w:val="auto"/>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2</w:t>
            </w:r>
          </w:p>
        </w:tc>
        <w:tc>
          <w:tcPr>
            <w:tcW w:w="2160"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b w:val="0"/>
                <w:bCs/>
                <w:color w:val="auto"/>
                <w:sz w:val="20"/>
                <w:szCs w:val="20"/>
                <w:lang w:val="en-US" w:eastAsia="zh-CN"/>
              </w:rPr>
              <w:t>除尘器收尘灰</w:t>
            </w:r>
          </w:p>
        </w:tc>
        <w:tc>
          <w:tcPr>
            <w:tcW w:w="1380"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398</w:t>
            </w:r>
          </w:p>
        </w:tc>
        <w:tc>
          <w:tcPr>
            <w:tcW w:w="615" w:type="dxa"/>
            <w:noWrap w:val="0"/>
            <w:tcMar>
              <w:left w:w="57" w:type="dxa"/>
              <w:right w:w="57" w:type="dxa"/>
            </w:tcMar>
            <w:vAlign w:val="center"/>
          </w:tcPr>
          <w:p>
            <w:pPr>
              <w:pStyle w:val="544"/>
              <w:widowControl w:val="0"/>
              <w:spacing w:before="0" w:after="0"/>
              <w:jc w:val="center"/>
              <w:rPr>
                <w:rFonts w:hint="eastAsia" w:eastAsia="宋体"/>
                <w:color w:val="auto"/>
                <w:sz w:val="20"/>
                <w:lang w:val="en-US" w:eastAsia="zh-CN"/>
              </w:rPr>
            </w:pPr>
            <w:r>
              <w:rPr>
                <w:rFonts w:hint="eastAsia"/>
                <w:color w:val="auto"/>
                <w:sz w:val="20"/>
                <w:lang w:val="en-US" w:eastAsia="zh-CN"/>
              </w:rPr>
              <w:t>/</w:t>
            </w:r>
          </w:p>
        </w:tc>
        <w:tc>
          <w:tcPr>
            <w:tcW w:w="2645"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color w:val="auto"/>
                <w:sz w:val="20"/>
              </w:rPr>
            </w:pPr>
            <w:r>
              <w:rPr>
                <w:rFonts w:hint="eastAsia"/>
                <w:b w:val="0"/>
                <w:bCs/>
                <w:color w:val="auto"/>
                <w:sz w:val="20"/>
                <w:szCs w:val="20"/>
                <w:lang w:val="en-US" w:eastAsia="zh-CN"/>
              </w:rPr>
              <w:t>定期清理后装船外售</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3</w:t>
            </w:r>
          </w:p>
        </w:tc>
        <w:tc>
          <w:tcPr>
            <w:tcW w:w="2160"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b w:val="0"/>
                <w:bCs/>
                <w:color w:val="auto"/>
                <w:sz w:val="20"/>
                <w:szCs w:val="20"/>
                <w:lang w:val="en-US" w:eastAsia="zh-CN"/>
              </w:rPr>
              <w:t>到港船舶生活垃圾</w:t>
            </w:r>
          </w:p>
        </w:tc>
        <w:tc>
          <w:tcPr>
            <w:tcW w:w="13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55.02</w:t>
            </w:r>
          </w:p>
        </w:tc>
        <w:tc>
          <w:tcPr>
            <w:tcW w:w="615" w:type="dxa"/>
            <w:noWrap w:val="0"/>
            <w:tcMar>
              <w:left w:w="57" w:type="dxa"/>
              <w:right w:w="57" w:type="dxa"/>
            </w:tcMar>
            <w:vAlign w:val="center"/>
          </w:tcPr>
          <w:p>
            <w:pPr>
              <w:widowControl w:val="0"/>
              <w:jc w:val="center"/>
              <w:rPr>
                <w:color w:val="auto"/>
                <w:kern w:val="0"/>
                <w:sz w:val="20"/>
              </w:rPr>
            </w:pPr>
            <w:r>
              <w:rPr>
                <w:color w:val="auto"/>
                <w:sz w:val="20"/>
              </w:rPr>
              <w:t>废油</w:t>
            </w:r>
          </w:p>
        </w:tc>
        <w:tc>
          <w:tcPr>
            <w:tcW w:w="2645"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color w:val="auto"/>
                <w:sz w:val="20"/>
              </w:rPr>
            </w:pPr>
            <w:r>
              <w:rPr>
                <w:rFonts w:hint="default" w:eastAsia="宋体"/>
                <w:b w:val="0"/>
                <w:bCs/>
                <w:color w:val="auto"/>
                <w:sz w:val="20"/>
                <w:szCs w:val="20"/>
                <w:lang w:val="en-US" w:eastAsia="zh-CN"/>
              </w:rPr>
              <w:t>集中收集后交由</w:t>
            </w:r>
            <w:r>
              <w:rPr>
                <w:rFonts w:hint="eastAsia"/>
                <w:bCs/>
                <w:color w:val="auto"/>
                <w:kern w:val="0"/>
                <w:sz w:val="20"/>
              </w:rPr>
              <w:t>海事部门指定的工作船</w:t>
            </w:r>
            <w:r>
              <w:rPr>
                <w:rFonts w:hint="default" w:eastAsia="宋体"/>
                <w:b w:val="0"/>
                <w:bCs/>
                <w:color w:val="auto"/>
                <w:sz w:val="20"/>
                <w:szCs w:val="20"/>
                <w:lang w:val="en-US" w:eastAsia="zh-CN"/>
              </w:rPr>
              <w:t>接收转运及处置</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4</w:t>
            </w:r>
          </w:p>
        </w:tc>
        <w:tc>
          <w:tcPr>
            <w:tcW w:w="2160"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cs="Times New Roman"/>
                <w:b w:val="0"/>
                <w:bCs/>
                <w:color w:val="auto"/>
                <w:kern w:val="2"/>
                <w:sz w:val="20"/>
                <w:szCs w:val="20"/>
                <w:lang w:val="en-US" w:eastAsia="zh-CN" w:bidi="ar-SA"/>
              </w:rPr>
              <w:t>废机油</w:t>
            </w:r>
          </w:p>
        </w:tc>
        <w:tc>
          <w:tcPr>
            <w:tcW w:w="1380"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900-214-8</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0.5</w:t>
            </w:r>
          </w:p>
        </w:tc>
        <w:tc>
          <w:tcPr>
            <w:tcW w:w="615" w:type="dxa"/>
            <w:noWrap w:val="0"/>
            <w:tcMar>
              <w:left w:w="57" w:type="dxa"/>
              <w:right w:w="57" w:type="dxa"/>
            </w:tcMar>
            <w:vAlign w:val="center"/>
          </w:tcPr>
          <w:p>
            <w:pPr>
              <w:pStyle w:val="544"/>
              <w:widowControl w:val="0"/>
              <w:spacing w:before="0" w:after="0"/>
              <w:jc w:val="center"/>
              <w:rPr>
                <w:rFonts w:hint="eastAsia" w:eastAsia="宋体"/>
                <w:color w:val="auto"/>
                <w:sz w:val="20"/>
                <w:lang w:val="en-US" w:eastAsia="zh-CN"/>
              </w:rPr>
            </w:pPr>
            <w:r>
              <w:rPr>
                <w:rFonts w:hint="eastAsia"/>
                <w:color w:val="auto"/>
                <w:sz w:val="20"/>
                <w:lang w:val="en-US" w:eastAsia="zh-CN"/>
              </w:rPr>
              <w:t>/</w:t>
            </w:r>
          </w:p>
        </w:tc>
        <w:tc>
          <w:tcPr>
            <w:tcW w:w="2645" w:type="dxa"/>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color w:val="auto"/>
                <w:sz w:val="20"/>
              </w:rPr>
            </w:pPr>
            <w:r>
              <w:rPr>
                <w:rFonts w:hint="eastAsia"/>
                <w:b w:val="0"/>
                <w:bCs/>
                <w:color w:val="auto"/>
                <w:sz w:val="20"/>
                <w:szCs w:val="20"/>
                <w:lang w:val="en-US" w:eastAsia="zh-CN"/>
              </w:rPr>
              <w:t>定期交由有资质的单位处置</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5</w:t>
            </w:r>
          </w:p>
        </w:tc>
        <w:tc>
          <w:tcPr>
            <w:tcW w:w="2160" w:type="dxa"/>
            <w:noWrap w:val="0"/>
            <w:tcMar>
              <w:left w:w="57" w:type="dxa"/>
              <w:right w:w="57" w:type="dxa"/>
            </w:tcMar>
            <w:vAlign w:val="center"/>
          </w:tcPr>
          <w:p>
            <w:pPr>
              <w:widowControl w:val="0"/>
              <w:jc w:val="center"/>
              <w:rPr>
                <w:color w:val="auto"/>
                <w:sz w:val="20"/>
              </w:rPr>
            </w:pPr>
            <w:r>
              <w:rPr>
                <w:color w:val="auto"/>
                <w:sz w:val="20"/>
              </w:rPr>
              <w:t>合计</w:t>
            </w:r>
          </w:p>
        </w:tc>
        <w:tc>
          <w:tcPr>
            <w:tcW w:w="1380"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w:t>
            </w:r>
          </w:p>
        </w:tc>
        <w:tc>
          <w:tcPr>
            <w:tcW w:w="780" w:type="dxa"/>
            <w:noWrap w:val="0"/>
            <w:tcMar>
              <w:left w:w="57" w:type="dxa"/>
              <w:right w:w="57" w:type="dxa"/>
            </w:tcMar>
            <w:vAlign w:val="center"/>
          </w:tcPr>
          <w:p>
            <w:pPr>
              <w:widowControl w:val="0"/>
              <w:jc w:val="center"/>
              <w:rPr>
                <w:color w:val="auto"/>
                <w:sz w:val="20"/>
              </w:rPr>
            </w:pPr>
          </w:p>
        </w:tc>
        <w:tc>
          <w:tcPr>
            <w:tcW w:w="615" w:type="dxa"/>
            <w:noWrap w:val="0"/>
            <w:tcMar>
              <w:left w:w="57" w:type="dxa"/>
              <w:right w:w="57" w:type="dxa"/>
            </w:tcMar>
            <w:vAlign w:val="center"/>
          </w:tcPr>
          <w:p>
            <w:pPr>
              <w:widowControl w:val="0"/>
              <w:jc w:val="center"/>
              <w:rPr>
                <w:color w:val="auto"/>
                <w:sz w:val="20"/>
              </w:rPr>
            </w:pPr>
          </w:p>
        </w:tc>
        <w:tc>
          <w:tcPr>
            <w:tcW w:w="2645" w:type="dxa"/>
            <w:noWrap w:val="0"/>
            <w:tcMar>
              <w:left w:w="57" w:type="dxa"/>
              <w:right w:w="57" w:type="dxa"/>
            </w:tcMar>
            <w:vAlign w:val="center"/>
          </w:tcPr>
          <w:p>
            <w:pPr>
              <w:pStyle w:val="544"/>
              <w:widowControl w:val="0"/>
              <w:spacing w:before="0" w:after="0"/>
              <w:jc w:val="center"/>
              <w:rPr>
                <w:color w:val="auto"/>
                <w:sz w:val="20"/>
              </w:rPr>
            </w:pP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5</w:t>
            </w:r>
            <w:r>
              <w:rPr>
                <w:color w:val="auto"/>
                <w:sz w:val="20"/>
              </w:rPr>
              <w:t>.1</w:t>
            </w:r>
          </w:p>
        </w:tc>
        <w:tc>
          <w:tcPr>
            <w:tcW w:w="2160" w:type="dxa"/>
            <w:vMerge w:val="restart"/>
            <w:noWrap w:val="0"/>
            <w:tcMar>
              <w:left w:w="57" w:type="dxa"/>
              <w:right w:w="57" w:type="dxa"/>
            </w:tcMar>
            <w:vAlign w:val="center"/>
          </w:tcPr>
          <w:p>
            <w:pPr>
              <w:widowControl w:val="0"/>
              <w:jc w:val="center"/>
              <w:rPr>
                <w:color w:val="auto"/>
                <w:sz w:val="20"/>
              </w:rPr>
            </w:pPr>
            <w:r>
              <w:rPr>
                <w:color w:val="auto"/>
                <w:sz w:val="20"/>
              </w:rPr>
              <w:t>其中</w:t>
            </w:r>
          </w:p>
        </w:tc>
        <w:tc>
          <w:tcPr>
            <w:tcW w:w="1380" w:type="dxa"/>
            <w:noWrap w:val="0"/>
            <w:tcMar>
              <w:left w:w="57" w:type="dxa"/>
              <w:right w:w="57" w:type="dxa"/>
            </w:tcMar>
            <w:vAlign w:val="center"/>
          </w:tcPr>
          <w:p>
            <w:pPr>
              <w:widowControl w:val="0"/>
              <w:jc w:val="center"/>
              <w:rPr>
                <w:color w:val="auto"/>
                <w:sz w:val="20"/>
              </w:rPr>
            </w:pPr>
            <w:r>
              <w:rPr>
                <w:color w:val="auto"/>
                <w:sz w:val="20"/>
              </w:rPr>
              <w:t>危险废物</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0.5</w:t>
            </w:r>
          </w:p>
        </w:tc>
        <w:tc>
          <w:tcPr>
            <w:tcW w:w="615"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w:t>
            </w:r>
          </w:p>
        </w:tc>
        <w:tc>
          <w:tcPr>
            <w:tcW w:w="2645" w:type="dxa"/>
            <w:noWrap w:val="0"/>
            <w:tcMar>
              <w:left w:w="57" w:type="dxa"/>
              <w:right w:w="57" w:type="dxa"/>
            </w:tcMar>
            <w:vAlign w:val="center"/>
          </w:tcPr>
          <w:p>
            <w:pPr>
              <w:pStyle w:val="544"/>
              <w:widowControl w:val="0"/>
              <w:spacing w:before="0" w:after="0"/>
              <w:jc w:val="center"/>
              <w:rPr>
                <w:rFonts w:hint="eastAsia" w:eastAsia="宋体"/>
                <w:color w:val="auto"/>
                <w:sz w:val="20"/>
                <w:lang w:val="en-US" w:eastAsia="zh-CN"/>
              </w:rPr>
            </w:pPr>
            <w:r>
              <w:rPr>
                <w:rFonts w:hint="eastAsia"/>
                <w:color w:val="auto"/>
                <w:sz w:val="20"/>
                <w:lang w:val="en-US" w:eastAsia="zh-CN"/>
              </w:rPr>
              <w:t>/</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5</w:t>
            </w:r>
            <w:r>
              <w:rPr>
                <w:color w:val="auto"/>
                <w:sz w:val="20"/>
              </w:rPr>
              <w:t>.2</w:t>
            </w:r>
          </w:p>
        </w:tc>
        <w:tc>
          <w:tcPr>
            <w:tcW w:w="2160" w:type="dxa"/>
            <w:vMerge w:val="continue"/>
            <w:noWrap w:val="0"/>
            <w:tcMar>
              <w:left w:w="57" w:type="dxa"/>
              <w:right w:w="57" w:type="dxa"/>
            </w:tcMar>
            <w:vAlign w:val="center"/>
          </w:tcPr>
          <w:p>
            <w:pPr>
              <w:widowControl w:val="0"/>
              <w:jc w:val="center"/>
              <w:rPr>
                <w:color w:val="auto"/>
                <w:sz w:val="20"/>
              </w:rPr>
            </w:pPr>
          </w:p>
        </w:tc>
        <w:tc>
          <w:tcPr>
            <w:tcW w:w="1380" w:type="dxa"/>
            <w:noWrap w:val="0"/>
            <w:tcMar>
              <w:left w:w="57" w:type="dxa"/>
              <w:right w:w="57" w:type="dxa"/>
            </w:tcMar>
            <w:vAlign w:val="center"/>
          </w:tcPr>
          <w:p>
            <w:pPr>
              <w:widowControl w:val="0"/>
              <w:jc w:val="center"/>
              <w:rPr>
                <w:color w:val="auto"/>
                <w:sz w:val="20"/>
              </w:rPr>
            </w:pPr>
            <w:r>
              <w:rPr>
                <w:color w:val="auto"/>
                <w:sz w:val="20"/>
              </w:rPr>
              <w:t>一般工业固废</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100.87</w:t>
            </w:r>
          </w:p>
        </w:tc>
        <w:tc>
          <w:tcPr>
            <w:tcW w:w="615"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w:t>
            </w:r>
          </w:p>
        </w:tc>
        <w:tc>
          <w:tcPr>
            <w:tcW w:w="2645" w:type="dxa"/>
            <w:noWrap w:val="0"/>
            <w:tcMar>
              <w:left w:w="57" w:type="dxa"/>
              <w:right w:w="57" w:type="dxa"/>
            </w:tcMar>
            <w:vAlign w:val="center"/>
          </w:tcPr>
          <w:p>
            <w:pPr>
              <w:pStyle w:val="544"/>
              <w:widowControl w:val="0"/>
              <w:spacing w:before="0" w:after="0"/>
              <w:jc w:val="center"/>
              <w:rPr>
                <w:rFonts w:hint="eastAsia" w:eastAsia="宋体"/>
                <w:color w:val="auto"/>
                <w:sz w:val="20"/>
                <w:lang w:val="en-US" w:eastAsia="zh-CN"/>
              </w:rPr>
            </w:pPr>
            <w:r>
              <w:rPr>
                <w:rFonts w:hint="eastAsia"/>
                <w:color w:val="auto"/>
                <w:sz w:val="20"/>
                <w:lang w:val="en-US" w:eastAsia="zh-CN"/>
              </w:rPr>
              <w:t>/</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69" w:hRule="atLeast"/>
          <w:jc w:val="center"/>
        </w:trPr>
        <w:tc>
          <w:tcPr>
            <w:tcW w:w="478" w:type="dxa"/>
            <w:noWrap w:val="0"/>
            <w:tcMar>
              <w:left w:w="57" w:type="dxa"/>
              <w:right w:w="57" w:type="dxa"/>
            </w:tcMar>
            <w:vAlign w:val="center"/>
          </w:tcPr>
          <w:p>
            <w:pPr>
              <w:widowControl w:val="0"/>
              <w:jc w:val="center"/>
              <w:rPr>
                <w:color w:val="auto"/>
                <w:sz w:val="20"/>
              </w:rPr>
            </w:pPr>
            <w:r>
              <w:rPr>
                <w:rFonts w:hint="eastAsia"/>
                <w:color w:val="auto"/>
                <w:sz w:val="20"/>
              </w:rPr>
              <w:t>5</w:t>
            </w:r>
            <w:r>
              <w:rPr>
                <w:color w:val="auto"/>
                <w:sz w:val="20"/>
              </w:rPr>
              <w:t>.3</w:t>
            </w:r>
          </w:p>
        </w:tc>
        <w:tc>
          <w:tcPr>
            <w:tcW w:w="2160" w:type="dxa"/>
            <w:vMerge w:val="continue"/>
            <w:noWrap w:val="0"/>
            <w:tcMar>
              <w:left w:w="57" w:type="dxa"/>
              <w:right w:w="57" w:type="dxa"/>
            </w:tcMar>
            <w:vAlign w:val="center"/>
          </w:tcPr>
          <w:p>
            <w:pPr>
              <w:widowControl w:val="0"/>
              <w:jc w:val="center"/>
              <w:rPr>
                <w:color w:val="auto"/>
                <w:sz w:val="20"/>
              </w:rPr>
            </w:pPr>
          </w:p>
        </w:tc>
        <w:tc>
          <w:tcPr>
            <w:tcW w:w="1380" w:type="dxa"/>
            <w:noWrap w:val="0"/>
            <w:tcMar>
              <w:left w:w="57" w:type="dxa"/>
              <w:right w:w="57" w:type="dxa"/>
            </w:tcMar>
            <w:vAlign w:val="center"/>
          </w:tcPr>
          <w:p>
            <w:pPr>
              <w:widowControl w:val="0"/>
              <w:jc w:val="center"/>
              <w:rPr>
                <w:color w:val="auto"/>
                <w:sz w:val="20"/>
              </w:rPr>
            </w:pPr>
            <w:r>
              <w:rPr>
                <w:color w:val="auto"/>
                <w:sz w:val="20"/>
              </w:rPr>
              <w:t>生活垃圾</w:t>
            </w:r>
          </w:p>
        </w:tc>
        <w:tc>
          <w:tcPr>
            <w:tcW w:w="780" w:type="dxa"/>
            <w:noWrap w:val="0"/>
            <w:tcMar>
              <w:left w:w="57" w:type="dxa"/>
              <w:right w:w="57" w:type="dxa"/>
            </w:tcMar>
            <w:vAlign w:val="center"/>
          </w:tcPr>
          <w:p>
            <w:pPr>
              <w:widowControl w:val="0"/>
              <w:jc w:val="center"/>
              <w:rPr>
                <w:rFonts w:hint="default" w:eastAsia="宋体"/>
                <w:color w:val="auto"/>
                <w:sz w:val="20"/>
                <w:lang w:val="en-US" w:eastAsia="zh-CN"/>
              </w:rPr>
            </w:pPr>
            <w:r>
              <w:rPr>
                <w:rFonts w:hint="eastAsia"/>
                <w:color w:val="auto"/>
                <w:sz w:val="20"/>
                <w:lang w:val="en-US" w:eastAsia="zh-CN"/>
              </w:rPr>
              <w:t>14.85</w:t>
            </w:r>
          </w:p>
        </w:tc>
        <w:tc>
          <w:tcPr>
            <w:tcW w:w="615" w:type="dxa"/>
            <w:noWrap w:val="0"/>
            <w:tcMar>
              <w:left w:w="57" w:type="dxa"/>
              <w:right w:w="57" w:type="dxa"/>
            </w:tcMar>
            <w:vAlign w:val="center"/>
          </w:tcPr>
          <w:p>
            <w:pPr>
              <w:widowControl w:val="0"/>
              <w:jc w:val="center"/>
              <w:rPr>
                <w:rFonts w:hint="eastAsia" w:eastAsia="宋体"/>
                <w:color w:val="auto"/>
                <w:sz w:val="20"/>
                <w:lang w:val="en-US" w:eastAsia="zh-CN"/>
              </w:rPr>
            </w:pPr>
            <w:r>
              <w:rPr>
                <w:rFonts w:hint="eastAsia"/>
                <w:color w:val="auto"/>
                <w:sz w:val="20"/>
                <w:lang w:val="en-US" w:eastAsia="zh-CN"/>
              </w:rPr>
              <w:t>/</w:t>
            </w:r>
          </w:p>
        </w:tc>
        <w:tc>
          <w:tcPr>
            <w:tcW w:w="2645" w:type="dxa"/>
            <w:noWrap w:val="0"/>
            <w:tcMar>
              <w:left w:w="57" w:type="dxa"/>
              <w:right w:w="57" w:type="dxa"/>
            </w:tcMar>
            <w:vAlign w:val="center"/>
          </w:tcPr>
          <w:p>
            <w:pPr>
              <w:pStyle w:val="544"/>
              <w:widowControl w:val="0"/>
              <w:spacing w:before="0" w:after="0"/>
              <w:jc w:val="center"/>
              <w:rPr>
                <w:rFonts w:hint="eastAsia" w:eastAsia="宋体"/>
                <w:color w:val="auto"/>
                <w:sz w:val="20"/>
                <w:lang w:val="en-US" w:eastAsia="zh-CN"/>
              </w:rPr>
            </w:pPr>
            <w:r>
              <w:rPr>
                <w:rFonts w:hint="eastAsia"/>
                <w:color w:val="auto"/>
                <w:sz w:val="20"/>
                <w:lang w:val="en-US" w:eastAsia="zh-CN"/>
              </w:rPr>
              <w:t>/</w:t>
            </w:r>
          </w:p>
        </w:tc>
        <w:tc>
          <w:tcPr>
            <w:tcW w:w="733" w:type="dxa"/>
            <w:noWrap w:val="0"/>
            <w:tcMar>
              <w:left w:w="57" w:type="dxa"/>
              <w:right w:w="57" w:type="dxa"/>
            </w:tcMar>
            <w:vAlign w:val="center"/>
          </w:tcPr>
          <w:p>
            <w:pPr>
              <w:widowControl w:val="0"/>
              <w:jc w:val="center"/>
              <w:rPr>
                <w:color w:val="auto"/>
                <w:sz w:val="20"/>
              </w:rPr>
            </w:pPr>
            <w:r>
              <w:rPr>
                <w:color w:val="auto"/>
                <w:sz w:val="20"/>
              </w:rPr>
              <w:t>0</w:t>
            </w:r>
          </w:p>
        </w:tc>
      </w:tr>
    </w:tbl>
    <w:p>
      <w:pPr>
        <w:widowControl w:val="0"/>
        <w:spacing w:before="120" w:after="120" w:line="360" w:lineRule="auto"/>
        <w:outlineLvl w:val="3"/>
        <w:rPr>
          <w:rFonts w:eastAsia="黑体"/>
          <w:color w:val="auto"/>
          <w:sz w:val="24"/>
        </w:rPr>
      </w:pPr>
      <w:bookmarkStart w:id="429" w:name="_Toc500342732"/>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4.</w:t>
      </w:r>
      <w:r>
        <w:rPr>
          <w:rFonts w:eastAsia="黑体"/>
          <w:color w:val="auto"/>
          <w:sz w:val="24"/>
        </w:rPr>
        <w:t>2固体废物影响分析</w:t>
      </w:r>
      <w:bookmarkEnd w:id="429"/>
    </w:p>
    <w:p>
      <w:pPr>
        <w:widowControl w:val="0"/>
        <w:spacing w:line="360" w:lineRule="auto"/>
        <w:ind w:firstLine="480" w:firstLineChars="200"/>
        <w:rPr>
          <w:rFonts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eastAsia="仿宋_GB2312"/>
          <w:color w:val="auto"/>
          <w:sz w:val="24"/>
        </w:rPr>
        <w:t>工业固废环境影响分析</w:t>
      </w:r>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技改</w:t>
      </w:r>
      <w:r>
        <w:rPr>
          <w:rFonts w:eastAsia="仿宋_GB2312"/>
          <w:color w:val="auto"/>
          <w:sz w:val="24"/>
        </w:rPr>
        <w:t>项目工业固废主要有废气处理产生的</w:t>
      </w:r>
      <w:r>
        <w:rPr>
          <w:rFonts w:hint="eastAsia" w:eastAsia="仿宋_GB2312"/>
          <w:color w:val="auto"/>
          <w:sz w:val="24"/>
          <w:lang w:val="en-US" w:eastAsia="zh-CN"/>
        </w:rPr>
        <w:t>除尘器收尘灰</w:t>
      </w:r>
      <w:r>
        <w:rPr>
          <w:rFonts w:eastAsia="仿宋_GB2312"/>
          <w:color w:val="auto"/>
          <w:sz w:val="24"/>
        </w:rPr>
        <w:t>、</w:t>
      </w:r>
      <w:r>
        <w:rPr>
          <w:rFonts w:hint="eastAsia" w:eastAsia="仿宋_GB2312"/>
          <w:color w:val="auto"/>
          <w:sz w:val="24"/>
          <w:lang w:val="en-US" w:eastAsia="zh-CN"/>
        </w:rPr>
        <w:t>设备维修保养产生的废机</w:t>
      </w:r>
      <w:r>
        <w:rPr>
          <w:rFonts w:eastAsia="仿宋_GB2312"/>
          <w:color w:val="auto"/>
          <w:sz w:val="24"/>
        </w:rPr>
        <w:t>油</w:t>
      </w:r>
      <w:r>
        <w:rPr>
          <w:rFonts w:hint="eastAsia" w:eastAsia="仿宋_GB2312"/>
          <w:color w:val="auto"/>
          <w:sz w:val="24"/>
        </w:rPr>
        <w:t>，</w:t>
      </w:r>
      <w:r>
        <w:rPr>
          <w:rFonts w:hint="eastAsia" w:eastAsia="仿宋_GB2312"/>
          <w:color w:val="auto"/>
          <w:sz w:val="24"/>
          <w:lang w:val="en-US" w:eastAsia="zh-CN"/>
        </w:rPr>
        <w:t>废机油</w:t>
      </w:r>
      <w:r>
        <w:rPr>
          <w:rFonts w:hint="eastAsia" w:eastAsia="仿宋_GB2312"/>
          <w:color w:val="auto"/>
          <w:sz w:val="24"/>
        </w:rPr>
        <w:t>属于</w:t>
      </w:r>
      <w:r>
        <w:rPr>
          <w:rFonts w:eastAsia="仿宋_GB2312"/>
          <w:color w:val="auto"/>
          <w:sz w:val="24"/>
        </w:rPr>
        <w:t>危险废物</w:t>
      </w:r>
      <w:r>
        <w:rPr>
          <w:rFonts w:hint="eastAsia" w:eastAsia="仿宋_GB2312"/>
          <w:color w:val="auto"/>
          <w:sz w:val="24"/>
        </w:rPr>
        <w:t>，</w:t>
      </w:r>
      <w:r>
        <w:rPr>
          <w:rFonts w:eastAsia="仿宋_GB2312"/>
          <w:color w:val="auto"/>
          <w:sz w:val="24"/>
        </w:rPr>
        <w:t>委托有资质单位安全处置。</w:t>
      </w:r>
    </w:p>
    <w:p>
      <w:pPr>
        <w:widowControl w:val="0"/>
        <w:spacing w:line="360" w:lineRule="auto"/>
        <w:ind w:firstLine="480" w:firstLineChars="200"/>
        <w:rPr>
          <w:rFonts w:eastAsia="仿宋_GB2312"/>
          <w:color w:val="auto"/>
          <w:sz w:val="24"/>
        </w:rPr>
      </w:pPr>
      <w:r>
        <w:rPr>
          <w:rFonts w:hint="eastAsia" w:eastAsia="仿宋_GB2312"/>
          <w:color w:val="auto"/>
          <w:sz w:val="24"/>
        </w:rPr>
        <w:t>①</w:t>
      </w:r>
      <w:r>
        <w:rPr>
          <w:rFonts w:eastAsia="仿宋_GB2312"/>
          <w:color w:val="auto"/>
          <w:sz w:val="24"/>
        </w:rPr>
        <w:t>危险废物贮存场所（设施）环境影响分析</w:t>
      </w:r>
    </w:p>
    <w:p>
      <w:pPr>
        <w:widowControl w:val="0"/>
        <w:spacing w:line="360" w:lineRule="auto"/>
        <w:ind w:firstLine="480" w:firstLineChars="200"/>
        <w:rPr>
          <w:rFonts w:eastAsia="仿宋_GB2312"/>
          <w:color w:val="auto"/>
          <w:sz w:val="24"/>
          <w:szCs w:val="24"/>
        </w:rPr>
      </w:pPr>
      <w:r>
        <w:rPr>
          <w:rFonts w:eastAsia="仿宋_GB2312"/>
          <w:color w:val="auto"/>
          <w:sz w:val="24"/>
        </w:rPr>
        <w:t>建设单位拟在</w:t>
      </w:r>
      <w:r>
        <w:rPr>
          <w:rFonts w:hint="eastAsia" w:eastAsia="仿宋_GB2312"/>
          <w:color w:val="auto"/>
          <w:sz w:val="24"/>
          <w:lang w:val="en-US" w:eastAsia="zh-CN"/>
        </w:rPr>
        <w:t>趸船内</w:t>
      </w:r>
      <w:r>
        <w:rPr>
          <w:rFonts w:eastAsia="仿宋_GB2312"/>
          <w:color w:val="auto"/>
          <w:sz w:val="24"/>
        </w:rPr>
        <w:t>设立一座</w:t>
      </w:r>
      <w:r>
        <w:rPr>
          <w:rFonts w:hint="eastAsia" w:eastAsia="仿宋_GB2312"/>
          <w:color w:val="auto"/>
          <w:sz w:val="24"/>
          <w:lang w:val="en-US" w:eastAsia="zh-CN"/>
        </w:rPr>
        <w:t>5</w:t>
      </w:r>
      <w:r>
        <w:rPr>
          <w:rFonts w:eastAsia="仿宋_GB2312"/>
          <w:color w:val="auto"/>
          <w:sz w:val="24"/>
        </w:rPr>
        <w:t>m</w:t>
      </w:r>
      <w:r>
        <w:rPr>
          <w:rFonts w:eastAsia="仿宋_GB2312"/>
          <w:color w:val="auto"/>
          <w:sz w:val="24"/>
          <w:vertAlign w:val="superscript"/>
        </w:rPr>
        <w:t>2</w:t>
      </w:r>
      <w:r>
        <w:rPr>
          <w:rFonts w:eastAsia="仿宋_GB2312"/>
          <w:color w:val="auto"/>
          <w:sz w:val="24"/>
        </w:rPr>
        <w:t>危险</w:t>
      </w:r>
      <w:r>
        <w:rPr>
          <w:rFonts w:eastAsia="仿宋_GB2312"/>
          <w:color w:val="auto"/>
          <w:sz w:val="24"/>
          <w:szCs w:val="24"/>
        </w:rPr>
        <w:t>废物收集转运库房，本项目共产生危废</w:t>
      </w:r>
      <w:r>
        <w:rPr>
          <w:rFonts w:hint="eastAsia" w:eastAsia="仿宋_GB2312"/>
          <w:color w:val="auto"/>
          <w:sz w:val="24"/>
          <w:szCs w:val="24"/>
          <w:lang w:val="en-US" w:eastAsia="zh-CN"/>
        </w:rPr>
        <w:t>0.5</w:t>
      </w:r>
      <w:r>
        <w:rPr>
          <w:rFonts w:eastAsia="仿宋_GB2312"/>
          <w:color w:val="auto"/>
          <w:sz w:val="24"/>
          <w:szCs w:val="24"/>
        </w:rPr>
        <w:t>t/a，平均</w:t>
      </w:r>
      <w:r>
        <w:rPr>
          <w:rFonts w:hint="eastAsia" w:eastAsia="仿宋_GB2312"/>
          <w:color w:val="auto"/>
          <w:sz w:val="24"/>
          <w:szCs w:val="24"/>
        </w:rPr>
        <w:t>3月</w:t>
      </w:r>
      <w:r>
        <w:rPr>
          <w:rFonts w:eastAsia="仿宋_GB2312"/>
          <w:color w:val="auto"/>
          <w:sz w:val="24"/>
          <w:szCs w:val="24"/>
        </w:rPr>
        <w:t>转运一次，危废储存的最大量</w:t>
      </w:r>
      <w:r>
        <w:rPr>
          <w:rFonts w:hint="eastAsia" w:eastAsia="仿宋_GB2312"/>
          <w:color w:val="auto"/>
          <w:sz w:val="24"/>
          <w:szCs w:val="24"/>
        </w:rPr>
        <w:t>约</w:t>
      </w:r>
      <w:r>
        <w:rPr>
          <w:rFonts w:hint="eastAsia" w:eastAsia="仿宋_GB2312"/>
          <w:color w:val="auto"/>
          <w:sz w:val="24"/>
          <w:szCs w:val="24"/>
          <w:lang w:val="en-US" w:eastAsia="zh-CN"/>
        </w:rPr>
        <w:t>0.125</w:t>
      </w:r>
      <w:r>
        <w:rPr>
          <w:rFonts w:eastAsia="仿宋_GB2312"/>
          <w:color w:val="auto"/>
          <w:sz w:val="24"/>
          <w:szCs w:val="24"/>
        </w:rPr>
        <w:t>t。根据设计，</w:t>
      </w:r>
      <w:r>
        <w:rPr>
          <w:rFonts w:hint="eastAsia" w:eastAsia="仿宋_GB2312"/>
          <w:color w:val="auto"/>
          <w:sz w:val="24"/>
          <w:szCs w:val="24"/>
          <w:lang w:val="en-US" w:eastAsia="zh-CN"/>
        </w:rPr>
        <w:t>5</w:t>
      </w:r>
      <w:r>
        <w:rPr>
          <w:rFonts w:eastAsia="仿宋_GB2312"/>
          <w:color w:val="auto"/>
          <w:sz w:val="24"/>
          <w:szCs w:val="24"/>
        </w:rPr>
        <w:t>m</w:t>
      </w:r>
      <w:r>
        <w:rPr>
          <w:rFonts w:eastAsia="仿宋_GB2312"/>
          <w:color w:val="auto"/>
          <w:sz w:val="24"/>
          <w:szCs w:val="24"/>
          <w:vertAlign w:val="superscript"/>
        </w:rPr>
        <w:t>2</w:t>
      </w:r>
      <w:r>
        <w:rPr>
          <w:rFonts w:eastAsia="仿宋_GB2312"/>
          <w:color w:val="auto"/>
          <w:sz w:val="24"/>
          <w:szCs w:val="24"/>
        </w:rPr>
        <w:t>危险废物收集转运库房可堆存容积为</w:t>
      </w:r>
      <w:r>
        <w:rPr>
          <w:rFonts w:hint="eastAsia" w:eastAsia="仿宋_GB2312"/>
          <w:color w:val="auto"/>
          <w:sz w:val="24"/>
          <w:szCs w:val="24"/>
          <w:lang w:val="en-US" w:eastAsia="zh-CN"/>
        </w:rPr>
        <w:t>10</w:t>
      </w:r>
      <w:r>
        <w:rPr>
          <w:rFonts w:eastAsia="仿宋_GB2312"/>
          <w:color w:val="auto"/>
          <w:sz w:val="24"/>
          <w:szCs w:val="24"/>
        </w:rPr>
        <w:t>m</w:t>
      </w:r>
      <w:r>
        <w:rPr>
          <w:rFonts w:eastAsia="仿宋_GB2312"/>
          <w:color w:val="auto"/>
          <w:sz w:val="24"/>
          <w:szCs w:val="24"/>
          <w:vertAlign w:val="superscript"/>
        </w:rPr>
        <w:t>3</w:t>
      </w:r>
      <w:r>
        <w:rPr>
          <w:rFonts w:eastAsia="仿宋_GB2312"/>
          <w:color w:val="auto"/>
          <w:sz w:val="24"/>
          <w:szCs w:val="24"/>
        </w:rPr>
        <w:t>，可储存危废量为</w:t>
      </w:r>
      <w:r>
        <w:rPr>
          <w:rFonts w:hint="eastAsia" w:eastAsia="仿宋_GB2312"/>
          <w:color w:val="auto"/>
          <w:sz w:val="24"/>
          <w:szCs w:val="24"/>
          <w:lang w:val="en-US" w:eastAsia="zh-CN"/>
        </w:rPr>
        <w:t>10</w:t>
      </w:r>
      <w:r>
        <w:rPr>
          <w:rFonts w:eastAsia="仿宋_GB2312"/>
          <w:color w:val="auto"/>
          <w:sz w:val="24"/>
          <w:szCs w:val="24"/>
        </w:rPr>
        <w:t>t，危险废物收集转运库房贮存能力能够满足要求。</w:t>
      </w:r>
    </w:p>
    <w:p>
      <w:pPr>
        <w:widowControl w:val="0"/>
        <w:spacing w:line="360" w:lineRule="auto"/>
        <w:ind w:firstLine="480" w:firstLineChars="200"/>
        <w:jc w:val="both"/>
        <w:rPr>
          <w:rFonts w:eastAsia="仿宋_GB2312"/>
          <w:color w:val="auto"/>
          <w:sz w:val="24"/>
        </w:rPr>
      </w:pPr>
      <w:r>
        <w:rPr>
          <w:rFonts w:hint="eastAsia" w:eastAsia="仿宋_GB2312"/>
          <w:color w:val="auto"/>
          <w:sz w:val="24"/>
          <w:szCs w:val="24"/>
          <w:lang w:val="en-US" w:eastAsia="zh-CN"/>
        </w:rPr>
        <w:t>危险废物收</w:t>
      </w:r>
      <w:r>
        <w:rPr>
          <w:rFonts w:eastAsia="仿宋_GB2312"/>
          <w:color w:val="auto"/>
          <w:sz w:val="24"/>
          <w:szCs w:val="24"/>
        </w:rPr>
        <w:t>集转运库房</w:t>
      </w:r>
      <w:r>
        <w:rPr>
          <w:rFonts w:hint="eastAsia" w:eastAsia="仿宋_GB2312"/>
          <w:color w:val="auto"/>
          <w:sz w:val="24"/>
          <w:szCs w:val="24"/>
          <w:lang w:val="en-US" w:eastAsia="zh-CN"/>
        </w:rPr>
        <w:t>需严格</w:t>
      </w:r>
      <w:r>
        <w:rPr>
          <w:rFonts w:hint="eastAsia" w:eastAsia="仿宋_GB2312"/>
          <w:color w:val="auto"/>
          <w:sz w:val="24"/>
          <w:szCs w:val="24"/>
        </w:rPr>
        <w:t>按照《危险废物贮存污染控制标准》（GB18597-2023）及《危险废物识别标志设置》（HJ1276-2022）相关要求进行建设</w:t>
      </w:r>
      <w:r>
        <w:rPr>
          <w:rFonts w:eastAsia="仿宋_GB2312"/>
          <w:color w:val="auto"/>
          <w:sz w:val="24"/>
          <w:szCs w:val="24"/>
        </w:rPr>
        <w:t>，四周开防渗沟，在有物料渗出时及时收集处理。危险废物收集转运库房内主要储</w:t>
      </w:r>
      <w:r>
        <w:rPr>
          <w:rFonts w:eastAsia="仿宋_GB2312"/>
          <w:color w:val="auto"/>
          <w:sz w:val="24"/>
        </w:rPr>
        <w:t>存方式为塑料桶，</w:t>
      </w:r>
      <w:r>
        <w:rPr>
          <w:rFonts w:hint="eastAsia" w:eastAsia="仿宋_GB2312"/>
          <w:color w:val="auto"/>
          <w:sz w:val="24"/>
        </w:rPr>
        <w:t>装有危险废物的容器必须贴有标签，在标签上详细标明危险废物的名称、重量、成分、特性以及发生泄漏、扩散污染事故时的应急措施和补救方法</w:t>
      </w:r>
      <w:r>
        <w:rPr>
          <w:rFonts w:eastAsia="仿宋_GB2312"/>
          <w:color w:val="auto"/>
          <w:sz w:val="24"/>
        </w:rPr>
        <w:t>。</w:t>
      </w:r>
      <w:r>
        <w:rPr>
          <w:rFonts w:hint="eastAsia" w:eastAsia="仿宋_GB2312"/>
          <w:color w:val="auto"/>
          <w:sz w:val="24"/>
        </w:rPr>
        <w:t>危废</w:t>
      </w:r>
      <w:r>
        <w:rPr>
          <w:rFonts w:hint="eastAsia" w:eastAsia="仿宋_GB2312"/>
          <w:color w:val="auto"/>
          <w:sz w:val="24"/>
          <w:lang w:val="en-US" w:eastAsia="zh-CN"/>
        </w:rPr>
        <w:t>标示标牌及</w:t>
      </w:r>
      <w:r>
        <w:rPr>
          <w:rFonts w:hint="eastAsia" w:eastAsia="仿宋_GB2312"/>
          <w:color w:val="auto"/>
          <w:sz w:val="24"/>
        </w:rPr>
        <w:t>管理工作制度</w:t>
      </w:r>
      <w:r>
        <w:rPr>
          <w:rFonts w:hint="eastAsia" w:eastAsia="仿宋_GB2312"/>
          <w:color w:val="auto"/>
          <w:sz w:val="24"/>
          <w:lang w:val="en-US" w:eastAsia="zh-CN"/>
        </w:rPr>
        <w:t>需</w:t>
      </w:r>
      <w:r>
        <w:rPr>
          <w:rFonts w:hint="eastAsia" w:eastAsia="仿宋_GB2312"/>
          <w:color w:val="auto"/>
          <w:sz w:val="24"/>
        </w:rPr>
        <w:t>上墙</w:t>
      </w:r>
      <w:r>
        <w:rPr>
          <w:rFonts w:hint="eastAsia" w:eastAsia="仿宋_GB2312"/>
          <w:color w:val="auto"/>
          <w:sz w:val="24"/>
          <w:lang w:eastAsia="zh-CN"/>
        </w:rPr>
        <w:t>。</w:t>
      </w:r>
      <w:r>
        <w:rPr>
          <w:rFonts w:eastAsia="仿宋_GB2312"/>
          <w:color w:val="auto"/>
          <w:sz w:val="24"/>
        </w:rPr>
        <w:t>库内废物定期由专用运输车辆运至有资质单位安全处置。</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根据国务院令第344号《危险化学品安全管理条例》的有关规定，在危险废物外运至处置单位时必须严格遵守以下要求：</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a.</w:t>
      </w:r>
      <w:r>
        <w:rPr>
          <w:rFonts w:hint="eastAsia" w:eastAsia="仿宋_GB2312"/>
          <w:color w:val="auto"/>
          <w:sz w:val="24"/>
        </w:rPr>
        <w:t>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b.</w:t>
      </w:r>
      <w:r>
        <w:rPr>
          <w:rFonts w:hint="eastAsia" w:eastAsia="仿宋_GB2312"/>
          <w:color w:val="auto"/>
          <w:sz w:val="24"/>
        </w:rPr>
        <w:t>危险废物在运输途中若发生被盗、丢失、流散、泄漏等情况时，公司及押运人员必须立即向当地公安部门报告，并采取一切可能的警示措施。</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c.</w:t>
      </w:r>
      <w:r>
        <w:rPr>
          <w:rFonts w:hint="eastAsia" w:eastAsia="仿宋_GB2312"/>
          <w:color w:val="auto"/>
          <w:sz w:val="24"/>
        </w:rPr>
        <w:t>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d.</w:t>
      </w:r>
      <w:r>
        <w:rPr>
          <w:rFonts w:hint="eastAsia" w:eastAsia="仿宋_GB2312"/>
          <w:color w:val="auto"/>
          <w:sz w:val="24"/>
        </w:rPr>
        <w:t>严格按照《危险废物转移联单管理办法》和湖北省固体</w:t>
      </w:r>
      <w:r>
        <w:rPr>
          <w:rFonts w:hint="eastAsia" w:eastAsia="仿宋_GB2312"/>
          <w:color w:val="auto"/>
          <w:sz w:val="24"/>
          <w:lang w:eastAsia="zh-CN"/>
        </w:rPr>
        <w:t>（</w:t>
      </w:r>
      <w:r>
        <w:rPr>
          <w:rFonts w:hint="eastAsia" w:eastAsia="仿宋_GB2312"/>
          <w:color w:val="auto"/>
          <w:sz w:val="24"/>
        </w:rPr>
        <w:t>危险</w:t>
      </w:r>
      <w:r>
        <w:rPr>
          <w:rFonts w:hint="eastAsia" w:eastAsia="仿宋_GB2312"/>
          <w:color w:val="auto"/>
          <w:sz w:val="24"/>
          <w:lang w:eastAsia="zh-CN"/>
        </w:rPr>
        <w:t>）</w:t>
      </w:r>
      <w:r>
        <w:rPr>
          <w:rFonts w:hint="eastAsia" w:eastAsia="仿宋_GB2312"/>
          <w:color w:val="auto"/>
          <w:sz w:val="24"/>
        </w:rPr>
        <w:t>废物转移管理办法的要求对危险废物产生单位和危险废物经营单位危险废物转移活动的监督管理，防止固体（危险）废物在转移过程中对环境造成二次污染。</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w:t>
      </w:r>
      <w:r>
        <w:rPr>
          <w:rFonts w:hint="eastAsia" w:eastAsia="仿宋_GB2312"/>
          <w:color w:val="auto"/>
          <w:sz w:val="24"/>
          <w:lang w:val="en-US" w:eastAsia="zh-CN"/>
        </w:rPr>
        <w:t>技改</w:t>
      </w:r>
      <w:r>
        <w:rPr>
          <w:rFonts w:hint="eastAsia" w:eastAsia="仿宋_GB2312"/>
          <w:color w:val="auto"/>
          <w:sz w:val="24"/>
        </w:rPr>
        <w:t>完成后</w:t>
      </w:r>
      <w:r>
        <w:rPr>
          <w:rFonts w:hint="eastAsia" w:eastAsia="仿宋_GB2312"/>
          <w:color w:val="auto"/>
          <w:sz w:val="24"/>
          <w:lang w:val="en-US" w:eastAsia="zh-CN"/>
        </w:rPr>
        <w:t>建设单位</w:t>
      </w:r>
      <w:r>
        <w:rPr>
          <w:rFonts w:hint="eastAsia" w:eastAsia="仿宋_GB2312"/>
          <w:color w:val="auto"/>
          <w:sz w:val="24"/>
        </w:rPr>
        <w:t>在实际运营过程中，须严格按照《危险废物转移联单管理办法》等要求做好各项危险废物转运，并填写危险废物转移联单</w:t>
      </w:r>
      <w:r>
        <w:rPr>
          <w:rFonts w:hint="eastAsia" w:eastAsia="仿宋_GB2312"/>
          <w:color w:val="auto"/>
          <w:sz w:val="24"/>
          <w:lang w:eastAsia="zh-CN"/>
        </w:rPr>
        <w:t>。</w:t>
      </w:r>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②</w:t>
      </w:r>
      <w:r>
        <w:rPr>
          <w:rFonts w:eastAsia="仿宋_GB2312"/>
          <w:color w:val="auto"/>
          <w:sz w:val="24"/>
        </w:rPr>
        <w:t>运输过程的环境影响分析</w:t>
      </w:r>
    </w:p>
    <w:p>
      <w:pPr>
        <w:widowControl w:val="0"/>
        <w:spacing w:line="360" w:lineRule="auto"/>
        <w:ind w:firstLine="480" w:firstLineChars="200"/>
        <w:rPr>
          <w:rFonts w:eastAsia="仿宋_GB2312"/>
          <w:color w:val="auto"/>
          <w:sz w:val="24"/>
        </w:rPr>
      </w:pPr>
      <w:r>
        <w:rPr>
          <w:rFonts w:eastAsia="仿宋_GB2312"/>
          <w:color w:val="auto"/>
          <w:sz w:val="24"/>
        </w:rPr>
        <w:t>危险废物运出时应采取相应的防范措施，使用有资质证的专车运输，并有危险废物的标识；在运输途中若遇到环境敏感目标（包括饮用水源），车辆应绕行。对于危险废物运出时应严格执行危险废物转移联单制度，对环境影响不大。</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）生活垃圾环境影响分析</w:t>
      </w:r>
    </w:p>
    <w:p>
      <w:pPr>
        <w:widowControl w:val="0"/>
        <w:spacing w:line="360" w:lineRule="auto"/>
        <w:ind w:firstLine="480" w:firstLineChars="200"/>
        <w:rPr>
          <w:rFonts w:eastAsia="仿宋_GB2312"/>
          <w:color w:val="auto"/>
          <w:sz w:val="24"/>
        </w:rPr>
      </w:pPr>
      <w:r>
        <w:rPr>
          <w:rFonts w:eastAsia="仿宋_GB2312"/>
          <w:color w:val="auto"/>
          <w:sz w:val="24"/>
        </w:rPr>
        <w:t>生活垃圾由环卫部门统一清收后集中处理。</w:t>
      </w:r>
    </w:p>
    <w:p>
      <w:pPr>
        <w:widowControl w:val="0"/>
        <w:spacing w:line="360" w:lineRule="auto"/>
        <w:ind w:firstLine="480" w:firstLineChars="200"/>
        <w:rPr>
          <w:rFonts w:eastAsia="仿宋_GB2312"/>
          <w:color w:val="auto"/>
          <w:sz w:val="24"/>
        </w:rPr>
      </w:pPr>
      <w:r>
        <w:rPr>
          <w:rFonts w:eastAsia="仿宋_GB2312"/>
          <w:color w:val="auto"/>
          <w:sz w:val="24"/>
        </w:rPr>
        <w:t>拟建项目按照“减量化、资源化、无害化”原则，从源头减少了固体废物的产生，最终外运的固体废物均采取了合理的处置或利用措施，不会对厂址周围环境造成影响。</w:t>
      </w:r>
    </w:p>
    <w:p>
      <w:pPr>
        <w:pStyle w:val="9"/>
        <w:keepNext w:val="0"/>
        <w:keepLines w:val="0"/>
        <w:widowControl w:val="0"/>
        <w:spacing w:before="120" w:after="120" w:line="360" w:lineRule="auto"/>
        <w:rPr>
          <w:rFonts w:eastAsia="黑体"/>
          <w:b w:val="0"/>
          <w:color w:val="auto"/>
          <w:sz w:val="24"/>
        </w:rPr>
      </w:pPr>
      <w:bookmarkStart w:id="430" w:name="_Toc1109"/>
      <w:r>
        <w:rPr>
          <w:rFonts w:eastAsia="黑体"/>
          <w:b w:val="0"/>
          <w:color w:val="auto"/>
          <w:sz w:val="24"/>
        </w:rPr>
        <w:t>5.</w:t>
      </w:r>
      <w:r>
        <w:rPr>
          <w:rFonts w:hint="eastAsia" w:eastAsia="黑体"/>
          <w:b w:val="0"/>
          <w:color w:val="auto"/>
          <w:sz w:val="24"/>
          <w:lang w:val="en-US" w:eastAsia="zh-CN"/>
        </w:rPr>
        <w:t>2.5运营期生态环境</w:t>
      </w:r>
      <w:r>
        <w:rPr>
          <w:rFonts w:eastAsia="黑体"/>
          <w:b w:val="0"/>
          <w:color w:val="auto"/>
          <w:sz w:val="24"/>
        </w:rPr>
        <w:t>影响分析</w:t>
      </w:r>
      <w:bookmarkEnd w:id="430"/>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运营期</w:t>
      </w:r>
      <w:r>
        <w:rPr>
          <w:rFonts w:hint="eastAsia" w:eastAsia="仿宋_GB2312"/>
          <w:color w:val="auto"/>
          <w:sz w:val="24"/>
        </w:rPr>
        <w:t>对生态环境的影响主要包括到港船舶进出港产生的噪声干扰、螺旋桨误伤及碰撞发生泄漏事故对水生物种、生境、生物群落、生态系统及生态多样性的影响。</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5.</w:t>
      </w:r>
      <w:r>
        <w:rPr>
          <w:rFonts w:eastAsia="黑体"/>
          <w:color w:val="auto"/>
          <w:sz w:val="24"/>
        </w:rPr>
        <w:t>1</w:t>
      </w:r>
      <w:r>
        <w:rPr>
          <w:rFonts w:hint="eastAsia" w:eastAsia="黑体"/>
          <w:color w:val="auto"/>
          <w:sz w:val="24"/>
          <w:lang w:val="en-US" w:eastAsia="zh-CN"/>
        </w:rPr>
        <w:t>对水生生态的影响分析</w:t>
      </w:r>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本工程运营期对水生生态的影响主要为到港船舶碰撞发生泄漏事故对浮游动植物的影响。</w:t>
      </w:r>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实验证明石油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一般浮游植物石油急性中毒致死浓度为0.1～10.0mg/L，一般为1.0～3.6mg/L，对于更敏感的种类，油浓度低于0.1mg/L时，也会妨碍细胞的分裂和生长的速率。浮游动物石油急性中毒致死浓度范围一般为0.1～15mg/L，而且通过不同浓度的石油类环境对桡足类幼体的影响实验表明，永久性(终生性)浮游动物幼体的敏感性大于阶段性(临时性)的底栖生物幼体，而它们各自的幼体的敏感性又大于成体。</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lang w:val="en-US" w:eastAsia="zh-CN"/>
        </w:rPr>
        <w:t>石油类对水生生物产生中毒影响的浓度阈值普遍较低，营运期一旦发生船舶溢油事故，对浮游植物和动物也会产生一定的中毒影响，严重的影响将会造成水生动植物中毒死亡事故</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5.2对鱼类资源的影响分析</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本工程运营期对鱼类资源的影响主要为到港船舶进出港产生的噪声干扰、螺旋桨误伤。</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有资料表明，噪声能使鱼类生长发育受影响。当外界环境的突发性声音发出时，能使一贯静宁的生物有机体受到突然的声波冲击，使精神感到紧张，而精神紧张时，会使体内额外的类固醇释放到血液中去，从而使血液中的胆固醇加多，致使正常的生理机能发生改变而影响身体健康，轻者影响到生长发育，重者可致死亡。如人为的110dB噪声即可压住鱼群发出的各种声音信号，并且人为的噪声在水中比在陆地上传播更快，其声波虽然在传播途中逐渐衰减，但这种外来音波也能激起水波的异常，使宁静的鱼类产生一时的精神紧张，从而使其身体的生长发育受到影响。在持续噪音刺激下，一些种类的个体会出现行为紊乱，从而妨碍其正常索饵和洄游。本项目为砂石码头建设项目，主要的装卸机械为门式起重机，其装卸噪声为90dB，不超过110dB，不会对鱼类产生致命伤害，同时随着声波的传播会逐渐减弱，对水体中水生生物的影响有限。</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随着运营期进出港作业船舶的增多，使项目水域船舶流量和交通密度将增加，从而改变了现有的水生生物栖息环境。目前，尚无有关船舶船型、密度及航行模式对鱼类影响的研究，运营期航运量变化对鱼类的影响主要是定性分析。工程建成运营后，通航船舶船型、数量和密度将有变化。船舶航行对本江段的鱼类会产生一定的影响，其主要是船只的噪音及螺旋桨会导致鱼类分布的变化。对一般鱼类而言，船只运行的噪音和波浪造成鱼类的主动回避，主航道的鱼类将离开栖息地，但此影响是暂时的其影响程度不大。</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5.3对鱼类“三场”影响分析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河道环境变化将对水生生物尤其鱼类产生一定影响。河流浅滩的生境，光热条件优越，适于形成湿地，供各种动植物栖息生长，河漫滩的湿地中，各种底栖动物丰富，当洪水季节被淹没时，是鱼类天然的索饵场，为鱼类提供了丰富的食物来源。河岸码头的建设，使河流过渡段浅水区的面积减少或消失，喜爱急流和卵石、沙砾底质的小型底栖鱼类丧失部分栖息地和产卵场，水域栖息的鱼类因不适应新的环境，就必须寻找新的栖息地和产卵场，从而使区域生物组成甚至区域生态系统结构发生变化。</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码头工程建成后，增加了项目区域河段水域和陆域屏障，会引起一定的河道窄束，局部河床地形和底质发生一定的变化，局部河段的流场、水质状况和饵料基础也将发生不同程度的变化。码头区域的河岸生态系统将会重新构建，经过一段生态修复期将形成新的稳定的生态系统，并达到新的生态平衡</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工程运行后，未改变水道水流分布，在河道可能分布的漂流性产卵水域不会发生改变，并且由于施工面积较小，未改变总体流态。在工程施工范围内，可能会部分影响部分鱼类的产卵，但不会产生较大影响，由于河道流水改变对上下游影响很小，所以也不会改变其上下游其它产卵场的分布和规模。但是，工程施工改变了岸边局部江水流态和近岸带生态环境，将影响部分鱼卵的漂流路线，同时航运量的增加，会干扰鱼类的产卵活动也会导致卵苗死亡率升高，影响该流域的后备资源状况。在工程</w:t>
      </w:r>
      <w:r>
        <w:rPr>
          <w:rFonts w:hint="eastAsia" w:eastAsia="仿宋_GB2312"/>
          <w:color w:val="auto"/>
          <w:sz w:val="24"/>
          <w:lang w:eastAsia="zh-CN"/>
        </w:rPr>
        <w:t>运营期</w:t>
      </w:r>
      <w:r>
        <w:rPr>
          <w:rFonts w:hint="eastAsia" w:eastAsia="仿宋_GB2312"/>
          <w:color w:val="auto"/>
          <w:sz w:val="24"/>
        </w:rPr>
        <w:t>，由于工程面积较小，对江段水文情势的影响不大，工程对鱼类的产卵及后备资源的补充不会产生显著的影响。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鲤、鲫、黄颡鱼、瓦氏黄颡鱼等产粘性卵鱼类的产卵场主要分布在干流河道弯曲或宽阔的湿地区域，鱼卵附着基质，如水生植物、水中草质漂浮物及砾石上孵化，工程江段的施工区域的河漫滩，在涨水季节均能成为这些鱼类的产卵场。工程完成后，将导致滩地和浅水区的面积有所减少，近岸草基、石基面积也会随之减少，从而一定程度的缩减了这些鱼类适宜的产卵场范围。</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根据调查，工程所在江段没有固定的产卵场所</w:t>
      </w:r>
      <w:r>
        <w:rPr>
          <w:rFonts w:hint="eastAsia" w:eastAsia="仿宋_GB2312"/>
          <w:color w:val="auto"/>
          <w:sz w:val="24"/>
          <w:lang w:eastAsia="zh-CN"/>
        </w:rPr>
        <w:t>、</w:t>
      </w:r>
      <w:r>
        <w:rPr>
          <w:rFonts w:hint="eastAsia" w:eastAsia="仿宋_GB2312"/>
          <w:color w:val="auto"/>
          <w:sz w:val="24"/>
        </w:rPr>
        <w:t>适鱼类索饵的集中固定区域和越冬场，故工程建设对鱼类“三场”产生的不利影响较小</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5.4对珍稀保护水生生物的影响分析</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rPr>
        <w:t>码头</w:t>
      </w:r>
      <w:r>
        <w:rPr>
          <w:rFonts w:hint="eastAsia" w:eastAsia="仿宋_GB2312"/>
          <w:color w:val="auto"/>
          <w:sz w:val="24"/>
          <w:lang w:val="en-US" w:eastAsia="zh-CN"/>
        </w:rPr>
        <w:t>运营后</w:t>
      </w:r>
      <w:r>
        <w:rPr>
          <w:rFonts w:hint="eastAsia" w:eastAsia="仿宋_GB2312"/>
          <w:color w:val="auto"/>
          <w:sz w:val="24"/>
        </w:rPr>
        <w:t>，评价区域过往船舶将明显增加。船舶噪音对江豚、中华鲟、胭脂鱼有驱赶作用，主要将改变其洄游路线、栖息场所，但不会阻断其洄游通道，也不会影响其洄游个体的数量，其影响程度有限；船只螺旋桨可能造成躲避不及的中华鲟、胭脂鱼的死亡和伤害，误伤一定数量的鱼类，根据长江沿线中华鲟误伤和误捕情况分析，本江段不会出现中华鲟集群逗留，因此这种误伤发生的概率很小</w:t>
      </w:r>
      <w:r>
        <w:rPr>
          <w:rFonts w:hint="eastAsia" w:eastAsia="仿宋_GB2312"/>
          <w:color w:val="auto"/>
          <w:sz w:val="24"/>
          <w:lang w:eastAsia="zh-CN"/>
        </w:rPr>
        <w:t>，</w:t>
      </w:r>
      <w:r>
        <w:rPr>
          <w:rFonts w:hint="eastAsia" w:eastAsia="仿宋_GB2312"/>
          <w:color w:val="auto"/>
          <w:sz w:val="24"/>
          <w:lang w:val="en-US" w:eastAsia="zh-CN"/>
        </w:rPr>
        <w:t>同时第六章详细分析了对中华鲟的影响，故本节主要分析对江豚的影响。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码头运行后对江豚的影响包括船舶运行时螺旋桨的误伤、引擎的噪音等持续影响，以及可能发生的紧急情况导致的水域污染等带来的急性影响。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螺旋桨误伤影响：根据1998～2002年统计的新螺段江豚意外死亡结果表明，15头死亡江豚有6头是由于螺旋桨误伤致死，占总数的40%，滚钩误伤致死仅1头，占总数的6.67%，由此可见，螺旋桨对江豚存在威胁，虽然评价区江段不是长江江豚栖息、迁移的主要场所，可能偶有出现的情况，需要船舶靠港过程中采取声学驱赶等预防措施使其远离，尽可能的避免误伤。</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噪音影响：江豚主要活动于近岸带。根据王丁等对豚类听觉等的研究结果，船舶停靠岸时对附近的江豚影响较大，其结果是，江豚远离码头区域。本工程建成后将使得江段过往船舶数量增加，由此增加的船舶噪声对江豚的影响将进一步加大。</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事故风险产生的影响：码头事故风险主要为船舶事故导致的燃油泄露，泄露的燃油漂浮在事故点下游江段，将导致受污染江段内分布的江豚在出水呼吸时皮肤上粘附油污，导致其呼吸产生困难。应加强港区管理和监控，避免事故的发生，同时建立应急预案，在事故发生后，在江豚和中华鲟可能分布的区域及时展开搜索救援、及时处理和降低事故可能产生的生态影响，迅速恢复事故江段及下游江段的水环境状况。</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技改项目</w:t>
      </w:r>
      <w:r>
        <w:rPr>
          <w:rFonts w:hint="eastAsia" w:eastAsia="仿宋_GB2312"/>
          <w:color w:val="auto"/>
          <w:sz w:val="24"/>
        </w:rPr>
        <w:t>码头采用浮码头，水下为透空式。工程建成后，鱼类仍可在趸船下面游动。水生动物的洄游通道一般在江心深水区，</w:t>
      </w:r>
      <w:r>
        <w:rPr>
          <w:rFonts w:hint="eastAsia" w:eastAsia="仿宋_GB2312"/>
          <w:color w:val="auto"/>
          <w:sz w:val="24"/>
          <w:lang w:val="en-US" w:eastAsia="zh-CN"/>
        </w:rPr>
        <w:t>技改项目</w:t>
      </w:r>
      <w:r>
        <w:rPr>
          <w:rFonts w:hint="eastAsia" w:eastAsia="仿宋_GB2312"/>
          <w:color w:val="auto"/>
          <w:sz w:val="24"/>
        </w:rPr>
        <w:t>为近岸码头工程，对长江珍稀保护水生动物中华鲟的洄游通道不会造成明显影响</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eastAsia="黑体"/>
          <w:color w:val="auto"/>
          <w:sz w:val="24"/>
        </w:rPr>
        <w:t>5.</w:t>
      </w:r>
      <w:r>
        <w:rPr>
          <w:rFonts w:hint="eastAsia" w:eastAsia="黑体"/>
          <w:color w:val="auto"/>
          <w:sz w:val="24"/>
          <w:lang w:val="en-US" w:eastAsia="zh-CN"/>
        </w:rPr>
        <w:t>2</w:t>
      </w:r>
      <w:r>
        <w:rPr>
          <w:rFonts w:eastAsia="黑体"/>
          <w:color w:val="auto"/>
          <w:sz w:val="24"/>
        </w:rPr>
        <w:t>.</w:t>
      </w:r>
      <w:r>
        <w:rPr>
          <w:rFonts w:hint="eastAsia" w:eastAsia="黑体"/>
          <w:color w:val="auto"/>
          <w:sz w:val="24"/>
          <w:lang w:val="en-US" w:eastAsia="zh-CN"/>
        </w:rPr>
        <w:t>5.5陆生生态影响分析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码头建成后产生的大气污染物主要为船舶废气、运输车辆汽车尾气、港区装卸机械燃油废气、汽车道路扬尘等。扬尘对植被的影响范围主要是码头建设范围周边一定范围内的植被。</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漂浮的扬尘会附着在植被的叶子上，使植被的光合作用和呼吸能力降低，影响植物的新陈代谢，进而影响植物的生长发育和正常繁殖。但这影响的程度不大，一般不会造成植物的死亡，并可以通过相应的洒水等措施降低其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港区</w:t>
      </w:r>
      <w:r>
        <w:rPr>
          <w:rFonts w:hint="eastAsia" w:eastAsia="仿宋_GB2312"/>
          <w:color w:val="auto"/>
          <w:sz w:val="24"/>
        </w:rPr>
        <w:t>工程永久占地导致区域内植被覆盖面积减少，植被覆盖率降低，植被生物量受到一定损失，从而使得野生动物生境面积有所减少，导致物种迁徙，影响野生动物的分布。运营期</w:t>
      </w:r>
      <w:r>
        <w:rPr>
          <w:rFonts w:hint="eastAsia" w:eastAsia="仿宋_GB2312"/>
          <w:color w:val="auto"/>
          <w:sz w:val="24"/>
          <w:lang w:val="en-US" w:eastAsia="zh-CN"/>
        </w:rPr>
        <w:t>转运楼</w:t>
      </w:r>
      <w:r>
        <w:rPr>
          <w:rFonts w:hint="eastAsia" w:eastAsia="仿宋_GB2312"/>
          <w:color w:val="auto"/>
          <w:sz w:val="24"/>
        </w:rPr>
        <w:t>噪声会对野生动物行为产生干扰，使得野生动物产生趋避反应，间接影响了野生动物的空间分布。</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评价区域内受人类活动干扰较大，动物资源较为匮乏，都是一些常见的野生动物，除啮齿目的一些鼠类数量相对较多以外，其它的种类和数量均很少，且周边区域有可替代的类似生境，受活动干扰的动物可迁徙至周边区域，故本项目陆域工程不会对该物种的生存造成威胁，对评价区域内的野生动物影响较小。</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同时，工程用地周边均将进行绿化，恢复一定数量的植被覆盖度，使区域生态环境损失得到最大程度的恢复，故工程占地对区域植被及野生动物影响有限，不会导致区域生态系统功能退化，对区域生物多样性影响较小</w:t>
      </w:r>
      <w:r>
        <w:rPr>
          <w:rFonts w:hint="eastAsia" w:eastAsia="仿宋_GB2312"/>
          <w:color w:val="auto"/>
          <w:sz w:val="24"/>
          <w:lang w:eastAsia="zh-CN"/>
        </w:rPr>
        <w:t>。</w:t>
      </w:r>
      <w:r>
        <w:rPr>
          <w:rFonts w:hint="eastAsia" w:eastAsia="仿宋_GB2312"/>
          <w:color w:val="auto"/>
          <w:sz w:val="24"/>
        </w:rPr>
        <w:br w:type="page"/>
      </w:r>
    </w:p>
    <w:p>
      <w:pPr>
        <w:widowControl w:val="0"/>
        <w:spacing w:line="360" w:lineRule="auto"/>
        <w:ind w:firstLine="480" w:firstLineChars="200"/>
        <w:rPr>
          <w:rFonts w:hint="eastAsia" w:eastAsia="仿宋_GB2312"/>
          <w:color w:val="auto"/>
          <w:sz w:val="24"/>
        </w:rPr>
        <w:sectPr>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2" w:charSpace="0"/>
        </w:sectPr>
      </w:pPr>
    </w:p>
    <w:bookmarkEnd w:id="378"/>
    <w:bookmarkEnd w:id="379"/>
    <w:p>
      <w:pPr>
        <w:widowControl w:val="0"/>
        <w:spacing w:before="240" w:after="240" w:line="360" w:lineRule="auto"/>
        <w:jc w:val="center"/>
        <w:outlineLvl w:val="0"/>
        <w:rPr>
          <w:rFonts w:hint="default" w:eastAsia="黑体"/>
          <w:color w:val="auto"/>
          <w:sz w:val="44"/>
          <w:szCs w:val="44"/>
          <w:lang w:val="en-US" w:eastAsia="zh-CN"/>
        </w:rPr>
      </w:pPr>
      <w:bookmarkStart w:id="431" w:name="_Toc944"/>
      <w:bookmarkStart w:id="432" w:name="_Toc343702846"/>
      <w:bookmarkStart w:id="433" w:name="_Toc305859536"/>
      <w:r>
        <w:rPr>
          <w:rFonts w:eastAsia="黑体"/>
          <w:color w:val="auto"/>
          <w:sz w:val="44"/>
          <w:szCs w:val="44"/>
        </w:rPr>
        <w:t>6</w:t>
      </w:r>
      <w:r>
        <w:rPr>
          <w:rFonts w:hint="eastAsia" w:eastAsia="黑体"/>
          <w:color w:val="auto"/>
          <w:sz w:val="44"/>
          <w:szCs w:val="44"/>
          <w:lang w:val="en-US" w:eastAsia="zh-CN"/>
        </w:rPr>
        <w:t>工程对长江湖北宜昌中华鲟自然保护区外围保护地带的影响分析</w:t>
      </w:r>
      <w:bookmarkEnd w:id="431"/>
    </w:p>
    <w:p>
      <w:pPr>
        <w:pStyle w:val="8"/>
        <w:widowControl w:val="0"/>
        <w:spacing w:before="120" w:after="120" w:line="360" w:lineRule="auto"/>
        <w:rPr>
          <w:rFonts w:ascii="Times New Roman" w:hAnsi="Times New Roman"/>
          <w:b w:val="0"/>
          <w:color w:val="auto"/>
          <w:szCs w:val="32"/>
        </w:rPr>
      </w:pPr>
      <w:bookmarkStart w:id="434" w:name="_Toc10557"/>
      <w:r>
        <w:rPr>
          <w:rFonts w:hint="eastAsia" w:ascii="Times New Roman" w:hAnsi="Times New Roman"/>
          <w:b w:val="0"/>
          <w:color w:val="auto"/>
          <w:szCs w:val="32"/>
          <w:lang w:val="en-US" w:eastAsia="zh-CN"/>
        </w:rPr>
        <w:t>6</w:t>
      </w:r>
      <w:r>
        <w:rPr>
          <w:rFonts w:ascii="Times New Roman" w:hAnsi="Times New Roman"/>
          <w:b w:val="0"/>
          <w:color w:val="auto"/>
          <w:szCs w:val="32"/>
        </w:rPr>
        <w:t>.1</w:t>
      </w:r>
      <w:r>
        <w:rPr>
          <w:rFonts w:hint="eastAsia" w:ascii="Times New Roman" w:hAnsi="Times New Roman"/>
          <w:b w:val="0"/>
          <w:color w:val="auto"/>
          <w:szCs w:val="32"/>
        </w:rPr>
        <w:t>长江湖北宜昌中华鲟自然保护区概况</w:t>
      </w:r>
      <w:bookmarkEnd w:id="434"/>
    </w:p>
    <w:p>
      <w:pPr>
        <w:pStyle w:val="9"/>
        <w:keepNext w:val="0"/>
        <w:keepLines w:val="0"/>
        <w:widowControl w:val="0"/>
        <w:spacing w:before="120" w:after="120" w:line="360" w:lineRule="auto"/>
        <w:rPr>
          <w:rFonts w:hint="default" w:eastAsia="黑体"/>
          <w:b w:val="0"/>
          <w:color w:val="auto"/>
          <w:sz w:val="24"/>
          <w:lang w:val="en-US"/>
        </w:rPr>
      </w:pPr>
      <w:bookmarkStart w:id="435" w:name="_Toc23209"/>
      <w:r>
        <w:rPr>
          <w:rFonts w:hint="eastAsia" w:eastAsia="黑体"/>
          <w:b w:val="0"/>
          <w:color w:val="auto"/>
          <w:sz w:val="24"/>
          <w:lang w:val="en-US" w:eastAsia="zh-CN"/>
        </w:rPr>
        <w:t>6.1.1保护区地理位置和范围</w:t>
      </w:r>
      <w:bookmarkEnd w:id="435"/>
    </w:p>
    <w:p>
      <w:pPr>
        <w:widowControl w:val="0"/>
        <w:spacing w:line="360" w:lineRule="auto"/>
        <w:ind w:firstLine="480" w:firstLineChars="200"/>
        <w:rPr>
          <w:rFonts w:hint="eastAsia" w:eastAsia="仿宋_GB2312"/>
          <w:color w:val="auto"/>
          <w:sz w:val="24"/>
        </w:rPr>
      </w:pPr>
      <w:r>
        <w:rPr>
          <w:rFonts w:hint="eastAsia" w:eastAsia="仿宋_GB2312"/>
          <w:color w:val="auto"/>
          <w:sz w:val="24"/>
        </w:rPr>
        <w:t>湖北省人民政府1996年4月批准建立了长江湖北宜昌中华鲟自然保护区，保护区位于湖北省宜昌市，其范围为葛洲坝下游约80公里的宜昌江段。</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2008年，湖北省人民政府以鄂政函[2008]263号文，对保护区的范围进行调整，保护区范围调整为50公里。调减的下游30公里江段作为外围保护地带。</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2018年1月，湖北省环保厅发布了鄂环函[2018]3号文《省环保厅关于长江湖北宜昌中华鲟自然保护区范围及功能区划调整的复函》：同意长江湖北宜昌中华鲟自然保护区范围及功能区调整。调整后保护区的总长度从调整前的50公里增加至60公里，总面积从调整前的5143.80公顷增加至6735.88公顷，其中核心区长度24公里，面积2265.62公顷；缓冲区长度14公里，面积1131.61公顷；实验区长度22公里，面积3338.65公顷。根据最新的中华鲟自然保护区范围及功能区，</w:t>
      </w:r>
      <w:r>
        <w:rPr>
          <w:rFonts w:hint="eastAsia" w:eastAsia="仿宋_GB2312"/>
          <w:b/>
          <w:bCs/>
          <w:color w:val="auto"/>
          <w:sz w:val="24"/>
        </w:rPr>
        <w:t>本项目位于外围保护地带内</w:t>
      </w:r>
      <w:r>
        <w:rPr>
          <w:rFonts w:hint="eastAsia" w:eastAsia="仿宋_GB2312"/>
          <w:color w:val="auto"/>
          <w:sz w:val="24"/>
        </w:rPr>
        <w:t>。</w:t>
      </w:r>
    </w:p>
    <w:p>
      <w:pPr>
        <w:pStyle w:val="9"/>
        <w:keepNext w:val="0"/>
        <w:keepLines w:val="0"/>
        <w:widowControl w:val="0"/>
        <w:spacing w:before="120" w:after="120" w:line="360" w:lineRule="auto"/>
        <w:rPr>
          <w:rFonts w:hint="eastAsia" w:eastAsia="黑体"/>
          <w:b w:val="0"/>
          <w:color w:val="auto"/>
          <w:sz w:val="24"/>
          <w:lang w:val="en-US" w:eastAsia="zh-CN"/>
        </w:rPr>
      </w:pPr>
      <w:bookmarkStart w:id="436" w:name="_Toc31064"/>
      <w:r>
        <w:rPr>
          <w:rFonts w:hint="eastAsia" w:eastAsia="黑体"/>
          <w:b w:val="0"/>
          <w:color w:val="auto"/>
          <w:sz w:val="24"/>
          <w:lang w:val="en-US" w:eastAsia="zh-CN"/>
        </w:rPr>
        <w:t>6.1.2保护区功能区划分</w:t>
      </w:r>
      <w:bookmarkEnd w:id="436"/>
    </w:p>
    <w:p>
      <w:pPr>
        <w:widowControl w:val="0"/>
        <w:spacing w:line="360" w:lineRule="auto"/>
        <w:ind w:firstLine="480" w:firstLineChars="200"/>
        <w:rPr>
          <w:rFonts w:hint="eastAsia" w:eastAsia="仿宋_GB2312"/>
          <w:color w:val="auto"/>
          <w:sz w:val="24"/>
        </w:rPr>
      </w:pPr>
      <w:r>
        <w:rPr>
          <w:rFonts w:hint="eastAsia" w:eastAsia="仿宋_GB2312"/>
          <w:color w:val="auto"/>
          <w:sz w:val="24"/>
        </w:rPr>
        <w:t>核心区分为两部分，上核心区为多年平均水位（2006-2016）以下的葛洲坝至宜昌长江公路大桥，下核心区为多年平均水位（2006-2016）以下的梅子溪左岸长4000米、宽500米的水域，以上核心区长度为24公里、面积为2265.62公顷。</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缓冲区分为两部分，上缓冲区为多年平均水位（2006-2016）以下的宜昌长江公路大桥至宜都孙家溪江段，长度为3.5公里，下缓冲区为多年平均水位（2006-2016）以下的枝江白洋镇至枝城杨家溪江段（不包括梅子溪左岸长4000米、宽500米的水域）长度为10.5公里,以上缓冲区长度为14公里、总面积为1131.61公顷。</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实验区分为三部分，第一部分为十年一遇洪水位以下的宜都孙家溪江段至枝江白洋镇江段，长度为22公里，面积为2721.63公顷，第二部分为核心区和缓冲区江段两岸的多年平均水位(2006-2016)至十年一遇洪水位之间的消落区(包括胭脂坝1985黄海高程39.98m以上区域)、面积为547.70公顷，第三部分为公务执法与公益服务类码头、三峡客运中心码头、临江坪锚地以及原实验区和原非保护区内的合法企业码头，面积为69.32公顷，以上实验区长度为22公里、总面积为3338.65公顷</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保护区终点至罗家河20公里江段作为</w:t>
      </w:r>
      <w:r>
        <w:rPr>
          <w:rFonts w:hint="eastAsia" w:eastAsia="仿宋_GB2312"/>
          <w:b/>
          <w:bCs/>
          <w:color w:val="auto"/>
          <w:sz w:val="24"/>
        </w:rPr>
        <w:t>保护区外围保护地带</w:t>
      </w:r>
      <w:r>
        <w:rPr>
          <w:rFonts w:hint="eastAsia" w:eastAsia="仿宋_GB2312"/>
          <w:color w:val="auto"/>
          <w:sz w:val="24"/>
        </w:rPr>
        <w:t>。</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rPr>
        <w:t>长江湖北宜昌中华鲟自然保护区（省级）目前正在申报升级为国家级自然保护区。根据正在调整的保护区规划，本项目依然</w:t>
      </w:r>
      <w:r>
        <w:rPr>
          <w:rFonts w:hint="eastAsia" w:eastAsia="仿宋_GB2312"/>
          <w:b/>
          <w:bCs/>
          <w:color w:val="auto"/>
          <w:sz w:val="24"/>
        </w:rPr>
        <w:t>位于外围保护地带内</w:t>
      </w:r>
      <w:r>
        <w:rPr>
          <w:rFonts w:hint="eastAsia" w:eastAsia="仿宋_GB2312"/>
          <w:color w:val="auto"/>
          <w:sz w:val="24"/>
        </w:rPr>
        <w:t>。正在调整的保护区范围图与鄂环函[2018]3号文规定的保护区范围图一致</w:t>
      </w:r>
      <w:r>
        <w:rPr>
          <w:rFonts w:hint="eastAsia" w:eastAsia="仿宋_GB2312"/>
          <w:color w:val="auto"/>
          <w:sz w:val="24"/>
          <w:lang w:eastAsia="zh-CN"/>
        </w:rPr>
        <w:t>。</w:t>
      </w:r>
    </w:p>
    <w:p>
      <w:pPr>
        <w:pStyle w:val="9"/>
        <w:keepNext w:val="0"/>
        <w:keepLines w:val="0"/>
        <w:widowControl w:val="0"/>
        <w:spacing w:before="120" w:after="120" w:line="360" w:lineRule="auto"/>
        <w:rPr>
          <w:rFonts w:hint="eastAsia" w:eastAsia="黑体"/>
          <w:b w:val="0"/>
          <w:color w:val="auto"/>
          <w:sz w:val="24"/>
          <w:lang w:val="en-US" w:eastAsia="zh-CN"/>
        </w:rPr>
      </w:pPr>
      <w:bookmarkStart w:id="437" w:name="_Toc30950"/>
      <w:r>
        <w:rPr>
          <w:rFonts w:hint="eastAsia" w:eastAsia="黑体"/>
          <w:b w:val="0"/>
          <w:color w:val="auto"/>
          <w:sz w:val="24"/>
          <w:lang w:val="en-US" w:eastAsia="zh-CN"/>
        </w:rPr>
        <w:t>6.1.3保护区主要保护对象</w:t>
      </w:r>
      <w:bookmarkEnd w:id="437"/>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1）国家一级重点保护动物中华鲟（</w:t>
      </w:r>
      <w:r>
        <w:rPr>
          <w:rFonts w:hint="eastAsia" w:eastAsia="仿宋_GB2312"/>
          <w:i/>
          <w:iCs/>
          <w:color w:val="auto"/>
          <w:sz w:val="24"/>
        </w:rPr>
        <w:t>Acipenser sinensis</w:t>
      </w:r>
      <w:r>
        <w:rPr>
          <w:rFonts w:hint="eastAsia" w:eastAsia="仿宋_GB2312"/>
          <w:color w:val="auto"/>
          <w:sz w:val="24"/>
        </w:rPr>
        <w:t>）繁殖群体及其产卵场和产前栖息地。</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rPr>
        <w:t>2）国家重点保护鱼类白鲟（</w:t>
      </w:r>
      <w:r>
        <w:rPr>
          <w:rFonts w:hint="eastAsia" w:eastAsia="仿宋_GB2312"/>
          <w:i/>
          <w:iCs/>
          <w:color w:val="auto"/>
          <w:sz w:val="24"/>
        </w:rPr>
        <w:t>Psephurus gladius</w:t>
      </w:r>
      <w:r>
        <w:rPr>
          <w:rFonts w:hint="eastAsia" w:eastAsia="仿宋_GB2312"/>
          <w:color w:val="auto"/>
          <w:sz w:val="24"/>
        </w:rPr>
        <w:t>）、长江鲟（</w:t>
      </w:r>
      <w:r>
        <w:rPr>
          <w:rFonts w:hint="eastAsia" w:eastAsia="仿宋_GB2312"/>
          <w:i/>
          <w:iCs/>
          <w:color w:val="auto"/>
          <w:sz w:val="24"/>
        </w:rPr>
        <w:t>Acipenser dabryanus</w:t>
      </w:r>
      <w:r>
        <w:rPr>
          <w:rFonts w:hint="eastAsia" w:eastAsia="仿宋_GB2312"/>
          <w:color w:val="auto"/>
          <w:sz w:val="24"/>
        </w:rPr>
        <w:t>）、胭脂鱼（</w:t>
      </w:r>
      <w:r>
        <w:rPr>
          <w:rFonts w:hint="eastAsia" w:eastAsia="仿宋_GB2312"/>
          <w:i/>
          <w:iCs/>
          <w:color w:val="auto"/>
          <w:sz w:val="24"/>
        </w:rPr>
        <w:t>Myxocyprinus asiaticus</w:t>
      </w:r>
      <w:r>
        <w:rPr>
          <w:rFonts w:hint="eastAsia" w:eastAsia="仿宋_GB2312"/>
          <w:color w:val="auto"/>
          <w:sz w:val="24"/>
        </w:rPr>
        <w:t>）及“四大家鱼”等重要经济鱼类的产卵场和栖息地。</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rPr>
        <w:t>3）长江江豚（</w:t>
      </w:r>
      <w:r>
        <w:rPr>
          <w:rFonts w:hint="eastAsia" w:eastAsia="仿宋_GB2312"/>
          <w:i/>
          <w:iCs/>
          <w:color w:val="auto"/>
          <w:sz w:val="24"/>
        </w:rPr>
        <w:t>Neophocaena asiaeorientalis</w:t>
      </w:r>
      <w:r>
        <w:rPr>
          <w:rFonts w:hint="eastAsia" w:eastAsia="仿宋_GB2312"/>
          <w:color w:val="auto"/>
          <w:sz w:val="24"/>
        </w:rPr>
        <w:t>）、大鲵（</w:t>
      </w:r>
      <w:r>
        <w:rPr>
          <w:rFonts w:hint="eastAsia" w:eastAsia="仿宋_GB2312"/>
          <w:i/>
          <w:iCs/>
          <w:color w:val="auto"/>
          <w:sz w:val="24"/>
        </w:rPr>
        <w:t>Andrias davidianus</w:t>
      </w:r>
      <w:r>
        <w:rPr>
          <w:rFonts w:hint="eastAsia" w:eastAsia="仿宋_GB2312"/>
          <w:color w:val="auto"/>
          <w:sz w:val="24"/>
        </w:rPr>
        <w:t>）等个体。近年来，长江江豚出现了逐渐向上游江段迁移的趋势，并且在保护区江段江豚数量明显增多。保护区江段还偶有大鲵分布。</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此外，在保护区水域还栖息有国家级保护鱼类包括：圆口铜鱼（</w:t>
      </w:r>
      <w:r>
        <w:rPr>
          <w:rFonts w:hint="eastAsia" w:eastAsia="仿宋_GB2312"/>
          <w:i/>
          <w:iCs/>
          <w:color w:val="auto"/>
          <w:sz w:val="24"/>
        </w:rPr>
        <w:t>Coreius guichenoti</w:t>
      </w:r>
      <w:r>
        <w:rPr>
          <w:rFonts w:hint="eastAsia" w:eastAsia="仿宋_GB2312"/>
          <w:color w:val="auto"/>
          <w:sz w:val="24"/>
        </w:rPr>
        <w:t>）和长薄鳅（</w:t>
      </w:r>
      <w:r>
        <w:rPr>
          <w:rFonts w:hint="eastAsia" w:eastAsia="仿宋_GB2312"/>
          <w:i/>
          <w:iCs/>
          <w:color w:val="auto"/>
          <w:sz w:val="24"/>
        </w:rPr>
        <w:t>Leptobotia elongata</w:t>
      </w:r>
      <w:r>
        <w:rPr>
          <w:rFonts w:hint="eastAsia" w:eastAsia="仿宋_GB2312"/>
          <w:color w:val="auto"/>
          <w:sz w:val="24"/>
        </w:rPr>
        <w:t>）等。</w:t>
      </w:r>
    </w:p>
    <w:p>
      <w:pPr>
        <w:pStyle w:val="9"/>
        <w:keepNext w:val="0"/>
        <w:keepLines w:val="0"/>
        <w:widowControl w:val="0"/>
        <w:spacing w:before="120" w:after="120" w:line="360" w:lineRule="auto"/>
        <w:rPr>
          <w:rFonts w:hint="eastAsia" w:eastAsia="黑体"/>
          <w:b w:val="0"/>
          <w:color w:val="auto"/>
          <w:sz w:val="24"/>
          <w:lang w:val="en-US" w:eastAsia="zh-CN"/>
        </w:rPr>
      </w:pPr>
      <w:bookmarkStart w:id="438" w:name="_Toc18977"/>
      <w:r>
        <w:rPr>
          <w:rFonts w:hint="eastAsia" w:eastAsia="黑体"/>
          <w:b w:val="0"/>
          <w:color w:val="auto"/>
          <w:sz w:val="24"/>
          <w:lang w:val="en-US" w:eastAsia="zh-CN"/>
        </w:rPr>
        <w:t>6.1.4保护区存在价值评估</w:t>
      </w:r>
      <w:bookmarkEnd w:id="438"/>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6.1.4.</w:t>
      </w:r>
      <w:r>
        <w:rPr>
          <w:rFonts w:eastAsia="黑体"/>
          <w:color w:val="auto"/>
          <w:sz w:val="24"/>
        </w:rPr>
        <w:t>1</w:t>
      </w:r>
      <w:r>
        <w:rPr>
          <w:rFonts w:hint="eastAsia" w:eastAsia="黑体"/>
          <w:color w:val="auto"/>
          <w:sz w:val="24"/>
          <w:lang w:val="en-US" w:eastAsia="zh-CN"/>
        </w:rPr>
        <w:t>生态价值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保护区的存在，保护了中华鲟繁殖群体主要栖息地和目前已知唯一的、稳定的产卵场，这是保证中华鲟物种延续的根本和希望所在。</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保护区的存在能直接保护中华鲟的个体和群体，有利于保持一定规模的繁殖群体，并在宜昌产卵场自然繁殖，能保持中华鲟物种遗传多样性，同时，也为人工增殖中华鲟提供优质亲鲟。保护区的工作能促进中华鲟人工增殖的开展，这是保证中华鲟物种延续的辅助手段。</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白鲟的产卵场与中华鲟产卵场相似，在葛洲坝下江段发现过白鲟的幼体和成体，保护区的建立能保护白鲟可能的产卵场。保护区也是长江鲟的栖息地。宜昌江段位于长江上游和中下游的交界处，具有复杂的生境条件和丰富的生物多样性。保护好这个栖息地，对维持长江流域的水生生物多样性和生态系统的完整性、保存珍稀物种遗传资源和主要经济鱼类种质资源均具有重要的意义</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6.1.4.2社会价值</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保护区建立在一个人口较密集、人类活动频繁的地区，是一个不得已的选择，但这也为我们人类根据自然保护的需要约束自己的行为提供了一个试验场所。此外，保护区紧邻葛洲坝和三峡大坝，是“大三峡旅游”的咽喉，可以预见，随着该保护区的建设和自然保护、科普教育等事业的发展，专家学者、新闻工作者和国内外游客将纷至沓来。通过科考、游憩、绘画、摄影、录像和宣传等活动所形成广泛的社会影响，将有助于中华鲟的物种保护和资源恢复，提高全社会的保护意识，促进“人水和谐”，其综合效益是不可估量的。此外，保护区的建立，为中华鲟等鱼类的研究提供了一个良好的科研基地</w:t>
      </w:r>
      <w:r>
        <w:rPr>
          <w:rFonts w:hint="eastAsia" w:eastAsia="仿宋_GB2312"/>
          <w:color w:val="auto"/>
          <w:sz w:val="24"/>
          <w:lang w:eastAsia="zh-CN"/>
        </w:rPr>
        <w:t>。</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6.1.4.2经济价值</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濒危物种资源的延续和发展，具有潜在的巨大经济价值。历史上，中华鲟、白鲟、长江鲟等都是重要的经济鱼类，是长江干流的重要渔业资源。其次，由于保护区是一个流动性、开放性水域，保护区内许多经济鱼类的主要产卵场是长江中下游天然鱼苗的主要来源地之一。特别是由于葛洲坝的阻隔，宜昌江段的“四大家鱼”的产卵场规模有所扩大，产卵场主要分布在坝下约23km的江段。</w:t>
      </w:r>
    </w:p>
    <w:p>
      <w:pPr>
        <w:pStyle w:val="9"/>
        <w:keepNext w:val="0"/>
        <w:keepLines w:val="0"/>
        <w:widowControl w:val="0"/>
        <w:spacing w:before="120" w:after="120" w:line="360" w:lineRule="auto"/>
        <w:rPr>
          <w:rFonts w:hint="default" w:eastAsia="黑体"/>
          <w:b w:val="0"/>
          <w:color w:val="auto"/>
          <w:sz w:val="24"/>
          <w:lang w:val="en-US" w:eastAsia="zh-CN"/>
        </w:rPr>
      </w:pPr>
      <w:bookmarkStart w:id="439" w:name="_Toc32431"/>
      <w:r>
        <w:rPr>
          <w:rFonts w:hint="eastAsia" w:eastAsia="黑体"/>
          <w:b w:val="0"/>
          <w:color w:val="auto"/>
          <w:sz w:val="24"/>
          <w:lang w:val="en-US" w:eastAsia="zh-CN"/>
        </w:rPr>
        <w:t>6.1.5保护区的管理机构</w:t>
      </w:r>
      <w:bookmarkEnd w:id="439"/>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根据宜昌市委编委《关于单独设立长江湖北宜昌中华鲟自然保护区管理处等机构编制事项的通知</w:t>
      </w:r>
      <w:r>
        <w:rPr>
          <w:rFonts w:hint="eastAsia" w:eastAsia="仿宋_GB2312"/>
          <w:color w:val="auto"/>
          <w:sz w:val="24"/>
          <w:lang w:eastAsia="zh-CN"/>
        </w:rPr>
        <w:t>（</w:t>
      </w:r>
      <w:r>
        <w:rPr>
          <w:rFonts w:hint="eastAsia" w:eastAsia="仿宋_GB2312"/>
          <w:color w:val="auto"/>
          <w:sz w:val="24"/>
        </w:rPr>
        <w:t>宜编〔2019〕98号</w:t>
      </w:r>
      <w:r>
        <w:rPr>
          <w:rFonts w:hint="eastAsia" w:eastAsia="仿宋_GB2312"/>
          <w:color w:val="auto"/>
          <w:sz w:val="24"/>
          <w:lang w:eastAsia="zh-CN"/>
        </w:rPr>
        <w:t>）</w:t>
      </w:r>
      <w:r>
        <w:rPr>
          <w:rFonts w:hint="eastAsia" w:eastAsia="仿宋_GB2312"/>
          <w:color w:val="auto"/>
          <w:sz w:val="24"/>
        </w:rPr>
        <w:t>，2019年8月，长江湖北宜昌中华鲟自然保护区管理处成为宜昌市林业和园林局管理的公益一类事业单位（市农业农村局所属的市渔政监察支队不再加挂长江湖北宜昌中华鲟自然保护区管理处的牌子）。渔政执法机构与保护区管理机构调整设置后，渔政执法机构继续承担中华鲟自然保护区内的渔政执法、日常水面巡查和水生野生动植物保护监管与执法，配合保护区管理机构开展中华鲟监测、救治救护等涉水工作，保护区管理机构负责区内的其他日常巡查和涉保护区工程项目建设生态环境影响评价等工作，配合渔政执法机构做好水面巡查和执法工作。</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保护区管理处的主要职责包括：负责协助主管部门做好中华鲟自然保护区的规划编制、建设及相关管理工作；负责保护区的日常管理，承担中华鲟监测、救治救护、科普宣传、资源调查、增殖放流、科学研究等工作</w:t>
      </w:r>
      <w:r>
        <w:rPr>
          <w:rFonts w:hint="eastAsia" w:eastAsia="仿宋_GB2312"/>
          <w:color w:val="auto"/>
          <w:sz w:val="24"/>
          <w:lang w:eastAsia="zh-CN"/>
        </w:rPr>
        <w:t>。</w:t>
      </w:r>
    </w:p>
    <w:p>
      <w:pPr>
        <w:pStyle w:val="8"/>
        <w:widowControl w:val="0"/>
        <w:spacing w:before="120" w:after="120" w:line="360" w:lineRule="auto"/>
        <w:rPr>
          <w:rFonts w:ascii="Times New Roman" w:hAnsi="Times New Roman"/>
          <w:b w:val="0"/>
          <w:color w:val="auto"/>
          <w:szCs w:val="32"/>
        </w:rPr>
      </w:pPr>
      <w:bookmarkStart w:id="440" w:name="_Toc24693"/>
      <w:r>
        <w:rPr>
          <w:rFonts w:hint="eastAsia" w:ascii="Times New Roman" w:hAnsi="Times New Roman"/>
          <w:b w:val="0"/>
          <w:color w:val="auto"/>
          <w:szCs w:val="32"/>
          <w:lang w:val="en-US" w:eastAsia="zh-CN"/>
        </w:rPr>
        <w:t>6</w:t>
      </w:r>
      <w:r>
        <w:rPr>
          <w:rFonts w:ascii="Times New Roman" w:hAnsi="Times New Roman"/>
          <w:b w:val="0"/>
          <w:color w:val="auto"/>
          <w:szCs w:val="32"/>
        </w:rPr>
        <w:t>.</w:t>
      </w:r>
      <w:r>
        <w:rPr>
          <w:rFonts w:hint="eastAsia" w:ascii="Times New Roman" w:hAnsi="Times New Roman"/>
          <w:b w:val="0"/>
          <w:color w:val="auto"/>
          <w:szCs w:val="32"/>
          <w:lang w:val="en-US" w:eastAsia="zh-CN"/>
        </w:rPr>
        <w:t>2</w:t>
      </w:r>
      <w:r>
        <w:rPr>
          <w:rFonts w:hint="eastAsia" w:ascii="Times New Roman" w:hAnsi="Times New Roman"/>
          <w:b w:val="0"/>
          <w:color w:val="auto"/>
          <w:szCs w:val="32"/>
        </w:rPr>
        <w:t>对长江湖北宜昌中华鲟自然保护区外围保护地带和中华鲟的影响分析</w:t>
      </w:r>
      <w:bookmarkEnd w:id="440"/>
    </w:p>
    <w:p>
      <w:pPr>
        <w:pStyle w:val="9"/>
        <w:keepNext w:val="0"/>
        <w:keepLines w:val="0"/>
        <w:widowControl w:val="0"/>
        <w:spacing w:before="120" w:after="120" w:line="360" w:lineRule="auto"/>
        <w:rPr>
          <w:rFonts w:hint="default" w:eastAsia="黑体"/>
          <w:b w:val="0"/>
          <w:color w:val="auto"/>
          <w:sz w:val="24"/>
          <w:lang w:val="en-US" w:eastAsia="zh-CN"/>
        </w:rPr>
      </w:pPr>
      <w:bookmarkStart w:id="441" w:name="_Toc5188"/>
      <w:r>
        <w:rPr>
          <w:rFonts w:hint="eastAsia" w:eastAsia="黑体"/>
          <w:b w:val="0"/>
          <w:color w:val="auto"/>
          <w:sz w:val="24"/>
          <w:lang w:val="en-US" w:eastAsia="zh-CN"/>
        </w:rPr>
        <w:t>6.2.1工程对中华鲟的影响分析</w:t>
      </w:r>
      <w:bookmarkEnd w:id="441"/>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6.2.1.1中华鲟资源状况</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葛洲坝截流20余年后，中华鲟产卵群体的结构特别是雌雄性比发生了较大变化。此外1981年至1999年的19年间，中华鲟繁殖群体的数量减少了90%左右，2005-2007年产卵前中华鲟繁殖群体的数量分别为235尾、217尾和203尾。这些均表明中华鲟的资源状况已明显衰退。</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1981年葛洲坝截流以后，虽然我国政府针对中华鲟采取了一系列的保护措施（禁止商业捕捞、限制科研用鱼、进行人工繁殖放流、建立自然保护区等），而且葛洲坝截流后不久，中华鲟对改变了的环境产生了一定的适应性，但葛洲坝截流20多年后，坝下中华鲟产卵群体结构的发生了明显变化。2003年，位于葛洲坝上游47km的三峡大坝开始蓄水，进一步改变了坝下中华鲟产卵场的水文节律。尽管如此，目前葛洲坝下的中华鲟产卵场仍然是有效的，主要表现在三个方面，一是在每年的中华鲟繁殖季节中，在中华鲟产卵场能够捕获到一定数量的成熟亲鲟，供人工繁殖；二是在每年的中华鲟繁殖季节中，在中华鲟产卵场通过食卵鱼类的解剖监测和江底中华鲟卵的采捞，能依次采集到已受精的中华鲟卵、正在发育的中华鲟胚胎、正在孵出的和出膜以后的中华鲟仔鱼；三是1993-2004年在中华鲟产卵场采集并鉴定了年龄的中华鲟亲鲟中，共发现28尾葛洲坝截流后出生的亲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中华鲟繁殖群体资源状况下降的同时，长江口中华鲟幼鱼群体的数量也明显减少。上世纪中华鲟幼鱼曾是长江口4种主要的经济鱼类之一，而葛洲坝截流后，每年的总误捕量只有5000尾左右。上世纪末，长江口江苏溆浦段中华鲟幼鱼资源量出现了回升趋势，年误捕量达10000尾，但2000-2009年这一阶段的逐年监测数据表明，中华鲟幼鱼的数量正在逐步降低，2009年5-7月该监测站的获得的误捕数量只有17尾。近年来在葛洲坝下中华鲟产卵场的联合监测结果来看，2017、2018和2019年度，中华鲟自然繁殖群体数量约为20余尾，而刚刚结束的2020年中华鲟自然繁殖联合调查结果显示，中华鲟繁殖群体数量仅为10余尾。</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Zhang等（2014）利用水声学探测技术对葛洲坝下80km江段进行了周年监测，结果显示在中华鲟自然繁殖期和非繁殖期均发现疑似中华鲟声学信号，且中华鲟声学信号在此江段中主要分布在葛洲坝至十里红、胭脂坝、西偏坡和清江口4个区域。李君轶（2017）在2014-2016年间利用水声学探测技术对葛洲坝下约80 km的长江干流中华鲟重点栖息江段进行了12次走航探测，获得中华鲟声学信号24个。2019年10月-2019年12月在葛洲坝下中华鲟自然保护区进行了41次渔业声学探测，共获得探测数据867个（每个数据时长约10min），数据量104GB。采用Echoview软件对声学回声数据进行了分析，共识别出中华鲟声学回声疑似信号41个，主要分布于葛洲坝-胭脂坝江段，另有两尾分布于芦家河水道上方。</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通过实地调查与历史资料的收集，发现中华鲟产卵场主要位于葛洲坝下大江电厂的尾水区，在虎牙滩偶尔会发现有中华鲟繁殖，本项目工程附近没有中华鲟的产卵场分布。中华鲟产卵期间栖息和活动的水域范围主要在大江电厂出水口至宜昌庙咀；大江至胭脂坝的长江河槽是中华鲟迁移的主路线。</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6.2.1.2对中华鲟繁殖活动的影响</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中华鲟（</w:t>
      </w:r>
      <w:r>
        <w:rPr>
          <w:rFonts w:hint="eastAsia" w:eastAsia="仿宋_GB2312"/>
          <w:i/>
          <w:iCs/>
          <w:color w:val="auto"/>
          <w:sz w:val="24"/>
        </w:rPr>
        <w:t>Acipenser sinensis</w:t>
      </w:r>
      <w:r>
        <w:rPr>
          <w:rFonts w:hint="eastAsia" w:eastAsia="仿宋_GB2312"/>
          <w:color w:val="auto"/>
          <w:sz w:val="24"/>
        </w:rPr>
        <w:t>）是典型的大型溯河生殖洄游型鱼类，幼鱼在海区生长，性成熟进入长江进行繁殖。1981年葛洲坝水利枢纽工程截流阻断了长江中华鲟的洄游通道，原来分布在葛洲坝以上江段的产前栖息地和产卵场无法再被利用。所幸的是，截流后的第2年发现中华鲟在葛洲坝下至古老背约30km的江段有产卵活动，后期逐渐在葛洲坝至庙咀约3.85km的江段形成较稳定的产卵场。本码头对应江段位于中华鲟产卵场的下游，距中华鲟稳定产卵场约65km，距历史偶发产卵场约56km，码头不会影响上游中华鲟产卵场生境质量。</w:t>
      </w:r>
    </w:p>
    <w:p>
      <w:pPr>
        <w:widowControl w:val="0"/>
        <w:spacing w:before="120" w:after="120" w:line="360" w:lineRule="auto"/>
        <w:outlineLvl w:val="3"/>
        <w:rPr>
          <w:rFonts w:hint="eastAsia" w:eastAsia="黑体"/>
          <w:color w:val="auto"/>
          <w:sz w:val="24"/>
          <w:lang w:val="en-US" w:eastAsia="zh-CN"/>
        </w:rPr>
      </w:pPr>
      <w:r>
        <w:rPr>
          <w:rFonts w:hint="eastAsia" w:eastAsia="黑体"/>
          <w:color w:val="auto"/>
          <w:sz w:val="24"/>
          <w:lang w:val="en-US" w:eastAsia="zh-CN"/>
        </w:rPr>
        <w:t>6.2.1.3对中华鲟成鱼栖息或洄游的影响</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中华鲟的产卵时间为每年的10</w:t>
      </w:r>
      <w:r>
        <w:rPr>
          <w:rFonts w:hint="eastAsia" w:eastAsia="仿宋_GB2312"/>
          <w:color w:val="auto"/>
          <w:sz w:val="24"/>
          <w:lang w:val="en-US" w:eastAsia="zh-CN"/>
        </w:rPr>
        <w:t>~</w:t>
      </w:r>
      <w:r>
        <w:rPr>
          <w:rFonts w:hint="eastAsia" w:eastAsia="仿宋_GB2312"/>
          <w:color w:val="auto"/>
          <w:sz w:val="24"/>
        </w:rPr>
        <w:t>11月，最近几年多发生在11月下旬，由于三峡水利枢纽工程蓄水运行，秋季水温下降趋势减缓，近年来产卵时间有进一步推迟的趋势。</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产卵前的中华鲟进入淡水后有一段时间的性腺发育期。对长江中华鲟繁殖群体性腺发育的研究表明，中华鲟亲鱼从溯河洄游到完成繁殖至少需要18个月时间。在此期间亲鱼主要在保护区江段生活栖息，完成性腺发育至次年参加繁殖。亲鱼喜沿长江主河道有深槽沙坝的河段游移，多栖息于11.0～17.8m的水层中。中华鲟在葛洲坝下产卵期间的活动范围主要在大江电厂出水口至西坝庙咀；沿大江至红花套的长江主河槽作为中华鲟迁移的主路线，也有少量中华鲟的出现，但中华鲟一般不在此作长时间停留。水流平缓的三江水域以及水流湍急的二江电厂和泄洪闸出水区均未发现中华鲟的栖息。根据中华鲟习性分析，中华鲟亲鱼洄游时主要行走主航道的深槽沙坝，在底层深水区活动，本项目码头位于长江</w:t>
      </w:r>
      <w:r>
        <w:rPr>
          <w:rFonts w:hint="eastAsia" w:eastAsia="仿宋_GB2312"/>
          <w:color w:val="auto"/>
          <w:sz w:val="24"/>
          <w:lang w:val="en-US" w:eastAsia="zh-CN"/>
        </w:rPr>
        <w:t>右岸</w:t>
      </w:r>
      <w:r>
        <w:rPr>
          <w:rFonts w:hint="eastAsia" w:eastAsia="仿宋_GB2312"/>
          <w:color w:val="auto"/>
          <w:sz w:val="24"/>
        </w:rPr>
        <w:t>岸边浅水区，因此本项目作业区对中华鲟亲鱼洄游造成的影响较小。</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2019年10月</w:t>
      </w:r>
      <w:r>
        <w:rPr>
          <w:rFonts w:hint="eastAsia" w:eastAsia="仿宋_GB2312"/>
          <w:color w:val="auto"/>
          <w:sz w:val="24"/>
          <w:lang w:val="en-US" w:eastAsia="zh-CN"/>
        </w:rPr>
        <w:t>~</w:t>
      </w:r>
      <w:r>
        <w:rPr>
          <w:rFonts w:hint="eastAsia" w:eastAsia="仿宋_GB2312"/>
          <w:color w:val="auto"/>
          <w:sz w:val="24"/>
        </w:rPr>
        <w:t>2019年12月在葛洲坝下中华鲟自然保护区进行了41次渔业声学探测，共获得探测数据867个（每个数据时长约10min），数据量104GB。采用Echoview软件对声学回声数据进行了分析，共识别出中华鲟声学回声疑似信号4</w:t>
      </w:r>
      <w:r>
        <w:rPr>
          <w:rFonts w:hint="eastAsia" w:ascii="Times New Roman" w:hAnsi="Times New Roman" w:eastAsia="仿宋_GB2312" w:cs="Times New Roman"/>
          <w:color w:val="auto"/>
          <w:sz w:val="24"/>
        </w:rPr>
        <w:t>1个（图</w:t>
      </w:r>
      <w:r>
        <w:rPr>
          <w:rFonts w:hint="eastAsia" w:ascii="Times New Roman" w:hAnsi="Times New Roman" w:eastAsia="仿宋_GB2312" w:cs="Times New Roman"/>
          <w:color w:val="auto"/>
          <w:sz w:val="24"/>
          <w:lang w:val="en-US" w:eastAsia="zh-CN"/>
        </w:rPr>
        <w:t>6</w:t>
      </w:r>
      <w:r>
        <w:rPr>
          <w:rFonts w:hint="eastAsia" w:ascii="Times New Roman" w:hAnsi="Times New Roman" w:eastAsia="仿宋_GB2312" w:cs="Times New Roman"/>
          <w:color w:val="auto"/>
          <w:sz w:val="24"/>
        </w:rPr>
        <w:t>.</w:t>
      </w:r>
      <w:r>
        <w:rPr>
          <w:rFonts w:hint="eastAsia" w:ascii="Times New Roman" w:hAnsi="Times New Roman" w:eastAsia="仿宋_GB2312" w:cs="Times New Roman"/>
          <w:color w:val="auto"/>
          <w:sz w:val="24"/>
          <w:lang w:val="en-US" w:eastAsia="zh-CN"/>
        </w:rPr>
        <w:t>2</w:t>
      </w:r>
      <w:r>
        <w:rPr>
          <w:rFonts w:hint="eastAsia" w:ascii="Times New Roman" w:hAnsi="Times New Roman" w:eastAsia="仿宋_GB2312" w:cs="Times New Roman"/>
          <w:color w:val="auto"/>
          <w:sz w:val="24"/>
        </w:rPr>
        <w:t>-1），</w:t>
      </w:r>
      <w:r>
        <w:rPr>
          <w:rFonts w:hint="eastAsia" w:eastAsia="仿宋_GB2312"/>
          <w:color w:val="auto"/>
          <w:sz w:val="24"/>
        </w:rPr>
        <w:t>主要分布于葛洲坝-胭脂坝江段，另有两尾分布于芦家河水道上方。项目工程邻近水域内无中华鲟分布。此外，中华鲟的洄游迁移水域主要在水体较深的江心深槽。由于中华鲟成鱼个体大，有较强的游泳能力，对异常现象的回避能力较强，且根据声学调查，中华鲟主要在12m左右的深水区活动。</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工程位于保护区外围地带，中华鲟在码头邻近水域较少停留，且中华鲟的洄游迁移水域主要在水体较深的江心深槽。而码头位于长江南岸岸边浅水区，仅2艏趸船涉水不占用主要河道，码头不会直接占据中华鲟成鱼的栖息地或阻隔其洄游通道。转运台基桩施工和运营船舶的噪音和振动、悬浮物和事故污染等，可能会对会对中华鲟成鱼和幼鱼的栖息及洄游产生一定的干扰，但其影响在可控范围之内。</w:t>
      </w:r>
    </w:p>
    <w:p>
      <w:pPr>
        <w:adjustRightInd w:val="0"/>
        <w:snapToGrid w:val="0"/>
        <w:spacing w:line="360" w:lineRule="auto"/>
        <w:jc w:val="center"/>
        <w:rPr>
          <w:rFonts w:ascii="Times New Roman" w:eastAsia="楷体_GB2312"/>
          <w:color w:val="auto"/>
          <w:sz w:val="28"/>
        </w:rPr>
      </w:pPr>
      <w:r>
        <w:rPr>
          <w:rFonts w:ascii="Times New Roman" w:eastAsia="楷体_GB2312"/>
          <w:color w:val="auto"/>
          <w:sz w:val="28"/>
        </w:rPr>
        <w:drawing>
          <wp:inline distT="0" distB="0" distL="114300" distR="114300">
            <wp:extent cx="5266690" cy="2398395"/>
            <wp:effectExtent l="0" t="0" r="10160" b="1905"/>
            <wp:docPr id="23" name="图片 108" descr="说明: 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8" descr="说明: 图片2"/>
                    <pic:cNvPicPr>
                      <a:picLocks noChangeAspect="1"/>
                    </pic:cNvPicPr>
                  </pic:nvPicPr>
                  <pic:blipFill>
                    <a:blip r:embed="rId239"/>
                    <a:stretch>
                      <a:fillRect/>
                    </a:stretch>
                  </pic:blipFill>
                  <pic:spPr>
                    <a:xfrm>
                      <a:off x="0" y="0"/>
                      <a:ext cx="5266690" cy="2398395"/>
                    </a:xfrm>
                    <a:prstGeom prst="rect">
                      <a:avLst/>
                    </a:prstGeom>
                    <a:noFill/>
                    <a:ln>
                      <a:noFill/>
                    </a:ln>
                  </pic:spPr>
                </pic:pic>
              </a:graphicData>
            </a:graphic>
          </wp:inline>
        </w:drawing>
      </w:r>
    </w:p>
    <w:p>
      <w:pPr>
        <w:spacing w:line="360" w:lineRule="auto"/>
        <w:jc w:val="center"/>
        <w:rPr>
          <w:rFonts w:eastAsia="黑体"/>
          <w:b/>
          <w:color w:val="auto"/>
          <w:szCs w:val="21"/>
        </w:rPr>
      </w:pPr>
      <w:r>
        <w:rPr>
          <w:rFonts w:eastAsia="黑体"/>
          <w:b/>
          <w:color w:val="auto"/>
          <w:szCs w:val="21"/>
        </w:rPr>
        <w:t>图</w:t>
      </w:r>
      <w:r>
        <w:rPr>
          <w:rFonts w:hint="eastAsia" w:eastAsia="黑体"/>
          <w:b/>
          <w:color w:val="auto"/>
          <w:szCs w:val="21"/>
          <w:lang w:val="en-US" w:eastAsia="zh-CN"/>
        </w:rPr>
        <w:t>6</w:t>
      </w:r>
      <w:r>
        <w:rPr>
          <w:rFonts w:eastAsia="黑体"/>
          <w:b/>
          <w:color w:val="auto"/>
          <w:szCs w:val="21"/>
        </w:rPr>
        <w:t>.</w:t>
      </w:r>
      <w:r>
        <w:rPr>
          <w:rFonts w:hint="eastAsia" w:eastAsia="黑体"/>
          <w:b/>
          <w:color w:val="auto"/>
          <w:szCs w:val="21"/>
          <w:lang w:val="en-US" w:eastAsia="zh-CN"/>
        </w:rPr>
        <w:t>2</w:t>
      </w:r>
      <w:r>
        <w:rPr>
          <w:rFonts w:eastAsia="黑体"/>
          <w:b/>
          <w:color w:val="auto"/>
          <w:szCs w:val="21"/>
        </w:rPr>
        <w:t>-1  2019年度葛洲坝下中华鲟目标主要分布</w:t>
      </w:r>
    </w:p>
    <w:p>
      <w:pPr>
        <w:pStyle w:val="9"/>
        <w:keepNext w:val="0"/>
        <w:keepLines w:val="0"/>
        <w:widowControl w:val="0"/>
        <w:spacing w:before="120" w:after="120" w:line="360" w:lineRule="auto"/>
        <w:rPr>
          <w:rFonts w:hint="default" w:eastAsia="黑体"/>
          <w:b w:val="0"/>
          <w:color w:val="auto"/>
          <w:sz w:val="24"/>
          <w:lang w:val="en-US" w:eastAsia="zh-CN"/>
        </w:rPr>
      </w:pPr>
      <w:bookmarkStart w:id="442" w:name="_Toc10016"/>
      <w:r>
        <w:rPr>
          <w:rFonts w:hint="eastAsia" w:eastAsia="黑体"/>
          <w:b w:val="0"/>
          <w:color w:val="auto"/>
          <w:sz w:val="24"/>
          <w:lang w:val="en-US" w:eastAsia="zh-CN"/>
        </w:rPr>
        <w:t>6.2.2工程对白鲟和长江鲟的影响分析</w:t>
      </w:r>
      <w:bookmarkEnd w:id="442"/>
    </w:p>
    <w:p>
      <w:pPr>
        <w:widowControl w:val="0"/>
        <w:spacing w:line="360" w:lineRule="auto"/>
        <w:ind w:firstLine="480" w:firstLineChars="200"/>
        <w:rPr>
          <w:rFonts w:hint="eastAsia" w:eastAsia="仿宋_GB2312"/>
          <w:color w:val="auto"/>
          <w:sz w:val="24"/>
        </w:rPr>
      </w:pPr>
      <w:r>
        <w:rPr>
          <w:rFonts w:hint="eastAsia" w:eastAsia="仿宋_GB2312"/>
          <w:color w:val="auto"/>
          <w:sz w:val="24"/>
        </w:rPr>
        <w:t>白鲟历史上主要分布在长江干流，在长江中下游，自从2002年在长江下游南京江段发现1尾白鲟成鱼后，再无发现。在宜昌中华鲟保护区江段，1995年以后就没有发现捕获白鲟成鱼或幼鱼的记录或报导。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2022年7月21日，世界自然保护联盟（IUCN）发布全球物种红色目录更新报告，认定白鲟灭绝。因此，本项目对白鲟已无现实影响。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长江鲟主要分布在长江上游和金沙江，目前在长江中游江段发现的长江鲟均为增殖放流个体，在宜昌保护区江段也偶有发现。长江鲟成鱼属于大河生活鱼类，游泳能力较强，对噪声和水质变化等胁迫因素有一定的适应性和回避能力，即使在保护区范围内仍然栖息有少量个体，工程直接影响面积相对较小，对其栖息和生存的不利影响微小</w:t>
      </w:r>
      <w:r>
        <w:rPr>
          <w:rFonts w:hint="eastAsia" w:eastAsia="仿宋_GB2312"/>
          <w:color w:val="auto"/>
          <w:sz w:val="24"/>
          <w:lang w:eastAsia="zh-CN"/>
        </w:rPr>
        <w:t>。</w:t>
      </w:r>
    </w:p>
    <w:p>
      <w:pPr>
        <w:pStyle w:val="9"/>
        <w:keepNext w:val="0"/>
        <w:keepLines w:val="0"/>
        <w:widowControl w:val="0"/>
        <w:spacing w:before="120" w:after="120" w:line="360" w:lineRule="auto"/>
        <w:rPr>
          <w:rFonts w:hint="default" w:eastAsia="黑体"/>
          <w:b w:val="0"/>
          <w:color w:val="auto"/>
          <w:sz w:val="24"/>
          <w:lang w:val="en-US" w:eastAsia="zh-CN"/>
        </w:rPr>
      </w:pPr>
      <w:bookmarkStart w:id="443" w:name="_Toc30372"/>
      <w:r>
        <w:rPr>
          <w:rFonts w:hint="eastAsia" w:eastAsia="黑体"/>
          <w:b w:val="0"/>
          <w:color w:val="auto"/>
          <w:sz w:val="24"/>
          <w:lang w:val="en-US" w:eastAsia="zh-CN"/>
        </w:rPr>
        <w:t>6.2.3工程对胭脂鱼的影响分析</w:t>
      </w:r>
      <w:bookmarkEnd w:id="443"/>
    </w:p>
    <w:p>
      <w:pPr>
        <w:widowControl w:val="0"/>
        <w:spacing w:line="360" w:lineRule="auto"/>
        <w:ind w:firstLine="480" w:firstLineChars="200"/>
        <w:rPr>
          <w:rFonts w:hint="eastAsia" w:eastAsia="仿宋_GB2312"/>
          <w:color w:val="auto"/>
          <w:sz w:val="24"/>
        </w:rPr>
      </w:pPr>
      <w:r>
        <w:rPr>
          <w:rFonts w:hint="eastAsia" w:eastAsia="仿宋_GB2312"/>
          <w:color w:val="auto"/>
          <w:sz w:val="24"/>
        </w:rPr>
        <w:t>胭脂鱼广泛分布于长江水系干、支流，主要产卵场分布在长江宜宾至重庆江段及其支流，主要产卵场分布在金沙江、赤水河、岷江和长江交汇江段。葛洲坝截流后，中华鲟自然保护区分布有胭脂鱼多个产卵场，从上至下依次为：葛洲坝坝下至孝子岩、烟收坝至虎牙滩、红花套至后江沱、白洋至楼子河、枝城江段。其中枝城江段产卵场位于工程邻近下游水域，施工和运营期间，运输船舶若在码头邻近水域发生燃油泄露等污染事故，将影响胭脂鱼产卵场的生境。</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胭脂鱼受精卵一般粘附在产卵场江底的卵石、岩石、砾石上或沉入其缝隙中孵化。胭脂鱼卵受精后，卵吸水膨胀，受精卵的粘性相对较小，部分受精卵可能被水流冲击而脱落并向下漂流。如胭脂鱼有自然产卵发生，上游葛洲坝坝下至孝子岩等产卵场的部分受精卵可能被水流带入码头该水域。如果停滞不前，码头等污废水的排放将会对胚胎发育造成一定的不利影响，甚至可能导致其直接损伤致死</w:t>
      </w:r>
      <w:r>
        <w:rPr>
          <w:rFonts w:hint="eastAsia" w:eastAsia="仿宋_GB2312"/>
          <w:color w:val="auto"/>
          <w:sz w:val="24"/>
          <w:lang w:eastAsia="zh-CN"/>
        </w:rPr>
        <w:t>。</w:t>
      </w:r>
    </w:p>
    <w:p>
      <w:pPr>
        <w:pStyle w:val="9"/>
        <w:keepNext w:val="0"/>
        <w:keepLines w:val="0"/>
        <w:widowControl w:val="0"/>
        <w:spacing w:before="120" w:after="120" w:line="360" w:lineRule="auto"/>
        <w:rPr>
          <w:rFonts w:hint="default" w:eastAsia="黑体"/>
          <w:b w:val="0"/>
          <w:color w:val="auto"/>
          <w:sz w:val="24"/>
          <w:lang w:val="en-US" w:eastAsia="zh-CN"/>
        </w:rPr>
      </w:pPr>
      <w:bookmarkStart w:id="444" w:name="_Toc30465"/>
      <w:r>
        <w:rPr>
          <w:rFonts w:hint="eastAsia" w:eastAsia="黑体"/>
          <w:b w:val="0"/>
          <w:color w:val="auto"/>
          <w:sz w:val="24"/>
          <w:lang w:val="en-US" w:eastAsia="zh-CN"/>
        </w:rPr>
        <w:t>6.2.4工程对其他珍稀物种及经济鱼类的影响分析</w:t>
      </w:r>
      <w:bookmarkEnd w:id="444"/>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6.2.4.1工程对长江江豚的影响分析</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2021年6月至10月，我国福建和浙江沿海接连发生了共计7次的群发性鲸类搁浅事件。中国科学研究院水生生物研究所对7月份搁浅后被救护的一头瓜头鲸的听觉能力进行了研究，结果表明该头瓜头鲸出现了严重的听觉损伤。研究人员推测相关水域的水体噪音污染导致鲸类发生听觉损伤是引发浙江沿海群发性的鲸类搁浅事件的重要原因之一。长江江豚与鲸类似，主要依靠声音进行导航、社交、吸引伴侣、避险和寻找猎物。Wang等（2021）研究表明，长江江豚的听觉阈值、敏感频率和听觉敏感频段分别为51~55kHz、76kHz和11.2~152kHz。Fang等（2015）研究表明，野外长江江豚发出的回声定位信号中心频率达129±5kHz，表观声源级可达176±10dB，而幼豚（出生小于20d）不能熟练发出高频信号，只能发出2－3kHz的低频信号。短暂或长期高强度噪声会对长江江豚产生听力损失、生理反应、行为变化等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随着保护力度的加强，葛洲坝下宜昌江段内的长江江豚数量逐渐增加，长江江豚出现频率明显增多。根据中国科学院水生生物研究所近年对长江江豚分布的调查结果，葛洲坝下主要存在两个长江江豚群体，其主要活动范围为葛洲坝下近坝水域和胭脂坝水域。本码头距离长江江豚主要栖息位置较远，但不排除长江江豚到该江段觅食、栖息的可能。运营后船舶噪声将对码头邻近水域的江豚造成一定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此外，码头运营船舶数量增加，加大了螺旋桨对邻近水域江豚伤害几率。根据近年来长江下游航运船舶导致螺旋桨误伤的江豚统计数据，2008年至2015年期间共发生171起江豚死亡事件。2018年湖口水域江豚死亡超过30起，造成了江豚资源量的进一步减少。经分析约有32%非正常死亡的豚类来自船舶撞死，说明航运船舶数量对豚类的误伤有一定的影响。码头运营后到港船舶数量增多，将增大对长江江豚撞伤致死几率。</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总体而言，施工和运行船舶噪声等将干扰长江江豚在本江段的正常栖息和生存，在采取相关保护措施后，可降低对长江江豚的影响</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6.2.4.2工程对“四大家鱼”和其他经济鱼类的影响分析</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宜昌中华鲟保护区内有2处四大家鱼产卵场，分别为宜昌产卵场和虎牙滩产卵场。前者从十里红延伸至胭脂坝中段，延绵8km；后者从仙人桥至虎牙滩，延伸3km。此外，长江宜昌江段分布的鱼类共有100余种，包括重要的经济鱼类铜鱼、草鱼、鲢、鳙、鳡、青鱼、鳜和鲌类等。由于大坝的阻隔作用，长鳍吻鮈和长薄鳅等河流洄游性鱼类也大量聚集于此，是江湖洄游性鱼类的重要产卵场。</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本码头位于近岸，远离主航道，</w:t>
      </w:r>
      <w:r>
        <w:rPr>
          <w:rFonts w:hint="eastAsia" w:eastAsia="仿宋_GB2312"/>
          <w:color w:val="auto"/>
          <w:sz w:val="24"/>
          <w:lang w:val="en-US" w:eastAsia="zh-CN"/>
        </w:rPr>
        <w:t>距离最近的</w:t>
      </w:r>
      <w:r>
        <w:rPr>
          <w:rFonts w:hint="eastAsia" w:eastAsia="仿宋_GB2312"/>
          <w:color w:val="auto"/>
          <w:sz w:val="24"/>
        </w:rPr>
        <w:t>产漂流性卵鱼类产卵场</w:t>
      </w:r>
      <w:r>
        <w:rPr>
          <w:rFonts w:hint="eastAsia" w:eastAsia="仿宋_GB2312"/>
          <w:color w:val="auto"/>
          <w:sz w:val="24"/>
          <w:lang w:val="en-US" w:eastAsia="zh-CN"/>
        </w:rPr>
        <w:t>为下游7.7km处的松滋河口，</w:t>
      </w:r>
      <w:r>
        <w:rPr>
          <w:rFonts w:hint="eastAsia" w:eastAsia="仿宋_GB2312"/>
          <w:color w:val="auto"/>
          <w:sz w:val="24"/>
        </w:rPr>
        <w:t>对四大家鱼以及其他经济洄游鱼类的影响较小。码头为浮式结构，趸船等设置了污水、固废收集处理系统，不外排，不占用保护区滩涂地带等鱼类早期资源的适宜栖息生境，对保护区内其他鱼类早期资源的影响有限。</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邸凌杰对长江上游航道3000吨级散货船的水下噪声进行了监测，得到了不同船速下船舶水下噪声声压值。其结果显示散货船舶水下声压级范围为</w:t>
      </w:r>
      <w:r>
        <w:rPr>
          <w:rFonts w:hint="eastAsia" w:eastAsia="仿宋_GB2312"/>
          <w:color w:val="auto"/>
          <w:sz w:val="24"/>
          <w:lang w:val="en-US" w:eastAsia="zh-CN"/>
        </w:rPr>
        <w:t>1</w:t>
      </w:r>
      <w:r>
        <w:rPr>
          <w:rFonts w:hint="eastAsia" w:eastAsia="仿宋_GB2312"/>
          <w:color w:val="auto"/>
          <w:sz w:val="24"/>
        </w:rPr>
        <w:t>50dB～180dB，超过航道内典型鱼类的听力阈值，会在一定程度上干扰鱼类，声源频率主要集中在300～1000Hz的低频段。根据对不同船速水下噪声的监测结果显示，不同航速下船舶的水下噪声频率均集中在低频，声压级均在150dB～180dB，且随着航速的增加，水下噪声声压级越高。</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邢彬彬（2018）研究得到鲫鱼最敏感频率为800Hz，最低阈值为76±0.90dB。Lovell等（2006）研究发现鲢的最低听阈为104.2dB，鳙的最低听阈为105.7dB，敏感频率为750-1500Hz。经现有文献中对鲤科鱼类听力阈值研究汇总得知，多数鲤科鱼类对</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300-3000Hz频率比较敏感，听力阈值最低大约为58dB。3000吨级散装货船水下噪声的声压级超过航道内典型鱼类的听力阈值，航道内多数船舶辐射噪声声压值均有可能超过鱼类的听力阈值，将对鱼类等水生生物产生不利影响。张天赐等（2018）在长江和畅洲江段对过往的各类常见大型船舶（长&gt;15m且宽&gt;5m）的航行噪声进行了监测，结果表明大型船舶的航行噪声能量分布频率范围较广(＞100kHz)，但能量主要集中于中低频(＜10kHz)部分，各频率(20Hz～144kHz)处的均方根声压级(SPLrms)对环境背景噪声在该频率处的噪声增量范围为3.7～66.5dB。而船舶航行噪声的声源级中最低为149.5dB，最高为156.0dB，均远高于本底噪声（128.8dB）。</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船只航行的噪声和波浪会造成鱼类的主动回避，航道范围内的鱼类将迁移至其他水域，对鱼类的种群和数量影响不大。</w:t>
      </w:r>
    </w:p>
    <w:p>
      <w:pPr>
        <w:pStyle w:val="8"/>
        <w:widowControl w:val="0"/>
        <w:spacing w:before="120" w:after="120" w:line="360" w:lineRule="auto"/>
        <w:rPr>
          <w:rFonts w:hint="eastAsia" w:ascii="Times New Roman" w:hAnsi="Times New Roman"/>
          <w:b w:val="0"/>
          <w:color w:val="auto"/>
          <w:szCs w:val="32"/>
          <w:lang w:val="en-US" w:eastAsia="zh-CN"/>
        </w:rPr>
      </w:pPr>
      <w:bookmarkStart w:id="445" w:name="_Toc21409"/>
      <w:r>
        <w:rPr>
          <w:rFonts w:hint="eastAsia" w:ascii="Times New Roman" w:hAnsi="Times New Roman"/>
          <w:b w:val="0"/>
          <w:color w:val="auto"/>
          <w:szCs w:val="32"/>
          <w:lang w:val="en-US" w:eastAsia="zh-CN"/>
        </w:rPr>
        <w:t>6.3工程对保护区结构和功能的影响</w:t>
      </w:r>
      <w:bookmarkEnd w:id="445"/>
    </w:p>
    <w:p>
      <w:pPr>
        <w:widowControl w:val="0"/>
        <w:spacing w:line="360" w:lineRule="auto"/>
        <w:ind w:firstLine="480" w:firstLineChars="200"/>
        <w:rPr>
          <w:rFonts w:hint="eastAsia" w:eastAsia="仿宋_GB2312"/>
          <w:color w:val="auto"/>
          <w:sz w:val="24"/>
        </w:rPr>
      </w:pPr>
      <w:r>
        <w:rPr>
          <w:rFonts w:hint="eastAsia" w:eastAsia="仿宋_GB2312"/>
          <w:color w:val="auto"/>
          <w:sz w:val="24"/>
        </w:rPr>
        <w:t>长江湖北宜昌中华鲟自然保护区范围为葛洲坝至枝城杨家溪江段，上游起点至下游终点。全长约60公里，面积约6735.88公顷。本项目位于保护区外围地带，仅都2艏趸船和3个撑墩</w:t>
      </w:r>
      <w:r>
        <w:rPr>
          <w:rFonts w:hint="eastAsia" w:eastAsia="仿宋_GB2312"/>
          <w:color w:val="auto"/>
          <w:sz w:val="24"/>
          <w:lang w:eastAsia="zh-CN"/>
        </w:rPr>
        <w:t>，</w:t>
      </w:r>
      <w:r>
        <w:rPr>
          <w:rFonts w:hint="eastAsia" w:eastAsia="仿宋_GB2312"/>
          <w:color w:val="auto"/>
          <w:sz w:val="24"/>
        </w:rPr>
        <w:t>占保护区外围地带面积3062m</w:t>
      </w:r>
      <w:r>
        <w:rPr>
          <w:rFonts w:hint="eastAsia" w:eastAsia="仿宋_GB2312"/>
          <w:color w:val="auto"/>
          <w:sz w:val="24"/>
          <w:vertAlign w:val="superscript"/>
        </w:rPr>
        <w:t>2</w:t>
      </w:r>
      <w:r>
        <w:rPr>
          <w:rFonts w:hint="eastAsia" w:eastAsia="仿宋_GB2312"/>
          <w:color w:val="auto"/>
          <w:sz w:val="24"/>
        </w:rPr>
        <w:t>，对保护区结构的影响十分微小。</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保护区的主要功能是保护中华鲟溯河洄游繁殖群体及其自然繁殖所需要的特殊生境。项目距离中华鲟产卵场位置较远，不会影响产卵场生境。趸船占用保护区水域面积有限，且位于近岸水域，不会阻碍中华鲟的洄游通道。根据工程设计，在趸船上设置一套智能船舶污水收集装置，包含收集柜、自吸泵以及接收软管等，用以接收到港船舶生活污水和舱底油污水，定期由工作船接收外运；</w:t>
      </w:r>
      <w:r>
        <w:rPr>
          <w:rFonts w:hint="eastAsia" w:eastAsia="仿宋_GB2312"/>
          <w:color w:val="auto"/>
          <w:sz w:val="24"/>
          <w:lang w:val="en-US" w:eastAsia="zh-CN"/>
        </w:rPr>
        <w:t>码头人员生活污水</w:t>
      </w:r>
      <w:r>
        <w:rPr>
          <w:rFonts w:hint="eastAsia" w:ascii="Times New Roman" w:hAnsi="Times New Roman" w:eastAsia="仿宋_GB2312" w:cs="Times New Roman"/>
          <w:color w:val="auto"/>
          <w:sz w:val="24"/>
        </w:rPr>
        <w:t>进入</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w:t>
      </w:r>
      <w:r>
        <w:rPr>
          <w:rFonts w:hint="eastAsia" w:ascii="Times New Roman" w:hAnsi="Times New Roman" w:eastAsia="仿宋_GB2312" w:cs="Times New Roman"/>
          <w:color w:val="auto"/>
          <w:sz w:val="24"/>
        </w:rPr>
        <w:t>进入</w:t>
      </w:r>
      <w:r>
        <w:rPr>
          <w:rFonts w:hint="eastAsia" w:eastAsia="仿宋_GB2312"/>
          <w:color w:val="auto"/>
          <w:sz w:val="24"/>
          <w:lang w:eastAsia="zh-CN"/>
        </w:rPr>
        <w:t>各自趸船下方初期雨水收集柜储存，委托海事部门认定的船舶污染物接收船定期</w:t>
      </w:r>
      <w:r>
        <w:rPr>
          <w:rFonts w:hint="eastAsia" w:ascii="Times New Roman" w:hAnsi="Times New Roman" w:eastAsia="仿宋_GB2312" w:cs="Times New Roman"/>
          <w:color w:val="auto"/>
          <w:sz w:val="24"/>
          <w:lang w:eastAsia="zh-CN"/>
        </w:rPr>
        <w:t>统一处理</w:t>
      </w:r>
      <w:r>
        <w:rPr>
          <w:rFonts w:hint="eastAsia" w:ascii="Times New Roman" w:hAnsi="Times New Roman" w:eastAsia="仿宋_GB2312" w:cs="Times New Roman"/>
          <w:color w:val="auto"/>
          <w:sz w:val="24"/>
        </w:rPr>
        <w:t>。</w:t>
      </w:r>
      <w:r>
        <w:rPr>
          <w:rFonts w:hint="eastAsia" w:eastAsia="仿宋_GB2312" w:cs="Times New Roman"/>
          <w:color w:val="auto"/>
          <w:sz w:val="24"/>
          <w:lang w:eastAsia="zh-CN"/>
        </w:rPr>
        <w:t>运营期</w:t>
      </w:r>
      <w:r>
        <w:rPr>
          <w:rFonts w:hint="eastAsia" w:eastAsia="仿宋_GB2312"/>
          <w:color w:val="auto"/>
          <w:sz w:val="24"/>
        </w:rPr>
        <w:t>废水不外排，对保护区基本无影响。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总体而言，由于工程占用水域面积小，污染物和噪声影响范围不大，除了燃料油泄漏等风险外，对保护区的结构和功能的影响较小</w:t>
      </w:r>
      <w:r>
        <w:rPr>
          <w:rFonts w:hint="eastAsia" w:eastAsia="仿宋_GB2312"/>
          <w:color w:val="auto"/>
          <w:sz w:val="24"/>
          <w:lang w:eastAsia="zh-CN"/>
        </w:rPr>
        <w:t>。</w:t>
      </w:r>
    </w:p>
    <w:p>
      <w:pPr>
        <w:pStyle w:val="8"/>
        <w:widowControl w:val="0"/>
        <w:spacing w:before="120" w:after="120" w:line="360" w:lineRule="auto"/>
        <w:rPr>
          <w:rFonts w:ascii="Times New Roman" w:hAnsi="Times New Roman"/>
          <w:b w:val="0"/>
          <w:color w:val="auto"/>
          <w:szCs w:val="32"/>
        </w:rPr>
      </w:pPr>
      <w:bookmarkStart w:id="446" w:name="_Toc25927"/>
      <w:r>
        <w:rPr>
          <w:rFonts w:hint="eastAsia" w:ascii="Times New Roman" w:hAnsi="Times New Roman"/>
          <w:b w:val="0"/>
          <w:color w:val="auto"/>
          <w:szCs w:val="32"/>
          <w:lang w:val="en-US" w:eastAsia="zh-CN"/>
        </w:rPr>
        <w:t>6</w:t>
      </w:r>
      <w:r>
        <w:rPr>
          <w:rFonts w:ascii="Times New Roman" w:hAnsi="Times New Roman"/>
          <w:b w:val="0"/>
          <w:color w:val="auto"/>
          <w:szCs w:val="32"/>
        </w:rPr>
        <w:t>.</w:t>
      </w:r>
      <w:r>
        <w:rPr>
          <w:rFonts w:hint="eastAsia" w:ascii="Times New Roman" w:hAnsi="Times New Roman"/>
          <w:b w:val="0"/>
          <w:color w:val="auto"/>
          <w:szCs w:val="32"/>
          <w:lang w:val="en-US" w:eastAsia="zh-CN"/>
        </w:rPr>
        <w:t>4生态环境保护及补偿措施</w:t>
      </w:r>
      <w:bookmarkEnd w:id="446"/>
    </w:p>
    <w:p>
      <w:pPr>
        <w:pStyle w:val="9"/>
        <w:keepNext w:val="0"/>
        <w:keepLines w:val="0"/>
        <w:widowControl w:val="0"/>
        <w:spacing w:before="120" w:after="120" w:line="360" w:lineRule="auto"/>
        <w:rPr>
          <w:rFonts w:hint="default" w:eastAsia="黑体"/>
          <w:b w:val="0"/>
          <w:color w:val="auto"/>
          <w:sz w:val="24"/>
          <w:lang w:val="en-US" w:eastAsia="zh-CN"/>
        </w:rPr>
      </w:pPr>
      <w:bookmarkStart w:id="447" w:name="_Toc14258"/>
      <w:r>
        <w:rPr>
          <w:rFonts w:hint="eastAsia" w:eastAsia="黑体"/>
          <w:b w:val="0"/>
          <w:color w:val="auto"/>
          <w:sz w:val="24"/>
          <w:lang w:val="en-US" w:eastAsia="zh-CN"/>
        </w:rPr>
        <w:t>6.4.1繁殖期避让措施</w:t>
      </w:r>
      <w:bookmarkEnd w:id="447"/>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中华鲟繁殖特性，其主要繁殖期在每年的10月至12月，历时长达3个月。墩柱施工等噪声等影响虽可在采取环境保护措施后等到减轻，却不能消除，施工期可能发生事故风险导致漏油。施工期如安排不合理，与中华鲟繁殖期时间重叠，将对中华鲟自然繁殖和栖息节律等产生不利影响。因此应合理安排工程施工期和施工计划，避开中华鲟自然繁殖期</w:t>
      </w:r>
      <w:r>
        <w:rPr>
          <w:rFonts w:hint="eastAsia" w:eastAsia="仿宋_GB2312"/>
          <w:color w:val="auto"/>
          <w:sz w:val="24"/>
          <w:lang w:eastAsia="zh-CN"/>
        </w:rPr>
        <w:t>。</w:t>
      </w:r>
    </w:p>
    <w:p>
      <w:pPr>
        <w:pStyle w:val="9"/>
        <w:keepNext w:val="0"/>
        <w:keepLines w:val="0"/>
        <w:widowControl w:val="0"/>
        <w:spacing w:before="120" w:after="120" w:line="360" w:lineRule="auto"/>
        <w:rPr>
          <w:rFonts w:hint="default" w:eastAsia="黑体"/>
          <w:b w:val="0"/>
          <w:color w:val="auto"/>
          <w:sz w:val="24"/>
          <w:lang w:val="en-US" w:eastAsia="zh-CN"/>
        </w:rPr>
      </w:pPr>
      <w:bookmarkStart w:id="448" w:name="_Toc28814"/>
      <w:r>
        <w:rPr>
          <w:rFonts w:hint="eastAsia" w:eastAsia="黑体"/>
          <w:b w:val="0"/>
          <w:color w:val="auto"/>
          <w:sz w:val="24"/>
          <w:lang w:val="en-US" w:eastAsia="zh-CN"/>
        </w:rPr>
        <w:t>6.4.2保护区管理能力提升</w:t>
      </w:r>
      <w:bookmarkEnd w:id="448"/>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6.4.2.1基础设施建设</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中华鲟保护区救治监测中心地处艾家镇，是宜昌市开展的中华鲟等珍稀濒危水生野生动物救治、驯养、繁殖的基地。中华鲟保护区救治监测中心占地25亩，建有中华鲟救治池、孵化放流池、畜养池等配套设施，将对中华鲟受伤救治、进一步掌握其繁殖规律提供极大的帮助，使中华鲟资源得到实质性的恢复和发展。</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中华鲟保护区救治监测中心于2007年建成并投入使用，目前该救治中心因建设年代较久，亟需整治改造，以满足新时代珍稀濒危水生野生动物救护、繁育及科研科普的职能。</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6.4.2.2日常巡护能力建设</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在工程的建设和</w:t>
      </w:r>
      <w:r>
        <w:rPr>
          <w:rFonts w:hint="eastAsia" w:eastAsia="仿宋_GB2312"/>
          <w:color w:val="auto"/>
          <w:sz w:val="24"/>
          <w:lang w:eastAsia="zh-CN"/>
        </w:rPr>
        <w:t>运营期</w:t>
      </w:r>
      <w:r>
        <w:rPr>
          <w:rFonts w:hint="eastAsia" w:eastAsia="仿宋_GB2312"/>
          <w:color w:val="auto"/>
          <w:sz w:val="24"/>
        </w:rPr>
        <w:t>，监管工作由业主委托宜昌中华鲟自然保护区管理处开展，巡护监察环保措施落实到位与否，有必要提升保护区巡护能力，包括配置一些必备的仪器设备、监管人员补助、燃油动力费等。</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6.4.2.3中华鲟人工保种保育</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中华鲟属国家一级保护动物，是长江旗舰型物种。由于人类活动影响，中华鲟野生种群面临不可恢复的严峻现实。中华鲟人工种群是恢复中华鲟自然种群最重要的种质资源，科学开展中华鲟人工种群的保育保种、人工繁育和人工放流是中华鲟物种延续的重要途径。</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在全人工环境下开展驯养中华鲟工作已进行了30余年，驯养地点包括湖北、浙江、广东、福建、北京、上海和香港等地区，不同年龄梯队中华鲟初具规模，中华鲟的养殖以及全人工繁殖技术已突破，</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在人工养殖环境下，实现中华鲟的物种保存已无大的技术瓶颈。但是，目前全国的中华鲟养殖平台的数量和规模均有限，难以提供足够的硬件条件，使人工种群的数量和质量尚不能维持其稳定性和对野外群体的持续补充。在中华鲟自然种群已明显衰退的现实背景下，扩容养殖平台，保护和维持现有中华鲟人工养殖群体，是现阶段防止中华鲟物种灭绝的有效措施。</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以中华鲟“人工保种”为核心，努力探索将保护区救治监测中心打造成中华鲟驯养繁育、野外驯化、增殖放流、对外合作交流、科研及科普教育的示范基地。力争建设完成中华鲟的保种基地和育苗繁殖车间。</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6.4.2.4科教宣传</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共抓长江大保护是一项长期性、系统性工作，需要推进解决的问题多、牵涉面广，我们应牢固树立“生态优先、绿色发展”理念，让社会各界广泛参与，始终将“共抓长江大保护”的要求融入到各项工作之中。近些年，长江经济带水运、铁路、公路、航空协调发展及各类民生工程的建设，长江经济带现代化综合立体交通的优势和效益开始显现。然而，建设长江经济带将不可避免地对长江生态产生影响，我们应贯彻习近平总书记关于共抓长江大保护系列重要讲话精神，进一步落实《中国水生生物资源养护行动纲要》《国务院办公厅关于加强长江水生生物保护工作的意见》《长江经济带生态环境保护规划》等政策措施。</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工程在建设运营过程中不可避免的会对保护区产生一定的影响。通过开展科教宣传活动，推进野生动物保护知识进社区、进学区、进工区，广泛宣传保护中华鲟等水生野生动物的重要意义，大力普及水生野生动物保护法律法规，有效增强全社会参与保护的思想自觉和行动自觉，营造文明和谐的社会环境</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6.4.2.5保护区能力提升费用</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类比同类工程，保护区能力提升费用估算为80万元</w:t>
      </w:r>
      <w:r>
        <w:rPr>
          <w:rFonts w:hint="eastAsia" w:eastAsia="仿宋_GB2312"/>
          <w:color w:val="auto"/>
          <w:sz w:val="24"/>
          <w:lang w:eastAsia="zh-CN"/>
        </w:rPr>
        <w:t>。</w:t>
      </w:r>
    </w:p>
    <w:p>
      <w:pPr>
        <w:pStyle w:val="9"/>
        <w:keepNext w:val="0"/>
        <w:keepLines w:val="0"/>
        <w:widowControl w:val="0"/>
        <w:spacing w:before="120" w:after="120" w:line="360" w:lineRule="auto"/>
        <w:rPr>
          <w:rFonts w:hint="default" w:eastAsia="黑体"/>
          <w:b w:val="0"/>
          <w:color w:val="auto"/>
          <w:sz w:val="24"/>
          <w:lang w:val="en-US" w:eastAsia="zh-CN"/>
        </w:rPr>
      </w:pPr>
      <w:bookmarkStart w:id="449" w:name="_Toc8979"/>
      <w:r>
        <w:rPr>
          <w:rFonts w:hint="eastAsia" w:eastAsia="黑体"/>
          <w:b w:val="0"/>
          <w:color w:val="auto"/>
          <w:sz w:val="24"/>
          <w:lang w:val="en-US" w:eastAsia="zh-CN"/>
        </w:rPr>
        <w:t>6.4.3栖息地修复措施</w:t>
      </w:r>
      <w:bookmarkEnd w:id="449"/>
    </w:p>
    <w:p>
      <w:pPr>
        <w:widowControl w:val="0"/>
        <w:spacing w:line="360" w:lineRule="auto"/>
        <w:ind w:firstLine="480" w:firstLineChars="200"/>
        <w:rPr>
          <w:rFonts w:hint="eastAsia" w:eastAsia="仿宋_GB2312"/>
          <w:color w:val="auto"/>
          <w:sz w:val="24"/>
        </w:rPr>
      </w:pPr>
      <w:r>
        <w:rPr>
          <w:rFonts w:hint="eastAsia" w:eastAsia="仿宋_GB2312"/>
          <w:color w:val="auto"/>
          <w:sz w:val="24"/>
        </w:rPr>
        <w:t>生态修复推荐采用联锁式植生块和宾格挡墙护坡进行明渠开挖回填等区域的生态修复。联锁式植生块适用于中小水流情况下，土壤水侵蚀控制的新型联锁式预制混凝土块铺面系统。每块砖与周围的6块砖产生超强联锁，使得铺面系统在水流作用下具有良好的整体稳定性。</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同时，随着植被在砖孔和砖缝中生长，一方面铺面的耐久性和稳定性将进一步提高，另一方面起到增加植被、美化环境的作用。联锁式护坡具有强度高、抗冲击能力强、变形适应性好、抗腐蚀、持久耐用、可重复使用的特点，孔内能生长植物，造价适中，施工方便快捷，维护方便</w:t>
      </w:r>
      <w:r>
        <w:rPr>
          <w:rFonts w:hint="eastAsia" w:eastAsia="仿宋_GB2312"/>
          <w:color w:val="auto"/>
          <w:sz w:val="24"/>
          <w:lang w:eastAsia="zh-CN"/>
        </w:rPr>
        <w:t>。</w:t>
      </w:r>
    </w:p>
    <w:p>
      <w:pPr>
        <w:widowControl w:val="0"/>
        <w:spacing w:line="360" w:lineRule="auto"/>
        <w:jc w:val="center"/>
        <w:rPr>
          <w:rFonts w:hint="eastAsia" w:eastAsia="仿宋_GB2312"/>
          <w:color w:val="auto"/>
          <w:sz w:val="24"/>
        </w:rPr>
      </w:pPr>
      <w:r>
        <w:rPr>
          <w:color w:val="auto"/>
        </w:rPr>
        <w:drawing>
          <wp:inline distT="0" distB="0" distL="114300" distR="114300">
            <wp:extent cx="4953000" cy="2390775"/>
            <wp:effectExtent l="0" t="0" r="0" b="9525"/>
            <wp:docPr id="11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22"/>
                    <pic:cNvPicPr>
                      <a:picLocks noChangeAspect="1"/>
                    </pic:cNvPicPr>
                  </pic:nvPicPr>
                  <pic:blipFill>
                    <a:blip r:embed="rId240"/>
                    <a:stretch>
                      <a:fillRect/>
                    </a:stretch>
                  </pic:blipFill>
                  <pic:spPr>
                    <a:xfrm>
                      <a:off x="0" y="0"/>
                      <a:ext cx="4953000" cy="2390775"/>
                    </a:xfrm>
                    <a:prstGeom prst="rect">
                      <a:avLst/>
                    </a:prstGeom>
                    <a:noFill/>
                    <a:ln>
                      <a:noFill/>
                    </a:ln>
                  </pic:spPr>
                </pic:pic>
              </a:graphicData>
            </a:graphic>
          </wp:inline>
        </w:drawing>
      </w:r>
    </w:p>
    <w:p>
      <w:pPr>
        <w:spacing w:line="360" w:lineRule="auto"/>
        <w:jc w:val="center"/>
        <w:rPr>
          <w:rFonts w:hint="eastAsia" w:eastAsia="黑体"/>
          <w:b/>
          <w:color w:val="auto"/>
          <w:szCs w:val="21"/>
          <w:lang w:val="en-US" w:eastAsia="zh-CN"/>
        </w:rPr>
      </w:pPr>
      <w:r>
        <w:rPr>
          <w:rFonts w:eastAsia="黑体"/>
          <w:b/>
          <w:color w:val="auto"/>
          <w:szCs w:val="21"/>
        </w:rPr>
        <w:t>图</w:t>
      </w:r>
      <w:r>
        <w:rPr>
          <w:rFonts w:hint="eastAsia" w:eastAsia="黑体"/>
          <w:b/>
          <w:color w:val="auto"/>
          <w:szCs w:val="21"/>
          <w:lang w:val="en-US" w:eastAsia="zh-CN"/>
        </w:rPr>
        <w:t>6</w:t>
      </w:r>
      <w:r>
        <w:rPr>
          <w:rFonts w:eastAsia="黑体"/>
          <w:b/>
          <w:color w:val="auto"/>
          <w:szCs w:val="21"/>
        </w:rPr>
        <w:t>.</w:t>
      </w:r>
      <w:r>
        <w:rPr>
          <w:rFonts w:hint="eastAsia" w:eastAsia="黑体"/>
          <w:b/>
          <w:color w:val="auto"/>
          <w:szCs w:val="21"/>
          <w:lang w:val="en-US" w:eastAsia="zh-CN"/>
        </w:rPr>
        <w:t>4</w:t>
      </w:r>
      <w:r>
        <w:rPr>
          <w:rFonts w:eastAsia="黑体"/>
          <w:b/>
          <w:color w:val="auto"/>
          <w:szCs w:val="21"/>
        </w:rPr>
        <w:t xml:space="preserve">-1  </w:t>
      </w:r>
      <w:r>
        <w:rPr>
          <w:rFonts w:hint="eastAsia" w:eastAsia="黑体"/>
          <w:b/>
          <w:color w:val="auto"/>
          <w:szCs w:val="21"/>
        </w:rPr>
        <w:t>联锁式植生块</w:t>
      </w:r>
      <w:r>
        <w:rPr>
          <w:rFonts w:hint="eastAsia" w:eastAsia="黑体"/>
          <w:b/>
          <w:color w:val="auto"/>
          <w:szCs w:val="21"/>
          <w:lang w:val="en-US" w:eastAsia="zh-CN"/>
        </w:rPr>
        <w:t>护坡</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格宾挡墙生态绿格网是近年来广泛运用于交通、水利、市政、园林、水土保持等工程项目的一种新型材料结构，能有效地防止边坡在坡面水冲刷下形成冲沟，同时能保证岸坡遭遇较大洪水时的稳定性。岸坡与植草等生物防护相结合，取得较好的综合治理效果。</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格宾护垫是将抗腐耐磨高强的低碳高镀锌钢丝或5%～10%铝锌稀合金镀层钢丝（或同质包裹聚合物钢丝），由机械将双线绞合编织成多绞状、六边形网目的网片，其双线绞合部分的长度应不小于5cm，以不破坏钢丝的防护镀层。格宾护垫可根据工程设计要求组装成箱笼，并装入块石等填充料后连接成一体，用做堤防等工程。</w:t>
      </w:r>
    </w:p>
    <w:p>
      <w:pPr>
        <w:widowControl w:val="0"/>
        <w:spacing w:line="360" w:lineRule="auto"/>
        <w:jc w:val="center"/>
        <w:rPr>
          <w:rFonts w:hint="eastAsia" w:eastAsia="仿宋_GB2312"/>
          <w:color w:val="auto"/>
          <w:sz w:val="24"/>
        </w:rPr>
      </w:pPr>
      <w:r>
        <w:rPr>
          <w:color w:val="auto"/>
        </w:rPr>
        <w:drawing>
          <wp:inline distT="0" distB="0" distL="114300" distR="114300">
            <wp:extent cx="5153025" cy="2057400"/>
            <wp:effectExtent l="0" t="0" r="9525" b="0"/>
            <wp:docPr id="118"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3"/>
                    <pic:cNvPicPr>
                      <a:picLocks noChangeAspect="1"/>
                    </pic:cNvPicPr>
                  </pic:nvPicPr>
                  <pic:blipFill>
                    <a:blip r:embed="rId241"/>
                    <a:stretch>
                      <a:fillRect/>
                    </a:stretch>
                  </pic:blipFill>
                  <pic:spPr>
                    <a:xfrm>
                      <a:off x="0" y="0"/>
                      <a:ext cx="5153025" cy="2057400"/>
                    </a:xfrm>
                    <a:prstGeom prst="rect">
                      <a:avLst/>
                    </a:prstGeom>
                    <a:noFill/>
                    <a:ln>
                      <a:noFill/>
                    </a:ln>
                  </pic:spPr>
                </pic:pic>
              </a:graphicData>
            </a:graphic>
          </wp:inline>
        </w:drawing>
      </w:r>
    </w:p>
    <w:p>
      <w:pPr>
        <w:spacing w:line="360" w:lineRule="auto"/>
        <w:jc w:val="center"/>
        <w:rPr>
          <w:rFonts w:hint="eastAsia" w:eastAsia="黑体"/>
          <w:b/>
          <w:color w:val="auto"/>
          <w:szCs w:val="21"/>
          <w:lang w:val="en-US" w:eastAsia="zh-CN"/>
        </w:rPr>
      </w:pPr>
      <w:r>
        <w:rPr>
          <w:rFonts w:eastAsia="黑体"/>
          <w:b/>
          <w:color w:val="auto"/>
          <w:szCs w:val="21"/>
        </w:rPr>
        <w:t>图</w:t>
      </w:r>
      <w:r>
        <w:rPr>
          <w:rFonts w:hint="eastAsia" w:eastAsia="黑体"/>
          <w:b/>
          <w:color w:val="auto"/>
          <w:szCs w:val="21"/>
          <w:lang w:val="en-US" w:eastAsia="zh-CN"/>
        </w:rPr>
        <w:t>6</w:t>
      </w:r>
      <w:r>
        <w:rPr>
          <w:rFonts w:eastAsia="黑体"/>
          <w:b/>
          <w:color w:val="auto"/>
          <w:szCs w:val="21"/>
        </w:rPr>
        <w:t>.</w:t>
      </w:r>
      <w:r>
        <w:rPr>
          <w:rFonts w:hint="eastAsia" w:eastAsia="黑体"/>
          <w:b/>
          <w:color w:val="auto"/>
          <w:szCs w:val="21"/>
          <w:lang w:val="en-US" w:eastAsia="zh-CN"/>
        </w:rPr>
        <w:t>4</w:t>
      </w:r>
      <w:r>
        <w:rPr>
          <w:rFonts w:eastAsia="黑体"/>
          <w:b/>
          <w:color w:val="auto"/>
          <w:szCs w:val="21"/>
        </w:rPr>
        <w:t>-</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rPr>
        <w:t>格宾护</w:t>
      </w:r>
      <w:r>
        <w:rPr>
          <w:rFonts w:hint="eastAsia" w:eastAsia="黑体"/>
          <w:b/>
          <w:color w:val="auto"/>
          <w:szCs w:val="21"/>
          <w:lang w:val="en-US" w:eastAsia="zh-CN"/>
        </w:rPr>
        <w:t>坡</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栖息地保护和修复措施经费计入工程环保改造。</w:t>
      </w:r>
    </w:p>
    <w:p>
      <w:pPr>
        <w:pStyle w:val="9"/>
        <w:keepNext w:val="0"/>
        <w:keepLines w:val="0"/>
        <w:widowControl w:val="0"/>
        <w:spacing w:before="120" w:after="120" w:line="360" w:lineRule="auto"/>
        <w:rPr>
          <w:rFonts w:hint="default" w:eastAsia="黑体"/>
          <w:b w:val="0"/>
          <w:color w:val="auto"/>
          <w:sz w:val="24"/>
          <w:lang w:val="en-US" w:eastAsia="zh-CN"/>
        </w:rPr>
      </w:pPr>
      <w:bookmarkStart w:id="450" w:name="_Toc27621"/>
      <w:r>
        <w:rPr>
          <w:rFonts w:hint="eastAsia" w:eastAsia="黑体"/>
          <w:b w:val="0"/>
          <w:color w:val="auto"/>
          <w:sz w:val="24"/>
          <w:lang w:val="en-US" w:eastAsia="zh-CN"/>
        </w:rPr>
        <w:t>6.4.4增殖放流</w:t>
      </w:r>
      <w:bookmarkEnd w:id="450"/>
    </w:p>
    <w:p>
      <w:pPr>
        <w:widowControl w:val="0"/>
        <w:spacing w:line="360" w:lineRule="auto"/>
        <w:ind w:firstLine="480" w:firstLineChars="200"/>
        <w:rPr>
          <w:rFonts w:hint="eastAsia" w:eastAsia="仿宋_GB2312"/>
          <w:color w:val="auto"/>
          <w:sz w:val="24"/>
        </w:rPr>
      </w:pPr>
      <w:r>
        <w:rPr>
          <w:rFonts w:hint="eastAsia" w:eastAsia="仿宋_GB2312"/>
          <w:color w:val="auto"/>
          <w:sz w:val="24"/>
        </w:rPr>
        <w:t>实行鱼类增殖放流实施是国际上常用的渔业资源修复措施。增殖放流是在对野生鱼、虾、蟹、贝类等进行人工繁殖、养殖或捕捞天然苗种在人工条件下培育后，释放到渔业资源出现衰退的天然水域中，使其自然种群得以恢复，再进行合理捕捞的渔业方式。人工增殖放流是恢复天然渔业资源的重要手段，通过有计划地开展人工放流种苗，可以增加鱼类种群结构中低、幼龄鱼类数量，扩大群体规模，储备足够量的繁殖后备群体；达到增殖资源、改善保护区鱼类群落结构、净化水质、保护水草资源、清除外来物种的目的。</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增殖放流是目前保护鱼类物种、增加鱼类种群数量的重要措施之一。采取人工增殖放流，不仅可以对那些种群数量已经减少或面临各种影响将大量减少的鱼类进行人工增殖，补充其资源量，在一定程度上可以减缓工程对鱼类资源的不利影响</w:t>
      </w:r>
      <w:r>
        <w:rPr>
          <w:rFonts w:hint="eastAsia" w:eastAsia="仿宋_GB2312"/>
          <w:color w:val="auto"/>
          <w:sz w:val="24"/>
          <w:lang w:eastAsia="zh-CN"/>
        </w:rPr>
        <w:t>。</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6.4.4.1拟放流品种及规格</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根据《农业农村部关于进一步规范水生生物增殖放流活动的通知》（2017年7月）、《农业农村部关于做好“十四五”水生生物增殖放流工作的指导意见》及其附录，并结合实际情况，建议对主要保护对象中华鲟进行人工增殖放流，共计20万元。放流数量可做适当调整</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hint="eastAsia" w:eastAsia="黑体"/>
          <w:b/>
          <w:color w:val="auto"/>
          <w:szCs w:val="21"/>
        </w:rPr>
        <w:t>表</w:t>
      </w:r>
      <w:r>
        <w:rPr>
          <w:rFonts w:hint="eastAsia" w:eastAsia="黑体"/>
          <w:b/>
          <w:color w:val="auto"/>
          <w:szCs w:val="21"/>
          <w:lang w:val="en-US" w:eastAsia="zh-CN"/>
        </w:rPr>
        <w:t>6.4-1</w:t>
      </w:r>
      <w:r>
        <w:rPr>
          <w:rFonts w:hint="eastAsia" w:eastAsia="黑体"/>
          <w:b/>
          <w:color w:val="auto"/>
          <w:szCs w:val="21"/>
        </w:rPr>
        <w:t xml:space="preserve">  </w:t>
      </w:r>
      <w:r>
        <w:rPr>
          <w:rFonts w:hint="eastAsia" w:eastAsia="黑体"/>
          <w:b/>
          <w:color w:val="auto"/>
          <w:szCs w:val="21"/>
          <w:lang w:val="en-US" w:eastAsia="zh-CN"/>
        </w:rPr>
        <w:t>鱼类增殖放流经费估算表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658"/>
        <w:gridCol w:w="1658"/>
        <w:gridCol w:w="1661"/>
        <w:gridCol w:w="1658"/>
        <w:gridCol w:w="16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放流种类</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规格（cm）</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数量（尾）</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经费（万元）</w:t>
            </w:r>
          </w:p>
        </w:tc>
        <w:tc>
          <w:tcPr>
            <w:tcW w:w="1000"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kern w:val="2"/>
                <w:sz w:val="20"/>
                <w:lang w:val="en-US" w:eastAsia="zh-CN" w:bidi="ar-SA"/>
              </w:rPr>
              <w:t>中华鲟</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w:t>
            </w:r>
            <w:r>
              <w:rPr>
                <w:rFonts w:hint="default" w:ascii="Times New Roman" w:hAnsi="Times New Roman" w:cs="Times New Roman"/>
                <w:color w:val="auto"/>
                <w:kern w:val="2"/>
                <w:sz w:val="20"/>
                <w:lang w:val="en-US" w:eastAsia="zh-CN" w:bidi="ar-SA"/>
              </w:rPr>
              <w:t>25</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kern w:val="2"/>
                <w:sz w:val="20"/>
                <w:lang w:val="en-US" w:eastAsia="zh-CN" w:bidi="ar-SA"/>
              </w:rPr>
              <w:t>300</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kern w:val="2"/>
                <w:sz w:val="20"/>
                <w:lang w:val="en-US" w:eastAsia="zh-CN" w:bidi="ar-SA"/>
              </w:rPr>
              <w:t>20</w:t>
            </w:r>
          </w:p>
        </w:tc>
        <w:tc>
          <w:tcPr>
            <w:tcW w:w="1000"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包括运输费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2999" w:type="pct"/>
            <w:gridSpan w:val="3"/>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kern w:val="2"/>
                <w:sz w:val="20"/>
                <w:lang w:val="en-US" w:eastAsia="zh-CN" w:bidi="ar-SA"/>
              </w:rPr>
              <w:t>合计</w:t>
            </w:r>
          </w:p>
        </w:tc>
        <w:tc>
          <w:tcPr>
            <w:tcW w:w="999"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cs="Times New Roman"/>
                <w:color w:val="auto"/>
                <w:kern w:val="2"/>
                <w:sz w:val="20"/>
                <w:lang w:val="en-US" w:eastAsia="zh-CN" w:bidi="ar-SA"/>
              </w:rPr>
              <w:t>20</w:t>
            </w:r>
          </w:p>
        </w:tc>
        <w:tc>
          <w:tcPr>
            <w:tcW w:w="1000"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r>
    </w:tbl>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6.4.4.2放流标准</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增殖放流物种应遵循“哪里来哪里放”原则，即放流物种的亲本应来源于放流水域原产地天然水域或省级以上原种场保育的原种。供应商水产苗种生产和管理符合农业部颁发的《水产苗种管理办法》（2005年4月1日起）和《关于进一步加强水生生物经济物种增殖放流种苗管理的通知》（农办渔〔2014〕55号，2014年10月8日）中的有关规定及要求，持有省级渔业管理部门核发的《水产苗种生产许可证》。</w:t>
      </w:r>
    </w:p>
    <w:p>
      <w:pPr>
        <w:widowControl w:val="0"/>
        <w:spacing w:before="120" w:after="120" w:line="360" w:lineRule="auto"/>
        <w:outlineLvl w:val="3"/>
        <w:rPr>
          <w:rFonts w:hint="default" w:eastAsia="黑体"/>
          <w:color w:val="auto"/>
          <w:sz w:val="24"/>
          <w:lang w:val="en-US" w:eastAsia="zh-CN"/>
        </w:rPr>
      </w:pPr>
      <w:r>
        <w:rPr>
          <w:rFonts w:hint="eastAsia" w:eastAsia="黑体"/>
          <w:color w:val="auto"/>
          <w:sz w:val="24"/>
          <w:lang w:val="en-US" w:eastAsia="zh-CN"/>
        </w:rPr>
        <w:t>6.4.4.3放流时间和地点</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根据鱼类生活习性，增殖放流时间建议选择在5～6月份。放流地点可在保护区选择缓流区域，考虑到实际水域条件和放流活动的安全，业主单位需与相关部门协商确定。</w:t>
      </w:r>
    </w:p>
    <w:p>
      <w:pPr>
        <w:pStyle w:val="9"/>
        <w:keepNext w:val="0"/>
        <w:keepLines w:val="0"/>
        <w:widowControl w:val="0"/>
        <w:spacing w:before="120" w:after="120" w:line="360" w:lineRule="auto"/>
        <w:rPr>
          <w:rFonts w:hint="default" w:eastAsia="黑体"/>
          <w:b w:val="0"/>
          <w:color w:val="auto"/>
          <w:sz w:val="24"/>
          <w:lang w:val="en-US" w:eastAsia="zh-CN"/>
        </w:rPr>
      </w:pPr>
      <w:bookmarkStart w:id="451" w:name="_Toc18748"/>
      <w:r>
        <w:rPr>
          <w:rFonts w:hint="eastAsia" w:eastAsia="黑体"/>
          <w:b w:val="0"/>
          <w:color w:val="auto"/>
          <w:sz w:val="24"/>
          <w:lang w:val="en-US" w:eastAsia="zh-CN"/>
        </w:rPr>
        <w:t>6.4.5补偿总经费估算</w:t>
      </w:r>
      <w:bookmarkEnd w:id="451"/>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国务院《中国水生生物养护行动纲要》国发〔2006-9〕第五章第二条：“对水生生物资源及水域生态环境造成破坏的，建设单位应当按照有关法律规定，制订补偿方案或补救措施，并落实补偿项目和资金”相关规定，由建设单位与保护区管理机构签订《保护区生态补偿协议》，落实相关保护措施实施经费。针对本工程的影响和保护需求，本项目用于保护区生态补偿估算共计100万元，详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hint="eastAsia" w:eastAsia="黑体"/>
          <w:b/>
          <w:color w:val="auto"/>
          <w:szCs w:val="21"/>
        </w:rPr>
        <w:t>表</w:t>
      </w:r>
      <w:r>
        <w:rPr>
          <w:rFonts w:hint="eastAsia" w:eastAsia="黑体"/>
          <w:b/>
          <w:color w:val="auto"/>
          <w:szCs w:val="21"/>
          <w:lang w:val="en-US" w:eastAsia="zh-CN"/>
        </w:rPr>
        <w:t>6.4-2</w:t>
      </w:r>
      <w:r>
        <w:rPr>
          <w:rFonts w:hint="eastAsia" w:eastAsia="黑体"/>
          <w:b/>
          <w:color w:val="auto"/>
          <w:szCs w:val="21"/>
        </w:rPr>
        <w:t xml:space="preserve">  </w:t>
      </w:r>
      <w:r>
        <w:rPr>
          <w:rFonts w:hint="eastAsia" w:eastAsia="黑体"/>
          <w:b/>
          <w:color w:val="auto"/>
          <w:szCs w:val="21"/>
          <w:lang w:val="en-US" w:eastAsia="zh-CN"/>
        </w:rPr>
        <w:t>工程水生态补偿经费概算投资一览表</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755"/>
        <w:gridCol w:w="1550"/>
        <w:gridCol w:w="39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1660"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项目</w:t>
            </w:r>
          </w:p>
        </w:tc>
        <w:tc>
          <w:tcPr>
            <w:tcW w:w="93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投资估算（万元）</w:t>
            </w:r>
          </w:p>
        </w:tc>
        <w:tc>
          <w:tcPr>
            <w:tcW w:w="240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1660"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1、中华鲟保护区能力提升</w:t>
            </w:r>
          </w:p>
        </w:tc>
        <w:tc>
          <w:tcPr>
            <w:tcW w:w="93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80</w:t>
            </w:r>
          </w:p>
        </w:tc>
        <w:tc>
          <w:tcPr>
            <w:tcW w:w="240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保护区基础设施建设、日常巡护能力建设、中华鲟人工保种保育及科教宣传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1660"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2、增殖放流</w:t>
            </w:r>
          </w:p>
        </w:tc>
        <w:tc>
          <w:tcPr>
            <w:tcW w:w="93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20</w:t>
            </w:r>
          </w:p>
        </w:tc>
        <w:tc>
          <w:tcPr>
            <w:tcW w:w="240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中华鲟增殖放流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tblHeader/>
          <w:jc w:val="center"/>
        </w:trPr>
        <w:tc>
          <w:tcPr>
            <w:tcW w:w="1660"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合计</w:t>
            </w:r>
          </w:p>
        </w:tc>
        <w:tc>
          <w:tcPr>
            <w:tcW w:w="934"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100</w:t>
            </w:r>
          </w:p>
        </w:tc>
        <w:tc>
          <w:tcPr>
            <w:tcW w:w="2404"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r>
    </w:tbl>
    <w:p>
      <w:pPr>
        <w:pStyle w:val="8"/>
        <w:widowControl w:val="0"/>
        <w:spacing w:before="120" w:after="120" w:line="360" w:lineRule="auto"/>
        <w:rPr>
          <w:rFonts w:ascii="Times New Roman" w:hAnsi="Times New Roman"/>
          <w:b w:val="0"/>
          <w:color w:val="auto"/>
          <w:szCs w:val="32"/>
        </w:rPr>
      </w:pPr>
      <w:bookmarkStart w:id="452" w:name="_Toc16132"/>
      <w:r>
        <w:rPr>
          <w:rFonts w:hint="eastAsia" w:ascii="Times New Roman" w:hAnsi="Times New Roman"/>
          <w:b w:val="0"/>
          <w:color w:val="auto"/>
          <w:szCs w:val="32"/>
          <w:lang w:val="en-US" w:eastAsia="zh-CN"/>
        </w:rPr>
        <w:t>6</w:t>
      </w:r>
      <w:r>
        <w:rPr>
          <w:rFonts w:ascii="Times New Roman" w:hAnsi="Times New Roman"/>
          <w:b w:val="0"/>
          <w:color w:val="auto"/>
          <w:szCs w:val="32"/>
        </w:rPr>
        <w:t>.</w:t>
      </w:r>
      <w:r>
        <w:rPr>
          <w:rFonts w:hint="eastAsia" w:ascii="Times New Roman" w:hAnsi="Times New Roman"/>
          <w:b w:val="0"/>
          <w:color w:val="auto"/>
          <w:szCs w:val="32"/>
          <w:lang w:val="en-US" w:eastAsia="zh-CN"/>
        </w:rPr>
        <w:t>5拟建工程综合评价与可行性分析</w:t>
      </w:r>
      <w:bookmarkEnd w:id="452"/>
    </w:p>
    <w:p>
      <w:pPr>
        <w:widowControl w:val="0"/>
        <w:spacing w:line="360" w:lineRule="auto"/>
        <w:ind w:firstLine="480" w:firstLineChars="200"/>
        <w:rPr>
          <w:rFonts w:hint="eastAsia" w:eastAsia="仿宋_GB2312"/>
          <w:color w:val="auto"/>
          <w:sz w:val="24"/>
        </w:rPr>
      </w:pPr>
      <w:r>
        <w:rPr>
          <w:rFonts w:hint="eastAsia" w:eastAsia="仿宋_GB2312"/>
          <w:color w:val="auto"/>
          <w:sz w:val="24"/>
        </w:rPr>
        <w:t>工程在施工期的主要环境影响因素为施工噪声、油污水等，对邻近水域的浮游生物、底栖生物会产生一定程度的损害，对鱼类的栖息、洄游、索饵等活动也会产生一定的影响，但鱼类普遍具有避害特性，环境适应能力强，可主动从环境干扰强的区域迁移至干扰弱的水域栖息。码头工程位于近岸水域，直接占用的保护区面积极小，对于保护区河流总体的连通性、水文过程以及生态系统没有明显的影响，因此工程对保护区内水生生物、生态环境及结构和功能影响程度相对较小。</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技改码头运营期的主要影响在于长久占用保护区少量水域，</w:t>
      </w:r>
      <w:r>
        <w:rPr>
          <w:rFonts w:hint="eastAsia" w:eastAsia="仿宋_GB2312"/>
          <w:color w:val="auto"/>
          <w:sz w:val="24"/>
          <w:lang w:val="en-US" w:eastAsia="zh-CN"/>
        </w:rPr>
        <w:t>船舶螺旋桨误伤鱼类</w:t>
      </w:r>
      <w:r>
        <w:rPr>
          <w:rFonts w:hint="eastAsia" w:eastAsia="仿宋_GB2312"/>
          <w:color w:val="auto"/>
          <w:sz w:val="24"/>
        </w:rPr>
        <w:t>以及靠船和装卸货物时产生的噪声污染，此外，船舶海损及车辆交通事故有可能造成的运输货品的泄露，会对保护区的生态环境产生相关影响。</w:t>
      </w:r>
    </w:p>
    <w:p>
      <w:pPr>
        <w:widowControl w:val="0"/>
        <w:spacing w:line="360" w:lineRule="auto"/>
        <w:ind w:firstLine="480" w:firstLineChars="200"/>
        <w:rPr>
          <w:rFonts w:hint="eastAsia" w:eastAsia="仿宋_GB2312"/>
          <w:color w:val="auto"/>
          <w:sz w:val="24"/>
        </w:rPr>
        <w:sectPr>
          <w:headerReference r:id="rId22"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eastAsia="仿宋_GB2312"/>
          <w:color w:val="auto"/>
          <w:sz w:val="24"/>
        </w:rPr>
        <w:t>综上所述，码头工程的建设可能会对长江湖北宜昌中华鲟自然保护区的水生态环境、水生生物、主要保护对象以及保护区结构和功能产生一定程度的不利影响，但在充分落实环保措施及本报告中提出的减缓措施前提下，可在较大程度上有效地降低这些不利影响。因此，从水生态环境保护角度，专题报告</w:t>
      </w:r>
      <w:r>
        <w:rPr>
          <w:rFonts w:hint="eastAsia" w:eastAsia="仿宋_GB2312"/>
          <w:b/>
          <w:bCs/>
          <w:color w:val="auto"/>
          <w:sz w:val="24"/>
        </w:rPr>
        <w:t>认为本工程总体可行</w:t>
      </w:r>
      <w:r>
        <w:rPr>
          <w:rFonts w:hint="eastAsia" w:eastAsia="仿宋_GB2312"/>
          <w:color w:val="auto"/>
          <w:sz w:val="24"/>
        </w:rPr>
        <w:t>。</w:t>
      </w:r>
      <w:r>
        <w:rPr>
          <w:rFonts w:hint="eastAsia" w:eastAsia="仿宋_GB2312"/>
          <w:color w:val="auto"/>
          <w:sz w:val="24"/>
        </w:rPr>
        <w:br w:type="page"/>
      </w:r>
    </w:p>
    <w:p>
      <w:pPr>
        <w:widowControl w:val="0"/>
        <w:spacing w:before="240" w:after="240" w:line="360" w:lineRule="auto"/>
        <w:jc w:val="center"/>
        <w:outlineLvl w:val="0"/>
        <w:rPr>
          <w:rFonts w:eastAsia="黑体"/>
          <w:color w:val="auto"/>
          <w:sz w:val="44"/>
          <w:szCs w:val="44"/>
        </w:rPr>
      </w:pPr>
      <w:bookmarkStart w:id="453" w:name="_Toc21683"/>
      <w:r>
        <w:rPr>
          <w:rFonts w:hint="eastAsia" w:eastAsia="黑体"/>
          <w:color w:val="auto"/>
          <w:sz w:val="44"/>
          <w:szCs w:val="44"/>
          <w:lang w:val="en-US" w:eastAsia="zh-CN"/>
        </w:rPr>
        <w:t>7</w:t>
      </w:r>
      <w:r>
        <w:rPr>
          <w:rFonts w:eastAsia="黑体"/>
          <w:color w:val="auto"/>
          <w:sz w:val="44"/>
          <w:szCs w:val="44"/>
        </w:rPr>
        <w:t>环境风险评价</w:t>
      </w:r>
      <w:bookmarkEnd w:id="432"/>
      <w:bookmarkEnd w:id="433"/>
      <w:bookmarkEnd w:id="453"/>
    </w:p>
    <w:p>
      <w:pPr>
        <w:widowControl w:val="0"/>
        <w:spacing w:line="360" w:lineRule="auto"/>
        <w:ind w:firstLine="480" w:firstLineChars="200"/>
        <w:jc w:val="both"/>
        <w:rPr>
          <w:rFonts w:hint="eastAsia" w:eastAsia="仿宋_GB2312"/>
          <w:color w:val="auto"/>
          <w:sz w:val="24"/>
        </w:rPr>
      </w:pPr>
      <w:bookmarkStart w:id="454" w:name="_Toc305859537"/>
      <w:bookmarkStart w:id="455" w:name="_Toc343702847"/>
      <w:r>
        <w:rPr>
          <w:rFonts w:hint="eastAsia" w:eastAsia="仿宋_GB2312"/>
          <w:color w:val="auto"/>
          <w:sz w:val="24"/>
        </w:rPr>
        <w:t>事故风险评价，它主要考虑建设项目突发性危害事故，如易燃、易爆、有毒物质、放射性物质在运输、贮存、生产、使用等环节中，由于失控而发生的泄漏、火灾、爆炸等。虽然这种事故发生的概率较小，但其对环境和人身安全造成的影响和产生的危害是巨大的。</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按照国家环保总局（90）环管字057号《关于对重大环境污染事故隐患进行风险评价的通知》、环境保护部环发〔2012〕77号《关于进一步加强环境影响评价管理防范环境风险的通知》、《建设项目环境风险评价技术导则》（HJ169-2018）以及交通运输部《水上溢油环境风险评估技术导则》（JT/T 1143-2017）的要求，对建设项目的环境风险进行分析、预测和评估，提出环境风险预防、控制、减缓措施，明确环境风险监控及应急要求，为本项目环境风险防控提供科学依据</w:t>
      </w:r>
      <w:r>
        <w:rPr>
          <w:rFonts w:hint="eastAsia" w:eastAsia="仿宋_GB2312"/>
          <w:color w:val="auto"/>
          <w:sz w:val="24"/>
          <w:lang w:eastAsia="zh-CN"/>
        </w:rPr>
        <w:t>。</w:t>
      </w:r>
    </w:p>
    <w:p>
      <w:pPr>
        <w:pStyle w:val="8"/>
        <w:widowControl w:val="0"/>
        <w:spacing w:before="120" w:after="120" w:line="360" w:lineRule="auto"/>
        <w:rPr>
          <w:rFonts w:ascii="Times New Roman" w:hAnsi="Times New Roman"/>
          <w:b w:val="0"/>
          <w:color w:val="auto"/>
          <w:szCs w:val="32"/>
        </w:rPr>
      </w:pPr>
      <w:bookmarkStart w:id="456" w:name="_Toc3391"/>
      <w:r>
        <w:rPr>
          <w:rFonts w:hint="eastAsia" w:ascii="Times New Roman" w:hAnsi="Times New Roman"/>
          <w:b w:val="0"/>
          <w:color w:val="auto"/>
          <w:szCs w:val="32"/>
          <w:lang w:val="en-US" w:eastAsia="zh-CN"/>
        </w:rPr>
        <w:t>7</w:t>
      </w:r>
      <w:r>
        <w:rPr>
          <w:rFonts w:ascii="Times New Roman" w:hAnsi="Times New Roman"/>
          <w:b w:val="0"/>
          <w:color w:val="auto"/>
          <w:szCs w:val="32"/>
        </w:rPr>
        <w:t>.1环境风险评价的目的</w:t>
      </w:r>
      <w:bookmarkEnd w:id="454"/>
      <w:bookmarkEnd w:id="455"/>
      <w:bookmarkEnd w:id="456"/>
    </w:p>
    <w:p>
      <w:pPr>
        <w:widowControl w:val="0"/>
        <w:spacing w:line="360" w:lineRule="auto"/>
        <w:ind w:firstLine="480" w:firstLineChars="200"/>
        <w:rPr>
          <w:rFonts w:eastAsia="仿宋_GB2312"/>
          <w:color w:val="auto"/>
          <w:sz w:val="24"/>
        </w:rPr>
      </w:pPr>
      <w:r>
        <w:rPr>
          <w:rFonts w:hint="eastAsia" w:eastAsia="仿宋_GB2312"/>
          <w:color w:val="auto"/>
          <w:sz w:val="24"/>
        </w:rPr>
        <w:t>按照《建设项目环境风险评价技术导则》（HJ169-2018）的要求，环境风险评价的目的是分析和预测本项目存在的潜在危险、有害因素，项目建设和运行期间可能发生的突发性事件或事故（一般不包括认为破坏及自然灾害），引起有毒有害和易燃易爆等物质泄漏，所造成的人身安全与环境影响和损害程度，提出合理可行的防范、应急与减缓措施，以使项目事故率、损失和环境影响达到可接收水平。</w:t>
      </w:r>
    </w:p>
    <w:p>
      <w:pPr>
        <w:pStyle w:val="8"/>
        <w:widowControl w:val="0"/>
        <w:spacing w:before="120" w:after="120" w:line="360" w:lineRule="auto"/>
        <w:rPr>
          <w:rFonts w:ascii="Times New Roman" w:hAnsi="Times New Roman" w:eastAsia="仿宋_GB2312"/>
          <w:color w:val="auto"/>
        </w:rPr>
      </w:pPr>
      <w:bookmarkStart w:id="457" w:name="_Toc6850"/>
      <w:bookmarkStart w:id="458" w:name="_Toc343702849"/>
      <w:bookmarkStart w:id="459" w:name="_Toc305859540"/>
      <w:bookmarkStart w:id="460" w:name="_Toc305859539"/>
      <w:bookmarkStart w:id="461" w:name="_Toc343702848"/>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rPr>
        <w:t>2环境风险潜势初判</w:t>
      </w:r>
      <w:bookmarkEnd w:id="457"/>
    </w:p>
    <w:p>
      <w:pPr>
        <w:widowControl w:val="0"/>
        <w:spacing w:line="360" w:lineRule="auto"/>
        <w:ind w:firstLine="480" w:firstLineChars="200"/>
        <w:rPr>
          <w:rFonts w:eastAsia="仿宋_GB2312"/>
          <w:color w:val="auto"/>
          <w:sz w:val="24"/>
        </w:rPr>
      </w:pPr>
      <w:r>
        <w:rPr>
          <w:rFonts w:hint="eastAsia" w:eastAsia="仿宋_GB2312"/>
          <w:color w:val="auto"/>
          <w:sz w:val="24"/>
        </w:rPr>
        <w:t>根据《建设项目环境风险评价技术导则》（</w:t>
      </w:r>
      <w:r>
        <w:rPr>
          <w:rFonts w:eastAsia="仿宋_GB2312"/>
          <w:color w:val="auto"/>
          <w:sz w:val="24"/>
        </w:rPr>
        <w:t>HJ169</w:t>
      </w:r>
      <w:r>
        <w:rPr>
          <w:rFonts w:hint="eastAsia" w:eastAsia="仿宋_GB2312"/>
          <w:color w:val="auto"/>
          <w:sz w:val="24"/>
        </w:rPr>
        <w:t>-</w:t>
      </w:r>
      <w:r>
        <w:rPr>
          <w:rFonts w:eastAsia="仿宋_GB2312"/>
          <w:color w:val="auto"/>
          <w:sz w:val="24"/>
        </w:rPr>
        <w:t>2018</w:t>
      </w:r>
      <w:r>
        <w:rPr>
          <w:rFonts w:hint="eastAsia" w:eastAsia="仿宋_GB2312"/>
          <w:color w:val="auto"/>
          <w:sz w:val="24"/>
        </w:rPr>
        <w:t>）附录</w:t>
      </w:r>
      <w:r>
        <w:rPr>
          <w:rFonts w:eastAsia="仿宋_GB2312"/>
          <w:color w:val="auto"/>
          <w:sz w:val="24"/>
        </w:rPr>
        <w:t>C</w:t>
      </w:r>
      <w:r>
        <w:rPr>
          <w:rFonts w:hint="eastAsia" w:eastAsia="仿宋_GB2312"/>
          <w:color w:val="auto"/>
          <w:sz w:val="24"/>
        </w:rPr>
        <w:t>.1.1，</w:t>
      </w:r>
      <w:r>
        <w:rPr>
          <w:rFonts w:eastAsia="仿宋_GB2312"/>
          <w:color w:val="auto"/>
          <w:sz w:val="24"/>
        </w:rPr>
        <w:t>Q</w:t>
      </w:r>
      <w:r>
        <w:rPr>
          <w:rFonts w:hint="eastAsia" w:eastAsia="仿宋_GB2312"/>
          <w:color w:val="auto"/>
          <w:sz w:val="24"/>
        </w:rPr>
        <w:t>按下式进行计算：</w:t>
      </w:r>
    </w:p>
    <w:p>
      <w:pPr>
        <w:widowControl w:val="0"/>
        <w:autoSpaceDE w:val="0"/>
        <w:autoSpaceDN w:val="0"/>
        <w:adjustRightInd w:val="0"/>
        <w:jc w:val="center"/>
        <w:rPr>
          <w:rFonts w:hint="eastAsia" w:ascii="Cambria Math" w:hAnsi="Cambria Math" w:eastAsia="CambriaMath" w:cs="Cambria Math"/>
          <w:color w:val="auto"/>
          <w:kern w:val="0"/>
          <w:sz w:val="24"/>
          <w:szCs w:val="24"/>
        </w:rPr>
      </w:pPr>
      <w:r>
        <w:rPr>
          <w:rFonts w:ascii="Cambria Math" w:hAnsi="Cambria Math" w:eastAsia="CambriaMath" w:cs="Cambria Math"/>
          <w:color w:val="auto"/>
          <w:kern w:val="0"/>
          <w:sz w:val="24"/>
          <w:szCs w:val="24"/>
        </w:rPr>
        <w:drawing>
          <wp:inline distT="0" distB="0" distL="114300" distR="114300">
            <wp:extent cx="1860550" cy="469265"/>
            <wp:effectExtent l="0" t="0" r="6350" b="6985"/>
            <wp:docPr id="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1"/>
                    <pic:cNvPicPr>
                      <a:picLocks noChangeAspect="1"/>
                    </pic:cNvPicPr>
                  </pic:nvPicPr>
                  <pic:blipFill>
                    <a:blip r:embed="rId242"/>
                    <a:srcRect t="13130" r="4498" b="9254"/>
                    <a:stretch>
                      <a:fillRect/>
                    </a:stretch>
                  </pic:blipFill>
                  <pic:spPr>
                    <a:xfrm>
                      <a:off x="0" y="0"/>
                      <a:ext cx="1860550" cy="469265"/>
                    </a:xfrm>
                    <a:prstGeom prst="rect">
                      <a:avLst/>
                    </a:prstGeom>
                    <a:noFill/>
                    <a:ln>
                      <a:noFill/>
                    </a:ln>
                  </pic:spPr>
                </pic:pic>
              </a:graphicData>
            </a:graphic>
          </wp:inline>
        </w:drawing>
      </w:r>
    </w:p>
    <w:p>
      <w:pPr>
        <w:widowControl w:val="0"/>
        <w:spacing w:line="360" w:lineRule="auto"/>
        <w:ind w:firstLine="480" w:firstLineChars="200"/>
        <w:rPr>
          <w:rFonts w:eastAsia="仿宋_GB2312"/>
          <w:color w:val="auto"/>
          <w:sz w:val="24"/>
          <w:vertAlign w:val="subscript"/>
        </w:rPr>
      </w:pPr>
      <w:r>
        <w:rPr>
          <w:rFonts w:hint="eastAsia" w:eastAsia="仿宋_GB2312"/>
          <w:color w:val="auto"/>
          <w:sz w:val="24"/>
        </w:rPr>
        <w:t>式中：</w:t>
      </w:r>
      <w:r>
        <w:rPr>
          <w:rFonts w:eastAsia="仿宋_GB2312"/>
          <w:color w:val="auto"/>
          <w:sz w:val="24"/>
        </w:rPr>
        <w:t>q</w:t>
      </w:r>
      <w:r>
        <w:rPr>
          <w:rFonts w:eastAsia="仿宋_GB2312"/>
          <w:color w:val="auto"/>
          <w:sz w:val="24"/>
          <w:vertAlign w:val="subscript"/>
        </w:rPr>
        <w:t>1</w:t>
      </w:r>
      <w:r>
        <w:rPr>
          <w:rFonts w:hint="eastAsia" w:eastAsia="仿宋_GB2312"/>
          <w:color w:val="auto"/>
          <w:sz w:val="24"/>
        </w:rPr>
        <w:t>，</w:t>
      </w:r>
      <w:r>
        <w:rPr>
          <w:rFonts w:eastAsia="仿宋_GB2312"/>
          <w:color w:val="auto"/>
          <w:sz w:val="24"/>
        </w:rPr>
        <w:t>q</w:t>
      </w:r>
      <w:r>
        <w:rPr>
          <w:rFonts w:eastAsia="仿宋_GB2312"/>
          <w:color w:val="auto"/>
          <w:sz w:val="24"/>
          <w:vertAlign w:val="subscript"/>
        </w:rPr>
        <w:t>2</w:t>
      </w:r>
      <w:r>
        <w:rPr>
          <w:rFonts w:hint="eastAsia" w:eastAsia="仿宋_GB2312"/>
          <w:color w:val="auto"/>
          <w:sz w:val="24"/>
        </w:rPr>
        <w:t>……</w:t>
      </w:r>
      <w:r>
        <w:rPr>
          <w:rFonts w:eastAsia="仿宋_GB2312"/>
          <w:color w:val="auto"/>
          <w:sz w:val="24"/>
        </w:rPr>
        <w:t>q</w:t>
      </w:r>
      <w:r>
        <w:rPr>
          <w:rFonts w:eastAsia="仿宋_GB2312"/>
          <w:color w:val="auto"/>
          <w:sz w:val="24"/>
          <w:vertAlign w:val="subscript"/>
        </w:rPr>
        <w:t>n</w:t>
      </w:r>
      <w:r>
        <w:rPr>
          <w:rFonts w:hint="eastAsia" w:eastAsia="仿宋_GB2312"/>
          <w:color w:val="auto"/>
          <w:sz w:val="24"/>
        </w:rPr>
        <w:t>—每种危险物质的最大存在量，</w:t>
      </w:r>
      <w:r>
        <w:rPr>
          <w:rFonts w:eastAsia="仿宋_GB2312"/>
          <w:color w:val="auto"/>
          <w:sz w:val="24"/>
        </w:rPr>
        <w:t>t</w:t>
      </w:r>
      <w:r>
        <w:rPr>
          <w:rFonts w:hint="eastAsia" w:eastAsia="仿宋_GB2312"/>
          <w:color w:val="auto"/>
          <w:sz w:val="24"/>
        </w:rPr>
        <w:t>；</w:t>
      </w:r>
    </w:p>
    <w:p>
      <w:pPr>
        <w:widowControl w:val="0"/>
        <w:spacing w:line="360" w:lineRule="auto"/>
        <w:ind w:firstLine="1200" w:firstLineChars="500"/>
        <w:rPr>
          <w:rFonts w:hint="eastAsia" w:eastAsia="仿宋_GB2312"/>
          <w:color w:val="auto"/>
          <w:sz w:val="24"/>
        </w:rPr>
      </w:pPr>
      <w:r>
        <w:rPr>
          <w:rFonts w:eastAsia="仿宋_GB2312"/>
          <w:color w:val="auto"/>
          <w:sz w:val="24"/>
        </w:rPr>
        <w:t>Q</w:t>
      </w:r>
      <w:r>
        <w:rPr>
          <w:rFonts w:eastAsia="仿宋_GB2312"/>
          <w:color w:val="auto"/>
          <w:sz w:val="24"/>
          <w:vertAlign w:val="subscript"/>
        </w:rPr>
        <w:t>1</w:t>
      </w:r>
      <w:r>
        <w:rPr>
          <w:rFonts w:hint="eastAsia" w:eastAsia="仿宋_GB2312"/>
          <w:color w:val="auto"/>
          <w:sz w:val="24"/>
        </w:rPr>
        <w:t>，</w:t>
      </w:r>
      <w:r>
        <w:rPr>
          <w:rFonts w:eastAsia="仿宋_GB2312"/>
          <w:color w:val="auto"/>
          <w:sz w:val="24"/>
        </w:rPr>
        <w:t>Q</w:t>
      </w:r>
      <w:r>
        <w:rPr>
          <w:rFonts w:eastAsia="仿宋_GB2312"/>
          <w:color w:val="auto"/>
          <w:sz w:val="24"/>
          <w:vertAlign w:val="subscript"/>
        </w:rPr>
        <w:t>2</w:t>
      </w:r>
      <w:r>
        <w:rPr>
          <w:rFonts w:hint="eastAsia" w:eastAsia="仿宋_GB2312"/>
          <w:color w:val="auto"/>
          <w:sz w:val="24"/>
        </w:rPr>
        <w:t>…</w:t>
      </w:r>
      <w:r>
        <w:rPr>
          <w:rFonts w:eastAsia="仿宋_GB2312"/>
          <w:color w:val="auto"/>
          <w:sz w:val="24"/>
        </w:rPr>
        <w:t>Q</w:t>
      </w:r>
      <w:r>
        <w:rPr>
          <w:rFonts w:eastAsia="仿宋_GB2312"/>
          <w:color w:val="auto"/>
          <w:sz w:val="24"/>
          <w:vertAlign w:val="subscript"/>
        </w:rPr>
        <w:t>n</w:t>
      </w:r>
      <w:r>
        <w:rPr>
          <w:rFonts w:hint="eastAsia" w:eastAsia="仿宋_GB2312"/>
          <w:color w:val="auto"/>
          <w:sz w:val="24"/>
        </w:rPr>
        <w:t>—每种危险物质的临界量，</w:t>
      </w:r>
      <w:r>
        <w:rPr>
          <w:rFonts w:eastAsia="仿宋_GB2312"/>
          <w:color w:val="auto"/>
          <w:sz w:val="24"/>
        </w:rPr>
        <w:t>t</w:t>
      </w:r>
      <w:r>
        <w:rPr>
          <w:rFonts w:hint="eastAsia" w:eastAsia="仿宋_GB2312"/>
          <w:color w:val="auto"/>
          <w:sz w:val="24"/>
        </w:rPr>
        <w:t>。</w:t>
      </w:r>
    </w:p>
    <w:p>
      <w:pPr>
        <w:widowControl w:val="0"/>
        <w:spacing w:line="360" w:lineRule="auto"/>
        <w:ind w:firstLine="1200" w:firstLineChars="500"/>
        <w:rPr>
          <w:rFonts w:hint="eastAsia" w:eastAsia="仿宋_GB2312"/>
          <w:color w:val="auto"/>
          <w:sz w:val="24"/>
        </w:rPr>
      </w:pPr>
      <w:r>
        <w:rPr>
          <w:rFonts w:hint="eastAsia" w:eastAsia="仿宋_GB2312"/>
          <w:color w:val="auto"/>
          <w:sz w:val="24"/>
          <w:lang w:val="en-US" w:eastAsia="zh-CN"/>
        </w:rPr>
        <w:t>当</w:t>
      </w:r>
      <w:r>
        <w:rPr>
          <w:rFonts w:eastAsia="仿宋_GB2312"/>
          <w:color w:val="auto"/>
          <w:sz w:val="24"/>
        </w:rPr>
        <w:t>Q</w:t>
      </w:r>
      <w:r>
        <w:rPr>
          <w:rFonts w:hint="eastAsia" w:eastAsia="仿宋_GB2312"/>
          <w:color w:val="auto"/>
          <w:sz w:val="24"/>
        </w:rPr>
        <w:t>＜</w:t>
      </w:r>
      <w:r>
        <w:rPr>
          <w:rFonts w:eastAsia="仿宋_GB2312"/>
          <w:color w:val="auto"/>
          <w:sz w:val="24"/>
        </w:rPr>
        <w:t>1</w:t>
      </w:r>
      <w:r>
        <w:rPr>
          <w:rFonts w:hint="eastAsia" w:eastAsia="仿宋_GB2312"/>
          <w:color w:val="auto"/>
          <w:sz w:val="24"/>
        </w:rPr>
        <w:t>时，该项目环境风险潜势为</w:t>
      </w:r>
      <w:r>
        <w:rPr>
          <w:rFonts w:eastAsia="仿宋_GB2312"/>
          <w:color w:val="auto"/>
          <w:sz w:val="24"/>
        </w:rPr>
        <w:t>I</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当Q≥1时，将Q值划分为：（1）1≤Q＜10；（2）10≤Q＜100；（3）Q≥100。</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运营期</w:t>
      </w:r>
      <w:r>
        <w:rPr>
          <w:rFonts w:hint="eastAsia" w:eastAsia="仿宋_GB2312"/>
          <w:color w:val="auto"/>
          <w:sz w:val="24"/>
        </w:rPr>
        <w:t>风险按照航道通航最大船舶等级</w:t>
      </w:r>
      <w:r>
        <w:rPr>
          <w:rFonts w:hint="eastAsia" w:eastAsia="仿宋_GB2312"/>
          <w:color w:val="auto"/>
          <w:sz w:val="24"/>
          <w:lang w:val="en-US" w:eastAsia="zh-CN"/>
        </w:rPr>
        <w:t>30</w:t>
      </w:r>
      <w:r>
        <w:rPr>
          <w:rFonts w:hint="eastAsia" w:eastAsia="仿宋_GB2312"/>
          <w:color w:val="auto"/>
          <w:sz w:val="24"/>
        </w:rPr>
        <w:t>00吨级货船发生事故，参考《水上溢油环境风险评估技术导则》（JT/T1143-2017），5000吨级</w:t>
      </w:r>
      <w:r>
        <w:rPr>
          <w:rFonts w:hint="eastAsia" w:eastAsia="仿宋_GB2312"/>
          <w:color w:val="auto"/>
          <w:sz w:val="24"/>
          <w:lang w:val="en-US" w:eastAsia="zh-CN"/>
        </w:rPr>
        <w:t>以下的</w:t>
      </w:r>
      <w:r>
        <w:rPr>
          <w:rFonts w:hint="eastAsia" w:eastAsia="仿宋_GB2312"/>
          <w:color w:val="auto"/>
          <w:sz w:val="24"/>
        </w:rPr>
        <w:t>散货船燃油舱中单舱燃油量小于</w:t>
      </w:r>
      <w:r>
        <w:rPr>
          <w:rFonts w:hint="eastAsia" w:eastAsia="仿宋_GB2312"/>
          <w:color w:val="auto"/>
          <w:sz w:val="24"/>
          <w:lang w:val="en-US" w:eastAsia="zh-CN"/>
        </w:rPr>
        <w:t>61m</w:t>
      </w:r>
      <w:r>
        <w:rPr>
          <w:rFonts w:hint="eastAsia" w:eastAsia="仿宋_GB2312"/>
          <w:color w:val="auto"/>
          <w:sz w:val="24"/>
          <w:vertAlign w:val="superscript"/>
          <w:lang w:val="en-US" w:eastAsia="zh-CN"/>
        </w:rPr>
        <w:t>3</w:t>
      </w:r>
      <w:r>
        <w:rPr>
          <w:rFonts w:hint="eastAsia" w:eastAsia="仿宋_GB2312"/>
          <w:color w:val="auto"/>
          <w:sz w:val="24"/>
          <w:lang w:val="en-US" w:eastAsia="zh-CN"/>
        </w:rPr>
        <w:t>（柴油密度按0.85</w:t>
      </w:r>
      <w:r>
        <w:rPr>
          <w:rFonts w:hint="default" w:ascii="Arial" w:hAnsi="Arial" w:eastAsia="仿宋_GB2312" w:cs="Arial"/>
          <w:color w:val="auto"/>
          <w:sz w:val="24"/>
          <w:lang w:val="en-US" w:eastAsia="zh-CN"/>
        </w:rPr>
        <w:t>×</w:t>
      </w:r>
      <w:r>
        <w:rPr>
          <w:rFonts w:hint="eastAsia" w:eastAsia="仿宋_GB2312"/>
          <w:color w:val="auto"/>
          <w:sz w:val="24"/>
          <w:lang w:val="en-US" w:eastAsia="zh-CN"/>
        </w:rPr>
        <w:t>10</w:t>
      </w:r>
      <w:r>
        <w:rPr>
          <w:rFonts w:hint="eastAsia" w:eastAsia="仿宋_GB2312"/>
          <w:color w:val="auto"/>
          <w:sz w:val="24"/>
          <w:vertAlign w:val="superscript"/>
          <w:lang w:val="en-US" w:eastAsia="zh-CN"/>
        </w:rPr>
        <w:t>3</w:t>
      </w:r>
      <w:r>
        <w:rPr>
          <w:rFonts w:hint="eastAsia" w:eastAsia="仿宋_GB2312"/>
          <w:color w:val="auto"/>
          <w:sz w:val="24"/>
          <w:lang w:val="en-US" w:eastAsia="zh-CN"/>
        </w:rPr>
        <w:t>kg/m</w:t>
      </w:r>
      <w:r>
        <w:rPr>
          <w:rFonts w:hint="eastAsia" w:eastAsia="仿宋_GB2312"/>
          <w:color w:val="auto"/>
          <w:sz w:val="24"/>
          <w:vertAlign w:val="superscript"/>
          <w:lang w:val="en-US" w:eastAsia="zh-CN"/>
        </w:rPr>
        <w:t>3</w:t>
      </w:r>
      <w:r>
        <w:rPr>
          <w:rFonts w:hint="eastAsia" w:eastAsia="仿宋_GB2312"/>
          <w:color w:val="auto"/>
          <w:sz w:val="24"/>
          <w:lang w:val="en-US" w:eastAsia="zh-CN"/>
        </w:rPr>
        <w:t>核算，52t）</w:t>
      </w:r>
      <w:r>
        <w:rPr>
          <w:rFonts w:hint="eastAsia" w:eastAsia="仿宋_GB2312"/>
          <w:color w:val="auto"/>
          <w:sz w:val="24"/>
          <w:lang w:eastAsia="zh-CN"/>
        </w:rPr>
        <w:t>。</w:t>
      </w:r>
      <w:r>
        <w:rPr>
          <w:rFonts w:hint="eastAsia" w:eastAsia="仿宋_GB2312"/>
          <w:color w:val="auto"/>
          <w:sz w:val="24"/>
          <w:lang w:val="en-US" w:eastAsia="zh-CN"/>
        </w:rPr>
        <w:t>本次</w:t>
      </w:r>
      <w:r>
        <w:rPr>
          <w:rFonts w:hint="eastAsia" w:eastAsia="仿宋_GB2312"/>
          <w:color w:val="auto"/>
          <w:sz w:val="24"/>
        </w:rPr>
        <w:t>确定</w:t>
      </w:r>
      <w:r>
        <w:rPr>
          <w:rFonts w:hint="eastAsia" w:eastAsia="仿宋_GB2312"/>
          <w:color w:val="auto"/>
          <w:sz w:val="24"/>
          <w:lang w:val="en-US" w:eastAsia="zh-CN"/>
        </w:rPr>
        <w:t>以两艘</w:t>
      </w:r>
      <w:r>
        <w:rPr>
          <w:rFonts w:hint="eastAsia" w:eastAsia="仿宋_GB2312"/>
          <w:color w:val="auto"/>
          <w:sz w:val="24"/>
        </w:rPr>
        <w:t>5000吨</w:t>
      </w:r>
      <w:r>
        <w:rPr>
          <w:rFonts w:hint="eastAsia" w:eastAsia="仿宋_GB2312"/>
          <w:color w:val="auto"/>
          <w:sz w:val="24"/>
          <w:lang w:val="en-US" w:eastAsia="zh-CN"/>
        </w:rPr>
        <w:t>级散货</w:t>
      </w:r>
      <w:r>
        <w:rPr>
          <w:rFonts w:hint="eastAsia" w:eastAsia="仿宋_GB2312"/>
          <w:color w:val="auto"/>
          <w:sz w:val="24"/>
        </w:rPr>
        <w:t>船发生燃油泄漏</w:t>
      </w:r>
      <w:r>
        <w:rPr>
          <w:rFonts w:hint="eastAsia" w:eastAsia="仿宋_GB2312"/>
          <w:color w:val="auto"/>
          <w:sz w:val="24"/>
          <w:lang w:eastAsia="zh-CN"/>
        </w:rPr>
        <w:t>，</w:t>
      </w:r>
      <w:r>
        <w:rPr>
          <w:rFonts w:hint="eastAsia" w:eastAsia="仿宋_GB2312"/>
          <w:color w:val="auto"/>
          <w:sz w:val="24"/>
          <w:lang w:val="en-US" w:eastAsia="zh-CN"/>
        </w:rPr>
        <w:t>燃油总量</w:t>
      </w:r>
      <w:r>
        <w:rPr>
          <w:rFonts w:hint="eastAsia" w:eastAsia="仿宋_GB2312"/>
          <w:color w:val="auto"/>
          <w:sz w:val="24"/>
          <w:lang w:eastAsia="zh-CN"/>
        </w:rPr>
        <w:t>（</w:t>
      </w:r>
      <w:r>
        <w:rPr>
          <w:rFonts w:hint="eastAsia" w:eastAsia="仿宋_GB2312"/>
          <w:color w:val="auto"/>
          <w:sz w:val="24"/>
          <w:lang w:val="en-US" w:eastAsia="zh-CN"/>
        </w:rPr>
        <w:t>365m</w:t>
      </w:r>
      <w:r>
        <w:rPr>
          <w:rFonts w:hint="eastAsia" w:eastAsia="仿宋_GB2312"/>
          <w:color w:val="auto"/>
          <w:sz w:val="24"/>
          <w:vertAlign w:val="superscript"/>
          <w:lang w:val="en-US" w:eastAsia="zh-CN"/>
        </w:rPr>
        <w:t>3</w:t>
      </w:r>
      <w:r>
        <w:rPr>
          <w:rFonts w:hint="eastAsia" w:eastAsia="仿宋_GB2312"/>
          <w:color w:val="auto"/>
          <w:sz w:val="24"/>
          <w:lang w:val="en-US" w:eastAsia="zh-CN"/>
        </w:rPr>
        <w:t>，故最大存在量以310.25</w:t>
      </w:r>
      <w:r>
        <w:rPr>
          <w:rFonts w:hint="eastAsia" w:eastAsia="仿宋_GB2312"/>
          <w:color w:val="auto"/>
          <w:sz w:val="24"/>
        </w:rPr>
        <w:t>t</w:t>
      </w:r>
      <w:r>
        <w:rPr>
          <w:rFonts w:hint="eastAsia" w:eastAsia="仿宋_GB2312"/>
          <w:color w:val="auto"/>
          <w:sz w:val="24"/>
          <w:lang w:val="en-US" w:eastAsia="zh-CN"/>
        </w:rPr>
        <w:t>计</w:t>
      </w:r>
      <w:r>
        <w:rPr>
          <w:rFonts w:hint="eastAsia" w:eastAsia="仿宋_GB2312"/>
          <w:color w:val="auto"/>
          <w:sz w:val="24"/>
          <w:lang w:eastAsia="zh-CN"/>
        </w:rPr>
        <w:t>）</w:t>
      </w:r>
      <w:r>
        <w:rPr>
          <w:rFonts w:hint="eastAsia" w:eastAsia="仿宋_GB2312"/>
          <w:color w:val="auto"/>
          <w:sz w:val="24"/>
        </w:rPr>
        <w:t>的事故</w:t>
      </w:r>
      <w:r>
        <w:rPr>
          <w:rFonts w:hint="eastAsia" w:eastAsia="仿宋_GB2312"/>
          <w:color w:val="auto"/>
          <w:sz w:val="24"/>
          <w:lang w:val="en-US" w:eastAsia="zh-CN"/>
        </w:rPr>
        <w:t>作为风险物质</w:t>
      </w:r>
      <w:r>
        <w:rPr>
          <w:rFonts w:hint="eastAsia" w:eastAsia="仿宋_GB2312"/>
          <w:color w:val="auto"/>
          <w:sz w:val="24"/>
        </w:rPr>
        <w:t>源强</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根据附录B.1计算，油类物质临界量为2500t，经计算Q</w:t>
      </w:r>
      <w:r>
        <w:rPr>
          <w:rFonts w:hint="eastAsia" w:eastAsia="仿宋_GB2312"/>
          <w:color w:val="auto"/>
          <w:sz w:val="24"/>
          <w:lang w:val="en-US" w:eastAsia="zh-CN"/>
        </w:rPr>
        <w:t>=0.1241</w:t>
      </w:r>
      <w:r>
        <w:rPr>
          <w:rFonts w:hint="eastAsia" w:eastAsia="仿宋_GB2312"/>
          <w:color w:val="auto"/>
          <w:sz w:val="24"/>
        </w:rPr>
        <w:t>＜1，环境风险潜势为I。</w:t>
      </w:r>
    </w:p>
    <w:bookmarkEnd w:id="458"/>
    <w:bookmarkEnd w:id="459"/>
    <w:p>
      <w:pPr>
        <w:pStyle w:val="8"/>
        <w:widowControl w:val="0"/>
        <w:spacing w:before="120" w:after="120" w:line="360" w:lineRule="auto"/>
        <w:rPr>
          <w:rFonts w:hint="eastAsia" w:ascii="Times New Roman" w:hAnsi="Times New Roman"/>
          <w:b w:val="0"/>
          <w:color w:val="auto"/>
          <w:szCs w:val="32"/>
        </w:rPr>
      </w:pPr>
      <w:bookmarkStart w:id="462" w:name="_Toc8436"/>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rPr>
        <w:t>3评价工作等级与评价范围</w:t>
      </w:r>
      <w:bookmarkEnd w:id="462"/>
    </w:p>
    <w:p>
      <w:pPr>
        <w:pStyle w:val="626"/>
        <w:contextualSpacing/>
        <w:rPr>
          <w:rFonts w:ascii="Times New Roman" w:eastAsia="仿宋_GB2312"/>
          <w:color w:val="auto"/>
        </w:rPr>
      </w:pPr>
      <w:r>
        <w:rPr>
          <w:rFonts w:ascii="Times New Roman" w:eastAsia="仿宋_GB2312"/>
          <w:color w:val="auto"/>
        </w:rPr>
        <w:t>环境风险评价工作等级划分为一级、二级、三级。根据建设项目涉及的物质及工艺系统危险性和所在地的环境敏感性确定环境风险潜势，按照下表确定评价工作等级。风险潜势为</w:t>
      </w:r>
      <w:r>
        <w:rPr>
          <w:rFonts w:hint="eastAsia" w:ascii="宋体" w:hAnsi="宋体" w:eastAsia="宋体" w:cs="宋体"/>
          <w:color w:val="auto"/>
        </w:rPr>
        <w:t>Ⅳ</w:t>
      </w:r>
      <w:r>
        <w:rPr>
          <w:rFonts w:ascii="Times New Roman" w:eastAsia="仿宋_GB2312"/>
          <w:color w:val="auto"/>
        </w:rPr>
        <w:t>及以上，进行一级评价；风险潜势为</w:t>
      </w:r>
      <w:r>
        <w:rPr>
          <w:rFonts w:hint="eastAsia" w:ascii="宋体" w:hAnsi="宋体" w:eastAsia="宋体" w:cs="宋体"/>
          <w:color w:val="auto"/>
        </w:rPr>
        <w:t>Ⅲ</w:t>
      </w:r>
      <w:r>
        <w:rPr>
          <w:rFonts w:ascii="Times New Roman" w:eastAsia="仿宋_GB2312"/>
          <w:color w:val="auto"/>
        </w:rPr>
        <w:t>，进行二级评价；风险潜势为</w:t>
      </w:r>
      <w:r>
        <w:rPr>
          <w:rFonts w:hint="eastAsia" w:ascii="宋体" w:hAnsi="宋体" w:eastAsia="宋体" w:cs="宋体"/>
          <w:color w:val="auto"/>
        </w:rPr>
        <w:t>Ⅱ</w:t>
      </w:r>
      <w:r>
        <w:rPr>
          <w:rFonts w:ascii="Times New Roman" w:eastAsia="仿宋_GB2312"/>
          <w:color w:val="auto"/>
        </w:rPr>
        <w:t>，进行三级评价；风险潜势为</w:t>
      </w:r>
      <w:r>
        <w:rPr>
          <w:rFonts w:hint="eastAsia" w:ascii="宋体" w:hAnsi="宋体" w:eastAsia="宋体" w:cs="宋体"/>
          <w:color w:val="auto"/>
        </w:rPr>
        <w:t>Ⅰ</w:t>
      </w:r>
      <w:r>
        <w:rPr>
          <w:rFonts w:ascii="Times New Roman" w:eastAsia="仿宋_GB2312"/>
          <w:color w:val="auto"/>
        </w:rPr>
        <w:t>，可开展简单分析。</w:t>
      </w:r>
    </w:p>
    <w:p>
      <w:pPr>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7</w:t>
      </w:r>
      <w:r>
        <w:rPr>
          <w:rFonts w:eastAsia="黑体"/>
          <w:b/>
          <w:color w:val="auto"/>
          <w:szCs w:val="21"/>
        </w:rPr>
        <w:t>.3-</w:t>
      </w:r>
      <w:r>
        <w:rPr>
          <w:rFonts w:hint="eastAsia" w:eastAsia="黑体"/>
          <w:b/>
          <w:color w:val="auto"/>
          <w:szCs w:val="21"/>
        </w:rPr>
        <w:t>1</w:t>
      </w:r>
      <w:r>
        <w:rPr>
          <w:rFonts w:eastAsia="黑体"/>
          <w:b/>
          <w:color w:val="auto"/>
          <w:szCs w:val="21"/>
        </w:rPr>
        <w:t xml:space="preserve">  评价工作等级划分</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67"/>
        <w:gridCol w:w="1531"/>
        <w:gridCol w:w="1532"/>
        <w:gridCol w:w="1532"/>
        <w:gridCol w:w="194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967" w:type="dxa"/>
            <w:tcBorders>
              <w:bottom w:val="single" w:color="auto" w:sz="12" w:space="0"/>
            </w:tcBorders>
            <w:noWrap w:val="0"/>
            <w:vAlign w:val="center"/>
          </w:tcPr>
          <w:p>
            <w:pPr>
              <w:pStyle w:val="2329"/>
              <w:rPr>
                <w:rFonts w:eastAsia="宋体"/>
                <w:color w:val="auto"/>
                <w:sz w:val="20"/>
                <w:szCs w:val="20"/>
              </w:rPr>
            </w:pPr>
            <w:r>
              <w:rPr>
                <w:rFonts w:eastAsia="宋体"/>
                <w:color w:val="auto"/>
                <w:sz w:val="20"/>
                <w:szCs w:val="20"/>
              </w:rPr>
              <w:t>环境风险潜势</w:t>
            </w:r>
          </w:p>
        </w:tc>
        <w:tc>
          <w:tcPr>
            <w:tcW w:w="1531" w:type="dxa"/>
            <w:tcBorders>
              <w:bottom w:val="single" w:color="auto" w:sz="12" w:space="0"/>
            </w:tcBorders>
            <w:noWrap w:val="0"/>
            <w:vAlign w:val="center"/>
          </w:tcPr>
          <w:p>
            <w:pPr>
              <w:pStyle w:val="2329"/>
              <w:rPr>
                <w:rFonts w:eastAsia="宋体"/>
                <w:color w:val="auto"/>
                <w:sz w:val="20"/>
                <w:szCs w:val="20"/>
              </w:rPr>
            </w:pPr>
            <w:r>
              <w:rPr>
                <w:rFonts w:hint="eastAsia" w:ascii="宋体" w:hAnsi="宋体" w:eastAsia="宋体" w:cs="宋体"/>
                <w:color w:val="auto"/>
                <w:sz w:val="20"/>
                <w:szCs w:val="20"/>
              </w:rPr>
              <w:t>Ⅳ</w:t>
            </w:r>
            <w:r>
              <w:rPr>
                <w:rFonts w:eastAsia="宋体"/>
                <w:color w:val="auto"/>
                <w:sz w:val="20"/>
                <w:szCs w:val="20"/>
              </w:rPr>
              <w:t>、</w:t>
            </w:r>
            <w:r>
              <w:rPr>
                <w:rFonts w:hint="eastAsia" w:ascii="宋体" w:hAnsi="宋体" w:eastAsia="宋体" w:cs="宋体"/>
                <w:color w:val="auto"/>
                <w:sz w:val="20"/>
                <w:szCs w:val="20"/>
              </w:rPr>
              <w:t>Ⅳ</w:t>
            </w:r>
            <w:r>
              <w:rPr>
                <w:rFonts w:eastAsia="宋体"/>
                <w:color w:val="auto"/>
                <w:sz w:val="20"/>
                <w:szCs w:val="20"/>
                <w:vertAlign w:val="superscript"/>
              </w:rPr>
              <w:t>+</w:t>
            </w:r>
          </w:p>
        </w:tc>
        <w:tc>
          <w:tcPr>
            <w:tcW w:w="1532" w:type="dxa"/>
            <w:tcBorders>
              <w:bottom w:val="single" w:color="auto" w:sz="12" w:space="0"/>
            </w:tcBorders>
            <w:noWrap w:val="0"/>
            <w:vAlign w:val="center"/>
          </w:tcPr>
          <w:p>
            <w:pPr>
              <w:pStyle w:val="2329"/>
              <w:rPr>
                <w:rFonts w:eastAsia="宋体"/>
                <w:color w:val="auto"/>
                <w:sz w:val="20"/>
                <w:szCs w:val="20"/>
              </w:rPr>
            </w:pPr>
            <w:r>
              <w:rPr>
                <w:rFonts w:hint="eastAsia" w:ascii="宋体" w:hAnsi="宋体" w:eastAsia="宋体" w:cs="宋体"/>
                <w:color w:val="auto"/>
                <w:sz w:val="20"/>
                <w:szCs w:val="20"/>
              </w:rPr>
              <w:t>Ⅲ</w:t>
            </w:r>
          </w:p>
        </w:tc>
        <w:tc>
          <w:tcPr>
            <w:tcW w:w="1532" w:type="dxa"/>
            <w:tcBorders>
              <w:bottom w:val="single" w:color="auto" w:sz="12" w:space="0"/>
            </w:tcBorders>
            <w:noWrap w:val="0"/>
            <w:vAlign w:val="center"/>
          </w:tcPr>
          <w:p>
            <w:pPr>
              <w:pStyle w:val="2329"/>
              <w:rPr>
                <w:rFonts w:eastAsia="宋体"/>
                <w:color w:val="auto"/>
                <w:sz w:val="20"/>
                <w:szCs w:val="20"/>
              </w:rPr>
            </w:pPr>
            <w:r>
              <w:rPr>
                <w:rFonts w:hint="eastAsia" w:ascii="宋体" w:hAnsi="宋体" w:eastAsia="宋体" w:cs="宋体"/>
                <w:color w:val="auto"/>
                <w:sz w:val="20"/>
                <w:szCs w:val="20"/>
              </w:rPr>
              <w:t>Ⅱ</w:t>
            </w:r>
          </w:p>
        </w:tc>
        <w:tc>
          <w:tcPr>
            <w:tcW w:w="1942" w:type="dxa"/>
            <w:tcBorders>
              <w:bottom w:val="single" w:color="auto" w:sz="12" w:space="0"/>
            </w:tcBorders>
            <w:noWrap w:val="0"/>
            <w:vAlign w:val="center"/>
          </w:tcPr>
          <w:p>
            <w:pPr>
              <w:pStyle w:val="2329"/>
              <w:rPr>
                <w:rFonts w:eastAsia="宋体"/>
                <w:color w:val="auto"/>
                <w:sz w:val="20"/>
                <w:szCs w:val="20"/>
              </w:rPr>
            </w:pPr>
            <w:r>
              <w:rPr>
                <w:rFonts w:hint="eastAsia" w:ascii="宋体" w:hAnsi="宋体" w:eastAsia="宋体" w:cs="宋体"/>
                <w:color w:val="auto"/>
                <w:sz w:val="20"/>
                <w:szCs w:val="20"/>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967" w:type="dxa"/>
            <w:tcBorders>
              <w:top w:val="single" w:color="auto" w:sz="12" w:space="0"/>
            </w:tcBorders>
            <w:noWrap w:val="0"/>
            <w:vAlign w:val="center"/>
          </w:tcPr>
          <w:p>
            <w:pPr>
              <w:pStyle w:val="2329"/>
              <w:rPr>
                <w:rFonts w:eastAsia="宋体"/>
                <w:color w:val="auto"/>
                <w:sz w:val="20"/>
                <w:szCs w:val="20"/>
              </w:rPr>
            </w:pPr>
            <w:r>
              <w:rPr>
                <w:rFonts w:eastAsia="宋体"/>
                <w:color w:val="auto"/>
                <w:sz w:val="20"/>
                <w:szCs w:val="20"/>
              </w:rPr>
              <w:t>评价工作等级</w:t>
            </w:r>
          </w:p>
        </w:tc>
        <w:tc>
          <w:tcPr>
            <w:tcW w:w="1531" w:type="dxa"/>
            <w:tcBorders>
              <w:top w:val="single" w:color="auto" w:sz="12" w:space="0"/>
            </w:tcBorders>
            <w:noWrap w:val="0"/>
            <w:vAlign w:val="center"/>
          </w:tcPr>
          <w:p>
            <w:pPr>
              <w:pStyle w:val="2329"/>
              <w:rPr>
                <w:rFonts w:eastAsia="宋体"/>
                <w:color w:val="auto"/>
                <w:sz w:val="20"/>
                <w:szCs w:val="20"/>
              </w:rPr>
            </w:pPr>
            <w:r>
              <w:rPr>
                <w:rFonts w:eastAsia="宋体"/>
                <w:color w:val="auto"/>
                <w:sz w:val="20"/>
                <w:szCs w:val="20"/>
              </w:rPr>
              <w:t>一</w:t>
            </w:r>
          </w:p>
        </w:tc>
        <w:tc>
          <w:tcPr>
            <w:tcW w:w="1532" w:type="dxa"/>
            <w:tcBorders>
              <w:top w:val="single" w:color="auto" w:sz="12" w:space="0"/>
            </w:tcBorders>
            <w:noWrap w:val="0"/>
            <w:vAlign w:val="center"/>
          </w:tcPr>
          <w:p>
            <w:pPr>
              <w:pStyle w:val="2329"/>
              <w:rPr>
                <w:rFonts w:eastAsia="宋体"/>
                <w:color w:val="auto"/>
                <w:sz w:val="20"/>
                <w:szCs w:val="20"/>
              </w:rPr>
            </w:pPr>
            <w:r>
              <w:rPr>
                <w:rFonts w:eastAsia="宋体"/>
                <w:color w:val="auto"/>
                <w:sz w:val="20"/>
                <w:szCs w:val="20"/>
              </w:rPr>
              <w:t>二</w:t>
            </w:r>
          </w:p>
        </w:tc>
        <w:tc>
          <w:tcPr>
            <w:tcW w:w="1532" w:type="dxa"/>
            <w:tcBorders>
              <w:top w:val="single" w:color="auto" w:sz="12" w:space="0"/>
            </w:tcBorders>
            <w:noWrap w:val="0"/>
            <w:vAlign w:val="center"/>
          </w:tcPr>
          <w:p>
            <w:pPr>
              <w:pStyle w:val="2329"/>
              <w:rPr>
                <w:rFonts w:eastAsia="宋体"/>
                <w:color w:val="auto"/>
                <w:sz w:val="20"/>
                <w:szCs w:val="20"/>
              </w:rPr>
            </w:pPr>
            <w:r>
              <w:rPr>
                <w:rFonts w:eastAsia="宋体"/>
                <w:color w:val="auto"/>
                <w:sz w:val="20"/>
                <w:szCs w:val="20"/>
              </w:rPr>
              <w:t>三</w:t>
            </w:r>
          </w:p>
        </w:tc>
        <w:tc>
          <w:tcPr>
            <w:tcW w:w="1942" w:type="dxa"/>
            <w:tcBorders>
              <w:top w:val="single" w:color="auto" w:sz="12" w:space="0"/>
            </w:tcBorders>
            <w:noWrap w:val="0"/>
            <w:vAlign w:val="center"/>
          </w:tcPr>
          <w:p>
            <w:pPr>
              <w:pStyle w:val="2329"/>
              <w:rPr>
                <w:rFonts w:eastAsia="宋体"/>
                <w:color w:val="auto"/>
                <w:sz w:val="20"/>
                <w:szCs w:val="20"/>
              </w:rPr>
            </w:pPr>
            <w:r>
              <w:rPr>
                <w:rFonts w:eastAsia="宋体"/>
                <w:color w:val="auto"/>
                <w:sz w:val="20"/>
                <w:szCs w:val="20"/>
              </w:rPr>
              <w:t>简单分析 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504" w:type="dxa"/>
            <w:gridSpan w:val="5"/>
            <w:noWrap w:val="0"/>
            <w:vAlign w:val="center"/>
          </w:tcPr>
          <w:p>
            <w:pPr>
              <w:pStyle w:val="2329"/>
              <w:jc w:val="left"/>
              <w:rPr>
                <w:rFonts w:eastAsia="宋体"/>
                <w:color w:val="auto"/>
                <w:sz w:val="20"/>
                <w:szCs w:val="20"/>
              </w:rPr>
            </w:pPr>
            <w:r>
              <w:rPr>
                <w:rFonts w:eastAsia="宋体"/>
                <w:color w:val="auto"/>
                <w:sz w:val="20"/>
                <w:szCs w:val="20"/>
              </w:rPr>
              <w:t>a 是相对于详细评价工作内容而言，在描述危险物质、环境影响途径、环境危害后果、风险防范措施等方面给出定性的说明。见附录A。</w:t>
            </w:r>
          </w:p>
        </w:tc>
      </w:tr>
    </w:tbl>
    <w:p>
      <w:pPr>
        <w:pStyle w:val="626"/>
        <w:contextualSpacing/>
        <w:rPr>
          <w:rFonts w:hint="eastAsia" w:ascii="Times New Roman" w:eastAsia="仿宋_GB2312"/>
          <w:color w:val="auto"/>
        </w:rPr>
      </w:pPr>
      <w:r>
        <w:rPr>
          <w:rFonts w:ascii="Times New Roman" w:eastAsia="仿宋_GB2312"/>
          <w:color w:val="auto"/>
        </w:rPr>
        <w:t>根据分析，本项目环境风险潜势为</w:t>
      </w:r>
      <w:r>
        <w:rPr>
          <w:rFonts w:hint="eastAsia" w:ascii="Times New Roman" w:eastAsia="仿宋_GB2312"/>
          <w:color w:val="auto"/>
        </w:rPr>
        <w:t>Ⅰ</w:t>
      </w:r>
      <w:r>
        <w:rPr>
          <w:rFonts w:ascii="Times New Roman" w:eastAsia="仿宋_GB2312"/>
          <w:color w:val="auto"/>
        </w:rPr>
        <w:t>级，对比上表，本项目环境风险评价工作等级为简单分析。</w:t>
      </w:r>
    </w:p>
    <w:p>
      <w:pPr>
        <w:pStyle w:val="8"/>
        <w:widowControl w:val="0"/>
        <w:spacing w:before="120" w:after="120" w:line="360" w:lineRule="auto"/>
        <w:rPr>
          <w:rFonts w:ascii="Times New Roman" w:hAnsi="Times New Roman"/>
          <w:b w:val="0"/>
          <w:color w:val="auto"/>
          <w:szCs w:val="32"/>
        </w:rPr>
      </w:pPr>
      <w:bookmarkStart w:id="463" w:name="_Toc17824"/>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rPr>
        <w:t>4</w:t>
      </w:r>
      <w:r>
        <w:rPr>
          <w:rFonts w:hint="eastAsia" w:ascii="Times New Roman" w:hAnsi="Times New Roman"/>
          <w:b w:val="0"/>
          <w:color w:val="auto"/>
          <w:szCs w:val="32"/>
          <w:lang w:val="en-US" w:eastAsia="zh-CN"/>
        </w:rPr>
        <w:t>环境</w:t>
      </w:r>
      <w:r>
        <w:rPr>
          <w:rFonts w:ascii="Times New Roman" w:hAnsi="Times New Roman"/>
          <w:b w:val="0"/>
          <w:color w:val="auto"/>
          <w:szCs w:val="32"/>
        </w:rPr>
        <w:t>风险识别</w:t>
      </w:r>
      <w:bookmarkEnd w:id="463"/>
    </w:p>
    <w:p>
      <w:pPr>
        <w:pStyle w:val="9"/>
        <w:widowControl w:val="0"/>
        <w:spacing w:before="120" w:after="120" w:line="360" w:lineRule="auto"/>
        <w:rPr>
          <w:rFonts w:hint="default" w:eastAsia="黑体"/>
          <w:b w:val="0"/>
          <w:color w:val="auto"/>
          <w:sz w:val="24"/>
          <w:lang w:val="en-US" w:eastAsia="zh-CN"/>
        </w:rPr>
      </w:pPr>
      <w:bookmarkStart w:id="464" w:name="_Toc10117"/>
      <w:r>
        <w:rPr>
          <w:rFonts w:hint="eastAsia" w:eastAsia="黑体"/>
          <w:b w:val="0"/>
          <w:color w:val="auto"/>
          <w:sz w:val="24"/>
          <w:lang w:val="en-US" w:eastAsia="zh-CN"/>
        </w:rPr>
        <w:t>7</w:t>
      </w:r>
      <w:r>
        <w:rPr>
          <w:rFonts w:hint="eastAsia" w:eastAsia="黑体"/>
          <w:b w:val="0"/>
          <w:color w:val="auto"/>
          <w:sz w:val="24"/>
        </w:rPr>
        <w:t>.4.1</w:t>
      </w:r>
      <w:r>
        <w:rPr>
          <w:rFonts w:hint="eastAsia" w:eastAsia="黑体"/>
          <w:b w:val="0"/>
          <w:color w:val="auto"/>
          <w:sz w:val="24"/>
          <w:lang w:val="en-US" w:eastAsia="zh-CN"/>
        </w:rPr>
        <w:t>风险识别内容</w:t>
      </w:r>
      <w:bookmarkEnd w:id="464"/>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rPr>
        <w:t>本项目主要运输货种为</w:t>
      </w:r>
      <w:r>
        <w:rPr>
          <w:rFonts w:hint="eastAsia" w:eastAsia="仿宋_GB2312"/>
          <w:color w:val="auto"/>
          <w:sz w:val="24"/>
          <w:lang w:val="en-US" w:eastAsia="zh-CN"/>
        </w:rPr>
        <w:t>砂石料散货</w:t>
      </w:r>
      <w:r>
        <w:rPr>
          <w:rFonts w:hint="eastAsia" w:eastAsia="仿宋_GB2312"/>
          <w:color w:val="auto"/>
          <w:sz w:val="24"/>
        </w:rPr>
        <w:t>，不涉及油品、液体化工品运输，因此本码头货种不属于风险物质，可能导致风险的物质是</w:t>
      </w:r>
      <w:r>
        <w:rPr>
          <w:rFonts w:hint="eastAsia" w:eastAsia="仿宋_GB2312"/>
          <w:color w:val="auto"/>
          <w:sz w:val="24"/>
          <w:lang w:val="en-US" w:eastAsia="zh-CN"/>
        </w:rPr>
        <w:t>到港船舶燃油（柴油）。</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根据本项目的运营性质，码头生产事故污染的环节包括为：船舶污染物接收过程发生泄漏；船舶在进港靠泊以及卸船作业期间，发生碰撞导致燃油泄漏，从而引起</w:t>
      </w:r>
      <w:r>
        <w:rPr>
          <w:rFonts w:hint="eastAsia" w:eastAsia="仿宋_GB2312"/>
          <w:color w:val="auto"/>
          <w:sz w:val="24"/>
          <w:lang w:val="en-US" w:eastAsia="zh-CN"/>
        </w:rPr>
        <w:t>长江</w:t>
      </w:r>
      <w:r>
        <w:rPr>
          <w:rFonts w:hint="eastAsia" w:eastAsia="仿宋_GB2312"/>
          <w:color w:val="auto"/>
          <w:sz w:val="24"/>
        </w:rPr>
        <w:t>水域污染，造成环境危害。</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rPr>
        <w:t>船舶污染物接收过程发生泄漏等事故状态发生泄漏的概率，远小于船舶发生碰撞导致的燃油泄漏，根据《水运工程建设项目环境影响评价指南》（JTS/T 105-2021）中筛选的代表性风险事故情形，本评价主要分析船舶发生碰撞导致燃油泄漏的风险事故</w:t>
      </w:r>
      <w:r>
        <w:rPr>
          <w:rFonts w:hint="eastAsia" w:eastAsia="仿宋_GB2312"/>
          <w:color w:val="auto"/>
          <w:sz w:val="24"/>
          <w:lang w:eastAsia="zh-CN"/>
        </w:rPr>
        <w:t>。</w:t>
      </w:r>
    </w:p>
    <w:p>
      <w:pPr>
        <w:pStyle w:val="9"/>
        <w:widowControl w:val="0"/>
        <w:spacing w:before="120" w:after="120" w:line="360" w:lineRule="auto"/>
        <w:rPr>
          <w:rFonts w:hint="default" w:eastAsia="黑体"/>
          <w:b w:val="0"/>
          <w:color w:val="auto"/>
          <w:sz w:val="24"/>
          <w:lang w:val="en-US" w:eastAsia="zh-CN"/>
        </w:rPr>
      </w:pPr>
      <w:bookmarkStart w:id="465" w:name="_Toc28933"/>
      <w:r>
        <w:rPr>
          <w:rFonts w:hint="eastAsia" w:eastAsia="黑体"/>
          <w:b w:val="0"/>
          <w:color w:val="auto"/>
          <w:sz w:val="24"/>
          <w:lang w:val="en-US" w:eastAsia="zh-CN"/>
        </w:rPr>
        <w:t>7</w:t>
      </w:r>
      <w:r>
        <w:rPr>
          <w:rFonts w:hint="eastAsia" w:eastAsia="黑体"/>
          <w:b w:val="0"/>
          <w:color w:val="auto"/>
          <w:sz w:val="24"/>
        </w:rPr>
        <w:t>.4.</w:t>
      </w:r>
      <w:r>
        <w:rPr>
          <w:rFonts w:hint="eastAsia" w:eastAsia="黑体"/>
          <w:b w:val="0"/>
          <w:color w:val="auto"/>
          <w:sz w:val="24"/>
          <w:lang w:val="en-US" w:eastAsia="zh-CN"/>
        </w:rPr>
        <w:t>2物资危险性识别</w:t>
      </w:r>
      <w:bookmarkEnd w:id="465"/>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本项目涉及的环境风险物质为柴油，柴油属危险性油品，危险特性主要有以下几个方面：</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①易燃、易爆</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根据《石油化工企业设计防火规范》（GB 50160-92，1999年局部修订版）和《石油库设计规范》（GB 50074-2002），柴油属于高闪点易燃液体，火灾危险类别为丙A类。</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②易流动</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柴油为液体，粘度低具有好的流动性。在储运过程中，一旦发生泄漏，不仅造成经济上的损失和环境污染，而且易引发燃烧爆炸事故。</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③易挥发</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柴油的沸点较低，在常温下就能蒸发。因此在正常作业和储存过程中，这些物料的挥发是不可避免的。成品油泄露时产生的蒸汽或正常挥发，如果与空气混合达到爆炸极限范围，易发生爆炸。故应采取措施减少挥发，或利用通风等措施降低油气浓度避免形成爆炸性混合气体。</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④易积聚静电</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成品油导电性较差，在流动、过滤、混合、喷射、冲洗、充装、晃动过程中产生和积聚静电荷。在储运过程中，可燃液体与可燃液体，或可燃液体与管道、容器、过滤介质以及与水、杂质、空气等发生碰撞、擦磨，都有可能造成静电积累。而静电放电是导致火灾爆炸事故的一个重要原因。</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⑤热膨胀性</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油品受热后，温度升高，体积膨胀，若容器罐装过满，超过安全容量，可能导致容器或管件的损坏，引起油品外溢、渗漏，增加火灾爆炸危险性。</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⑥毒性</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石油产品的毒性表现，一是有特殊的刺激性气体，二是液体有毒或蒸气有毒。</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石油产品的蒸气可引起眼及上呼吸道刺激症状，如浓度过高，几分钟即可引起呼吸困难等缺氧症状。并可通过消化道、呼吸道、皮肤侵入机体对人产生危害。</w:t>
      </w:r>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rPr>
        <w:t>柴油的物化特性详见表</w:t>
      </w:r>
      <w:r>
        <w:rPr>
          <w:rFonts w:hint="eastAsia" w:eastAsia="仿宋_GB2312"/>
          <w:color w:val="auto"/>
          <w:sz w:val="24"/>
          <w:lang w:val="en-US" w:eastAsia="zh-CN"/>
        </w:rPr>
        <w:t>。</w:t>
      </w:r>
    </w:p>
    <w:p>
      <w:pPr>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7.4</w:t>
      </w:r>
      <w:r>
        <w:rPr>
          <w:rFonts w:eastAsia="黑体"/>
          <w:b/>
          <w:color w:val="auto"/>
          <w:szCs w:val="21"/>
        </w:rPr>
        <w:t>-</w:t>
      </w:r>
      <w:r>
        <w:rPr>
          <w:rFonts w:hint="eastAsia" w:eastAsia="黑体"/>
          <w:b/>
          <w:color w:val="auto"/>
          <w:szCs w:val="21"/>
          <w:lang w:val="en-US" w:eastAsia="zh-CN"/>
        </w:rPr>
        <w:t>1</w:t>
      </w:r>
      <w:r>
        <w:rPr>
          <w:rFonts w:eastAsia="黑体"/>
          <w:b/>
          <w:color w:val="auto"/>
          <w:szCs w:val="21"/>
        </w:rPr>
        <w:t xml:space="preserve">  柴油物化特性一览表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43"/>
        <w:gridCol w:w="991"/>
        <w:gridCol w:w="995"/>
        <w:gridCol w:w="2124"/>
        <w:gridCol w:w="1448"/>
        <w:gridCol w:w="15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tblHeader/>
          <w:jc w:val="center"/>
        </w:trPr>
        <w:tc>
          <w:tcPr>
            <w:tcW w:w="847" w:type="pct"/>
            <w:vAlign w:val="center"/>
          </w:tcPr>
          <w:p>
            <w:pPr>
              <w:pStyle w:val="2329"/>
              <w:rPr>
                <w:rFonts w:eastAsia="宋体"/>
                <w:color w:val="auto"/>
                <w:sz w:val="20"/>
                <w:szCs w:val="20"/>
              </w:rPr>
            </w:pPr>
            <w:r>
              <w:rPr>
                <w:rFonts w:eastAsia="宋体"/>
                <w:color w:val="auto"/>
                <w:sz w:val="20"/>
                <w:szCs w:val="20"/>
              </w:rPr>
              <w:t>熔点</w:t>
            </w:r>
          </w:p>
        </w:tc>
        <w:tc>
          <w:tcPr>
            <w:tcW w:w="1166" w:type="pct"/>
            <w:gridSpan w:val="2"/>
            <w:vAlign w:val="center"/>
          </w:tcPr>
          <w:p>
            <w:pPr>
              <w:pStyle w:val="2329"/>
              <w:rPr>
                <w:rFonts w:eastAsia="宋体"/>
                <w:color w:val="auto"/>
                <w:sz w:val="20"/>
                <w:szCs w:val="20"/>
              </w:rPr>
            </w:pPr>
            <w:r>
              <w:rPr>
                <w:rFonts w:eastAsia="宋体"/>
                <w:color w:val="auto"/>
                <w:sz w:val="20"/>
                <w:szCs w:val="20"/>
              </w:rPr>
              <w:t>＜29.56</w:t>
            </w:r>
          </w:p>
        </w:tc>
        <w:tc>
          <w:tcPr>
            <w:tcW w:w="1247" w:type="pct"/>
            <w:vAlign w:val="center"/>
          </w:tcPr>
          <w:p>
            <w:pPr>
              <w:pStyle w:val="2329"/>
              <w:rPr>
                <w:rFonts w:eastAsia="宋体"/>
                <w:color w:val="auto"/>
                <w:sz w:val="20"/>
                <w:szCs w:val="20"/>
              </w:rPr>
            </w:pPr>
            <w:r>
              <w:rPr>
                <w:rFonts w:eastAsia="宋体"/>
                <w:color w:val="auto"/>
                <w:sz w:val="20"/>
                <w:szCs w:val="20"/>
              </w:rPr>
              <w:t>相对密度（水）</w:t>
            </w:r>
          </w:p>
        </w:tc>
        <w:tc>
          <w:tcPr>
            <w:tcW w:w="1739" w:type="pct"/>
            <w:gridSpan w:val="2"/>
            <w:vAlign w:val="center"/>
          </w:tcPr>
          <w:p>
            <w:pPr>
              <w:pStyle w:val="2329"/>
              <w:rPr>
                <w:rFonts w:hint="default" w:eastAsia="宋体"/>
                <w:color w:val="auto"/>
                <w:sz w:val="20"/>
                <w:szCs w:val="20"/>
                <w:lang w:val="en-US" w:eastAsia="zh-CN"/>
              </w:rPr>
            </w:pPr>
            <w:r>
              <w:rPr>
                <w:rFonts w:hint="eastAsia" w:eastAsia="宋体"/>
                <w:color w:val="auto"/>
                <w:sz w:val="20"/>
                <w:szCs w:val="20"/>
                <w:lang w:val="en-US" w:eastAsia="zh-CN"/>
              </w:rPr>
              <w:t>0.85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沸点</w:t>
            </w:r>
          </w:p>
        </w:tc>
        <w:tc>
          <w:tcPr>
            <w:tcW w:w="1166" w:type="pct"/>
            <w:gridSpan w:val="2"/>
            <w:vAlign w:val="center"/>
          </w:tcPr>
          <w:p>
            <w:pPr>
              <w:pStyle w:val="2329"/>
              <w:rPr>
                <w:rFonts w:eastAsia="宋体"/>
                <w:color w:val="auto"/>
                <w:sz w:val="20"/>
                <w:szCs w:val="20"/>
              </w:rPr>
            </w:pPr>
            <w:r>
              <w:rPr>
                <w:rFonts w:eastAsia="宋体"/>
                <w:color w:val="auto"/>
                <w:sz w:val="20"/>
                <w:szCs w:val="20"/>
              </w:rPr>
              <w:t>180~379</w:t>
            </w:r>
            <w:r>
              <w:rPr>
                <w:rFonts w:hint="eastAsia" w:eastAsia="宋体"/>
                <w:color w:val="auto"/>
                <w:sz w:val="20"/>
                <w:szCs w:val="20"/>
              </w:rPr>
              <w:t>℃</w:t>
            </w:r>
          </w:p>
        </w:tc>
        <w:tc>
          <w:tcPr>
            <w:tcW w:w="1247" w:type="pct"/>
            <w:vAlign w:val="center"/>
          </w:tcPr>
          <w:p>
            <w:pPr>
              <w:pStyle w:val="2329"/>
              <w:rPr>
                <w:rFonts w:eastAsia="宋体"/>
                <w:color w:val="auto"/>
                <w:sz w:val="20"/>
                <w:szCs w:val="20"/>
              </w:rPr>
            </w:pPr>
            <w:r>
              <w:rPr>
                <w:rFonts w:eastAsia="宋体"/>
                <w:color w:val="auto"/>
                <w:sz w:val="20"/>
                <w:szCs w:val="20"/>
              </w:rPr>
              <w:t>饱和蒸汽压（KPa）</w:t>
            </w:r>
          </w:p>
        </w:tc>
        <w:tc>
          <w:tcPr>
            <w:tcW w:w="1739" w:type="pct"/>
            <w:gridSpan w:val="2"/>
            <w:vAlign w:val="center"/>
          </w:tcPr>
          <w:p>
            <w:pPr>
              <w:pStyle w:val="2329"/>
              <w:rPr>
                <w:rFonts w:eastAsia="宋体"/>
                <w:color w:val="auto"/>
                <w:sz w:val="20"/>
                <w:szCs w:val="20"/>
              </w:rPr>
            </w:pPr>
            <w:r>
              <w:rPr>
                <w:rFonts w:eastAsia="宋体"/>
                <w:color w:val="auto"/>
                <w:sz w:val="20"/>
                <w:szCs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燃烧性</w:t>
            </w:r>
          </w:p>
        </w:tc>
        <w:tc>
          <w:tcPr>
            <w:tcW w:w="1166" w:type="pct"/>
            <w:gridSpan w:val="2"/>
            <w:vAlign w:val="center"/>
          </w:tcPr>
          <w:p>
            <w:pPr>
              <w:pStyle w:val="2329"/>
              <w:rPr>
                <w:rFonts w:eastAsia="宋体"/>
                <w:color w:val="auto"/>
                <w:sz w:val="20"/>
                <w:szCs w:val="20"/>
              </w:rPr>
            </w:pPr>
            <w:r>
              <w:rPr>
                <w:rFonts w:eastAsia="宋体"/>
                <w:color w:val="auto"/>
                <w:sz w:val="20"/>
                <w:szCs w:val="20"/>
              </w:rPr>
              <w:t>可燃</w:t>
            </w:r>
          </w:p>
        </w:tc>
        <w:tc>
          <w:tcPr>
            <w:tcW w:w="1247" w:type="pct"/>
            <w:vAlign w:val="center"/>
          </w:tcPr>
          <w:p>
            <w:pPr>
              <w:pStyle w:val="2329"/>
              <w:rPr>
                <w:rFonts w:eastAsia="宋体"/>
                <w:color w:val="auto"/>
                <w:sz w:val="20"/>
                <w:szCs w:val="20"/>
              </w:rPr>
            </w:pPr>
            <w:r>
              <w:rPr>
                <w:rFonts w:eastAsia="宋体"/>
                <w:color w:val="auto"/>
                <w:sz w:val="20"/>
                <w:szCs w:val="20"/>
              </w:rPr>
              <w:t>燃烧分解物</w:t>
            </w:r>
          </w:p>
        </w:tc>
        <w:tc>
          <w:tcPr>
            <w:tcW w:w="1739" w:type="pct"/>
            <w:gridSpan w:val="2"/>
            <w:vAlign w:val="center"/>
          </w:tcPr>
          <w:p>
            <w:pPr>
              <w:pStyle w:val="2329"/>
              <w:rPr>
                <w:rFonts w:eastAsia="宋体"/>
                <w:color w:val="auto"/>
                <w:sz w:val="20"/>
                <w:szCs w:val="20"/>
              </w:rPr>
            </w:pPr>
            <w:r>
              <w:rPr>
                <w:rFonts w:eastAsia="宋体"/>
                <w:color w:val="auto"/>
                <w:sz w:val="20"/>
                <w:szCs w:val="20"/>
              </w:rPr>
              <w:t>一氧化碳、二氧化碳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闪点</w:t>
            </w:r>
          </w:p>
        </w:tc>
        <w:tc>
          <w:tcPr>
            <w:tcW w:w="1166" w:type="pct"/>
            <w:gridSpan w:val="2"/>
            <w:vAlign w:val="center"/>
          </w:tcPr>
          <w:p>
            <w:pPr>
              <w:pStyle w:val="2329"/>
              <w:rPr>
                <w:rFonts w:eastAsia="宋体"/>
                <w:color w:val="auto"/>
                <w:sz w:val="20"/>
                <w:szCs w:val="20"/>
              </w:rPr>
            </w:pPr>
            <w:r>
              <w:rPr>
                <w:rFonts w:hint="eastAsia" w:eastAsia="宋体"/>
                <w:color w:val="auto"/>
                <w:sz w:val="20"/>
                <w:szCs w:val="20"/>
              </w:rPr>
              <w:t>≥</w:t>
            </w:r>
            <w:r>
              <w:rPr>
                <w:rFonts w:eastAsia="宋体"/>
                <w:color w:val="auto"/>
                <w:sz w:val="20"/>
                <w:szCs w:val="20"/>
              </w:rPr>
              <w:t>55</w:t>
            </w:r>
            <w:r>
              <w:rPr>
                <w:rFonts w:hint="eastAsia" w:eastAsia="宋体"/>
                <w:color w:val="auto"/>
                <w:sz w:val="20"/>
                <w:szCs w:val="20"/>
              </w:rPr>
              <w:t>℃</w:t>
            </w:r>
          </w:p>
        </w:tc>
        <w:tc>
          <w:tcPr>
            <w:tcW w:w="1247" w:type="pct"/>
            <w:vAlign w:val="center"/>
          </w:tcPr>
          <w:p>
            <w:pPr>
              <w:pStyle w:val="2329"/>
              <w:rPr>
                <w:rFonts w:eastAsia="宋体"/>
                <w:color w:val="auto"/>
                <w:sz w:val="20"/>
                <w:szCs w:val="20"/>
              </w:rPr>
            </w:pPr>
            <w:r>
              <w:rPr>
                <w:rFonts w:eastAsia="宋体"/>
                <w:color w:val="auto"/>
                <w:sz w:val="20"/>
                <w:szCs w:val="20"/>
              </w:rPr>
              <w:t>爆炸上限（v%）</w:t>
            </w:r>
          </w:p>
        </w:tc>
        <w:tc>
          <w:tcPr>
            <w:tcW w:w="1739" w:type="pct"/>
            <w:gridSpan w:val="2"/>
            <w:vAlign w:val="center"/>
          </w:tcPr>
          <w:p>
            <w:pPr>
              <w:pStyle w:val="2329"/>
              <w:rPr>
                <w:rFonts w:eastAsia="宋体"/>
                <w:color w:val="auto"/>
                <w:sz w:val="20"/>
                <w:szCs w:val="20"/>
              </w:rPr>
            </w:pPr>
            <w:r>
              <w:rPr>
                <w:rFonts w:eastAsia="宋体"/>
                <w:color w:val="auto"/>
                <w:sz w:val="20"/>
                <w:szCs w:val="20"/>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引燃温度</w:t>
            </w:r>
          </w:p>
        </w:tc>
        <w:tc>
          <w:tcPr>
            <w:tcW w:w="1166" w:type="pct"/>
            <w:gridSpan w:val="2"/>
            <w:vAlign w:val="center"/>
          </w:tcPr>
          <w:p>
            <w:pPr>
              <w:pStyle w:val="2329"/>
              <w:rPr>
                <w:rFonts w:eastAsia="宋体"/>
                <w:color w:val="auto"/>
                <w:sz w:val="20"/>
                <w:szCs w:val="20"/>
              </w:rPr>
            </w:pPr>
            <w:r>
              <w:rPr>
                <w:rFonts w:eastAsia="宋体"/>
                <w:color w:val="auto"/>
                <w:sz w:val="20"/>
                <w:szCs w:val="20"/>
              </w:rPr>
              <w:t>350~380</w:t>
            </w:r>
            <w:r>
              <w:rPr>
                <w:rFonts w:hint="eastAsia" w:eastAsia="宋体"/>
                <w:color w:val="auto"/>
                <w:sz w:val="20"/>
                <w:szCs w:val="20"/>
              </w:rPr>
              <w:t>℃</w:t>
            </w:r>
          </w:p>
        </w:tc>
        <w:tc>
          <w:tcPr>
            <w:tcW w:w="1247" w:type="pct"/>
            <w:vAlign w:val="center"/>
          </w:tcPr>
          <w:p>
            <w:pPr>
              <w:pStyle w:val="2329"/>
              <w:rPr>
                <w:rFonts w:eastAsia="宋体"/>
                <w:color w:val="auto"/>
                <w:sz w:val="20"/>
                <w:szCs w:val="20"/>
              </w:rPr>
            </w:pPr>
            <w:r>
              <w:rPr>
                <w:rFonts w:eastAsia="宋体"/>
                <w:color w:val="auto"/>
                <w:sz w:val="20"/>
                <w:szCs w:val="20"/>
              </w:rPr>
              <w:t>爆炸下限（v%）</w:t>
            </w:r>
          </w:p>
        </w:tc>
        <w:tc>
          <w:tcPr>
            <w:tcW w:w="1739" w:type="pct"/>
            <w:gridSpan w:val="2"/>
            <w:vAlign w:val="center"/>
          </w:tcPr>
          <w:p>
            <w:pPr>
              <w:pStyle w:val="2329"/>
              <w:rPr>
                <w:rFonts w:eastAsia="宋体"/>
                <w:color w:val="auto"/>
                <w:sz w:val="20"/>
                <w:szCs w:val="20"/>
              </w:rPr>
            </w:pPr>
            <w:r>
              <w:rPr>
                <w:rFonts w:eastAsia="宋体"/>
                <w:color w:val="auto"/>
                <w:sz w:val="20"/>
                <w:szCs w:val="20"/>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危险特性</w:t>
            </w:r>
          </w:p>
        </w:tc>
        <w:tc>
          <w:tcPr>
            <w:tcW w:w="4152" w:type="pct"/>
            <w:gridSpan w:val="5"/>
            <w:vAlign w:val="center"/>
          </w:tcPr>
          <w:p>
            <w:pPr>
              <w:pStyle w:val="2329"/>
              <w:rPr>
                <w:rFonts w:eastAsia="宋体"/>
                <w:color w:val="auto"/>
                <w:sz w:val="20"/>
                <w:szCs w:val="20"/>
              </w:rPr>
            </w:pPr>
            <w:r>
              <w:rPr>
                <w:rFonts w:eastAsia="宋体"/>
                <w:color w:val="auto"/>
                <w:sz w:val="20"/>
                <w:szCs w:val="20"/>
              </w:rPr>
              <w:t>遇明火、高热或与氧化剂接触有可能引起燃烧爆炸的危险。若遇高热，容器内压增大，有开裂和爆炸的危险。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健康危害</w:t>
            </w:r>
          </w:p>
        </w:tc>
        <w:tc>
          <w:tcPr>
            <w:tcW w:w="4152" w:type="pct"/>
            <w:gridSpan w:val="5"/>
            <w:vAlign w:val="center"/>
          </w:tcPr>
          <w:p>
            <w:pPr>
              <w:pStyle w:val="2329"/>
              <w:rPr>
                <w:rFonts w:eastAsia="宋体"/>
                <w:color w:val="auto"/>
                <w:sz w:val="20"/>
                <w:szCs w:val="20"/>
              </w:rPr>
            </w:pPr>
            <w:r>
              <w:rPr>
                <w:rFonts w:eastAsia="宋体"/>
                <w:color w:val="auto"/>
                <w:sz w:val="20"/>
                <w:szCs w:val="20"/>
              </w:rPr>
              <w:t>侵入途径：吸入、食入、经皮吸收。</w:t>
            </w:r>
          </w:p>
          <w:p>
            <w:pPr>
              <w:pStyle w:val="2329"/>
              <w:rPr>
                <w:rFonts w:eastAsia="宋体"/>
                <w:color w:val="auto"/>
                <w:sz w:val="20"/>
                <w:szCs w:val="20"/>
              </w:rPr>
            </w:pPr>
            <w:r>
              <w:rPr>
                <w:rFonts w:eastAsia="宋体"/>
                <w:color w:val="auto"/>
                <w:sz w:val="20"/>
                <w:szCs w:val="20"/>
              </w:rPr>
              <w:t>健康危害：皮肤接触柴油可引起接触性皮炎、油性座疮；吸入可引起吸入性肺炎，能经胎盘进入胎儿血中。柴油废气可引起眼、鼻刺激症状、头昏及头痛。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禁忌物</w:t>
            </w:r>
          </w:p>
        </w:tc>
        <w:tc>
          <w:tcPr>
            <w:tcW w:w="4152" w:type="pct"/>
            <w:gridSpan w:val="5"/>
            <w:vAlign w:val="center"/>
          </w:tcPr>
          <w:p>
            <w:pPr>
              <w:pStyle w:val="2329"/>
              <w:rPr>
                <w:rFonts w:eastAsia="宋体"/>
                <w:color w:val="auto"/>
                <w:sz w:val="20"/>
                <w:szCs w:val="20"/>
              </w:rPr>
            </w:pPr>
            <w:r>
              <w:rPr>
                <w:rFonts w:eastAsia="宋体"/>
                <w:color w:val="auto"/>
                <w:sz w:val="20"/>
                <w:szCs w:val="20"/>
              </w:rPr>
              <w:t>强氧化剂、卤素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灭</w:t>
            </w:r>
            <w:r>
              <w:rPr>
                <w:rFonts w:hint="eastAsia" w:eastAsia="宋体"/>
                <w:color w:val="auto"/>
                <w:sz w:val="20"/>
                <w:szCs w:val="20"/>
              </w:rPr>
              <w:t>火</w:t>
            </w:r>
            <w:r>
              <w:rPr>
                <w:rFonts w:eastAsia="宋体"/>
                <w:color w:val="auto"/>
                <w:sz w:val="20"/>
                <w:szCs w:val="20"/>
              </w:rPr>
              <w:t>方法</w:t>
            </w:r>
          </w:p>
        </w:tc>
        <w:tc>
          <w:tcPr>
            <w:tcW w:w="4152" w:type="pct"/>
            <w:gridSpan w:val="5"/>
            <w:vAlign w:val="center"/>
          </w:tcPr>
          <w:p>
            <w:pPr>
              <w:pStyle w:val="2329"/>
              <w:rPr>
                <w:rFonts w:eastAsia="宋体"/>
                <w:color w:val="auto"/>
                <w:sz w:val="20"/>
                <w:szCs w:val="20"/>
              </w:rPr>
            </w:pPr>
            <w:r>
              <w:rPr>
                <w:rFonts w:eastAsia="宋体"/>
                <w:color w:val="auto"/>
                <w:sz w:val="20"/>
                <w:szCs w:val="20"/>
              </w:rPr>
              <w:t>用泡沫、二氧化碳、干粉灭火，用水灭火无效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847" w:type="pct"/>
            <w:vAlign w:val="center"/>
          </w:tcPr>
          <w:p>
            <w:pPr>
              <w:pStyle w:val="2329"/>
              <w:rPr>
                <w:rFonts w:eastAsia="宋体"/>
                <w:color w:val="auto"/>
                <w:sz w:val="20"/>
                <w:szCs w:val="20"/>
              </w:rPr>
            </w:pPr>
            <w:r>
              <w:rPr>
                <w:rFonts w:eastAsia="宋体"/>
                <w:color w:val="auto"/>
                <w:sz w:val="20"/>
                <w:szCs w:val="20"/>
              </w:rPr>
              <w:t>建规火险分级</w:t>
            </w:r>
          </w:p>
        </w:tc>
        <w:tc>
          <w:tcPr>
            <w:tcW w:w="582" w:type="pct"/>
            <w:vAlign w:val="center"/>
          </w:tcPr>
          <w:p>
            <w:pPr>
              <w:pStyle w:val="2329"/>
              <w:rPr>
                <w:rFonts w:eastAsia="宋体"/>
                <w:color w:val="auto"/>
                <w:sz w:val="20"/>
                <w:szCs w:val="20"/>
              </w:rPr>
            </w:pPr>
            <w:r>
              <w:rPr>
                <w:rFonts w:eastAsia="宋体"/>
                <w:color w:val="auto"/>
                <w:sz w:val="20"/>
                <w:szCs w:val="20"/>
              </w:rPr>
              <w:t>乙</w:t>
            </w:r>
          </w:p>
        </w:tc>
        <w:tc>
          <w:tcPr>
            <w:tcW w:w="583" w:type="pct"/>
            <w:vAlign w:val="center"/>
          </w:tcPr>
          <w:p>
            <w:pPr>
              <w:pStyle w:val="2329"/>
              <w:rPr>
                <w:rFonts w:eastAsia="宋体"/>
                <w:color w:val="auto"/>
                <w:sz w:val="20"/>
                <w:szCs w:val="20"/>
              </w:rPr>
            </w:pPr>
            <w:r>
              <w:rPr>
                <w:rFonts w:eastAsia="宋体"/>
                <w:color w:val="auto"/>
                <w:sz w:val="20"/>
                <w:szCs w:val="20"/>
              </w:rPr>
              <w:t>稳定性</w:t>
            </w:r>
          </w:p>
        </w:tc>
        <w:tc>
          <w:tcPr>
            <w:tcW w:w="1247" w:type="pct"/>
            <w:vAlign w:val="center"/>
          </w:tcPr>
          <w:p>
            <w:pPr>
              <w:pStyle w:val="2329"/>
              <w:rPr>
                <w:rFonts w:eastAsia="宋体"/>
                <w:color w:val="auto"/>
                <w:sz w:val="20"/>
                <w:szCs w:val="20"/>
              </w:rPr>
            </w:pPr>
            <w:r>
              <w:rPr>
                <w:rFonts w:eastAsia="宋体"/>
                <w:color w:val="auto"/>
                <w:sz w:val="20"/>
                <w:szCs w:val="20"/>
              </w:rPr>
              <w:t>稳定</w:t>
            </w:r>
          </w:p>
        </w:tc>
        <w:tc>
          <w:tcPr>
            <w:tcW w:w="850" w:type="pct"/>
            <w:vAlign w:val="center"/>
          </w:tcPr>
          <w:p>
            <w:pPr>
              <w:pStyle w:val="2329"/>
              <w:rPr>
                <w:rFonts w:eastAsia="宋体"/>
                <w:color w:val="auto"/>
                <w:sz w:val="20"/>
                <w:szCs w:val="20"/>
              </w:rPr>
            </w:pPr>
            <w:r>
              <w:rPr>
                <w:rFonts w:eastAsia="宋体"/>
                <w:color w:val="auto"/>
                <w:sz w:val="20"/>
                <w:szCs w:val="20"/>
              </w:rPr>
              <w:t>聚合危害</w:t>
            </w:r>
          </w:p>
        </w:tc>
        <w:tc>
          <w:tcPr>
            <w:tcW w:w="889" w:type="pct"/>
            <w:vAlign w:val="center"/>
          </w:tcPr>
          <w:p>
            <w:pPr>
              <w:pStyle w:val="2329"/>
              <w:rPr>
                <w:rFonts w:eastAsia="宋体"/>
                <w:color w:val="auto"/>
                <w:sz w:val="20"/>
                <w:szCs w:val="20"/>
              </w:rPr>
            </w:pPr>
            <w:r>
              <w:rPr>
                <w:rFonts w:eastAsia="宋体"/>
                <w:color w:val="auto"/>
                <w:sz w:val="20"/>
                <w:szCs w:val="20"/>
              </w:rPr>
              <w:t>不出现</w:t>
            </w:r>
          </w:p>
        </w:tc>
      </w:tr>
    </w:tbl>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本项目码头设计代表船型为</w:t>
      </w:r>
      <w:r>
        <w:rPr>
          <w:rFonts w:hint="eastAsia" w:eastAsia="仿宋_GB2312"/>
          <w:color w:val="auto"/>
          <w:sz w:val="24"/>
          <w:lang w:val="en-US" w:eastAsia="zh-CN"/>
        </w:rPr>
        <w:t>3</w:t>
      </w:r>
      <w:r>
        <w:rPr>
          <w:rFonts w:hint="eastAsia" w:eastAsia="仿宋_GB2312"/>
          <w:color w:val="auto"/>
          <w:sz w:val="24"/>
        </w:rPr>
        <w:t>000t级普通货船，根据交通部《水上溢油环境风险评估技术导则》（JT/T1143-2017），5000吨级以下散货船燃油舱中单舱燃油量小于</w:t>
      </w:r>
      <w:r>
        <w:rPr>
          <w:rFonts w:hint="eastAsia" w:eastAsia="仿宋_GB2312"/>
          <w:color w:val="auto"/>
          <w:sz w:val="24"/>
          <w:lang w:val="en-US" w:eastAsia="zh-CN"/>
        </w:rPr>
        <w:t>61m</w:t>
      </w:r>
      <w:r>
        <w:rPr>
          <w:rFonts w:hint="eastAsia" w:eastAsia="仿宋_GB2312"/>
          <w:color w:val="auto"/>
          <w:sz w:val="24"/>
          <w:vertAlign w:val="superscript"/>
          <w:lang w:val="en-US" w:eastAsia="zh-CN"/>
        </w:rPr>
        <w:t>3</w:t>
      </w:r>
      <w:r>
        <w:rPr>
          <w:rFonts w:hint="eastAsia" w:eastAsia="仿宋_GB2312"/>
          <w:color w:val="auto"/>
          <w:sz w:val="24"/>
        </w:rPr>
        <w:t>，确定船舶发生燃油泄漏的事故源强为</w:t>
      </w:r>
      <w:r>
        <w:rPr>
          <w:rFonts w:hint="eastAsia" w:eastAsia="仿宋_GB2312"/>
          <w:color w:val="auto"/>
          <w:sz w:val="24"/>
          <w:lang w:val="en-US" w:eastAsia="zh-CN"/>
        </w:rPr>
        <w:t>52t</w:t>
      </w:r>
      <w:r>
        <w:rPr>
          <w:rFonts w:hint="eastAsia" w:eastAsia="仿宋_GB2312"/>
          <w:color w:val="auto"/>
          <w:sz w:val="24"/>
        </w:rPr>
        <w:t>。</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466" w:name="_Toc27176"/>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lang w:val="en-US" w:eastAsia="zh-CN"/>
        </w:rPr>
        <w:t>5事故风险概率分析</w:t>
      </w:r>
      <w:bookmarkEnd w:id="466"/>
    </w:p>
    <w:p>
      <w:pPr>
        <w:pStyle w:val="9"/>
        <w:widowControl w:val="0"/>
        <w:spacing w:before="120" w:after="120" w:line="360" w:lineRule="auto"/>
        <w:rPr>
          <w:rFonts w:hint="default" w:eastAsia="黑体"/>
          <w:b w:val="0"/>
          <w:color w:val="auto"/>
          <w:sz w:val="24"/>
          <w:lang w:val="en-US" w:eastAsia="zh-CN"/>
        </w:rPr>
      </w:pPr>
      <w:bookmarkStart w:id="467" w:name="_Toc21575"/>
      <w:r>
        <w:rPr>
          <w:rFonts w:hint="eastAsia" w:eastAsia="黑体"/>
          <w:b w:val="0"/>
          <w:color w:val="auto"/>
          <w:sz w:val="24"/>
          <w:lang w:val="en-US" w:eastAsia="zh-CN"/>
        </w:rPr>
        <w:t>7.5.1长江海事局对所辖区段船舶事故的统计</w:t>
      </w:r>
      <w:bookmarkEnd w:id="467"/>
    </w:p>
    <w:p>
      <w:pPr>
        <w:widowControl w:val="0"/>
        <w:spacing w:line="360" w:lineRule="auto"/>
        <w:ind w:firstLine="480" w:firstLineChars="200"/>
        <w:rPr>
          <w:rFonts w:hint="eastAsia" w:eastAsia="仿宋_GB2312"/>
          <w:color w:val="auto"/>
          <w:sz w:val="24"/>
        </w:rPr>
      </w:pPr>
      <w:r>
        <w:rPr>
          <w:rFonts w:hint="eastAsia" w:eastAsia="仿宋_GB2312"/>
          <w:color w:val="auto"/>
          <w:sz w:val="24"/>
        </w:rPr>
        <w:t>由于统计时间和统计部门的差异，以下分别根据长江海事局</w:t>
      </w:r>
      <w:r>
        <w:rPr>
          <w:rFonts w:hint="eastAsia" w:eastAsia="仿宋_GB2312"/>
          <w:color w:val="auto"/>
          <w:sz w:val="24"/>
          <w:lang w:eastAsia="zh-CN"/>
        </w:rPr>
        <w:t>（</w:t>
      </w:r>
      <w:r>
        <w:rPr>
          <w:rFonts w:hint="eastAsia" w:eastAsia="仿宋_GB2312"/>
          <w:color w:val="auto"/>
          <w:sz w:val="24"/>
          <w:lang w:val="en-US" w:eastAsia="zh-CN"/>
        </w:rPr>
        <w:t>南京以上</w:t>
      </w:r>
      <w:r>
        <w:rPr>
          <w:rFonts w:hint="eastAsia" w:eastAsia="仿宋_GB2312"/>
          <w:color w:val="auto"/>
          <w:sz w:val="24"/>
          <w:lang w:eastAsia="zh-CN"/>
        </w:rPr>
        <w:t>）</w:t>
      </w:r>
      <w:r>
        <w:rPr>
          <w:rFonts w:hint="eastAsia" w:eastAsia="仿宋_GB2312"/>
          <w:color w:val="auto"/>
          <w:sz w:val="24"/>
        </w:rPr>
        <w:t>的统计资料分析重点区域的风险发生情况类型、区域。</w:t>
      </w:r>
    </w:p>
    <w:p>
      <w:pPr>
        <w:widowControl w:val="0"/>
        <w:spacing w:line="360" w:lineRule="auto"/>
        <w:ind w:firstLine="480" w:firstLineChars="200"/>
        <w:rPr>
          <w:rFonts w:hint="eastAsia" w:eastAsia="仿宋_GB2312"/>
          <w:color w:val="auto"/>
          <w:sz w:val="24"/>
        </w:rPr>
      </w:pPr>
      <w:r>
        <w:rPr>
          <w:rFonts w:hint="eastAsia" w:ascii="宋体" w:hAnsi="宋体" w:eastAsia="宋体" w:cs="宋体"/>
          <w:color w:val="auto"/>
          <w:sz w:val="24"/>
        </w:rPr>
        <w:t>①</w:t>
      </w:r>
      <w:r>
        <w:rPr>
          <w:rFonts w:hint="eastAsia" w:eastAsia="仿宋_GB2312"/>
          <w:color w:val="auto"/>
          <w:sz w:val="24"/>
        </w:rPr>
        <w:t>2007年以前分辖区的统计1988~2007年近20年间，长江海事局辖区共计发生并查处船舶污染事故362件，其中重大船舶污染事故23件，大事故20件，一般事故20件，小事故299件。从时间顺序上看，辖区船舶污染事故逐年减少。</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四川海事局辖区段“十五”期全省发生运输船舶水上交通事故93件，其中宜宾、泸州</w:t>
      </w:r>
      <w:r>
        <w:rPr>
          <w:rFonts w:hint="eastAsia" w:eastAsia="仿宋_GB2312"/>
          <w:color w:val="auto"/>
          <w:sz w:val="24"/>
          <w:lang w:val="en-US" w:eastAsia="zh-CN"/>
        </w:rPr>
        <w:t>3</w:t>
      </w:r>
      <w:r>
        <w:rPr>
          <w:rFonts w:hint="eastAsia" w:eastAsia="仿宋_GB2312"/>
          <w:color w:val="auto"/>
          <w:sz w:val="24"/>
        </w:rPr>
        <w:t>0起。</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三峡库区是辖区污染事故多发地区，辖区及三峡库区重大船舶污染事故及污染量总体上呈逐年减少趋势。三峡库区在1998~2007年10年间，年均发生重大污染事故降低到0.6件，年均泄漏污染物31.6t；最近4年未发生重大污染事故。</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黄石海事局辖区2007年共发生事故和险情57件，按照船舶类型划分，油船4起事故。辖区全年船舶流量为4349艘次。</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九江海事局辖区2006年以前有一些事故，主要是船舶碰撞事故。2006年～2007年九江水上交通事故统计结果0，几乎没有发生危险品泄漏事故。</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安庆海事局辖区1996年～2005年累计发生事故99起，平均每年约10起。</w:t>
      </w:r>
    </w:p>
    <w:p>
      <w:pPr>
        <w:widowControl w:val="0"/>
        <w:spacing w:line="360" w:lineRule="auto"/>
        <w:ind w:firstLine="480" w:firstLineChars="200"/>
        <w:rPr>
          <w:rFonts w:hint="eastAsia" w:eastAsia="仿宋_GB2312"/>
          <w:color w:val="auto"/>
          <w:sz w:val="24"/>
        </w:rPr>
      </w:pPr>
      <w:r>
        <w:rPr>
          <w:rFonts w:hint="eastAsia" w:ascii="宋体" w:hAnsi="宋体" w:eastAsia="宋体" w:cs="宋体"/>
          <w:color w:val="auto"/>
          <w:sz w:val="24"/>
        </w:rPr>
        <w:t>②</w:t>
      </w:r>
      <w:r>
        <w:rPr>
          <w:rFonts w:hint="eastAsia" w:eastAsia="仿宋_GB2312"/>
          <w:color w:val="auto"/>
          <w:sz w:val="24"/>
        </w:rPr>
        <w:t>2008-2010年上半年海事局辖区船舶风险统计</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根据长江海事局辖区2008年-2010年上半年统计资料，辖区2008年共发生事故及险情346件，其中一般及以上事故46件，直接经济损失2763.2万元。</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2009辖区共发生事故、险情315件，运输船舶一般以上等级事故42.5件，直接经济损失约3779.9万元。</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2010</w:t>
      </w:r>
      <w:r>
        <w:rPr>
          <w:rFonts w:hint="eastAsia" w:eastAsia="仿宋_GB2312"/>
          <w:color w:val="auto"/>
          <w:sz w:val="24"/>
          <w:lang w:val="en-US" w:eastAsia="zh-CN"/>
        </w:rPr>
        <w:t>年</w:t>
      </w:r>
      <w:r>
        <w:rPr>
          <w:rFonts w:hint="eastAsia" w:eastAsia="仿宋_GB2312"/>
          <w:color w:val="auto"/>
          <w:sz w:val="24"/>
        </w:rPr>
        <w:t>上半年（1-6月）共发生事故、险情138件（同比下降9.8％），一般以上等级事故11件，经济损失407万元；同比等级事故数、沉船数、经济损失分别下降53.2%、40%、70.2%。辖区运输船舶综合评估指数P=73，安全形势明显改善。</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按照遇险种类统计管辖河段2008-2010 年险情分布，见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7.5-1</w:t>
      </w:r>
      <w:r>
        <w:rPr>
          <w:rFonts w:eastAsia="黑体"/>
          <w:b/>
          <w:color w:val="auto"/>
          <w:szCs w:val="21"/>
        </w:rPr>
        <w:t xml:space="preserve">  </w:t>
      </w:r>
      <w:r>
        <w:rPr>
          <w:rFonts w:hint="eastAsia" w:eastAsia="黑体"/>
          <w:b/>
          <w:color w:val="auto"/>
          <w:szCs w:val="21"/>
          <w:lang w:val="en-US" w:eastAsia="zh-CN"/>
        </w:rPr>
        <w:t>长江海事局管辖河段按遇险种类统计2008-2010年险情分布表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83"/>
        <w:gridCol w:w="762"/>
        <w:gridCol w:w="762"/>
        <w:gridCol w:w="762"/>
        <w:gridCol w:w="762"/>
        <w:gridCol w:w="763"/>
        <w:gridCol w:w="763"/>
        <w:gridCol w:w="763"/>
        <w:gridCol w:w="763"/>
        <w:gridCol w:w="764"/>
        <w:gridCol w:w="7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年度</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遇险种类</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碰撞</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搁浅</w:t>
            </w:r>
          </w:p>
        </w:tc>
        <w:tc>
          <w:tcPr>
            <w:tcW w:w="447"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触礁</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触损</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火灾爆炸</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机损</w:t>
            </w:r>
          </w:p>
        </w:tc>
        <w:tc>
          <w:tcPr>
            <w:tcW w:w="44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自沉</w:t>
            </w:r>
          </w:p>
        </w:tc>
        <w:tc>
          <w:tcPr>
            <w:tcW w:w="448"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风灾</w:t>
            </w:r>
          </w:p>
        </w:tc>
        <w:tc>
          <w:tcPr>
            <w:tcW w:w="450"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2008</w:t>
            </w:r>
          </w:p>
        </w:tc>
        <w:tc>
          <w:tcPr>
            <w:tcW w:w="447" w:type="pct"/>
            <w:tcBorders>
              <w:top w:val="single" w:color="auto" w:sz="12" w:space="0"/>
            </w:tcBorders>
            <w:noWrap w:val="0"/>
            <w:vAlign w:val="center"/>
          </w:tcPr>
          <w:p>
            <w:pPr>
              <w:widowControl w:val="0"/>
              <w:adjustRightInd w:val="0"/>
              <w:snapToGrid w:val="0"/>
              <w:jc w:val="center"/>
              <w:rPr>
                <w:rFonts w:hint="eastAsia" w:eastAsia="宋体"/>
                <w:color w:val="auto"/>
                <w:kern w:val="0"/>
                <w:sz w:val="20"/>
                <w:lang w:val="en-US" w:eastAsia="zh-CN"/>
              </w:rPr>
            </w:pPr>
            <w:r>
              <w:rPr>
                <w:rFonts w:hint="eastAsia"/>
                <w:color w:val="auto"/>
                <w:kern w:val="0"/>
                <w:sz w:val="20"/>
                <w:lang w:val="en-US" w:eastAsia="zh-CN"/>
              </w:rPr>
              <w:t>件数</w:t>
            </w:r>
          </w:p>
        </w:tc>
        <w:tc>
          <w:tcPr>
            <w:tcW w:w="447"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160</w:t>
            </w:r>
          </w:p>
        </w:tc>
        <w:tc>
          <w:tcPr>
            <w:tcW w:w="447" w:type="pct"/>
            <w:tcBorders>
              <w:top w:val="single" w:color="auto" w:sz="12" w:space="0"/>
            </w:tcBorders>
            <w:noWrap w:val="0"/>
            <w:vAlign w:val="center"/>
          </w:tcPr>
          <w:p>
            <w:pPr>
              <w:widowControl w:val="0"/>
              <w:adjustRightInd w:val="0"/>
              <w:snapToGrid w:val="0"/>
              <w:jc w:val="center"/>
              <w:rPr>
                <w:rFonts w:hint="default" w:ascii="Times New Roman" w:hAnsi="Times New Roman" w:eastAsia="宋体"/>
                <w:color w:val="auto"/>
                <w:kern w:val="0"/>
                <w:sz w:val="20"/>
                <w:lang w:val="en-US" w:eastAsia="zh-CN"/>
              </w:rPr>
            </w:pPr>
            <w:r>
              <w:rPr>
                <w:rFonts w:hint="eastAsia"/>
                <w:color w:val="auto"/>
                <w:kern w:val="0"/>
                <w:sz w:val="20"/>
                <w:lang w:val="en-US" w:eastAsia="zh-CN"/>
              </w:rPr>
              <w:t>87</w:t>
            </w:r>
          </w:p>
        </w:tc>
        <w:tc>
          <w:tcPr>
            <w:tcW w:w="447"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33</w:t>
            </w:r>
          </w:p>
        </w:tc>
        <w:tc>
          <w:tcPr>
            <w:tcW w:w="447"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6</w:t>
            </w:r>
          </w:p>
        </w:tc>
        <w:tc>
          <w:tcPr>
            <w:tcW w:w="447"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8</w:t>
            </w:r>
          </w:p>
        </w:tc>
        <w:tc>
          <w:tcPr>
            <w:tcW w:w="447"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7</w:t>
            </w:r>
          </w:p>
        </w:tc>
        <w:tc>
          <w:tcPr>
            <w:tcW w:w="447"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31</w:t>
            </w:r>
          </w:p>
        </w:tc>
        <w:tc>
          <w:tcPr>
            <w:tcW w:w="448"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6</w:t>
            </w:r>
          </w:p>
        </w:tc>
        <w:tc>
          <w:tcPr>
            <w:tcW w:w="450"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7" w:type="pct"/>
            <w:noWrap w:val="0"/>
            <w:vAlign w:val="center"/>
          </w:tcPr>
          <w:p>
            <w:pPr>
              <w:widowControl w:val="0"/>
              <w:adjustRightInd w:val="0"/>
              <w:snapToGrid w:val="0"/>
              <w:jc w:val="center"/>
              <w:rPr>
                <w:rFonts w:hint="eastAsia" w:ascii="Times New Roman" w:hAnsi="Times New Roman" w:eastAsia="宋体"/>
                <w:color w:val="auto"/>
                <w:sz w:val="20"/>
                <w:lang w:val="en-US" w:eastAsia="zh-CN"/>
              </w:rPr>
            </w:pPr>
            <w:r>
              <w:rPr>
                <w:rFonts w:hint="eastAsia"/>
                <w:color w:val="auto"/>
                <w:sz w:val="20"/>
                <w:lang w:val="en-US" w:eastAsia="zh-CN"/>
              </w:rPr>
              <w:t>比例</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46.24</w:t>
            </w:r>
          </w:p>
        </w:tc>
        <w:tc>
          <w:tcPr>
            <w:tcW w:w="447"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25.15</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9.54</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1.73</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2.31</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2.02</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8.96</w:t>
            </w:r>
          </w:p>
        </w:tc>
        <w:tc>
          <w:tcPr>
            <w:tcW w:w="448"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1.73</w:t>
            </w:r>
          </w:p>
        </w:tc>
        <w:tc>
          <w:tcPr>
            <w:tcW w:w="450"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2009</w:t>
            </w:r>
          </w:p>
        </w:tc>
        <w:tc>
          <w:tcPr>
            <w:tcW w:w="447" w:type="pct"/>
            <w:noWrap w:val="0"/>
            <w:vAlign w:val="center"/>
          </w:tcPr>
          <w:p>
            <w:pPr>
              <w:widowControl w:val="0"/>
              <w:adjustRightInd w:val="0"/>
              <w:snapToGrid w:val="0"/>
              <w:jc w:val="center"/>
              <w:rPr>
                <w:rFonts w:hint="eastAsia" w:ascii="Times New Roman" w:hAnsi="Times New Roman" w:eastAsia="宋体" w:cs="Times New Roman"/>
                <w:color w:val="auto"/>
                <w:kern w:val="0"/>
                <w:sz w:val="20"/>
                <w:lang w:val="en-US" w:eastAsia="zh-CN" w:bidi="ar-SA"/>
              </w:rPr>
            </w:pPr>
            <w:r>
              <w:rPr>
                <w:rFonts w:hint="eastAsia"/>
                <w:color w:val="auto"/>
                <w:kern w:val="0"/>
                <w:sz w:val="20"/>
                <w:lang w:val="en-US" w:eastAsia="zh-CN"/>
              </w:rPr>
              <w:t>件数</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134</w:t>
            </w:r>
          </w:p>
        </w:tc>
        <w:tc>
          <w:tcPr>
            <w:tcW w:w="447"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75</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33</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13</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10</w:t>
            </w:r>
          </w:p>
        </w:tc>
        <w:tc>
          <w:tcPr>
            <w:tcW w:w="44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6</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13</w:t>
            </w:r>
          </w:p>
        </w:tc>
        <w:tc>
          <w:tcPr>
            <w:tcW w:w="448"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14</w:t>
            </w:r>
          </w:p>
        </w:tc>
        <w:tc>
          <w:tcPr>
            <w:tcW w:w="450"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7"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比例</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42.5</w:t>
            </w:r>
          </w:p>
        </w:tc>
        <w:tc>
          <w:tcPr>
            <w:tcW w:w="447"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23.8</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10.5</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4.1</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3.2</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1.9</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4.1</w:t>
            </w:r>
          </w:p>
        </w:tc>
        <w:tc>
          <w:tcPr>
            <w:tcW w:w="448"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4.4</w:t>
            </w:r>
          </w:p>
        </w:tc>
        <w:tc>
          <w:tcPr>
            <w:tcW w:w="450"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2010（1-6）</w:t>
            </w:r>
          </w:p>
        </w:tc>
        <w:tc>
          <w:tcPr>
            <w:tcW w:w="447" w:type="pct"/>
            <w:noWrap w:val="0"/>
            <w:vAlign w:val="center"/>
          </w:tcPr>
          <w:p>
            <w:pPr>
              <w:widowControl w:val="0"/>
              <w:adjustRightInd w:val="0"/>
              <w:snapToGrid w:val="0"/>
              <w:jc w:val="center"/>
              <w:rPr>
                <w:rFonts w:hint="eastAsia" w:ascii="Times New Roman" w:hAnsi="Times New Roman" w:eastAsia="宋体" w:cs="Times New Roman"/>
                <w:color w:val="auto"/>
                <w:kern w:val="0"/>
                <w:sz w:val="20"/>
                <w:lang w:val="en-US" w:eastAsia="zh-CN" w:bidi="ar-SA"/>
              </w:rPr>
            </w:pPr>
            <w:r>
              <w:rPr>
                <w:rFonts w:hint="eastAsia"/>
                <w:color w:val="auto"/>
                <w:kern w:val="0"/>
                <w:sz w:val="20"/>
                <w:lang w:val="en-US" w:eastAsia="zh-CN"/>
              </w:rPr>
              <w:t>件数</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68</w:t>
            </w:r>
          </w:p>
        </w:tc>
        <w:tc>
          <w:tcPr>
            <w:tcW w:w="447"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29</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15</w:t>
            </w:r>
          </w:p>
        </w:tc>
        <w:tc>
          <w:tcPr>
            <w:tcW w:w="44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2</w:t>
            </w:r>
          </w:p>
        </w:tc>
        <w:tc>
          <w:tcPr>
            <w:tcW w:w="44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4</w:t>
            </w:r>
          </w:p>
        </w:tc>
        <w:tc>
          <w:tcPr>
            <w:tcW w:w="447" w:type="pct"/>
            <w:noWrap w:val="0"/>
            <w:vAlign w:val="center"/>
          </w:tcPr>
          <w:p>
            <w:pPr>
              <w:widowControl w:val="0"/>
              <w:adjustRightInd w:val="0"/>
              <w:snapToGrid w:val="0"/>
              <w:jc w:val="center"/>
              <w:rPr>
                <w:color w:val="auto"/>
                <w:sz w:val="20"/>
              </w:rPr>
            </w:pPr>
          </w:p>
        </w:tc>
        <w:tc>
          <w:tcPr>
            <w:tcW w:w="44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9</w:t>
            </w:r>
          </w:p>
        </w:tc>
        <w:tc>
          <w:tcPr>
            <w:tcW w:w="448"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3</w:t>
            </w:r>
          </w:p>
        </w:tc>
        <w:tc>
          <w:tcPr>
            <w:tcW w:w="450"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7"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比例</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49.3</w:t>
            </w:r>
          </w:p>
        </w:tc>
        <w:tc>
          <w:tcPr>
            <w:tcW w:w="447"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21</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10.9</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1.4</w:t>
            </w: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2.9</w:t>
            </w:r>
          </w:p>
        </w:tc>
        <w:tc>
          <w:tcPr>
            <w:tcW w:w="447" w:type="pct"/>
            <w:noWrap w:val="0"/>
            <w:vAlign w:val="center"/>
          </w:tcPr>
          <w:p>
            <w:pPr>
              <w:widowControl w:val="0"/>
              <w:adjustRightInd w:val="0"/>
              <w:snapToGrid w:val="0"/>
              <w:jc w:val="center"/>
              <w:rPr>
                <w:color w:val="auto"/>
                <w:sz w:val="20"/>
              </w:rPr>
            </w:pPr>
          </w:p>
        </w:tc>
        <w:tc>
          <w:tcPr>
            <w:tcW w:w="44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6.5</w:t>
            </w:r>
          </w:p>
        </w:tc>
        <w:tc>
          <w:tcPr>
            <w:tcW w:w="448"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2.2</w:t>
            </w:r>
          </w:p>
        </w:tc>
        <w:tc>
          <w:tcPr>
            <w:tcW w:w="450"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5.8</w:t>
            </w:r>
          </w:p>
        </w:tc>
      </w:tr>
    </w:tbl>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统计表明，碰撞、搁浅和触礁所占遇险的比例较高。按分支局管辖区、河段区域分布统计2008-2010年险情分布见</w:t>
      </w:r>
      <w:r>
        <w:rPr>
          <w:rFonts w:hint="eastAsia" w:eastAsia="仿宋_GB2312"/>
          <w:color w:val="auto"/>
          <w:sz w:val="24"/>
          <w:lang w:val="en-US" w:eastAsia="zh-CN"/>
        </w:rPr>
        <w:t>下</w:t>
      </w:r>
      <w:r>
        <w:rPr>
          <w:rFonts w:hint="eastAsia" w:eastAsia="仿宋_GB2312"/>
          <w:color w:val="auto"/>
          <w:sz w:val="24"/>
        </w:rPr>
        <w:t>表</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7.5</w:t>
      </w:r>
      <w:r>
        <w:rPr>
          <w:rFonts w:eastAsia="黑体"/>
          <w:b/>
          <w:color w:val="auto"/>
          <w:szCs w:val="21"/>
        </w:rPr>
        <w:t>-</w:t>
      </w:r>
      <w:r>
        <w:rPr>
          <w:rFonts w:hint="eastAsia" w:eastAsia="黑体"/>
          <w:b/>
          <w:color w:val="auto"/>
          <w:szCs w:val="21"/>
        </w:rPr>
        <w:t>2</w:t>
      </w:r>
      <w:r>
        <w:rPr>
          <w:rFonts w:eastAsia="黑体"/>
          <w:b/>
          <w:color w:val="auto"/>
          <w:szCs w:val="21"/>
        </w:rPr>
        <w:t xml:space="preserve">  </w:t>
      </w:r>
      <w:r>
        <w:rPr>
          <w:rFonts w:hint="eastAsia" w:eastAsia="黑体"/>
          <w:b/>
          <w:color w:val="auto"/>
          <w:szCs w:val="21"/>
          <w:lang w:val="en-US" w:eastAsia="zh-CN"/>
        </w:rPr>
        <w:t>长江海事局管辖河段按辖区统计2008-2010年险情分布表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83"/>
        <w:gridCol w:w="757"/>
        <w:gridCol w:w="684"/>
        <w:gridCol w:w="687"/>
        <w:gridCol w:w="690"/>
        <w:gridCol w:w="687"/>
        <w:gridCol w:w="687"/>
        <w:gridCol w:w="690"/>
        <w:gridCol w:w="687"/>
        <w:gridCol w:w="687"/>
        <w:gridCol w:w="687"/>
        <w:gridCol w:w="6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tcBorders>
              <w:top w:val="single" w:color="auto" w:sz="12" w:space="0"/>
              <w:bottom w:val="single" w:color="auto" w:sz="6"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年度</w:t>
            </w:r>
          </w:p>
        </w:tc>
        <w:tc>
          <w:tcPr>
            <w:tcW w:w="445"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单位</w:t>
            </w:r>
          </w:p>
        </w:tc>
        <w:tc>
          <w:tcPr>
            <w:tcW w:w="402"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重庆</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三峡</w:t>
            </w:r>
          </w:p>
        </w:tc>
        <w:tc>
          <w:tcPr>
            <w:tcW w:w="405" w:type="pct"/>
            <w:tcBorders>
              <w:top w:val="single" w:color="auto" w:sz="12" w:space="0"/>
            </w:tcBorders>
            <w:noWrap w:val="0"/>
            <w:vAlign w:val="center"/>
          </w:tcPr>
          <w:p>
            <w:pPr>
              <w:widowControl w:val="0"/>
              <w:adjustRightInd w:val="0"/>
              <w:snapToGrid w:val="0"/>
              <w:jc w:val="center"/>
              <w:rPr>
                <w:rFonts w:hint="default" w:eastAsia="宋体"/>
                <w:b/>
                <w:bCs/>
                <w:color w:val="auto"/>
                <w:sz w:val="20"/>
                <w:lang w:val="en-US" w:eastAsia="zh-CN"/>
              </w:rPr>
            </w:pPr>
            <w:r>
              <w:rPr>
                <w:rFonts w:hint="eastAsia"/>
                <w:b/>
                <w:bCs/>
                <w:color w:val="auto"/>
                <w:sz w:val="20"/>
                <w:lang w:val="en-US" w:eastAsia="zh-CN"/>
              </w:rPr>
              <w:t>宜昌</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荆州</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岳阳</w:t>
            </w:r>
          </w:p>
        </w:tc>
        <w:tc>
          <w:tcPr>
            <w:tcW w:w="405"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武汉</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黄石</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九江</w:t>
            </w:r>
          </w:p>
        </w:tc>
        <w:tc>
          <w:tcPr>
            <w:tcW w:w="40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安庆</w:t>
            </w:r>
          </w:p>
        </w:tc>
        <w:tc>
          <w:tcPr>
            <w:tcW w:w="40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芜湖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2008</w:t>
            </w:r>
          </w:p>
        </w:tc>
        <w:tc>
          <w:tcPr>
            <w:tcW w:w="445" w:type="pct"/>
            <w:tcBorders>
              <w:top w:val="single" w:color="auto" w:sz="12" w:space="0"/>
            </w:tcBorders>
            <w:noWrap w:val="0"/>
            <w:vAlign w:val="center"/>
          </w:tcPr>
          <w:p>
            <w:pPr>
              <w:widowControl w:val="0"/>
              <w:adjustRightInd w:val="0"/>
              <w:snapToGrid w:val="0"/>
              <w:jc w:val="center"/>
              <w:rPr>
                <w:rFonts w:hint="eastAsia" w:eastAsia="宋体"/>
                <w:color w:val="auto"/>
                <w:kern w:val="0"/>
                <w:sz w:val="20"/>
                <w:lang w:val="en-US" w:eastAsia="zh-CN"/>
              </w:rPr>
            </w:pPr>
            <w:r>
              <w:rPr>
                <w:rFonts w:hint="eastAsia"/>
                <w:color w:val="auto"/>
                <w:kern w:val="0"/>
                <w:sz w:val="20"/>
                <w:lang w:val="en-US" w:eastAsia="zh-CN"/>
              </w:rPr>
              <w:t>件数</w:t>
            </w:r>
          </w:p>
        </w:tc>
        <w:tc>
          <w:tcPr>
            <w:tcW w:w="402"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56</w:t>
            </w:r>
          </w:p>
        </w:tc>
        <w:tc>
          <w:tcPr>
            <w:tcW w:w="403" w:type="pct"/>
            <w:tcBorders>
              <w:top w:val="single" w:color="auto" w:sz="12" w:space="0"/>
            </w:tcBorders>
            <w:noWrap w:val="0"/>
            <w:vAlign w:val="center"/>
          </w:tcPr>
          <w:p>
            <w:pPr>
              <w:widowControl w:val="0"/>
              <w:adjustRightInd w:val="0"/>
              <w:snapToGrid w:val="0"/>
              <w:jc w:val="center"/>
              <w:rPr>
                <w:rFonts w:hint="default" w:ascii="Times New Roman" w:hAnsi="Times New Roman" w:eastAsia="宋体"/>
                <w:color w:val="auto"/>
                <w:kern w:val="0"/>
                <w:sz w:val="20"/>
                <w:lang w:val="en-US" w:eastAsia="zh-CN"/>
              </w:rPr>
            </w:pPr>
            <w:r>
              <w:rPr>
                <w:rFonts w:hint="eastAsia"/>
                <w:color w:val="auto"/>
                <w:kern w:val="0"/>
                <w:sz w:val="20"/>
                <w:lang w:val="en-US" w:eastAsia="zh-CN"/>
              </w:rPr>
              <w:t>19</w:t>
            </w:r>
          </w:p>
        </w:tc>
        <w:tc>
          <w:tcPr>
            <w:tcW w:w="405" w:type="pct"/>
            <w:tcBorders>
              <w:top w:val="single" w:color="auto" w:sz="12" w:space="0"/>
            </w:tcBorders>
            <w:noWrap w:val="0"/>
            <w:vAlign w:val="center"/>
          </w:tcPr>
          <w:p>
            <w:pPr>
              <w:widowControl w:val="0"/>
              <w:adjustRightInd w:val="0"/>
              <w:snapToGrid w:val="0"/>
              <w:jc w:val="center"/>
              <w:rPr>
                <w:rFonts w:hint="default" w:eastAsia="宋体"/>
                <w:b/>
                <w:bCs/>
                <w:color w:val="auto"/>
                <w:sz w:val="20"/>
                <w:lang w:val="en-US" w:eastAsia="zh-CN"/>
              </w:rPr>
            </w:pPr>
            <w:r>
              <w:rPr>
                <w:rFonts w:hint="eastAsia"/>
                <w:b/>
                <w:bCs/>
                <w:color w:val="auto"/>
                <w:sz w:val="20"/>
                <w:lang w:val="en-US" w:eastAsia="zh-CN"/>
              </w:rPr>
              <w:t>40</w:t>
            </w:r>
          </w:p>
        </w:tc>
        <w:tc>
          <w:tcPr>
            <w:tcW w:w="40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28</w:t>
            </w:r>
          </w:p>
        </w:tc>
        <w:tc>
          <w:tcPr>
            <w:tcW w:w="40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31</w:t>
            </w:r>
          </w:p>
        </w:tc>
        <w:tc>
          <w:tcPr>
            <w:tcW w:w="405"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33</w:t>
            </w:r>
          </w:p>
        </w:tc>
        <w:tc>
          <w:tcPr>
            <w:tcW w:w="40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39</w:t>
            </w:r>
          </w:p>
        </w:tc>
        <w:tc>
          <w:tcPr>
            <w:tcW w:w="40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36</w:t>
            </w:r>
          </w:p>
        </w:tc>
        <w:tc>
          <w:tcPr>
            <w:tcW w:w="40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31</w:t>
            </w:r>
          </w:p>
        </w:tc>
        <w:tc>
          <w:tcPr>
            <w:tcW w:w="404"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5" w:type="pct"/>
            <w:noWrap w:val="0"/>
            <w:vAlign w:val="center"/>
          </w:tcPr>
          <w:p>
            <w:pPr>
              <w:widowControl w:val="0"/>
              <w:adjustRightInd w:val="0"/>
              <w:snapToGrid w:val="0"/>
              <w:jc w:val="center"/>
              <w:rPr>
                <w:rFonts w:hint="eastAsia" w:ascii="Times New Roman" w:hAnsi="Times New Roman" w:eastAsia="宋体"/>
                <w:color w:val="auto"/>
                <w:sz w:val="20"/>
                <w:lang w:val="en-US" w:eastAsia="zh-CN"/>
              </w:rPr>
            </w:pPr>
            <w:r>
              <w:rPr>
                <w:rFonts w:hint="eastAsia"/>
                <w:color w:val="auto"/>
                <w:sz w:val="20"/>
                <w:lang w:val="en-US" w:eastAsia="zh-CN"/>
              </w:rPr>
              <w:t>比例</w:t>
            </w:r>
          </w:p>
        </w:tc>
        <w:tc>
          <w:tcPr>
            <w:tcW w:w="402"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16.18</w:t>
            </w:r>
          </w:p>
        </w:tc>
        <w:tc>
          <w:tcPr>
            <w:tcW w:w="403"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5.49</w:t>
            </w:r>
          </w:p>
        </w:tc>
        <w:tc>
          <w:tcPr>
            <w:tcW w:w="405" w:type="pct"/>
            <w:noWrap w:val="0"/>
            <w:vAlign w:val="center"/>
          </w:tcPr>
          <w:p>
            <w:pPr>
              <w:widowControl w:val="0"/>
              <w:adjustRightInd w:val="0"/>
              <w:snapToGrid w:val="0"/>
              <w:jc w:val="center"/>
              <w:rPr>
                <w:rFonts w:hint="default" w:eastAsia="宋体"/>
                <w:b/>
                <w:bCs/>
                <w:color w:val="auto"/>
                <w:sz w:val="20"/>
                <w:lang w:val="en-US" w:eastAsia="zh-CN"/>
              </w:rPr>
            </w:pPr>
            <w:r>
              <w:rPr>
                <w:rFonts w:hint="eastAsia"/>
                <w:b/>
                <w:bCs/>
                <w:color w:val="auto"/>
                <w:sz w:val="20"/>
                <w:lang w:val="en-US" w:eastAsia="zh-CN"/>
              </w:rPr>
              <w:t>11.56</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8.09</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8.96</w:t>
            </w:r>
          </w:p>
        </w:tc>
        <w:tc>
          <w:tcPr>
            <w:tcW w:w="405"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9.54</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11.27</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10.40</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8.96</w:t>
            </w:r>
          </w:p>
        </w:tc>
        <w:tc>
          <w:tcPr>
            <w:tcW w:w="40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2010（1-6）</w:t>
            </w:r>
          </w:p>
        </w:tc>
        <w:tc>
          <w:tcPr>
            <w:tcW w:w="445" w:type="pct"/>
            <w:noWrap w:val="0"/>
            <w:vAlign w:val="center"/>
          </w:tcPr>
          <w:p>
            <w:pPr>
              <w:widowControl w:val="0"/>
              <w:adjustRightInd w:val="0"/>
              <w:snapToGrid w:val="0"/>
              <w:jc w:val="center"/>
              <w:rPr>
                <w:rFonts w:hint="eastAsia" w:ascii="Times New Roman" w:hAnsi="Times New Roman" w:eastAsia="宋体" w:cs="Times New Roman"/>
                <w:color w:val="auto"/>
                <w:kern w:val="0"/>
                <w:sz w:val="20"/>
                <w:lang w:val="en-US" w:eastAsia="zh-CN" w:bidi="ar-SA"/>
              </w:rPr>
            </w:pPr>
            <w:r>
              <w:rPr>
                <w:rFonts w:hint="eastAsia"/>
                <w:color w:val="auto"/>
                <w:kern w:val="0"/>
                <w:sz w:val="20"/>
                <w:lang w:val="en-US" w:eastAsia="zh-CN"/>
              </w:rPr>
              <w:t>件数</w:t>
            </w:r>
          </w:p>
        </w:tc>
        <w:tc>
          <w:tcPr>
            <w:tcW w:w="402"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34</w:t>
            </w:r>
          </w:p>
        </w:tc>
        <w:tc>
          <w:tcPr>
            <w:tcW w:w="403"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4</w:t>
            </w:r>
          </w:p>
        </w:tc>
        <w:tc>
          <w:tcPr>
            <w:tcW w:w="405" w:type="pct"/>
            <w:noWrap w:val="0"/>
            <w:vAlign w:val="center"/>
          </w:tcPr>
          <w:p>
            <w:pPr>
              <w:widowControl w:val="0"/>
              <w:adjustRightInd w:val="0"/>
              <w:snapToGrid w:val="0"/>
              <w:jc w:val="center"/>
              <w:rPr>
                <w:rFonts w:hint="default" w:eastAsia="宋体"/>
                <w:b/>
                <w:bCs/>
                <w:color w:val="auto"/>
                <w:sz w:val="20"/>
                <w:lang w:val="en-US" w:eastAsia="zh-CN"/>
              </w:rPr>
            </w:pPr>
            <w:r>
              <w:rPr>
                <w:rFonts w:hint="eastAsia"/>
                <w:b/>
                <w:bCs/>
                <w:color w:val="auto"/>
                <w:sz w:val="20"/>
                <w:lang w:val="en-US" w:eastAsia="zh-CN"/>
              </w:rPr>
              <w:t>15</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11</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14</w:t>
            </w:r>
          </w:p>
        </w:tc>
        <w:tc>
          <w:tcPr>
            <w:tcW w:w="405"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17</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14</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w:t>
            </w:r>
          </w:p>
        </w:tc>
        <w:tc>
          <w:tcPr>
            <w:tcW w:w="40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5"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比例</w:t>
            </w:r>
          </w:p>
        </w:tc>
        <w:tc>
          <w:tcPr>
            <w:tcW w:w="402"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5.0</w:t>
            </w:r>
          </w:p>
        </w:tc>
        <w:tc>
          <w:tcPr>
            <w:tcW w:w="403"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6.7</w:t>
            </w:r>
          </w:p>
        </w:tc>
        <w:tc>
          <w:tcPr>
            <w:tcW w:w="405" w:type="pct"/>
            <w:noWrap w:val="0"/>
            <w:vAlign w:val="center"/>
          </w:tcPr>
          <w:p>
            <w:pPr>
              <w:widowControl w:val="0"/>
              <w:adjustRightInd w:val="0"/>
              <w:snapToGrid w:val="0"/>
              <w:jc w:val="center"/>
              <w:rPr>
                <w:rFonts w:hint="default" w:eastAsia="宋体"/>
                <w:b/>
                <w:bCs/>
                <w:color w:val="auto"/>
                <w:sz w:val="20"/>
                <w:lang w:val="en-US" w:eastAsia="zh-CN"/>
              </w:rPr>
            </w:pPr>
            <w:r>
              <w:rPr>
                <w:rFonts w:hint="eastAsia"/>
                <w:b/>
                <w:bCs/>
                <w:color w:val="auto"/>
                <w:sz w:val="20"/>
                <w:lang w:val="en-US" w:eastAsia="zh-CN"/>
              </w:rPr>
              <w:t>7.1</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6.4</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8.6</w:t>
            </w:r>
          </w:p>
        </w:tc>
        <w:tc>
          <w:tcPr>
            <w:tcW w:w="405"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4.0</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12.1</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10.9</w:t>
            </w:r>
          </w:p>
        </w:tc>
        <w:tc>
          <w:tcPr>
            <w:tcW w:w="403"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5.1</w:t>
            </w:r>
          </w:p>
        </w:tc>
        <w:tc>
          <w:tcPr>
            <w:tcW w:w="40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restar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2009</w:t>
            </w:r>
          </w:p>
        </w:tc>
        <w:tc>
          <w:tcPr>
            <w:tcW w:w="445" w:type="pct"/>
            <w:noWrap w:val="0"/>
            <w:vAlign w:val="center"/>
          </w:tcPr>
          <w:p>
            <w:pPr>
              <w:widowControl w:val="0"/>
              <w:adjustRightInd w:val="0"/>
              <w:snapToGrid w:val="0"/>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bidi="ar-SA"/>
              </w:rPr>
              <w:t>河段</w:t>
            </w:r>
          </w:p>
        </w:tc>
        <w:tc>
          <w:tcPr>
            <w:tcW w:w="1210" w:type="pct"/>
            <w:gridSpan w:val="3"/>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上游自然河段</w:t>
            </w:r>
          </w:p>
        </w:tc>
        <w:tc>
          <w:tcPr>
            <w:tcW w:w="1211" w:type="pct"/>
            <w:gridSpan w:val="3"/>
            <w:noWrap w:val="0"/>
            <w:vAlign w:val="center"/>
          </w:tcPr>
          <w:p>
            <w:pPr>
              <w:widowControl w:val="0"/>
              <w:adjustRightInd w:val="0"/>
              <w:snapToGrid w:val="0"/>
              <w:jc w:val="center"/>
              <w:rPr>
                <w:rFonts w:hint="eastAsia" w:cs="Times New Roman"/>
                <w:color w:val="auto"/>
                <w:kern w:val="0"/>
                <w:sz w:val="20"/>
                <w:lang w:val="en-US" w:eastAsia="zh-CN" w:bidi="ar-SA"/>
              </w:rPr>
            </w:pPr>
            <w:r>
              <w:rPr>
                <w:rFonts w:hint="eastAsia" w:cs="Times New Roman"/>
                <w:color w:val="auto"/>
                <w:kern w:val="0"/>
                <w:sz w:val="20"/>
                <w:lang w:val="en-US" w:eastAsia="zh-CN" w:bidi="ar-SA"/>
              </w:rPr>
              <w:t>三峡库区</w:t>
            </w:r>
          </w:p>
        </w:tc>
        <w:tc>
          <w:tcPr>
            <w:tcW w:w="806" w:type="pct"/>
            <w:gridSpan w:val="2"/>
            <w:noWrap w:val="0"/>
            <w:vAlign w:val="center"/>
          </w:tcPr>
          <w:p>
            <w:pPr>
              <w:widowControl w:val="0"/>
              <w:adjustRightInd w:val="0"/>
              <w:snapToGrid w:val="0"/>
              <w:jc w:val="center"/>
              <w:rPr>
                <w:rFonts w:hint="eastAsia" w:cs="Times New Roman"/>
                <w:color w:val="auto"/>
                <w:kern w:val="0"/>
                <w:sz w:val="20"/>
                <w:lang w:val="en-US" w:eastAsia="zh-CN" w:bidi="ar-SA"/>
              </w:rPr>
            </w:pPr>
            <w:r>
              <w:rPr>
                <w:rFonts w:hint="eastAsia" w:cs="Times New Roman"/>
                <w:color w:val="auto"/>
                <w:kern w:val="0"/>
                <w:sz w:val="20"/>
                <w:lang w:val="en-US" w:eastAsia="zh-CN" w:bidi="ar-SA"/>
              </w:rPr>
              <w:t>中游</w:t>
            </w:r>
          </w:p>
        </w:tc>
        <w:tc>
          <w:tcPr>
            <w:tcW w:w="807" w:type="pct"/>
            <w:gridSpan w:val="2"/>
            <w:noWrap w:val="0"/>
            <w:vAlign w:val="center"/>
          </w:tcPr>
          <w:p>
            <w:pPr>
              <w:widowControl w:val="0"/>
              <w:adjustRightInd w:val="0"/>
              <w:snapToGrid w:val="0"/>
              <w:jc w:val="center"/>
              <w:rPr>
                <w:rFonts w:hint="eastAsia" w:cs="Times New Roman"/>
                <w:color w:val="auto"/>
                <w:kern w:val="0"/>
                <w:sz w:val="20"/>
                <w:lang w:val="en-US" w:eastAsia="zh-CN" w:bidi="ar-SA"/>
              </w:rPr>
            </w:pPr>
            <w:r>
              <w:rPr>
                <w:rFonts w:hint="eastAsia" w:cs="Times New Roman"/>
                <w:color w:val="auto"/>
                <w:kern w:val="0"/>
                <w:sz w:val="20"/>
                <w:lang w:val="en-US" w:eastAsia="zh-CN" w:bidi="ar-SA"/>
              </w:rPr>
              <w:t>下游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5" w:type="pct"/>
            <w:noWrap w:val="0"/>
            <w:vAlign w:val="center"/>
          </w:tcPr>
          <w:p>
            <w:pPr>
              <w:widowControl w:val="0"/>
              <w:adjustRightInd w:val="0"/>
              <w:snapToGrid w:val="0"/>
              <w:jc w:val="center"/>
              <w:rPr>
                <w:rFonts w:hint="eastAsia" w:ascii="Times New Roman" w:hAnsi="Times New Roman" w:eastAsia="宋体" w:cs="Times New Roman"/>
                <w:color w:val="auto"/>
                <w:kern w:val="0"/>
                <w:sz w:val="20"/>
                <w:lang w:val="en-US" w:eastAsia="zh-CN" w:bidi="ar-SA"/>
              </w:rPr>
            </w:pPr>
            <w:r>
              <w:rPr>
                <w:rFonts w:hint="eastAsia"/>
                <w:color w:val="auto"/>
                <w:kern w:val="0"/>
                <w:sz w:val="20"/>
                <w:lang w:val="en-US" w:eastAsia="zh-CN"/>
              </w:rPr>
              <w:t>件数</w:t>
            </w:r>
          </w:p>
        </w:tc>
        <w:tc>
          <w:tcPr>
            <w:tcW w:w="1210" w:type="pct"/>
            <w:gridSpan w:val="3"/>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55</w:t>
            </w:r>
          </w:p>
        </w:tc>
        <w:tc>
          <w:tcPr>
            <w:tcW w:w="1211" w:type="pct"/>
            <w:gridSpan w:val="3"/>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23</w:t>
            </w:r>
          </w:p>
        </w:tc>
        <w:tc>
          <w:tcPr>
            <w:tcW w:w="806" w:type="pct"/>
            <w:gridSpan w:val="2"/>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96</w:t>
            </w:r>
          </w:p>
        </w:tc>
        <w:tc>
          <w:tcPr>
            <w:tcW w:w="807" w:type="pct"/>
            <w:gridSpan w:val="2"/>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141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69" w:hRule="atLeast"/>
          <w:jc w:val="center"/>
        </w:trPr>
        <w:tc>
          <w:tcPr>
            <w:tcW w:w="517" w:type="pct"/>
            <w:vMerge w:val="continue"/>
            <w:noWrap w:val="0"/>
            <w:vAlign w:val="center"/>
          </w:tcPr>
          <w:p>
            <w:pPr>
              <w:widowControl w:val="0"/>
              <w:adjustRightInd w:val="0"/>
              <w:snapToGrid w:val="0"/>
              <w:jc w:val="center"/>
              <w:rPr>
                <w:color w:val="auto"/>
                <w:sz w:val="20"/>
              </w:rPr>
            </w:pPr>
          </w:p>
        </w:tc>
        <w:tc>
          <w:tcPr>
            <w:tcW w:w="445"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比例</w:t>
            </w:r>
          </w:p>
        </w:tc>
        <w:tc>
          <w:tcPr>
            <w:tcW w:w="1210" w:type="pct"/>
            <w:gridSpan w:val="3"/>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17.4</w:t>
            </w:r>
          </w:p>
        </w:tc>
        <w:tc>
          <w:tcPr>
            <w:tcW w:w="1211" w:type="pct"/>
            <w:gridSpan w:val="3"/>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7.3</w:t>
            </w:r>
          </w:p>
        </w:tc>
        <w:tc>
          <w:tcPr>
            <w:tcW w:w="806" w:type="pct"/>
            <w:gridSpan w:val="2"/>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30</w:t>
            </w:r>
          </w:p>
        </w:tc>
        <w:tc>
          <w:tcPr>
            <w:tcW w:w="807" w:type="pct"/>
            <w:gridSpan w:val="2"/>
            <w:noWrap w:val="0"/>
            <w:vAlign w:val="center"/>
          </w:tcPr>
          <w:p>
            <w:pPr>
              <w:widowControl w:val="0"/>
              <w:adjustRightInd w:val="0"/>
              <w:snapToGrid w:val="0"/>
              <w:jc w:val="center"/>
              <w:rPr>
                <w:rFonts w:hint="default" w:cs="Times New Roman"/>
                <w:color w:val="auto"/>
                <w:kern w:val="0"/>
                <w:sz w:val="20"/>
                <w:lang w:val="en-US" w:eastAsia="zh-CN" w:bidi="ar-SA"/>
              </w:rPr>
            </w:pPr>
            <w:r>
              <w:rPr>
                <w:rFonts w:hint="eastAsia" w:cs="Times New Roman"/>
                <w:color w:val="auto"/>
                <w:kern w:val="0"/>
                <w:sz w:val="20"/>
                <w:lang w:val="en-US" w:eastAsia="zh-CN" w:bidi="ar-SA"/>
              </w:rPr>
              <w:t>45</w:t>
            </w:r>
          </w:p>
        </w:tc>
      </w:tr>
    </w:tbl>
    <w:p>
      <w:pPr>
        <w:widowControl w:val="0"/>
        <w:spacing w:line="360" w:lineRule="auto"/>
        <w:ind w:firstLine="480" w:firstLineChars="200"/>
        <w:rPr>
          <w:rFonts w:hint="eastAsia" w:eastAsia="仿宋_GB2312"/>
          <w:color w:val="auto"/>
          <w:sz w:val="24"/>
        </w:rPr>
      </w:pPr>
      <w:r>
        <w:rPr>
          <w:rFonts w:hint="eastAsia" w:eastAsia="仿宋_GB2312"/>
          <w:color w:val="auto"/>
          <w:sz w:val="24"/>
        </w:rPr>
        <w:t>2008年上游段：80件，占23.12%；中游段：119件，占34.39%；下游段：147件，占42.49%。</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2009年上游段：78件，占25%,；中游段：96件，占30%；下游段：141件，占45%。</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上游自然航段事故险情多以搁浅、触礁为主，占上游自然航段事故险情的56.4％。中游部分航段碰撞、搁浅较为密集，水位变化对中游事故险情的发生影响较大。下游事故险情以碰撞为主，占下游事故险情的60.3％，占长江全线碰撞事故险情的63.4％。</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2010年上半年：上游42件，占30.4%，自然航段事故险情多以搁浅、触礁为主，占上游自然航段事故险情的67％，占长江全线搁浅、触礁事故险情的45％。中游44件，占31.9%，中游部分航段碰撞、搁浅较为密集，水位变化对中游事故险情的发生影响较大。下游52件，占37.7%，下游事故险情以碰撞为主，占下游事故险情的69％，占长江全线碰撞事故险情的53％。黄石、九江较密集，主要受砂石运输船事故影响，两局辖段砂石运输船事故共计17件，占事故险情总数的55%。</w:t>
      </w:r>
    </w:p>
    <w:p>
      <w:pPr>
        <w:pStyle w:val="9"/>
        <w:widowControl w:val="0"/>
        <w:spacing w:before="120" w:after="120" w:line="360" w:lineRule="auto"/>
        <w:rPr>
          <w:rFonts w:hint="default" w:eastAsia="黑体"/>
          <w:b w:val="0"/>
          <w:color w:val="auto"/>
          <w:sz w:val="24"/>
          <w:lang w:val="en-US" w:eastAsia="zh-CN"/>
        </w:rPr>
      </w:pPr>
      <w:bookmarkStart w:id="468" w:name="_Toc20997"/>
      <w:r>
        <w:rPr>
          <w:rFonts w:hint="eastAsia" w:eastAsia="黑体"/>
          <w:b w:val="0"/>
          <w:color w:val="auto"/>
          <w:sz w:val="24"/>
          <w:lang w:val="en-US" w:eastAsia="zh-CN"/>
        </w:rPr>
        <w:t>7.5.2长江宜昌段历年风险事故统计</w:t>
      </w:r>
      <w:bookmarkEnd w:id="468"/>
    </w:p>
    <w:p>
      <w:pPr>
        <w:widowControl w:val="0"/>
        <w:spacing w:line="360" w:lineRule="auto"/>
        <w:ind w:firstLine="480" w:firstLineChars="200"/>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①事故和险情情况分类统计</w:t>
      </w:r>
    </w:p>
    <w:p>
      <w:pPr>
        <w:widowControl w:val="0"/>
        <w:spacing w:line="360" w:lineRule="auto"/>
        <w:ind w:firstLine="480" w:firstLineChars="200"/>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根据宜昌海事局提供资料，宜昌市海事局辖区内201</w:t>
      </w:r>
      <w:r>
        <w:rPr>
          <w:rFonts w:hint="eastAsia" w:ascii="Times New Roman" w:hAnsi="Times New Roman" w:eastAsia="仿宋_GB2312" w:cs="Times New Roman"/>
          <w:color w:val="auto"/>
          <w:sz w:val="24"/>
          <w:lang w:val="en-US" w:eastAsia="zh-CN"/>
        </w:rPr>
        <w:t>0</w:t>
      </w:r>
      <w:r>
        <w:rPr>
          <w:rFonts w:hint="default" w:ascii="Times New Roman" w:hAnsi="Times New Roman" w:eastAsia="仿宋_GB2312" w:cs="Times New Roman"/>
          <w:color w:val="auto"/>
          <w:sz w:val="24"/>
        </w:rPr>
        <w:t>年至2016年共发生交通事故19件（详见下表），以及近两年运输船舶事故类型统计分析、事故按遇险水域统计分析见下列表格。2016年辖区事故类型主要以搁浅、碰撞、火灾事故居多，发生事故船舶类型以普货船舶居多。</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w:t>
      </w:r>
      <w:r>
        <w:rPr>
          <w:rFonts w:eastAsia="黑体"/>
          <w:b/>
          <w:color w:val="auto"/>
          <w:szCs w:val="21"/>
        </w:rPr>
        <w:t>.</w:t>
      </w:r>
      <w:r>
        <w:rPr>
          <w:rFonts w:hint="eastAsia" w:eastAsia="黑体"/>
          <w:b/>
          <w:color w:val="auto"/>
          <w:szCs w:val="21"/>
          <w:lang w:val="en-US" w:eastAsia="zh-CN"/>
        </w:rPr>
        <w:t>5-3</w:t>
      </w:r>
      <w:r>
        <w:rPr>
          <w:rFonts w:eastAsia="黑体"/>
          <w:b/>
          <w:color w:val="auto"/>
          <w:szCs w:val="21"/>
        </w:rPr>
        <w:t xml:space="preserve">  </w:t>
      </w:r>
      <w:r>
        <w:rPr>
          <w:rFonts w:hint="eastAsia" w:eastAsia="黑体"/>
          <w:b/>
          <w:color w:val="auto"/>
          <w:szCs w:val="21"/>
          <w:lang w:val="en-US" w:eastAsia="zh-CN"/>
        </w:rPr>
        <w:t>2010年~2012年宜昌海事局辖区水上交通事故性质统计表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16"/>
        <w:gridCol w:w="1216"/>
        <w:gridCol w:w="1216"/>
        <w:gridCol w:w="1216"/>
        <w:gridCol w:w="1216"/>
        <w:gridCol w:w="1218"/>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14" w:type="pct"/>
            <w:tcBorders>
              <w:top w:val="single" w:color="auto" w:sz="12" w:space="0"/>
              <w:bottom w:val="single" w:color="auto" w:sz="6" w:space="0"/>
            </w:tcBorders>
            <w:noWrap w:val="0"/>
            <w:vAlign w:val="center"/>
          </w:tcPr>
          <w:p>
            <w:pPr>
              <w:widowControl w:val="0"/>
              <w:adjustRightInd w:val="0"/>
              <w:snapToGrid w:val="0"/>
              <w:jc w:val="center"/>
              <w:rPr>
                <w:rFonts w:hint="eastAsia"/>
                <w:color w:val="auto"/>
                <w:sz w:val="20"/>
                <w:lang w:val="en-US" w:eastAsia="zh-CN"/>
              </w:rPr>
            </w:pPr>
            <w:r>
              <w:rPr>
                <w:color w:val="auto"/>
                <w:sz w:val="20"/>
              </w:rPr>
              <mc:AlternateContent>
                <mc:Choice Requires="wps">
                  <w:drawing>
                    <wp:anchor distT="0" distB="0" distL="114300" distR="114300" simplePos="0" relativeHeight="251679744" behindDoc="0" locked="0" layoutInCell="1" allowOverlap="1">
                      <wp:simplePos x="0" y="0"/>
                      <wp:positionH relativeFrom="column">
                        <wp:posOffset>-82550</wp:posOffset>
                      </wp:positionH>
                      <wp:positionV relativeFrom="paragraph">
                        <wp:posOffset>15240</wp:posOffset>
                      </wp:positionV>
                      <wp:extent cx="790575" cy="314325"/>
                      <wp:effectExtent l="1905" t="4445" r="7620" b="5080"/>
                      <wp:wrapNone/>
                      <wp:docPr id="1" name="直接连接符 1"/>
                      <wp:cNvGraphicFramePr/>
                      <a:graphic xmlns:a="http://schemas.openxmlformats.org/drawingml/2006/main">
                        <a:graphicData uri="http://schemas.microsoft.com/office/word/2010/wordprocessingShape">
                          <wps:wsp>
                            <wps:cNvCnPr/>
                            <wps:spPr>
                              <a:xfrm flipH="1" flipV="1">
                                <a:off x="1058545" y="1731645"/>
                                <a:ext cx="790575" cy="314325"/>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6.5pt;margin-top:1.2pt;height:24.75pt;width:62.25pt;z-index:251679744;mso-width-relative:page;mso-height-relative:page;" filled="f" stroked="t" coordsize="21600,21600" o:gfxdata="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Q7cVPXAAAACAEAAA8AAAAAAAAAAQAgAAAA&#10;IgAAAGRycy9kb3ducmV2LnhtbFBLAQIUABQAAAAIAIdO4kAz77QgDAIAAPcDAAAOAAAAAAAAAAEA&#10;IAAAACYBAABkcnMvZTJvRG9jLnhtbFBLBQYAAAAABgAGAFkBAACkBQAAAAA=&#10;">
                      <v:fill on="f" focussize="0,0"/>
                      <v:stroke weight="0.5pt" color="#000000 [3200]" joinstyle="round"/>
                      <v:imagedata o:title=""/>
                      <o:lock v:ext="edit" aspectratio="f"/>
                    </v:line>
                  </w:pict>
                </mc:Fallback>
              </mc:AlternateContent>
            </w:r>
            <w:r>
              <w:rPr>
                <w:rFonts w:hint="eastAsia"/>
                <w:color w:val="auto"/>
                <w:sz w:val="20"/>
                <w:lang w:val="en-US" w:eastAsia="zh-CN"/>
              </w:rPr>
              <w:t xml:space="preserve">     种类</w:t>
            </w:r>
          </w:p>
          <w:p>
            <w:pPr>
              <w:widowControl w:val="0"/>
              <w:adjustRightInd w:val="0"/>
              <w:snapToGrid w:val="0"/>
              <w:jc w:val="both"/>
              <w:rPr>
                <w:rFonts w:hint="default" w:eastAsia="宋体"/>
                <w:color w:val="auto"/>
                <w:sz w:val="20"/>
                <w:lang w:val="en-US" w:eastAsia="zh-CN"/>
              </w:rPr>
            </w:pPr>
            <w:r>
              <w:rPr>
                <w:rFonts w:hint="eastAsia"/>
                <w:color w:val="auto"/>
                <w:sz w:val="20"/>
                <w:lang w:val="en-US" w:eastAsia="zh-CN"/>
              </w:rPr>
              <w:t>时间</w:t>
            </w:r>
          </w:p>
        </w:tc>
        <w:tc>
          <w:tcPr>
            <w:tcW w:w="71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碰撞</w:t>
            </w:r>
          </w:p>
        </w:tc>
        <w:tc>
          <w:tcPr>
            <w:tcW w:w="71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搁浅</w:t>
            </w:r>
          </w:p>
        </w:tc>
        <w:tc>
          <w:tcPr>
            <w:tcW w:w="71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触礁</w:t>
            </w:r>
          </w:p>
        </w:tc>
        <w:tc>
          <w:tcPr>
            <w:tcW w:w="71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火灾</w:t>
            </w:r>
          </w:p>
        </w:tc>
        <w:tc>
          <w:tcPr>
            <w:tcW w:w="715"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其他</w:t>
            </w:r>
          </w:p>
        </w:tc>
        <w:tc>
          <w:tcPr>
            <w:tcW w:w="714"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事故件数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14"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2010年</w:t>
            </w:r>
          </w:p>
        </w:tc>
        <w:tc>
          <w:tcPr>
            <w:tcW w:w="714" w:type="pct"/>
            <w:tcBorders>
              <w:top w:val="single" w:color="auto" w:sz="12" w:space="0"/>
            </w:tcBorders>
            <w:noWrap w:val="0"/>
            <w:vAlign w:val="center"/>
          </w:tcPr>
          <w:p>
            <w:pPr>
              <w:widowControl w:val="0"/>
              <w:adjustRightInd w:val="0"/>
              <w:snapToGrid w:val="0"/>
              <w:jc w:val="center"/>
              <w:rPr>
                <w:rFonts w:hint="default" w:eastAsia="宋体"/>
                <w:color w:val="auto"/>
                <w:kern w:val="0"/>
                <w:sz w:val="20"/>
                <w:lang w:val="en-US" w:eastAsia="zh-CN"/>
              </w:rPr>
            </w:pPr>
            <w:r>
              <w:rPr>
                <w:rFonts w:hint="eastAsia"/>
                <w:color w:val="auto"/>
                <w:kern w:val="0"/>
                <w:sz w:val="20"/>
                <w:lang w:val="en-US" w:eastAsia="zh-CN"/>
              </w:rPr>
              <w:t>9</w:t>
            </w:r>
          </w:p>
        </w:tc>
        <w:tc>
          <w:tcPr>
            <w:tcW w:w="714"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w:t>
            </w:r>
          </w:p>
        </w:tc>
        <w:tc>
          <w:tcPr>
            <w:tcW w:w="714" w:type="pct"/>
            <w:tcBorders>
              <w:top w:val="single" w:color="auto" w:sz="12" w:space="0"/>
            </w:tcBorders>
            <w:noWrap w:val="0"/>
            <w:vAlign w:val="center"/>
          </w:tcPr>
          <w:p>
            <w:pPr>
              <w:widowControl w:val="0"/>
              <w:adjustRightInd w:val="0"/>
              <w:snapToGrid w:val="0"/>
              <w:jc w:val="center"/>
              <w:rPr>
                <w:rFonts w:hint="default" w:ascii="Times New Roman" w:hAnsi="Times New Roman" w:eastAsia="宋体"/>
                <w:color w:val="auto"/>
                <w:kern w:val="0"/>
                <w:sz w:val="20"/>
                <w:lang w:val="en-US" w:eastAsia="zh-CN"/>
              </w:rPr>
            </w:pPr>
            <w:r>
              <w:rPr>
                <w:rFonts w:hint="eastAsia"/>
                <w:color w:val="auto"/>
                <w:kern w:val="0"/>
                <w:sz w:val="20"/>
                <w:lang w:val="en-US" w:eastAsia="zh-CN"/>
              </w:rPr>
              <w:t>3</w:t>
            </w:r>
          </w:p>
        </w:tc>
        <w:tc>
          <w:tcPr>
            <w:tcW w:w="714"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0</w:t>
            </w:r>
          </w:p>
        </w:tc>
        <w:tc>
          <w:tcPr>
            <w:tcW w:w="715"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w:t>
            </w:r>
          </w:p>
        </w:tc>
        <w:tc>
          <w:tcPr>
            <w:tcW w:w="714"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2011年</w:t>
            </w:r>
          </w:p>
        </w:tc>
        <w:tc>
          <w:tcPr>
            <w:tcW w:w="714" w:type="pct"/>
            <w:noWrap w:val="0"/>
            <w:vAlign w:val="center"/>
          </w:tcPr>
          <w:p>
            <w:pPr>
              <w:widowControl w:val="0"/>
              <w:adjustRightInd w:val="0"/>
              <w:snapToGrid w:val="0"/>
              <w:jc w:val="center"/>
              <w:rPr>
                <w:rFonts w:hint="default" w:ascii="Times New Roman" w:hAnsi="Times New Roman" w:eastAsia="宋体" w:cs="Times New Roman"/>
                <w:color w:val="auto"/>
                <w:kern w:val="0"/>
                <w:sz w:val="20"/>
                <w:lang w:val="en-US" w:eastAsia="zh-CN" w:bidi="ar-SA"/>
              </w:rPr>
            </w:pPr>
            <w:r>
              <w:rPr>
                <w:rFonts w:hint="eastAsia" w:cs="Times New Roman"/>
                <w:color w:val="auto"/>
                <w:kern w:val="0"/>
                <w:sz w:val="20"/>
                <w:lang w:val="en-US" w:eastAsia="zh-CN" w:bidi="ar-SA"/>
              </w:rPr>
              <w:t>6</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w:t>
            </w:r>
          </w:p>
        </w:tc>
        <w:tc>
          <w:tcPr>
            <w:tcW w:w="714"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3</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0</w:t>
            </w:r>
          </w:p>
        </w:tc>
        <w:tc>
          <w:tcPr>
            <w:tcW w:w="715"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0</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2012年</w:t>
            </w:r>
          </w:p>
        </w:tc>
        <w:tc>
          <w:tcPr>
            <w:tcW w:w="714"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2</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w:t>
            </w:r>
          </w:p>
        </w:tc>
        <w:tc>
          <w:tcPr>
            <w:tcW w:w="714" w:type="pct"/>
            <w:noWrap w:val="0"/>
            <w:vAlign w:val="center"/>
          </w:tcPr>
          <w:p>
            <w:pPr>
              <w:widowControl w:val="0"/>
              <w:adjustRightInd w:val="0"/>
              <w:snapToGrid w:val="0"/>
              <w:jc w:val="center"/>
              <w:rPr>
                <w:rFonts w:hint="default" w:eastAsia="宋体"/>
                <w:color w:val="auto"/>
                <w:lang w:val="en-US" w:eastAsia="zh-CN"/>
              </w:rPr>
            </w:pPr>
            <w:r>
              <w:rPr>
                <w:rFonts w:hint="eastAsia"/>
                <w:color w:val="auto"/>
                <w:lang w:val="en-US" w:eastAsia="zh-CN"/>
              </w:rPr>
              <w:t>0</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0</w:t>
            </w:r>
          </w:p>
        </w:tc>
        <w:tc>
          <w:tcPr>
            <w:tcW w:w="715"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4</w:t>
            </w:r>
          </w:p>
        </w:tc>
        <w:tc>
          <w:tcPr>
            <w:tcW w:w="714"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9</w:t>
            </w:r>
          </w:p>
        </w:tc>
      </w:tr>
    </w:tbl>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7.5</w:t>
      </w:r>
      <w:r>
        <w:rPr>
          <w:rFonts w:hint="default" w:ascii="Times New Roman" w:hAnsi="Times New Roman" w:eastAsia="黑体" w:cs="Times New Roman"/>
          <w:b/>
          <w:color w:val="auto"/>
          <w:szCs w:val="21"/>
        </w:rPr>
        <w:t>-</w:t>
      </w:r>
      <w:r>
        <w:rPr>
          <w:rFonts w:hint="eastAsia" w:ascii="Times New Roman" w:hAnsi="Times New Roman" w:eastAsia="黑体" w:cs="Times New Roman"/>
          <w:b/>
          <w:color w:val="auto"/>
          <w:szCs w:val="21"/>
          <w:lang w:val="en-US" w:eastAsia="zh-CN"/>
        </w:rPr>
        <w:t>4</w:t>
      </w:r>
      <w:r>
        <w:rPr>
          <w:rFonts w:hint="default" w:ascii="Times New Roman" w:hAnsi="Times New Roman" w:eastAsia="黑体" w:cs="Times New Roman"/>
          <w:b/>
          <w:color w:val="auto"/>
          <w:szCs w:val="21"/>
        </w:rPr>
        <w:t xml:space="preserve">  2012年～2016年宜昌海事局辖区水上交通事故统计</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9"/>
        <w:gridCol w:w="1417"/>
        <w:gridCol w:w="1419"/>
        <w:gridCol w:w="1419"/>
        <w:gridCol w:w="14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33"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年度</w:t>
            </w:r>
          </w:p>
        </w:tc>
        <w:tc>
          <w:tcPr>
            <w:tcW w:w="833"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2012年</w:t>
            </w:r>
          </w:p>
        </w:tc>
        <w:tc>
          <w:tcPr>
            <w:tcW w:w="832"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2013年</w:t>
            </w:r>
          </w:p>
        </w:tc>
        <w:tc>
          <w:tcPr>
            <w:tcW w:w="833"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2014年</w:t>
            </w:r>
          </w:p>
        </w:tc>
        <w:tc>
          <w:tcPr>
            <w:tcW w:w="833"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2015年</w:t>
            </w:r>
          </w:p>
        </w:tc>
        <w:tc>
          <w:tcPr>
            <w:tcW w:w="834"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2016年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33"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事件数</w:t>
            </w:r>
          </w:p>
        </w:tc>
        <w:tc>
          <w:tcPr>
            <w:tcW w:w="833"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9</w:t>
            </w:r>
          </w:p>
        </w:tc>
        <w:tc>
          <w:tcPr>
            <w:tcW w:w="832"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16</w:t>
            </w:r>
          </w:p>
        </w:tc>
        <w:tc>
          <w:tcPr>
            <w:tcW w:w="833"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13</w:t>
            </w:r>
          </w:p>
        </w:tc>
        <w:tc>
          <w:tcPr>
            <w:tcW w:w="833"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w:t>
            </w:r>
          </w:p>
        </w:tc>
        <w:tc>
          <w:tcPr>
            <w:tcW w:w="834"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19</w:t>
            </w:r>
          </w:p>
        </w:tc>
      </w:tr>
    </w:tbl>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7.5-5</w:t>
      </w:r>
      <w:r>
        <w:rPr>
          <w:rFonts w:hint="default" w:ascii="Times New Roman" w:hAnsi="Times New Roman" w:eastAsia="黑体" w:cs="Times New Roman"/>
          <w:b/>
          <w:color w:val="auto"/>
          <w:szCs w:val="21"/>
        </w:rPr>
        <w:t xml:space="preserve">  运输船舶事故统计分析</w:t>
      </w:r>
    </w:p>
    <w:tbl>
      <w:tblPr>
        <w:tblStyle w:val="92"/>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1063"/>
        <w:gridCol w:w="1063"/>
        <w:gridCol w:w="1063"/>
        <w:gridCol w:w="1063"/>
        <w:gridCol w:w="1158"/>
        <w:gridCol w:w="969"/>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25"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年度</w:t>
            </w:r>
          </w:p>
        </w:tc>
        <w:tc>
          <w:tcPr>
            <w:tcW w:w="625"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小计</w:t>
            </w:r>
          </w:p>
        </w:tc>
        <w:tc>
          <w:tcPr>
            <w:tcW w:w="624"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碰撞</w:t>
            </w:r>
          </w:p>
        </w:tc>
        <w:tc>
          <w:tcPr>
            <w:tcW w:w="624"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搁浅</w:t>
            </w:r>
          </w:p>
        </w:tc>
        <w:tc>
          <w:tcPr>
            <w:tcW w:w="624"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触礁</w:t>
            </w:r>
          </w:p>
        </w:tc>
        <w:tc>
          <w:tcPr>
            <w:tcW w:w="680"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火灾/爆炸</w:t>
            </w:r>
          </w:p>
        </w:tc>
        <w:tc>
          <w:tcPr>
            <w:tcW w:w="569"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沉船</w:t>
            </w:r>
          </w:p>
        </w:tc>
        <w:tc>
          <w:tcPr>
            <w:tcW w:w="624"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25"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2015年</w:t>
            </w:r>
          </w:p>
        </w:tc>
        <w:tc>
          <w:tcPr>
            <w:tcW w:w="625"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w:t>
            </w:r>
          </w:p>
        </w:tc>
        <w:tc>
          <w:tcPr>
            <w:tcW w:w="624"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624"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w:t>
            </w:r>
          </w:p>
        </w:tc>
        <w:tc>
          <w:tcPr>
            <w:tcW w:w="624"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680"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w:t>
            </w:r>
          </w:p>
        </w:tc>
        <w:tc>
          <w:tcPr>
            <w:tcW w:w="569"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w:t>
            </w:r>
          </w:p>
        </w:tc>
        <w:tc>
          <w:tcPr>
            <w:tcW w:w="624"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25"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2016年</w:t>
            </w:r>
          </w:p>
        </w:tc>
        <w:tc>
          <w:tcPr>
            <w:tcW w:w="625"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19</w:t>
            </w:r>
          </w:p>
        </w:tc>
        <w:tc>
          <w:tcPr>
            <w:tcW w:w="624"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624"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8</w:t>
            </w:r>
          </w:p>
        </w:tc>
        <w:tc>
          <w:tcPr>
            <w:tcW w:w="624"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680"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569"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624"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r>
    </w:tbl>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7.5</w:t>
      </w:r>
      <w:r>
        <w:rPr>
          <w:rFonts w:hint="default" w:ascii="Times New Roman" w:hAnsi="Times New Roman" w:eastAsia="黑体" w:cs="Times New Roman"/>
          <w:b/>
          <w:color w:val="auto"/>
          <w:szCs w:val="21"/>
        </w:rPr>
        <w:t>-</w:t>
      </w:r>
      <w:r>
        <w:rPr>
          <w:rFonts w:hint="eastAsia" w:ascii="Times New Roman" w:hAnsi="Times New Roman" w:eastAsia="黑体" w:cs="Times New Roman"/>
          <w:b/>
          <w:color w:val="auto"/>
          <w:szCs w:val="21"/>
          <w:lang w:val="en-US" w:eastAsia="zh-CN"/>
        </w:rPr>
        <w:t>6</w:t>
      </w:r>
      <w:r>
        <w:rPr>
          <w:rFonts w:hint="default" w:ascii="Times New Roman" w:hAnsi="Times New Roman" w:eastAsia="黑体" w:cs="Times New Roman"/>
          <w:b/>
          <w:color w:val="auto"/>
          <w:szCs w:val="21"/>
        </w:rPr>
        <w:t xml:space="preserve">  运输船舶事故按船舶遇险水域统计</w:t>
      </w:r>
    </w:p>
    <w:tbl>
      <w:tblPr>
        <w:tblStyle w:val="9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076"/>
        <w:gridCol w:w="1258"/>
        <w:gridCol w:w="1262"/>
        <w:gridCol w:w="1262"/>
        <w:gridCol w:w="1262"/>
        <w:gridCol w:w="11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tblHeader/>
          <w:jc w:val="center"/>
        </w:trPr>
        <w:tc>
          <w:tcPr>
            <w:tcW w:w="746"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年度</w:t>
            </w:r>
          </w:p>
        </w:tc>
        <w:tc>
          <w:tcPr>
            <w:tcW w:w="632"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巴东</w:t>
            </w:r>
          </w:p>
        </w:tc>
        <w:tc>
          <w:tcPr>
            <w:tcW w:w="739"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归州</w:t>
            </w:r>
          </w:p>
        </w:tc>
        <w:tc>
          <w:tcPr>
            <w:tcW w:w="741"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港区</w:t>
            </w:r>
          </w:p>
        </w:tc>
        <w:tc>
          <w:tcPr>
            <w:tcW w:w="741"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宜都</w:t>
            </w:r>
          </w:p>
        </w:tc>
        <w:tc>
          <w:tcPr>
            <w:tcW w:w="741"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枝江</w:t>
            </w:r>
          </w:p>
        </w:tc>
        <w:tc>
          <w:tcPr>
            <w:tcW w:w="658"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2015年</w:t>
            </w:r>
          </w:p>
        </w:tc>
        <w:tc>
          <w:tcPr>
            <w:tcW w:w="632"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w:t>
            </w:r>
          </w:p>
        </w:tc>
        <w:tc>
          <w:tcPr>
            <w:tcW w:w="739"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741"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w:t>
            </w:r>
          </w:p>
        </w:tc>
        <w:tc>
          <w:tcPr>
            <w:tcW w:w="741"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741"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w:t>
            </w:r>
          </w:p>
        </w:tc>
        <w:tc>
          <w:tcPr>
            <w:tcW w:w="658"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2016年</w:t>
            </w:r>
          </w:p>
        </w:tc>
        <w:tc>
          <w:tcPr>
            <w:tcW w:w="632"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19</w:t>
            </w:r>
          </w:p>
        </w:tc>
        <w:tc>
          <w:tcPr>
            <w:tcW w:w="739"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741"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8</w:t>
            </w:r>
          </w:p>
        </w:tc>
        <w:tc>
          <w:tcPr>
            <w:tcW w:w="741"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741"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658" w:type="pct"/>
            <w:tcBorders>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19</w:t>
            </w:r>
          </w:p>
        </w:tc>
      </w:tr>
    </w:tbl>
    <w:p>
      <w:pPr>
        <w:widowControl w:val="0"/>
        <w:spacing w:line="360" w:lineRule="auto"/>
        <w:jc w:val="center"/>
        <w:rPr>
          <w:rFonts w:hint="default" w:ascii="Times New Roman" w:hAnsi="Times New Roman" w:eastAsia="黑体" w:cs="Times New Roman"/>
          <w:b/>
          <w:color w:val="auto"/>
          <w:szCs w:val="21"/>
        </w:rPr>
      </w:pPr>
      <w:r>
        <w:rPr>
          <w:rFonts w:hint="default" w:ascii="Times New Roman" w:hAnsi="Times New Roman" w:eastAsia="黑体" w:cs="Times New Roman"/>
          <w:b/>
          <w:color w:val="auto"/>
          <w:szCs w:val="21"/>
        </w:rPr>
        <w:t>表</w:t>
      </w:r>
      <w:r>
        <w:rPr>
          <w:rFonts w:hint="eastAsia" w:ascii="Times New Roman" w:hAnsi="Times New Roman" w:eastAsia="黑体" w:cs="Times New Roman"/>
          <w:b/>
          <w:color w:val="auto"/>
          <w:szCs w:val="21"/>
          <w:lang w:val="en-US" w:eastAsia="zh-CN"/>
        </w:rPr>
        <w:t>7.5</w:t>
      </w:r>
      <w:r>
        <w:rPr>
          <w:rFonts w:hint="default" w:ascii="Times New Roman" w:hAnsi="Times New Roman" w:eastAsia="黑体" w:cs="Times New Roman"/>
          <w:b/>
          <w:color w:val="auto"/>
          <w:szCs w:val="21"/>
        </w:rPr>
        <w:t>-</w:t>
      </w:r>
      <w:r>
        <w:rPr>
          <w:rFonts w:hint="eastAsia" w:ascii="Times New Roman" w:hAnsi="Times New Roman" w:eastAsia="黑体" w:cs="Times New Roman"/>
          <w:b/>
          <w:color w:val="auto"/>
          <w:szCs w:val="21"/>
          <w:lang w:val="en-US" w:eastAsia="zh-CN"/>
        </w:rPr>
        <w:t>7</w:t>
      </w:r>
      <w:r>
        <w:rPr>
          <w:rFonts w:hint="default" w:ascii="Times New Roman" w:hAnsi="Times New Roman" w:eastAsia="黑体" w:cs="Times New Roman"/>
          <w:b/>
          <w:color w:val="auto"/>
          <w:szCs w:val="21"/>
        </w:rPr>
        <w:t xml:space="preserve">  2016年运输船舶事故按遇险船舶类型统计</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1293"/>
        <w:gridCol w:w="1513"/>
        <w:gridCol w:w="1516"/>
        <w:gridCol w:w="1516"/>
        <w:gridCol w:w="1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78"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客船（渡船）</w:t>
            </w:r>
          </w:p>
        </w:tc>
        <w:tc>
          <w:tcPr>
            <w:tcW w:w="759"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危险品船</w:t>
            </w:r>
          </w:p>
        </w:tc>
        <w:tc>
          <w:tcPr>
            <w:tcW w:w="888"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涉砂船</w:t>
            </w:r>
          </w:p>
        </w:tc>
        <w:tc>
          <w:tcPr>
            <w:tcW w:w="890"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普通货船</w:t>
            </w:r>
          </w:p>
        </w:tc>
        <w:tc>
          <w:tcPr>
            <w:tcW w:w="890"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其他</w:t>
            </w:r>
          </w:p>
        </w:tc>
        <w:tc>
          <w:tcPr>
            <w:tcW w:w="792" w:type="pct"/>
            <w:tcBorders>
              <w:bottom w:val="single" w:color="auto" w:sz="12"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8"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2016年</w:t>
            </w:r>
          </w:p>
        </w:tc>
        <w:tc>
          <w:tcPr>
            <w:tcW w:w="759"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w:t>
            </w:r>
          </w:p>
        </w:tc>
        <w:tc>
          <w:tcPr>
            <w:tcW w:w="888"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890"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11</w:t>
            </w:r>
          </w:p>
        </w:tc>
        <w:tc>
          <w:tcPr>
            <w:tcW w:w="890"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w:t>
            </w:r>
          </w:p>
        </w:tc>
        <w:tc>
          <w:tcPr>
            <w:tcW w:w="792" w:type="pct"/>
            <w:tcBorders>
              <w:top w:val="single" w:color="auto" w:sz="12" w:space="0"/>
              <w:tl2br w:val="nil"/>
              <w:tr2bl w:val="nil"/>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19</w:t>
            </w:r>
          </w:p>
        </w:tc>
      </w:tr>
    </w:tbl>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②宜都水道船舶事故案例</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长江海事局发布的2008年10月～2018年6月年辖区事故险情，在工程下游宜都水道内，共发生8起船舶事故，主要为碰撞或搁浅，但没发生燃料油泄漏事故，事故多发地点位于宜都水道南阳碛弯道处。具体事故情况如下</w:t>
      </w:r>
      <w:r>
        <w:rPr>
          <w:rFonts w:hint="eastAsia" w:eastAsia="仿宋_GB2312"/>
          <w:color w:val="auto"/>
          <w:sz w:val="24"/>
          <w:lang w:eastAsia="zh-CN"/>
        </w:rPr>
        <w:t>。</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w:t>
      </w:r>
      <w:r>
        <w:rPr>
          <w:rFonts w:eastAsia="黑体"/>
          <w:b/>
          <w:color w:val="auto"/>
          <w:szCs w:val="21"/>
        </w:rPr>
        <w:t>.</w:t>
      </w:r>
      <w:r>
        <w:rPr>
          <w:rFonts w:hint="eastAsia" w:eastAsia="黑体"/>
          <w:b/>
          <w:color w:val="auto"/>
          <w:szCs w:val="21"/>
          <w:lang w:val="en-US" w:eastAsia="zh-CN"/>
        </w:rPr>
        <w:t>5-8</w:t>
      </w:r>
      <w:r>
        <w:rPr>
          <w:rFonts w:eastAsia="黑体"/>
          <w:b/>
          <w:color w:val="auto"/>
          <w:szCs w:val="21"/>
        </w:rPr>
        <w:t xml:space="preserve">  </w:t>
      </w:r>
      <w:r>
        <w:rPr>
          <w:rFonts w:hint="eastAsia" w:eastAsia="黑体"/>
          <w:b/>
          <w:color w:val="auto"/>
          <w:szCs w:val="21"/>
          <w:lang w:val="en-US" w:eastAsia="zh-CN"/>
        </w:rPr>
        <w:t>宜都水道范围内2008~2015年水上交通事故统计和成因表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72"/>
        <w:gridCol w:w="1138"/>
        <w:gridCol w:w="704"/>
        <w:gridCol w:w="1318"/>
        <w:gridCol w:w="48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序号</w:t>
            </w:r>
          </w:p>
        </w:tc>
        <w:tc>
          <w:tcPr>
            <w:tcW w:w="668"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事故事件</w:t>
            </w:r>
          </w:p>
        </w:tc>
        <w:tc>
          <w:tcPr>
            <w:tcW w:w="41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事故地点</w:t>
            </w:r>
          </w:p>
        </w:tc>
        <w:tc>
          <w:tcPr>
            <w:tcW w:w="773"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事故双方名称</w:t>
            </w:r>
          </w:p>
        </w:tc>
        <w:tc>
          <w:tcPr>
            <w:tcW w:w="2867" w:type="pct"/>
            <w:tcBorders>
              <w:top w:val="single" w:color="auto" w:sz="12" w:space="0"/>
              <w:bottom w:val="single" w:color="auto" w:sz="6"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事故原因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1</w:t>
            </w:r>
          </w:p>
        </w:tc>
        <w:tc>
          <w:tcPr>
            <w:tcW w:w="668" w:type="pct"/>
            <w:tcBorders>
              <w:top w:val="single" w:color="auto" w:sz="12" w:space="0"/>
            </w:tcBorders>
            <w:noWrap w:val="0"/>
            <w:vAlign w:val="center"/>
          </w:tcPr>
          <w:p>
            <w:pPr>
              <w:widowControl w:val="0"/>
              <w:adjustRightInd w:val="0"/>
              <w:snapToGrid w:val="0"/>
              <w:jc w:val="center"/>
              <w:rPr>
                <w:rFonts w:hint="eastAsia" w:eastAsia="宋体"/>
                <w:color w:val="auto"/>
                <w:kern w:val="0"/>
                <w:sz w:val="20"/>
                <w:lang w:val="en-US" w:eastAsia="zh-CN"/>
              </w:rPr>
            </w:pPr>
            <w:r>
              <w:rPr>
                <w:rFonts w:hint="eastAsia" w:eastAsia="宋体"/>
                <w:color w:val="auto"/>
                <w:kern w:val="0"/>
                <w:sz w:val="20"/>
                <w:lang w:val="en-US" w:eastAsia="zh-CN"/>
              </w:rPr>
              <w:t>2008年10月18日</w:t>
            </w:r>
          </w:p>
        </w:tc>
        <w:tc>
          <w:tcPr>
            <w:tcW w:w="413" w:type="pct"/>
            <w:tcBorders>
              <w:top w:val="single" w:color="auto" w:sz="12" w:space="0"/>
            </w:tcBorders>
            <w:noWrap w:val="0"/>
            <w:vAlign w:val="center"/>
          </w:tcPr>
          <w:p>
            <w:pPr>
              <w:widowControl w:val="0"/>
              <w:adjustRightInd w:val="0"/>
              <w:snapToGrid w:val="0"/>
              <w:jc w:val="center"/>
              <w:rPr>
                <w:rFonts w:hint="default" w:eastAsia="宋体"/>
                <w:color w:val="auto"/>
                <w:sz w:val="20"/>
                <w:lang w:val="en-US" w:eastAsia="zh-CN"/>
              </w:rPr>
            </w:pPr>
            <w:r>
              <w:rPr>
                <w:rFonts w:hint="default" w:eastAsia="宋体"/>
                <w:color w:val="auto"/>
                <w:sz w:val="20"/>
                <w:lang w:val="en-US" w:eastAsia="zh-CN"/>
              </w:rPr>
              <w:t>宜都水道</w:t>
            </w:r>
          </w:p>
        </w:tc>
        <w:tc>
          <w:tcPr>
            <w:tcW w:w="773" w:type="pct"/>
            <w:tcBorders>
              <w:top w:val="single" w:color="auto" w:sz="12" w:space="0"/>
            </w:tcBorders>
            <w:noWrap w:val="0"/>
            <w:vAlign w:val="center"/>
          </w:tcPr>
          <w:p>
            <w:pPr>
              <w:widowControl w:val="0"/>
              <w:adjustRightInd w:val="0"/>
              <w:snapToGrid w:val="0"/>
              <w:jc w:val="center"/>
              <w:rPr>
                <w:rFonts w:hint="default" w:ascii="Times New Roman" w:hAnsi="Times New Roman" w:eastAsia="宋体"/>
                <w:color w:val="auto"/>
                <w:kern w:val="0"/>
                <w:sz w:val="20"/>
                <w:lang w:val="en-US" w:eastAsia="zh-CN"/>
              </w:rPr>
            </w:pPr>
            <w:r>
              <w:rPr>
                <w:rFonts w:hint="default" w:ascii="Times New Roman" w:hAnsi="Times New Roman" w:eastAsia="宋体"/>
                <w:color w:val="auto"/>
                <w:kern w:val="0"/>
                <w:sz w:val="20"/>
                <w:lang w:val="en-US" w:eastAsia="zh-CN"/>
              </w:rPr>
              <w:t>航海618</w:t>
            </w:r>
          </w:p>
        </w:tc>
        <w:tc>
          <w:tcPr>
            <w:tcW w:w="2867" w:type="pct"/>
            <w:tcBorders>
              <w:top w:val="single" w:color="auto" w:sz="12" w:space="0"/>
            </w:tcBorders>
            <w:noWrap w:val="0"/>
            <w:vAlign w:val="center"/>
          </w:tcPr>
          <w:p>
            <w:pPr>
              <w:widowControl w:val="0"/>
              <w:adjustRightInd w:val="0"/>
              <w:snapToGrid w:val="0"/>
              <w:jc w:val="center"/>
              <w:rPr>
                <w:rFonts w:hint="eastAsia" w:eastAsia="宋体"/>
                <w:color w:val="auto"/>
                <w:sz w:val="20"/>
                <w:lang w:val="en-US" w:eastAsia="zh-CN"/>
              </w:rPr>
            </w:pPr>
            <w:r>
              <w:rPr>
                <w:rFonts w:hint="eastAsia" w:eastAsia="宋体"/>
                <w:color w:val="auto"/>
                <w:sz w:val="20"/>
                <w:lang w:val="en-US" w:eastAsia="zh-CN"/>
              </w:rPr>
              <w:t>荆州渝海航运有限公司所属“航海618”（硫精砂600吨，吃水2.3米，临湘至巫山，船员8人）上行至云池缓流1号红浮（长江中游里程595公里）航道外水域搁浅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2</w:t>
            </w:r>
          </w:p>
        </w:tc>
        <w:tc>
          <w:tcPr>
            <w:tcW w:w="668" w:type="pct"/>
            <w:noWrap w:val="0"/>
            <w:vAlign w:val="center"/>
          </w:tcPr>
          <w:p>
            <w:pPr>
              <w:widowControl w:val="0"/>
              <w:adjustRightInd w:val="0"/>
              <w:snapToGrid w:val="0"/>
              <w:jc w:val="center"/>
              <w:rPr>
                <w:rFonts w:hint="eastAsia" w:ascii="Times New Roman" w:hAnsi="Times New Roman" w:eastAsia="宋体"/>
                <w:color w:val="auto"/>
                <w:sz w:val="20"/>
                <w:lang w:val="en-US" w:eastAsia="zh-CN"/>
              </w:rPr>
            </w:pPr>
            <w:r>
              <w:rPr>
                <w:rFonts w:hint="eastAsia" w:ascii="Times New Roman" w:hAnsi="Times New Roman" w:eastAsia="宋体"/>
                <w:color w:val="auto"/>
                <w:sz w:val="20"/>
                <w:lang w:val="en-US" w:eastAsia="zh-CN"/>
              </w:rPr>
              <w:t>2009年2月10日</w:t>
            </w:r>
          </w:p>
        </w:tc>
        <w:tc>
          <w:tcPr>
            <w:tcW w:w="413" w:type="pct"/>
            <w:noWrap w:val="0"/>
            <w:vAlign w:val="center"/>
          </w:tcPr>
          <w:p>
            <w:pPr>
              <w:widowControl w:val="0"/>
              <w:adjustRightInd w:val="0"/>
              <w:snapToGrid w:val="0"/>
              <w:jc w:val="center"/>
              <w:rPr>
                <w:rFonts w:hint="default" w:eastAsia="宋体"/>
                <w:color w:val="auto"/>
                <w:sz w:val="20"/>
                <w:lang w:val="en-US" w:eastAsia="zh-CN"/>
              </w:rPr>
            </w:pPr>
            <w:r>
              <w:rPr>
                <w:rFonts w:hint="default" w:eastAsia="宋体"/>
                <w:color w:val="auto"/>
                <w:sz w:val="20"/>
                <w:lang w:val="en-US" w:eastAsia="zh-CN"/>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巨轮818</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“巨轮818”（载黄沙1200吨，由城陵矶至宜昌磨盘港，船员9人）在宜都水道沿南岸（长江中游里程593公里）上行，因视线不良，与岸边一小型农用船（空载，无人）发生碰擦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3</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0"/>
                <w:sz w:val="20"/>
                <w:lang w:val="en-US" w:eastAsia="zh-CN" w:bidi="ar-SA"/>
              </w:rPr>
            </w:pPr>
            <w:r>
              <w:rPr>
                <w:rFonts w:hint="eastAsia" w:ascii="Times New Roman" w:hAnsi="Times New Roman" w:eastAsia="宋体" w:cs="Times New Roman"/>
                <w:color w:val="auto"/>
                <w:kern w:val="0"/>
                <w:sz w:val="20"/>
                <w:lang w:val="en-US" w:eastAsia="zh-CN" w:bidi="ar-SA"/>
              </w:rPr>
              <w:t>2010年1月17日</w:t>
            </w:r>
          </w:p>
        </w:tc>
        <w:tc>
          <w:tcPr>
            <w:tcW w:w="413" w:type="pct"/>
            <w:noWrap w:val="0"/>
            <w:vAlign w:val="center"/>
          </w:tcPr>
          <w:p>
            <w:pPr>
              <w:widowControl w:val="0"/>
              <w:adjustRightInd w:val="0"/>
              <w:snapToGrid w:val="0"/>
              <w:jc w:val="center"/>
              <w:rPr>
                <w:rFonts w:hint="default" w:eastAsia="宋体"/>
                <w:color w:val="auto"/>
                <w:sz w:val="20"/>
                <w:lang w:val="en-US" w:eastAsia="zh-CN"/>
              </w:rPr>
            </w:pPr>
            <w:r>
              <w:rPr>
                <w:rFonts w:hint="default" w:eastAsia="宋体"/>
                <w:color w:val="auto"/>
                <w:sz w:val="20"/>
                <w:lang w:val="en-US" w:eastAsia="zh-CN"/>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联谊6号</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“联谊6号”（载柴油500吨）上行至云池缓流1号红浮水域（长江中游里程596公里），与一下行重载货船发生碰撞，“联谊6号”船首尖舱焊缝渗漏进水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4</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2010年2月28日</w:t>
            </w:r>
          </w:p>
        </w:tc>
        <w:tc>
          <w:tcPr>
            <w:tcW w:w="413" w:type="pct"/>
            <w:noWrap w:val="0"/>
            <w:vAlign w:val="center"/>
          </w:tcPr>
          <w:p>
            <w:pPr>
              <w:widowControl w:val="0"/>
              <w:adjustRightInd w:val="0"/>
              <w:snapToGrid w:val="0"/>
              <w:jc w:val="center"/>
              <w:rPr>
                <w:rFonts w:hint="default" w:eastAsia="宋体"/>
                <w:color w:val="auto"/>
                <w:sz w:val="20"/>
                <w:lang w:val="en-US" w:eastAsia="zh-CN"/>
              </w:rPr>
            </w:pPr>
            <w:r>
              <w:rPr>
                <w:rFonts w:hint="default" w:eastAsia="宋体"/>
                <w:color w:val="auto"/>
                <w:sz w:val="20"/>
                <w:lang w:val="en-US" w:eastAsia="zh-CN"/>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夔泰618</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“夔泰618”（载煤1500吨，吃水2.8米）下行至云池水道缓流1号红浮水域（长江中游里程594），在避让它船过程中在航道外搁浅，左舷中底部有五公分裂缝并渗水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default" w:eastAsia="宋体"/>
                <w:color w:val="auto"/>
                <w:sz w:val="20"/>
                <w:lang w:val="en-US" w:eastAsia="zh-CN"/>
              </w:rPr>
            </w:pPr>
            <w:r>
              <w:rPr>
                <w:rFonts w:hint="eastAsia"/>
                <w:color w:val="auto"/>
                <w:sz w:val="20"/>
                <w:lang w:val="en-US" w:eastAsia="zh-CN"/>
              </w:rPr>
              <w:t>5</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2011年1月2日</w:t>
            </w:r>
          </w:p>
        </w:tc>
        <w:tc>
          <w:tcPr>
            <w:tcW w:w="41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“鑫溢3号”拖带“秭归驳4009”和“豫信货0679”</w:t>
            </w:r>
          </w:p>
        </w:tc>
        <w:tc>
          <w:tcPr>
            <w:tcW w:w="2867"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“鑫溢3号”拖带“秭归驳4009”下行至宜都水道桃花石水域，与“豫信货0679”发生碰撞，造成“秭归驳4009”右舷中部破损进水，后抽水堵漏成功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eastAsia" w:eastAsia="宋体"/>
                <w:color w:val="auto"/>
                <w:sz w:val="20"/>
                <w:lang w:val="en-US" w:eastAsia="zh-CN"/>
              </w:rPr>
            </w:pPr>
            <w:r>
              <w:rPr>
                <w:rFonts w:hint="eastAsia"/>
                <w:color w:val="auto"/>
                <w:sz w:val="20"/>
                <w:lang w:val="en-US" w:eastAsia="zh-CN"/>
              </w:rPr>
              <w:t>6</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2011年1月15日</w:t>
            </w:r>
          </w:p>
        </w:tc>
        <w:tc>
          <w:tcPr>
            <w:tcW w:w="41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长发518”</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“长发518”轮在宜都东阳光码头作业时，1人落水死亡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default"/>
                <w:color w:val="auto"/>
                <w:sz w:val="20"/>
                <w:lang w:val="en-US" w:eastAsia="zh-CN"/>
              </w:rPr>
            </w:pPr>
            <w:r>
              <w:rPr>
                <w:rFonts w:hint="eastAsia"/>
                <w:color w:val="auto"/>
                <w:sz w:val="20"/>
                <w:lang w:val="en-US" w:eastAsia="zh-CN"/>
              </w:rPr>
              <w:t>7</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2011年5月8日</w:t>
            </w:r>
          </w:p>
        </w:tc>
        <w:tc>
          <w:tcPr>
            <w:tcW w:w="41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“远东901”和“天成7号”</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远东901”（载标箱156箱）下行至宜都孙家河水域（长江中游里程586公里），与上行的“天成7号”（载铁矿1300吨）发生碰撞，造成“远东901”船尾右舷舷板部分轻微变形；“天成7号”船首右舷局部变形，无人员伤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77" w:type="pct"/>
            <w:noWrap w:val="0"/>
            <w:vAlign w:val="center"/>
          </w:tcPr>
          <w:p>
            <w:pPr>
              <w:widowControl w:val="0"/>
              <w:adjustRightInd w:val="0"/>
              <w:snapToGrid w:val="0"/>
              <w:jc w:val="center"/>
              <w:rPr>
                <w:rFonts w:hint="default"/>
                <w:color w:val="auto"/>
                <w:sz w:val="20"/>
                <w:lang w:val="en-US" w:eastAsia="zh-CN"/>
              </w:rPr>
            </w:pPr>
            <w:r>
              <w:rPr>
                <w:rFonts w:hint="eastAsia"/>
                <w:color w:val="auto"/>
                <w:sz w:val="20"/>
                <w:lang w:val="en-US" w:eastAsia="zh-CN"/>
              </w:rPr>
              <w:t>8</w:t>
            </w:r>
          </w:p>
        </w:tc>
        <w:tc>
          <w:tcPr>
            <w:tcW w:w="668" w:type="pct"/>
            <w:noWrap w:val="0"/>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2011年6月28日</w:t>
            </w:r>
          </w:p>
        </w:tc>
        <w:tc>
          <w:tcPr>
            <w:tcW w:w="41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宜都水道</w:t>
            </w:r>
          </w:p>
        </w:tc>
        <w:tc>
          <w:tcPr>
            <w:tcW w:w="773"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“万港1017”拖带“万港驳1009”和“恒发688”</w:t>
            </w:r>
          </w:p>
        </w:tc>
        <w:tc>
          <w:tcPr>
            <w:tcW w:w="2867" w:type="pct"/>
            <w:noWrap w:val="0"/>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default" w:ascii="Times New Roman" w:hAnsi="Times New Roman" w:eastAsia="宋体" w:cs="Times New Roman"/>
                <w:color w:val="auto"/>
                <w:kern w:val="2"/>
                <w:sz w:val="20"/>
                <w:lang w:val="en-US" w:eastAsia="zh-CN" w:bidi="ar-SA"/>
              </w:rPr>
              <w:t>重庆万达投资有限公司所属“万港1017”拖带“万港驳1009”（载煤7000吨）下行至宜都水道龙窝水域（长江中游580公里），与上行的宜昌中兴船务有限公司所属“恒发688”（载锂矿2800吨）发生碰撞，“万港驳1009”艏舱破损进水；“恒发688”左舷后货舱渗漏进水，无人员伤亡</w:t>
            </w:r>
          </w:p>
        </w:tc>
      </w:tr>
    </w:tbl>
    <w:p>
      <w:pPr>
        <w:widowControl w:val="0"/>
        <w:spacing w:line="360" w:lineRule="auto"/>
        <w:ind w:firstLine="480" w:firstLineChars="200"/>
        <w:rPr>
          <w:rFonts w:hint="eastAsia" w:eastAsia="仿宋_GB2312"/>
          <w:color w:val="auto"/>
          <w:sz w:val="24"/>
        </w:rPr>
      </w:pPr>
      <w:r>
        <w:rPr>
          <w:rFonts w:hint="eastAsia" w:eastAsia="仿宋_GB2312"/>
          <w:color w:val="auto"/>
          <w:sz w:val="24"/>
        </w:rPr>
        <w:t>③船舶溢油事故的风险概率估算</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a.</w:t>
      </w:r>
      <w:r>
        <w:rPr>
          <w:rFonts w:hint="eastAsia" w:eastAsia="仿宋_GB2312"/>
          <w:color w:val="auto"/>
          <w:sz w:val="24"/>
        </w:rPr>
        <w:t>施工期</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分析本河段的既有事故统计资料，2008年～2017年宜都水道内共发生8起小事故，但均未造成船舶燃料油泄露。根据已建同类码头施工期船舶事故统计资料，由于施工期采取了目前较为先进的施工工艺以及长江海事局、航道局等管理部门通力配合，2年施工期间均未发生施工船舶溢油事故，因此类比分析本工程施工期间发生船舶溢油的概率低。</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b.</w:t>
      </w:r>
      <w:r>
        <w:rPr>
          <w:rFonts w:hint="eastAsia" w:eastAsia="仿宋_GB2312"/>
          <w:color w:val="auto"/>
          <w:sz w:val="24"/>
          <w:lang w:eastAsia="zh-CN"/>
        </w:rPr>
        <w:t>运营期</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rPr>
        <w:t>油船、化学品船是长江发生重大船舶污染事故的主要船舶。根据宜昌市海事局事故统计资料，近年来水上事故得到了有效的控制。由于船舶发生碰撞、搁浅、船体破损等事故的概率一般都非常小，属于小概率事件，因此船舶事故概率服从离散型二项概率分布，则事故风险概率为</w:t>
      </w:r>
      <w:r>
        <w:rPr>
          <w:rFonts w:hint="eastAsia" w:eastAsia="仿宋_GB2312"/>
          <w:color w:val="auto"/>
          <w:sz w:val="24"/>
          <w:lang w:eastAsia="zh-CN"/>
        </w:rPr>
        <w:t>：</w:t>
      </w:r>
    </w:p>
    <w:p>
      <w:pPr>
        <w:widowControl w:val="0"/>
        <w:spacing w:line="360" w:lineRule="auto"/>
        <w:jc w:val="center"/>
        <w:rPr>
          <w:rFonts w:hint="eastAsia" w:eastAsia="仿宋_GB2312"/>
          <w:color w:val="auto"/>
          <w:sz w:val="24"/>
          <w:lang w:eastAsia="zh-CN"/>
        </w:rPr>
      </w:pPr>
      <w:r>
        <w:rPr>
          <w:rFonts w:hint="eastAsia" w:eastAsia="仿宋_GB2312"/>
          <w:color w:val="auto"/>
          <w:position w:val="-12"/>
          <w:sz w:val="24"/>
          <w:lang w:eastAsia="zh-CN"/>
        </w:rPr>
        <w:object>
          <v:shape id="_x0000_i1112" o:spt="75" type="#_x0000_t75" style="height:19pt;width:89pt;" o:ole="t" filled="f" o:preferrelative="t" stroked="f" coordsize="21600,21600">
            <v:path/>
            <v:fill on="f" focussize="0,0"/>
            <v:stroke on="f"/>
            <v:imagedata r:id="rId244" o:title=""/>
            <o:lock v:ext="edit" aspectratio="t"/>
            <w10:wrap type="none"/>
            <w10:anchorlock/>
          </v:shape>
          <o:OLEObject Type="Embed" ProgID="Equation.KSEE3" ShapeID="_x0000_i1112" DrawAspect="Content" ObjectID="_1468075812" r:id="rId243">
            <o:LockedField>false</o:LockedField>
          </o:OLEObject>
        </w:objec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式中，p：为每艘船舶发生事故的概率，q=1-p为每艘船舶不发生事故的概率；n：船舶数，k：n艘次船发生事故的次数，</w:t>
      </w:r>
      <w:r>
        <w:rPr>
          <w:rFonts w:hint="eastAsia" w:eastAsia="仿宋_GB2312"/>
          <w:color w:val="auto"/>
          <w:position w:val="-12"/>
          <w:sz w:val="24"/>
        </w:rPr>
        <w:object>
          <v:shape id="_x0000_i1113" o:spt="75" type="#_x0000_t75" style="height:19pt;width:17pt;" o:ole="t" filled="f" o:preferrelative="t" stroked="f" coordsize="21600,21600">
            <v:path/>
            <v:fill on="f" focussize="0,0"/>
            <v:stroke on="f"/>
            <v:imagedata r:id="rId246" o:title=""/>
            <o:lock v:ext="edit" aspectratio="t"/>
            <w10:wrap type="none"/>
            <w10:anchorlock/>
          </v:shape>
          <o:OLEObject Type="Embed" ProgID="Equation.KSEE3" ShapeID="_x0000_i1113" DrawAspect="Content" ObjectID="_1468075813" r:id="rId245">
            <o:LockedField>false</o:LockedField>
          </o:OLEObject>
        </w:object>
      </w:r>
      <w:r>
        <w:rPr>
          <w:rFonts w:hint="eastAsia" w:eastAsia="仿宋_GB2312"/>
          <w:color w:val="auto"/>
          <w:sz w:val="24"/>
        </w:rPr>
        <w:t>：从n艘船舶数中发生事故k次数的组合数，则为：</w:t>
      </w:r>
    </w:p>
    <w:p>
      <w:pPr>
        <w:widowControl w:val="0"/>
        <w:spacing w:line="360" w:lineRule="auto"/>
        <w:jc w:val="center"/>
        <w:rPr>
          <w:rFonts w:hint="eastAsia" w:eastAsia="仿宋_GB2312"/>
          <w:color w:val="auto"/>
          <w:sz w:val="24"/>
          <w:lang w:eastAsia="zh-CN"/>
        </w:rPr>
      </w:pPr>
      <w:r>
        <w:rPr>
          <w:rFonts w:hint="default" w:ascii="Times New Roman" w:hAnsi="Times New Roman" w:eastAsia="仿宋_GB2312" w:cs="Times New Roman"/>
          <w:color w:val="auto"/>
          <w:position w:val="-24"/>
          <w:sz w:val="24"/>
          <w:lang w:eastAsia="zh-CN"/>
        </w:rPr>
        <w:object>
          <v:shape id="_x0000_i1114" o:spt="75" type="#_x0000_t75" style="height:31pt;width:100pt;" o:ole="t" filled="f" o:preferrelative="t" stroked="f" coordsize="21600,21600">
            <v:path/>
            <v:fill on="f" focussize="0,0"/>
            <v:stroke on="f"/>
            <v:imagedata r:id="rId248" o:title=""/>
            <o:lock v:ext="edit" aspectratio="t"/>
            <w10:wrap type="none"/>
            <w10:anchorlock/>
          </v:shape>
          <o:OLEObject Type="Embed" ProgID="Equation.KSEE3" ShapeID="_x0000_i1114" DrawAspect="Content" ObjectID="_1468075814" r:id="rId247">
            <o:LockedField>false</o:LockedField>
          </o:OLEObject>
        </w:objec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根据长江海事局统计数据，宜昌港通行船舶数量约为334艘/d，为考虑到将来一定的增长，假定未来L年中有200000艘次船舶通过，研究不发生重大船舶溢油事故的置信度为95％，事故概率为：</w:t>
      </w:r>
    </w:p>
    <w:p>
      <w:pPr>
        <w:widowControl w:val="0"/>
        <w:spacing w:line="360" w:lineRule="auto"/>
        <w:jc w:val="center"/>
        <w:rPr>
          <w:rFonts w:hint="eastAsia" w:eastAsia="仿宋_GB2312"/>
          <w:color w:val="auto"/>
          <w:sz w:val="24"/>
          <w:lang w:eastAsia="zh-CN"/>
        </w:rPr>
      </w:pPr>
      <w:r>
        <w:rPr>
          <w:rFonts w:hint="eastAsia" w:eastAsia="仿宋_GB2312"/>
          <w:color w:val="auto"/>
          <w:position w:val="-28"/>
          <w:sz w:val="24"/>
          <w:lang w:eastAsia="zh-CN"/>
        </w:rPr>
        <w:object>
          <v:shape id="_x0000_i1115" o:spt="75" type="#_x0000_t75" style="height:34pt;width:180pt;" o:ole="t" filled="f" o:preferrelative="t" stroked="f" coordsize="21600,21600">
            <v:path/>
            <v:fill on="f" focussize="0,0"/>
            <v:stroke on="f"/>
            <v:imagedata r:id="rId250" o:title=""/>
            <o:lock v:ext="edit" aspectratio="t"/>
            <w10:wrap type="none"/>
            <w10:anchorlock/>
          </v:shape>
          <o:OLEObject Type="Embed" ProgID="Equation.KSEE3" ShapeID="_x0000_i1115" DrawAspect="Content" ObjectID="_1468075815" r:id="rId249">
            <o:LockedField>false</o:LockedField>
          </o:OLEObject>
        </w:objec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根据上式可求出未来L年的P值为1.5×10</w:t>
      </w:r>
      <w:r>
        <w:rPr>
          <w:rFonts w:hint="eastAsia" w:eastAsia="仿宋_GB2312"/>
          <w:color w:val="auto"/>
          <w:sz w:val="24"/>
          <w:vertAlign w:val="superscript"/>
        </w:rPr>
        <w:t>-5</w:t>
      </w:r>
      <w:r>
        <w:rPr>
          <w:rFonts w:hint="eastAsia" w:eastAsia="仿宋_GB2312"/>
          <w:color w:val="auto"/>
          <w:sz w:val="24"/>
        </w:rPr>
        <w:t>，作为将来几年库区船舶重大事故概率的基础值。</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我国内河发生船舶溢油事故主要原因为碰撞和搁浅、船体结构破损等，并参照有关文献资料，计算本项目发生溢油事故的风险概率主要为事故中占大比例的船舶碰撞、搁浅和船体结构破损溢油风险率三者之和，即：</w:t>
      </w:r>
    </w:p>
    <w:p>
      <w:pPr>
        <w:widowControl w:val="0"/>
        <w:spacing w:line="360" w:lineRule="auto"/>
        <w:jc w:val="center"/>
        <w:rPr>
          <w:rFonts w:hint="eastAsia" w:eastAsia="仿宋_GB2312"/>
          <w:color w:val="auto"/>
          <w:sz w:val="24"/>
          <w:lang w:eastAsia="zh-CN"/>
        </w:rPr>
      </w:pPr>
      <w:r>
        <w:rPr>
          <w:rFonts w:hint="eastAsia" w:eastAsia="仿宋_GB2312"/>
          <w:color w:val="auto"/>
          <w:position w:val="-44"/>
          <w:sz w:val="24"/>
          <w:lang w:eastAsia="zh-CN"/>
        </w:rPr>
        <w:object>
          <v:shape id="_x0000_i1116" o:spt="75" type="#_x0000_t75" style="height:49.95pt;width:353pt;" o:ole="t" filled="f" o:preferrelative="t" stroked="f" coordsize="21600,21600">
            <v:path/>
            <v:fill on="f" focussize="0,0"/>
            <v:stroke on="f"/>
            <v:imagedata r:id="rId252" o:title=""/>
            <o:lock v:ext="edit" aspectratio="t"/>
            <w10:wrap type="none"/>
            <w10:anchorlock/>
          </v:shape>
          <o:OLEObject Type="Embed" ProgID="Equation.KSEE3" ShapeID="_x0000_i1116" DrawAspect="Content" ObjectID="_1468075816" r:id="rId251">
            <o:LockedField>false</o:LockedField>
          </o:OLEObject>
        </w:object>
      </w:r>
    </w:p>
    <w:p>
      <w:pPr>
        <w:widowControl w:val="0"/>
        <w:spacing w:line="360" w:lineRule="auto"/>
        <w:ind w:firstLine="480" w:firstLineChars="200"/>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式中：P（溢油）：长江溢油发生概率；R：航行中油船、货船所占比例（取8％）；P：船舶发生事故的基础值。</w:t>
      </w:r>
    </w:p>
    <w:p>
      <w:pPr>
        <w:widowControl w:val="0"/>
        <w:spacing w:line="360" w:lineRule="auto"/>
        <w:ind w:firstLine="480" w:firstLineChars="200"/>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根据上式进行计算本河段将来L年中船舶发生事故溢油的风险概率P（溢油）为0.11×10</w:t>
      </w:r>
      <w:r>
        <w:rPr>
          <w:rFonts w:hint="default" w:ascii="Times New Roman" w:hAnsi="Times New Roman" w:eastAsia="仿宋_GB2312" w:cs="Times New Roman"/>
          <w:color w:val="auto"/>
          <w:sz w:val="24"/>
          <w:vertAlign w:val="superscript"/>
        </w:rPr>
        <w:t>-5</w:t>
      </w:r>
      <w:r>
        <w:rPr>
          <w:rFonts w:hint="default" w:ascii="Times New Roman" w:hAnsi="Times New Roman" w:eastAsia="仿宋_GB2312" w:cs="Times New Roman"/>
          <w:color w:val="auto"/>
          <w:sz w:val="24"/>
        </w:rPr>
        <w:t>/L。</w:t>
      </w:r>
    </w:p>
    <w:p>
      <w:pPr>
        <w:widowControl w:val="0"/>
        <w:spacing w:line="360" w:lineRule="auto"/>
        <w:ind w:firstLine="480" w:firstLineChars="200"/>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假设该河段未来L年中有n＝200000·L艘次船舶（含船舶进出）通过，由此计算本河段溢油的风险概率应为：8％×200000×S×0.11×10</w:t>
      </w:r>
      <w:r>
        <w:rPr>
          <w:rFonts w:hint="default" w:ascii="Times New Roman" w:hAnsi="Times New Roman" w:eastAsia="仿宋_GB2312" w:cs="Times New Roman"/>
          <w:color w:val="auto"/>
          <w:sz w:val="24"/>
          <w:vertAlign w:val="superscript"/>
        </w:rPr>
        <w:t>-5</w:t>
      </w:r>
      <w:r>
        <w:rPr>
          <w:rFonts w:hint="default" w:ascii="Times New Roman" w:hAnsi="Times New Roman" w:eastAsia="仿宋_GB2312" w:cs="Times New Roman"/>
          <w:color w:val="auto"/>
          <w:sz w:val="24"/>
        </w:rPr>
        <w:t>/S≈0.018次/年。</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469" w:name="_Toc11884"/>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lang w:val="en-US" w:eastAsia="zh-CN"/>
        </w:rPr>
        <w:t>6事故风险源强分析</w:t>
      </w:r>
      <w:bookmarkEnd w:id="469"/>
    </w:p>
    <w:p>
      <w:pPr>
        <w:widowControl w:val="0"/>
        <w:spacing w:line="360" w:lineRule="auto"/>
        <w:ind w:firstLine="480" w:firstLineChars="200"/>
        <w:rPr>
          <w:rFonts w:hint="eastAsia" w:eastAsia="仿宋_GB2312"/>
          <w:color w:val="auto"/>
          <w:sz w:val="24"/>
        </w:rPr>
      </w:pPr>
      <w:r>
        <w:rPr>
          <w:rFonts w:hint="eastAsia" w:eastAsia="仿宋_GB2312"/>
          <w:color w:val="auto"/>
          <w:sz w:val="24"/>
        </w:rPr>
        <w:t>最大可信水上溢油事故：在所有预测的概率不为零的事故中，溢油量最大的水上溢油事故。根据《水上溢油环境风险评估技术导则》（JT/T1143-2017），新建水运工程建设项目的最大可信水上溢油事故溢油量，按照设计代表船型所载货油或燃料油全部泄漏的数量确定；已运营的水运工程项目按照实际航行和作业船舶中载油量最大的船型确定。</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可能最大水上溢油事故：在设定条件下，可能发生的溢油量最大的水上溢油事故。根据《水上溢油环境风险评估技术导则》（JT/T1143-2017），新建水运工程建设项目的可能最大水上溢油事故溢油量，按照设计代表船型的１个货油边舱或燃料油边舱的容积确定；已运营的水运工程项目按照实际航行和作业船舶中载油量最大船型的1个货油边舱或燃料油边舱的容积确定。</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根据《水上溢油环境风险评估技术导则》（JT/T 1143-2017），确定本工程运营期船舶在进港靠泊及装卸作业期间可能发生碰撞造成的溢油事故，情景模拟预测取可能最大水上溢油事故的溢油量约</w:t>
      </w:r>
      <w:r>
        <w:rPr>
          <w:rFonts w:hint="eastAsia" w:eastAsia="仿宋_GB2312"/>
          <w:color w:val="auto"/>
          <w:sz w:val="24"/>
          <w:lang w:val="en-US" w:eastAsia="zh-CN"/>
        </w:rPr>
        <w:t>52</w:t>
      </w:r>
      <w:r>
        <w:rPr>
          <w:rFonts w:hint="eastAsia" w:eastAsia="仿宋_GB2312"/>
          <w:color w:val="auto"/>
          <w:sz w:val="24"/>
        </w:rPr>
        <w:t>t/次</w:t>
      </w:r>
      <w:r>
        <w:rPr>
          <w:rFonts w:hint="eastAsia" w:eastAsia="仿宋_GB2312"/>
          <w:color w:val="auto"/>
          <w:sz w:val="24"/>
          <w:lang w:eastAsia="zh-CN"/>
        </w:rPr>
        <w:t>。</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470" w:name="_Toc14975"/>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lang w:val="en-US" w:eastAsia="zh-CN"/>
        </w:rPr>
        <w:t>7事故风险准则确定</w:t>
      </w:r>
      <w:bookmarkEnd w:id="470"/>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本项目采用风险矩阵法确定水上溢油事故风险准则，风险矩阵由事故概率和危害后果组成。</w:t>
      </w:r>
    </w:p>
    <w:p>
      <w:pPr>
        <w:pStyle w:val="9"/>
        <w:widowControl w:val="0"/>
        <w:spacing w:before="120" w:after="120" w:line="360" w:lineRule="auto"/>
        <w:rPr>
          <w:rFonts w:hint="eastAsia" w:eastAsia="黑体"/>
          <w:b w:val="0"/>
          <w:color w:val="auto"/>
          <w:sz w:val="24"/>
          <w:lang w:val="en-US" w:eastAsia="zh-CN"/>
        </w:rPr>
      </w:pPr>
      <w:bookmarkStart w:id="471" w:name="_Toc3041"/>
      <w:r>
        <w:rPr>
          <w:rFonts w:hint="eastAsia" w:eastAsia="黑体"/>
          <w:b w:val="0"/>
          <w:color w:val="auto"/>
          <w:sz w:val="24"/>
          <w:lang w:val="en-US" w:eastAsia="zh-CN"/>
        </w:rPr>
        <w:t>7.7.1水上溢油事故概率等级</w:t>
      </w:r>
      <w:bookmarkEnd w:id="471"/>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水上溢油事故概率等级划分详见下表，本项目水上溢油事故概率等级为</w:t>
      </w:r>
      <w:r>
        <w:rPr>
          <w:rFonts w:hint="eastAsia" w:eastAsia="仿宋_GB2312"/>
          <w:color w:val="auto"/>
          <w:sz w:val="24"/>
          <w:lang w:val="en-US" w:eastAsia="zh-CN"/>
        </w:rPr>
        <w:t>较低</w:t>
      </w:r>
      <w:r>
        <w:rPr>
          <w:rFonts w:hint="eastAsia" w:eastAsia="仿宋_GB2312"/>
          <w:color w:val="auto"/>
          <w:sz w:val="24"/>
          <w:lang w:eastAsia="zh-CN"/>
        </w:rPr>
        <w:t>。</w:t>
      </w:r>
    </w:p>
    <w:p>
      <w:pPr>
        <w:widowControl w:val="0"/>
        <w:spacing w:line="360" w:lineRule="auto"/>
        <w:jc w:val="center"/>
        <w:rPr>
          <w:rFonts w:eastAsia="黑体"/>
          <w:b/>
          <w:color w:val="auto"/>
          <w:szCs w:val="21"/>
        </w:rPr>
      </w:pPr>
      <w:r>
        <w:rPr>
          <w:rFonts w:hint="eastAsia" w:eastAsia="黑体"/>
          <w:b/>
          <w:color w:val="auto"/>
          <w:szCs w:val="21"/>
        </w:rPr>
        <w:t>表</w:t>
      </w:r>
      <w:r>
        <w:rPr>
          <w:rFonts w:hint="eastAsia" w:eastAsia="黑体"/>
          <w:b/>
          <w:color w:val="auto"/>
          <w:szCs w:val="21"/>
          <w:lang w:val="en-US" w:eastAsia="zh-CN"/>
        </w:rPr>
        <w:t>7.7</w:t>
      </w:r>
      <w:r>
        <w:rPr>
          <w:rFonts w:hint="eastAsia" w:eastAsia="黑体"/>
          <w:b/>
          <w:color w:val="auto"/>
          <w:szCs w:val="21"/>
        </w:rPr>
        <w:t>-1  水上溢油事故概率等级划分</w:t>
      </w:r>
    </w:p>
    <w:tbl>
      <w:tblPr>
        <w:tblStyle w:val="92"/>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951"/>
        <w:gridCol w:w="734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tblHeader/>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等级</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事故概率/发生一次事故的频率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很高</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≥1／≤1个工作年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较高</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0.1~1／（1~10）个工作年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中等</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0.02~0.1／（10~50）个工作年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较低</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0.01~0.02／（50~100）个工作年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很低</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0.001~0.01／（100~1000）个工作年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40" w:hRule="atLeast"/>
          <w:jc w:val="center"/>
        </w:trPr>
        <w:tc>
          <w:tcPr>
            <w:tcW w:w="5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极低</w:t>
            </w:r>
          </w:p>
        </w:tc>
        <w:tc>
          <w:tcPr>
            <w:tcW w:w="442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＜0.001／1000以上个工作年</w:t>
            </w:r>
          </w:p>
        </w:tc>
      </w:tr>
    </w:tbl>
    <w:p>
      <w:pPr>
        <w:pStyle w:val="9"/>
        <w:widowControl w:val="0"/>
        <w:spacing w:before="120" w:after="120" w:line="360" w:lineRule="auto"/>
        <w:rPr>
          <w:rFonts w:hint="eastAsia" w:eastAsia="黑体"/>
          <w:b w:val="0"/>
          <w:color w:val="auto"/>
          <w:sz w:val="24"/>
          <w:lang w:val="en-US" w:eastAsia="zh-CN"/>
        </w:rPr>
      </w:pPr>
      <w:bookmarkStart w:id="472" w:name="_Toc27295"/>
      <w:r>
        <w:rPr>
          <w:rFonts w:hint="eastAsia" w:eastAsia="黑体"/>
          <w:b w:val="0"/>
          <w:color w:val="auto"/>
          <w:sz w:val="24"/>
          <w:lang w:val="en-US" w:eastAsia="zh-CN"/>
        </w:rPr>
        <w:t>7.7.2水上溢油事故危害后果</w:t>
      </w:r>
      <w:bookmarkEnd w:id="472"/>
    </w:p>
    <w:p>
      <w:pPr>
        <w:widowControl w:val="0"/>
        <w:spacing w:line="360" w:lineRule="auto"/>
        <w:ind w:firstLine="480" w:firstLineChars="200"/>
        <w:rPr>
          <w:rFonts w:hint="eastAsia" w:eastAsia="仿宋_GB2312"/>
          <w:color w:val="auto"/>
          <w:sz w:val="24"/>
        </w:rPr>
      </w:pPr>
      <w:r>
        <w:rPr>
          <w:rFonts w:hint="eastAsia" w:eastAsia="仿宋_GB2312"/>
          <w:color w:val="auto"/>
          <w:sz w:val="24"/>
        </w:rPr>
        <w:t>水上溢油事故危害后果等级划分详见下表，本项目水上溢油事故危害后果等级为C</w:t>
      </w:r>
      <w:r>
        <w:rPr>
          <w:rFonts w:hint="eastAsia" w:eastAsia="仿宋_GB2312"/>
          <w:color w:val="auto"/>
          <w:sz w:val="24"/>
          <w:lang w:val="en-US" w:eastAsia="zh-CN"/>
        </w:rPr>
        <w:t>5</w:t>
      </w:r>
      <w:r>
        <w:rPr>
          <w:rFonts w:hint="eastAsia" w:eastAsia="仿宋_GB2312"/>
          <w:color w:val="auto"/>
          <w:sz w:val="24"/>
        </w:rPr>
        <w:t>。</w:t>
      </w:r>
    </w:p>
    <w:p>
      <w:pPr>
        <w:widowControl w:val="0"/>
        <w:spacing w:line="360" w:lineRule="auto"/>
        <w:jc w:val="center"/>
        <w:rPr>
          <w:rFonts w:hint="eastAsia" w:eastAsia="黑体"/>
          <w:b/>
          <w:color w:val="auto"/>
          <w:szCs w:val="21"/>
        </w:rPr>
      </w:pPr>
      <w:r>
        <w:rPr>
          <w:rFonts w:hint="eastAsia" w:eastAsia="黑体"/>
          <w:b/>
          <w:color w:val="auto"/>
          <w:szCs w:val="21"/>
        </w:rPr>
        <w:t>表</w:t>
      </w:r>
      <w:r>
        <w:rPr>
          <w:rFonts w:hint="eastAsia" w:eastAsia="黑体"/>
          <w:b/>
          <w:color w:val="auto"/>
          <w:szCs w:val="21"/>
          <w:lang w:val="en-US" w:eastAsia="zh-CN"/>
        </w:rPr>
        <w:t>7.7</w:t>
      </w:r>
      <w:r>
        <w:rPr>
          <w:rFonts w:hint="eastAsia" w:eastAsia="黑体"/>
          <w:b/>
          <w:color w:val="auto"/>
          <w:szCs w:val="21"/>
        </w:rPr>
        <w:t>-2  水上溢油事故危害后果等级划分</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91"/>
        <w:gridCol w:w="762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等级</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量级划分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C1</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溢油10000t以上，或造成直接经济损失</w:t>
            </w:r>
            <w:r>
              <w:rPr>
                <w:rFonts w:hint="eastAsia" w:ascii="Times New Roman" w:hAnsi="Times New Roman" w:eastAsia="宋体" w:cs="Times New Roman"/>
                <w:color w:val="auto"/>
                <w:kern w:val="2"/>
                <w:sz w:val="20"/>
                <w:vertAlign w:val="superscript"/>
                <w:lang w:val="en-US" w:eastAsia="zh-CN" w:bidi="ar-SA"/>
              </w:rPr>
              <w:t>a</w:t>
            </w:r>
            <w:r>
              <w:rPr>
                <w:rFonts w:hint="eastAsia" w:ascii="Times New Roman" w:hAnsi="Times New Roman" w:eastAsia="宋体" w:cs="Times New Roman"/>
                <w:color w:val="auto"/>
                <w:kern w:val="2"/>
                <w:sz w:val="20"/>
                <w:lang w:val="en-US" w:eastAsia="zh-CN" w:bidi="ar-SA"/>
              </w:rPr>
              <w:t>10亿元以上，或危害后果指数值</w:t>
            </w:r>
            <w:r>
              <w:rPr>
                <w:rFonts w:hint="eastAsia" w:cs="Times New Roman"/>
                <w:color w:val="auto"/>
                <w:kern w:val="2"/>
                <w:sz w:val="20"/>
                <w:vertAlign w:val="superscript"/>
                <w:lang w:val="en-US" w:eastAsia="zh-CN" w:bidi="ar-SA"/>
              </w:rPr>
              <w:t>b</w:t>
            </w:r>
            <w:r>
              <w:rPr>
                <w:rFonts w:hint="eastAsia" w:ascii="Times New Roman" w:hAnsi="Times New Roman" w:eastAsia="宋体" w:cs="Times New Roman"/>
                <w:color w:val="auto"/>
                <w:kern w:val="2"/>
                <w:sz w:val="20"/>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C2</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溢油（1000~10000）t，或造成直接经济损失（2~10）亿元，或危害后果指数值16~20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C3</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溢油（500~1000）t，或造成直接经济损失（1~2）亿元，或危害后果指数值12~16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C4</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溢油（100~500）t，或造成直接经济损失5000万元~1亿元，或危害后果指数值8~12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C5</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溢油（50~100）t，或造成直接经济损失（1000~5000）万元，或危害后果指数值4~8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2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C6</w:t>
            </w:r>
          </w:p>
        </w:tc>
        <w:tc>
          <w:tcPr>
            <w:tcW w:w="4476"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溢油50t以下，或造成直接经济损失不足1000万元，或危害后果指数值＜4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000" w:type="pct"/>
            <w:gridSpan w:val="2"/>
            <w:vAlign w:val="center"/>
          </w:tcPr>
          <w:p>
            <w:pPr>
              <w:widowControl w:val="0"/>
              <w:adjustRightInd w:val="0"/>
              <w:snapToGrid w:val="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注a：直接经济损失计算按照《中华人民共和国海上船舶污染事故调查处理规定》有关要求确定。</w:t>
            </w:r>
          </w:p>
          <w:p>
            <w:pPr>
              <w:widowControl w:val="0"/>
              <w:adjustRightInd w:val="0"/>
              <w:snapToGrid w:val="0"/>
              <w:jc w:val="left"/>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注b：参照《水上溢油环境风险评估技术导则》（JT/T 1143-2017）附录A方法一计算。</w:t>
            </w:r>
          </w:p>
        </w:tc>
      </w:tr>
    </w:tbl>
    <w:p>
      <w:pPr>
        <w:pStyle w:val="9"/>
        <w:widowControl w:val="0"/>
        <w:spacing w:before="120" w:after="120" w:line="360" w:lineRule="auto"/>
        <w:rPr>
          <w:rFonts w:hint="eastAsia" w:eastAsia="黑体"/>
          <w:b w:val="0"/>
          <w:color w:val="auto"/>
          <w:sz w:val="24"/>
          <w:lang w:val="en-US" w:eastAsia="zh-CN"/>
        </w:rPr>
      </w:pPr>
      <w:bookmarkStart w:id="473" w:name="_Toc31399"/>
      <w:r>
        <w:rPr>
          <w:rFonts w:hint="eastAsia" w:eastAsia="黑体"/>
          <w:b w:val="0"/>
          <w:color w:val="auto"/>
          <w:sz w:val="24"/>
          <w:lang w:val="en-US" w:eastAsia="zh-CN"/>
        </w:rPr>
        <w:t>7.7.3风险准则矩阵</w:t>
      </w:r>
      <w:bookmarkEnd w:id="473"/>
    </w:p>
    <w:p>
      <w:pPr>
        <w:widowControl w:val="0"/>
        <w:spacing w:line="360" w:lineRule="auto"/>
        <w:ind w:firstLine="480" w:firstLineChars="200"/>
        <w:rPr>
          <w:rFonts w:hint="eastAsia" w:eastAsia="仿宋_GB2312"/>
          <w:color w:val="auto"/>
          <w:sz w:val="24"/>
        </w:rPr>
      </w:pPr>
      <w:r>
        <w:rPr>
          <w:rFonts w:hint="eastAsia" w:eastAsia="仿宋_GB2312"/>
          <w:color w:val="auto"/>
          <w:sz w:val="24"/>
        </w:rPr>
        <w:t>可能最大水上溢油事故概率和溢油量组合的风险准则矩阵示意图如下，本项目水上溢油事故概率等级为</w:t>
      </w:r>
      <w:r>
        <w:rPr>
          <w:rFonts w:hint="eastAsia" w:eastAsia="仿宋_GB2312"/>
          <w:color w:val="auto"/>
          <w:sz w:val="24"/>
          <w:lang w:val="en-US" w:eastAsia="zh-CN"/>
        </w:rPr>
        <w:t>较低</w:t>
      </w:r>
      <w:r>
        <w:rPr>
          <w:rFonts w:hint="eastAsia" w:eastAsia="仿宋_GB2312"/>
          <w:color w:val="auto"/>
          <w:sz w:val="24"/>
        </w:rPr>
        <w:t>，危害后果等级为</w:t>
      </w:r>
      <w:r>
        <w:rPr>
          <w:rFonts w:hint="eastAsia" w:eastAsia="仿宋_GB2312"/>
          <w:color w:val="auto"/>
          <w:sz w:val="24"/>
          <w:lang w:val="en-US" w:eastAsia="zh-CN"/>
        </w:rPr>
        <w:t>一般</w:t>
      </w:r>
      <w:r>
        <w:rPr>
          <w:rFonts w:hint="eastAsia" w:eastAsia="仿宋_GB2312"/>
          <w:color w:val="auto"/>
          <w:sz w:val="24"/>
        </w:rPr>
        <w:t>，属于低风险区。</w:t>
      </w:r>
    </w:p>
    <w:p>
      <w:pPr>
        <w:widowControl w:val="0"/>
        <w:spacing w:line="360" w:lineRule="auto"/>
        <w:jc w:val="center"/>
        <w:rPr>
          <w:rFonts w:hint="eastAsia" w:eastAsia="仿宋_GB2312"/>
          <w:color w:val="auto"/>
          <w:sz w:val="24"/>
        </w:rPr>
      </w:pPr>
      <w:r>
        <w:rPr>
          <w:color w:val="auto"/>
        </w:rPr>
        <w:drawing>
          <wp:inline distT="0" distB="0" distL="114300" distR="114300">
            <wp:extent cx="3572510" cy="2987040"/>
            <wp:effectExtent l="0" t="0" r="8890" b="3810"/>
            <wp:docPr id="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4"/>
                    <pic:cNvPicPr>
                      <a:picLocks noChangeAspect="1"/>
                    </pic:cNvPicPr>
                  </pic:nvPicPr>
                  <pic:blipFill>
                    <a:blip r:embed="rId253"/>
                    <a:stretch>
                      <a:fillRect/>
                    </a:stretch>
                  </pic:blipFill>
                  <pic:spPr>
                    <a:xfrm>
                      <a:off x="0" y="0"/>
                      <a:ext cx="3572510" cy="2987040"/>
                    </a:xfrm>
                    <a:prstGeom prst="rect">
                      <a:avLst/>
                    </a:prstGeom>
                    <a:noFill/>
                    <a:ln>
                      <a:noFill/>
                    </a:ln>
                  </pic:spPr>
                </pic:pic>
              </a:graphicData>
            </a:graphic>
          </wp:inline>
        </w:drawing>
      </w:r>
    </w:p>
    <w:p>
      <w:pPr>
        <w:widowControl w:val="0"/>
        <w:spacing w:line="360" w:lineRule="auto"/>
        <w:jc w:val="center"/>
        <w:rPr>
          <w:rFonts w:hint="default" w:eastAsia="黑体"/>
          <w:b/>
          <w:color w:val="auto"/>
          <w:szCs w:val="21"/>
          <w:lang w:val="en-US" w:eastAsia="zh-CN"/>
        </w:rPr>
      </w:pPr>
      <w:r>
        <w:rPr>
          <w:rFonts w:hint="eastAsia" w:eastAsia="黑体"/>
          <w:b/>
          <w:color w:val="auto"/>
          <w:szCs w:val="21"/>
        </w:rPr>
        <w:t>表</w:t>
      </w:r>
      <w:r>
        <w:rPr>
          <w:rFonts w:hint="eastAsia" w:eastAsia="黑体"/>
          <w:b/>
          <w:color w:val="auto"/>
          <w:szCs w:val="21"/>
          <w:lang w:val="en-US" w:eastAsia="zh-CN"/>
        </w:rPr>
        <w:t>7.7-1</w:t>
      </w:r>
      <w:r>
        <w:rPr>
          <w:rFonts w:hint="eastAsia" w:eastAsia="黑体"/>
          <w:b/>
          <w:color w:val="auto"/>
          <w:szCs w:val="21"/>
        </w:rPr>
        <w:t xml:space="preserve">  </w:t>
      </w:r>
      <w:r>
        <w:rPr>
          <w:rFonts w:hint="eastAsia" w:eastAsia="黑体"/>
          <w:b/>
          <w:color w:val="auto"/>
          <w:szCs w:val="21"/>
          <w:lang w:val="en-US" w:eastAsia="zh-CN"/>
        </w:rPr>
        <w:t>可能最大水上溢油事故风险准则矩阵示意图</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根据航道溢油污染事故概率分析、风险事故后果模拟预测结果及表</w:t>
      </w:r>
      <w:r>
        <w:rPr>
          <w:rFonts w:hint="eastAsia" w:eastAsia="仿宋_GB2312"/>
          <w:color w:val="auto"/>
          <w:sz w:val="24"/>
          <w:lang w:val="en-US" w:eastAsia="zh-CN"/>
        </w:rPr>
        <w:t>7</w:t>
      </w:r>
      <w:r>
        <w:rPr>
          <w:rFonts w:hint="eastAsia" w:eastAsia="仿宋_GB2312"/>
          <w:color w:val="auto"/>
          <w:sz w:val="24"/>
        </w:rPr>
        <w:t>.</w:t>
      </w:r>
      <w:r>
        <w:rPr>
          <w:rFonts w:hint="eastAsia" w:eastAsia="仿宋_GB2312"/>
          <w:color w:val="auto"/>
          <w:sz w:val="24"/>
          <w:lang w:val="en-US" w:eastAsia="zh-CN"/>
        </w:rPr>
        <w:t>7-1</w:t>
      </w:r>
      <w:r>
        <w:rPr>
          <w:rFonts w:hint="eastAsia" w:eastAsia="仿宋_GB2312"/>
          <w:color w:val="auto"/>
          <w:sz w:val="24"/>
        </w:rPr>
        <w:t>、表</w:t>
      </w:r>
      <w:r>
        <w:rPr>
          <w:rFonts w:hint="eastAsia" w:eastAsia="仿宋_GB2312"/>
          <w:color w:val="auto"/>
          <w:sz w:val="24"/>
          <w:lang w:val="en-US" w:eastAsia="zh-CN"/>
        </w:rPr>
        <w:t>7.7-2</w:t>
      </w:r>
      <w:r>
        <w:rPr>
          <w:rFonts w:hint="eastAsia" w:eastAsia="仿宋_GB2312"/>
          <w:color w:val="auto"/>
          <w:sz w:val="24"/>
        </w:rPr>
        <w:t>，施工期和运营期溢油事故风险均处在低风险区，根据《水上溢油环境风险评估技术导则》（JT/T1143-2017）要求，低风险区为可忽略的风险区域</w:t>
      </w:r>
      <w:r>
        <w:rPr>
          <w:rFonts w:hint="eastAsia" w:eastAsia="仿宋_GB2312"/>
          <w:color w:val="auto"/>
          <w:sz w:val="24"/>
          <w:lang w:eastAsia="zh-CN"/>
        </w:rPr>
        <w:t>。</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474" w:name="_Toc5880"/>
      <w:r>
        <w:rPr>
          <w:rFonts w:hint="eastAsia" w:ascii="Times New Roman" w:hAnsi="Times New Roman"/>
          <w:b w:val="0"/>
          <w:color w:val="auto"/>
          <w:szCs w:val="32"/>
          <w:lang w:val="en-US" w:eastAsia="zh-CN"/>
        </w:rPr>
        <w:t>7</w:t>
      </w:r>
      <w:r>
        <w:rPr>
          <w:rFonts w:ascii="Times New Roman" w:hAnsi="Times New Roman"/>
          <w:b w:val="0"/>
          <w:color w:val="auto"/>
          <w:szCs w:val="32"/>
        </w:rPr>
        <w:t>.</w:t>
      </w:r>
      <w:r>
        <w:rPr>
          <w:rFonts w:hint="eastAsia" w:ascii="Times New Roman" w:hAnsi="Times New Roman"/>
          <w:b w:val="0"/>
          <w:color w:val="auto"/>
          <w:szCs w:val="32"/>
          <w:lang w:val="en-US" w:eastAsia="zh-CN"/>
        </w:rPr>
        <w:t>8事故风险预测与评价</w:t>
      </w:r>
      <w:bookmarkEnd w:id="474"/>
    </w:p>
    <w:p>
      <w:pPr>
        <w:pStyle w:val="9"/>
        <w:widowControl w:val="0"/>
        <w:spacing w:before="120" w:after="120" w:line="360" w:lineRule="auto"/>
        <w:rPr>
          <w:rFonts w:hint="default" w:eastAsia="黑体"/>
          <w:b w:val="0"/>
          <w:color w:val="auto"/>
          <w:sz w:val="24"/>
          <w:lang w:val="en-US" w:eastAsia="zh-CN"/>
        </w:rPr>
      </w:pPr>
      <w:bookmarkStart w:id="475" w:name="_Toc10556"/>
      <w:r>
        <w:rPr>
          <w:rFonts w:hint="eastAsia" w:eastAsia="黑体"/>
          <w:b w:val="0"/>
          <w:color w:val="auto"/>
          <w:sz w:val="24"/>
          <w:lang w:val="en-US" w:eastAsia="zh-CN"/>
        </w:rPr>
        <w:t>7.8.1风险事故情形设定</w:t>
      </w:r>
      <w:bookmarkEnd w:id="475"/>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水上溢油环境风险评估技术导则》（JT/T1143-2017），水上溢油漂移扩散预测的油类物质宜采用水运工程建设项目或区域内装卸、储运的有代表性的持久性油类物质，输入值取可能最大水上溢油事故的溢油量，预测起始点取事故多发点。</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本项目不从事危险化学品运输，本身无物质危险性和功能性危险源，风险事故的发生由间接行为导致，因此环境风险为船舶燃油泄漏对长江产生的影响。根据风险识别和源项分析结果，按照《建设项目环境风险评价技术导则》（HJ169-2018）、《水上溢油环境风险评估技术导则》（JT/T1143-2017）的要求，设定码头前沿溢油事故作为预测</w:t>
      </w:r>
      <w:r>
        <w:rPr>
          <w:rFonts w:hint="eastAsia" w:eastAsia="仿宋_GB2312"/>
          <w:color w:val="auto"/>
          <w:sz w:val="24"/>
          <w:lang w:val="en-US" w:eastAsia="zh-CN"/>
        </w:rPr>
        <w:t>情景</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（1）泄漏事故位置</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溢油泄漏具有很大不确定性，不同的泄漏位置对上、下游敏感点的影响时间和程度不一样，本评价主要选择码头前沿为</w:t>
      </w:r>
      <w:r>
        <w:rPr>
          <w:rFonts w:hint="eastAsia" w:eastAsia="仿宋_GB2312"/>
          <w:color w:val="auto"/>
          <w:sz w:val="24"/>
          <w:lang w:val="en-US" w:eastAsia="zh-CN"/>
        </w:rPr>
        <w:t>泄露事故位置</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（2）事故污染物质</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船舶发生碰撞事故时，会造成船舶柴油泄漏事故，选择柴油作为溢油风险物质进行模拟计算与评价。</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（3）事故源强</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根据源强分析，水上溢油事故溢油量为52t。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（4）事故环境条件</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根据事故地点和敏感目标的相对位置关系，选取丰水期和平水期、主导风向和平均风速、不利风向和6级风速等多种因素组合。考虑水文与风况最不利叠加工况作为模拟环境情景。</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事故模拟情景见</w:t>
      </w:r>
      <w:r>
        <w:rPr>
          <w:rFonts w:hint="eastAsia" w:eastAsia="仿宋_GB2312"/>
          <w:color w:val="auto"/>
          <w:sz w:val="24"/>
          <w:lang w:val="en-US" w:eastAsia="zh-CN"/>
        </w:rPr>
        <w:t>下表</w:t>
      </w:r>
      <w:r>
        <w:rPr>
          <w:rFonts w:hint="eastAsia" w:eastAsia="仿宋_GB2312"/>
          <w:color w:val="auto"/>
          <w:sz w:val="24"/>
        </w:rPr>
        <w:t>。</w:t>
      </w:r>
    </w:p>
    <w:p>
      <w:pPr>
        <w:widowControl w:val="0"/>
        <w:spacing w:line="360" w:lineRule="auto"/>
        <w:jc w:val="center"/>
        <w:rPr>
          <w:rFonts w:hint="eastAsia" w:eastAsia="黑体"/>
          <w:b/>
          <w:color w:val="auto"/>
          <w:szCs w:val="21"/>
        </w:rPr>
      </w:pPr>
      <w:r>
        <w:rPr>
          <w:rFonts w:hint="eastAsia" w:eastAsia="黑体"/>
          <w:b/>
          <w:color w:val="auto"/>
          <w:szCs w:val="21"/>
        </w:rPr>
        <w:t>表</w:t>
      </w:r>
      <w:r>
        <w:rPr>
          <w:rFonts w:hint="eastAsia" w:eastAsia="黑体"/>
          <w:b/>
          <w:color w:val="auto"/>
          <w:szCs w:val="21"/>
          <w:lang w:val="en-US" w:eastAsia="zh-CN"/>
        </w:rPr>
        <w:t>7.8-1</w:t>
      </w:r>
      <w:r>
        <w:rPr>
          <w:rFonts w:hint="eastAsia" w:eastAsia="黑体"/>
          <w:b/>
          <w:color w:val="auto"/>
          <w:szCs w:val="21"/>
        </w:rPr>
        <w:t xml:space="preserve">  典型污染事故情景模拟参数</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53"/>
        <w:gridCol w:w="1097"/>
        <w:gridCol w:w="1089"/>
        <w:gridCol w:w="1187"/>
        <w:gridCol w:w="945"/>
        <w:gridCol w:w="1331"/>
        <w:gridCol w:w="12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815" w:type="pct"/>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事故位置</w:t>
            </w:r>
          </w:p>
        </w:tc>
        <w:tc>
          <w:tcPr>
            <w:tcW w:w="661"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泄漏种类</w:t>
            </w:r>
          </w:p>
        </w:tc>
        <w:tc>
          <w:tcPr>
            <w:tcW w:w="656" w:type="pct"/>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泄漏规模</w:t>
            </w:r>
          </w:p>
        </w:tc>
        <w:tc>
          <w:tcPr>
            <w:tcW w:w="1284" w:type="pct"/>
            <w:gridSpan w:val="2"/>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风向</w:t>
            </w:r>
          </w:p>
        </w:tc>
        <w:tc>
          <w:tcPr>
            <w:tcW w:w="802"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风速（m/s）</w:t>
            </w:r>
          </w:p>
        </w:tc>
        <w:tc>
          <w:tcPr>
            <w:tcW w:w="779"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潮型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815" w:type="pct"/>
            <w:vMerge w:val="restart"/>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码头前沿</w:t>
            </w:r>
          </w:p>
        </w:tc>
        <w:tc>
          <w:tcPr>
            <w:tcW w:w="661"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柴油</w:t>
            </w:r>
          </w:p>
        </w:tc>
        <w:tc>
          <w:tcPr>
            <w:tcW w:w="656" w:type="pct"/>
            <w:vMerge w:val="restart"/>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52t</w:t>
            </w:r>
          </w:p>
        </w:tc>
        <w:tc>
          <w:tcPr>
            <w:tcW w:w="715"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主导风况</w:t>
            </w:r>
          </w:p>
        </w:tc>
        <w:tc>
          <w:tcPr>
            <w:tcW w:w="568"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ES</w:t>
            </w:r>
          </w:p>
        </w:tc>
        <w:tc>
          <w:tcPr>
            <w:tcW w:w="802"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1.0</w:t>
            </w:r>
          </w:p>
        </w:tc>
        <w:tc>
          <w:tcPr>
            <w:tcW w:w="779"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丰水期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815"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61"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56"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715"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568"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802"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779"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平水期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815"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61"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56"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715"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不利风况</w:t>
            </w:r>
          </w:p>
        </w:tc>
        <w:tc>
          <w:tcPr>
            <w:tcW w:w="568"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SW</w:t>
            </w:r>
          </w:p>
        </w:tc>
        <w:tc>
          <w:tcPr>
            <w:tcW w:w="802" w:type="pct"/>
            <w:vMerge w:val="restar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10.8</w:t>
            </w:r>
          </w:p>
        </w:tc>
        <w:tc>
          <w:tcPr>
            <w:tcW w:w="779"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丰水期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815"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61"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656" w:type="pct"/>
            <w:vMerge w:val="continue"/>
            <w:tcBorders>
              <w:tl2br w:val="nil"/>
              <w:tr2bl w:val="nil"/>
            </w:tcBorders>
            <w:shd w:val="clear" w:color="auto" w:fill="auto"/>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715"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568"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802" w:type="pct"/>
            <w:vMerge w:val="continue"/>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p>
        </w:tc>
        <w:tc>
          <w:tcPr>
            <w:tcW w:w="779" w:type="pct"/>
            <w:tcBorders>
              <w:tl2br w:val="nil"/>
              <w:tr2bl w:val="nil"/>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平水期</w:t>
            </w:r>
          </w:p>
        </w:tc>
      </w:tr>
    </w:tbl>
    <w:p>
      <w:pPr>
        <w:pStyle w:val="9"/>
        <w:widowControl w:val="0"/>
        <w:spacing w:before="120" w:after="120" w:line="360" w:lineRule="auto"/>
        <w:rPr>
          <w:rFonts w:hint="default" w:eastAsia="黑体"/>
          <w:b w:val="0"/>
          <w:color w:val="auto"/>
          <w:sz w:val="24"/>
          <w:lang w:val="en-US" w:eastAsia="zh-CN"/>
        </w:rPr>
      </w:pPr>
      <w:bookmarkStart w:id="476" w:name="_Toc6009"/>
      <w:r>
        <w:rPr>
          <w:rFonts w:hint="eastAsia" w:eastAsia="黑体"/>
          <w:b w:val="0"/>
          <w:color w:val="auto"/>
          <w:sz w:val="24"/>
          <w:lang w:val="en-US" w:eastAsia="zh-CN"/>
        </w:rPr>
        <w:t>7.8.2水文条件</w:t>
      </w:r>
      <w:bookmarkEnd w:id="476"/>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根据《水上溢油环境风险评估技术导则》（JT/T 1143-2017）要求，典型水文条件选择丰水期和平水期不利的水文条件。计算河段范围上游设有枝城水文站，由于计算河段区间内没有大的支流入汇，仅在工程下游约12.0km处有松滋口分流，本次计算采用枝城站流量资料作为计算河段的上游来水条件。丰水期流量为30000m</w:t>
      </w:r>
      <w:r>
        <w:rPr>
          <w:rFonts w:hint="eastAsia" w:eastAsia="仿宋_GB2312"/>
          <w:color w:val="auto"/>
          <w:sz w:val="24"/>
          <w:vertAlign w:val="superscript"/>
        </w:rPr>
        <w:t>3</w:t>
      </w:r>
      <w:r>
        <w:rPr>
          <w:rFonts w:hint="eastAsia" w:eastAsia="仿宋_GB2312"/>
          <w:color w:val="auto"/>
          <w:sz w:val="24"/>
        </w:rPr>
        <w:t>/s，松滋口分流3630m</w:t>
      </w:r>
      <w:r>
        <w:rPr>
          <w:rFonts w:hint="eastAsia" w:eastAsia="仿宋_GB2312"/>
          <w:color w:val="auto"/>
          <w:sz w:val="24"/>
          <w:vertAlign w:val="superscript"/>
        </w:rPr>
        <w:t>3</w:t>
      </w:r>
      <w:r>
        <w:rPr>
          <w:rFonts w:hint="eastAsia" w:eastAsia="仿宋_GB2312"/>
          <w:color w:val="auto"/>
          <w:sz w:val="24"/>
        </w:rPr>
        <w:t>/s；平水期流量为15000m</w:t>
      </w:r>
      <w:r>
        <w:rPr>
          <w:rFonts w:hint="eastAsia" w:eastAsia="仿宋_GB2312"/>
          <w:color w:val="auto"/>
          <w:sz w:val="24"/>
          <w:vertAlign w:val="superscript"/>
        </w:rPr>
        <w:t>3</w:t>
      </w:r>
      <w:r>
        <w:rPr>
          <w:rFonts w:hint="eastAsia" w:eastAsia="仿宋_GB2312"/>
          <w:color w:val="auto"/>
          <w:sz w:val="24"/>
        </w:rPr>
        <w:t>/s，松滋口分流885m</w:t>
      </w:r>
      <w:r>
        <w:rPr>
          <w:rFonts w:hint="eastAsia" w:eastAsia="仿宋_GB2312"/>
          <w:color w:val="auto"/>
          <w:sz w:val="24"/>
          <w:vertAlign w:val="superscript"/>
        </w:rPr>
        <w:t>3</w:t>
      </w:r>
      <w:r>
        <w:rPr>
          <w:rFonts w:hint="eastAsia" w:eastAsia="仿宋_GB2312"/>
          <w:color w:val="auto"/>
          <w:sz w:val="24"/>
        </w:rPr>
        <w:t>/s。</w:t>
      </w:r>
    </w:p>
    <w:p>
      <w:pPr>
        <w:pStyle w:val="9"/>
        <w:widowControl w:val="0"/>
        <w:spacing w:before="120" w:after="120" w:line="360" w:lineRule="auto"/>
        <w:rPr>
          <w:rFonts w:hint="default" w:eastAsia="黑体"/>
          <w:b w:val="0"/>
          <w:color w:val="auto"/>
          <w:sz w:val="24"/>
          <w:lang w:val="en-US" w:eastAsia="zh-CN"/>
        </w:rPr>
      </w:pPr>
      <w:bookmarkStart w:id="477" w:name="_Toc3474"/>
      <w:r>
        <w:rPr>
          <w:rFonts w:hint="eastAsia" w:eastAsia="黑体"/>
          <w:b w:val="0"/>
          <w:color w:val="auto"/>
          <w:sz w:val="24"/>
          <w:lang w:val="en-US" w:eastAsia="zh-CN"/>
        </w:rPr>
        <w:t>7.8.3溢油预测模型</w:t>
      </w:r>
      <w:bookmarkEnd w:id="477"/>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溢油进入水体后发生扩展、漂移、扩散等油膜组分保持恒定的输移过程和蒸发、溶解、乳化等油膜组分发生变化的风化过程。本次评价溢油模型采用“油粒子”模型，该模型可以很好地模拟上述物理化学过程，另外，“油粒子”模型是基于拉格朗日体系具有稳定性和高效率性特点。“油粒子”模型就是把溢油离散为大量的油粒子，每个油粒子代表一定的油量，油膜就是有这些大量的油粒子所组成的“云团”。</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（1）输移过程</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油粒子的输移包括了扩展、漂移、扩散等过程，这些过程的是油粒子位置发生变化的主要原因，而油粒子的组分在这些过程中不发生变化。</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①扩展运动</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溢油自身扩展过程是指溢油在扩展系油膜在重力、黏性力和表面张力综合作用下的运动。现场观测资料表明，在溢油的初期（数10小时内）扩展过程起到支配的作用。随着油膜逐渐变薄，油膜开始破碎，扩展作用也随之减弱。</w:t>
      </w:r>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rPr>
        <w:t>本文仅采用惯性力-重力公式计算初始油膜的面积，并在该尺度内分配“油粒子”的初始位置。其计算公式可以表示为</w:t>
      </w:r>
      <w:r>
        <w:rPr>
          <w:rFonts w:hint="eastAsia" w:eastAsia="仿宋_GB2312"/>
          <w:color w:val="auto"/>
          <w:sz w:val="24"/>
          <w:lang w:eastAsia="zh-CN"/>
        </w:rPr>
        <w:t>：</w:t>
      </w:r>
    </w:p>
    <w:p>
      <w:pPr>
        <w:widowControl w:val="0"/>
        <w:spacing w:line="360" w:lineRule="auto"/>
        <w:jc w:val="center"/>
        <w:rPr>
          <w:rFonts w:hint="eastAsia" w:eastAsia="仿宋_GB2312"/>
          <w:color w:val="auto"/>
          <w:sz w:val="24"/>
        </w:rPr>
      </w:pPr>
      <w:r>
        <w:rPr>
          <w:rFonts w:hint="eastAsia" w:eastAsia="仿宋_GB2312"/>
          <w:color w:val="auto"/>
          <w:sz w:val="24"/>
        </w:rPr>
        <w:object>
          <v:shape id="_x0000_i1117" o:spt="75" type="#_x0000_t75" style="height:46.5pt;width:96.75pt;" o:ole="t" filled="f" o:preferrelative="t" stroked="f" coordsize="21600,21600">
            <v:path/>
            <v:fill on="f" focussize="0,0"/>
            <v:stroke on="f" joinstyle="miter"/>
            <v:imagedata r:id="rId255" o:title=""/>
            <o:lock v:ext="edit" aspectratio="t"/>
            <w10:wrap type="none"/>
            <w10:anchorlock/>
          </v:shape>
          <o:OLEObject Type="Embed" ProgID="Equation.3" ShapeID="_x0000_i1117" DrawAspect="Content" ObjectID="_1468075817" r:id="rId254">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式中，A</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为初始面积；V=（ρ</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-ρ</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）/ρw，ρw为水的密度，ρ</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为油的密度；g为重力加速度；V</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为溢油的初始体积，v</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为水的运动粘度；K</w:t>
      </w:r>
      <w:r>
        <w:rPr>
          <w:rFonts w:hint="default" w:ascii="Times New Roman" w:hAnsi="Times New Roman" w:eastAsia="仿宋_GB2312" w:cs="Times New Roman"/>
          <w:color w:val="auto"/>
          <w:sz w:val="24"/>
          <w:vertAlign w:val="subscript"/>
        </w:rPr>
        <w:t>1</w:t>
      </w:r>
      <w:r>
        <w:rPr>
          <w:rFonts w:hint="default" w:ascii="Times New Roman" w:hAnsi="Times New Roman" w:eastAsia="仿宋_GB2312" w:cs="Times New Roman"/>
          <w:color w:val="auto"/>
          <w:sz w:val="24"/>
        </w:rPr>
        <w:t>，K</w:t>
      </w:r>
      <w:r>
        <w:rPr>
          <w:rFonts w:hint="default" w:ascii="Times New Roman" w:hAnsi="Times New Roman" w:eastAsia="仿宋_GB2312" w:cs="Times New Roman"/>
          <w:color w:val="auto"/>
          <w:sz w:val="24"/>
          <w:vertAlign w:val="subscript"/>
        </w:rPr>
        <w:t>2</w:t>
      </w:r>
      <w:r>
        <w:rPr>
          <w:rFonts w:hint="default" w:ascii="Times New Roman" w:hAnsi="Times New Roman" w:eastAsia="仿宋_GB2312" w:cs="Times New Roman"/>
          <w:color w:val="auto"/>
          <w:sz w:val="24"/>
        </w:rPr>
        <w:t>为经验系数，在计算中分别取为0.57和0.725。</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②漂移运动</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油粒子漂移的作用力是水流和风拽力，油粒子总漂移速度为：</w:t>
      </w:r>
    </w:p>
    <w:p>
      <w:pPr>
        <w:widowControl w:val="0"/>
        <w:spacing w:line="360" w:lineRule="auto"/>
        <w:jc w:val="center"/>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position w:val="-12"/>
          <w:sz w:val="24"/>
          <w:lang w:eastAsia="zh-CN"/>
        </w:rPr>
        <w:object>
          <v:shape id="_x0000_i1118" o:spt="75" type="#_x0000_t75" style="height:18pt;width:78pt;" o:ole="t" filled="f" o:preferrelative="t" stroked="f" coordsize="21600,21600">
            <v:path/>
            <v:fill on="f" focussize="0,0"/>
            <v:stroke on="f"/>
            <v:imagedata r:id="rId257" o:title=""/>
            <o:lock v:ext="edit" aspectratio="t"/>
            <w10:wrap type="none"/>
            <w10:anchorlock/>
          </v:shape>
          <o:OLEObject Type="Embed" ProgID="Equation.KSEE3" ShapeID="_x0000_i1118" DrawAspect="Content" ObjectID="_1468075818" r:id="rId256">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式中，U</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为江面以上10m处的风速；U</w:t>
      </w:r>
      <w:r>
        <w:rPr>
          <w:rFonts w:hint="eastAsia" w:ascii="Times New Roman" w:hAnsi="Times New Roman" w:eastAsia="仿宋_GB2312" w:cs="Times New Roman"/>
          <w:color w:val="auto"/>
          <w:sz w:val="24"/>
          <w:vertAlign w:val="subscript"/>
        </w:rPr>
        <w:t>S</w:t>
      </w:r>
      <w:r>
        <w:rPr>
          <w:rFonts w:hint="default" w:ascii="Times New Roman" w:hAnsi="Times New Roman" w:eastAsia="仿宋_GB2312" w:cs="Times New Roman"/>
          <w:color w:val="auto"/>
          <w:sz w:val="24"/>
        </w:rPr>
        <w:t>为表面流速；α为风漂移系数，一般在0.03～0.05之间。</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二维水动力模型计算的流速是沿水深方向平均值，而油粒子所计算流速是表面流速，因此本</w:t>
      </w:r>
      <w:r>
        <w:rPr>
          <w:rFonts w:hint="eastAsia" w:ascii="Times New Roman" w:hAnsi="Times New Roman" w:eastAsia="仿宋_GB2312" w:cs="Times New Roman"/>
          <w:color w:val="auto"/>
          <w:sz w:val="24"/>
        </w:rPr>
        <w:t>次</w:t>
      </w:r>
      <w:r>
        <w:rPr>
          <w:rFonts w:hint="default" w:ascii="Times New Roman" w:hAnsi="Times New Roman" w:eastAsia="仿宋_GB2312" w:cs="Times New Roman"/>
          <w:color w:val="auto"/>
          <w:sz w:val="24"/>
        </w:rPr>
        <w:t>评价假设表面流速为平均流速值1.25倍。</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sz w:val="24"/>
        </w:rPr>
        <w:t>③</w:t>
      </w:r>
      <w:r>
        <w:rPr>
          <w:rFonts w:hint="default" w:ascii="Times New Roman" w:hAnsi="Times New Roman" w:eastAsia="仿宋_GB2312" w:cs="Times New Roman"/>
          <w:color w:val="auto"/>
          <w:sz w:val="24"/>
        </w:rPr>
        <w:t>紊动扩散</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假定水平扩散各向同性，一个时间步长内α方向上的可能扩散距离Sα可表示为：</w:t>
      </w:r>
    </w:p>
    <w:p>
      <w:pPr>
        <w:widowControl w:val="0"/>
        <w:spacing w:line="360" w:lineRule="auto"/>
        <w:jc w:val="center"/>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object>
          <v:shape id="_x0000_i1119" o:spt="75" type="#_x0000_t75" style="height:21pt;width:93pt;" o:ole="t" filled="f" o:preferrelative="t" stroked="f" coordsize="21600,21600">
            <v:path/>
            <v:fill on="f" focussize="0,0"/>
            <v:stroke on="f" joinstyle="miter"/>
            <v:imagedata r:id="rId259" o:title=""/>
            <o:lock v:ext="edit" aspectratio="t"/>
            <w10:wrap type="none"/>
            <w10:anchorlock/>
          </v:shape>
          <o:OLEObject Type="Embed" ProgID="Equation.3" ShapeID="_x0000_i1119" DrawAspect="Content" ObjectID="_1468075819" r:id="rId258">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w:t>
      </w:r>
      <w:r>
        <w:rPr>
          <w:rFonts w:hint="default" w:ascii="Times New Roman" w:hAnsi="Times New Roman" w:eastAsia="仿宋_GB2312" w:cs="Times New Roman"/>
          <w:color w:val="auto"/>
          <w:sz w:val="24"/>
        </w:rPr>
        <w:object>
          <v:shape id="_x0000_i1120" o:spt="75" type="#_x0000_t75" style="height:21pt;width:24pt;" o:ole="t" filled="f" o:preferrelative="t" stroked="f" coordsize="21600,21600">
            <v:path/>
            <v:fill on="f" focussize="0,0"/>
            <v:stroke on="f" joinstyle="miter"/>
            <v:imagedata r:id="rId261" o:title=""/>
            <o:lock v:ext="edit" aspectratio="t"/>
            <w10:wrap type="none"/>
            <w10:anchorlock/>
          </v:shape>
          <o:OLEObject Type="Embed" ProgID="Equation.3" ShapeID="_x0000_i1120" DrawAspect="Content" ObjectID="_1468075820" r:id="rId260">
            <o:LockedField>false</o:LockedField>
          </o:OLEObject>
        </w:object>
      </w:r>
      <w:r>
        <w:rPr>
          <w:rFonts w:hint="default" w:ascii="Times New Roman" w:hAnsi="Times New Roman" w:eastAsia="仿宋_GB2312" w:cs="Times New Roman"/>
          <w:color w:val="auto"/>
          <w:sz w:val="24"/>
        </w:rPr>
        <w:t>为-1～1之间的随机数，Dα为α方向上的扩散系数。</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sz w:val="24"/>
        </w:rPr>
        <w:t>（2）</w:t>
      </w:r>
      <w:r>
        <w:rPr>
          <w:rFonts w:hint="default" w:ascii="Times New Roman" w:hAnsi="Times New Roman" w:eastAsia="仿宋_GB2312" w:cs="Times New Roman"/>
          <w:color w:val="auto"/>
          <w:sz w:val="24"/>
        </w:rPr>
        <w:t>风化过程</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油粒子的风化包括蒸发、溶解和乳化等各项风化过程，在这些过程中油粒子的组成发生变化，但油粒子水平位置没有变化。</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sz w:val="24"/>
        </w:rPr>
        <w:t>①</w:t>
      </w:r>
      <w:r>
        <w:rPr>
          <w:rFonts w:hint="default" w:ascii="Times New Roman" w:hAnsi="Times New Roman" w:eastAsia="仿宋_GB2312" w:cs="Times New Roman"/>
          <w:color w:val="auto"/>
          <w:sz w:val="24"/>
        </w:rPr>
        <w:t>蒸发</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蒸发将使溢油量减小，同时改变溢油的密度和粘性等物理性质。依据Reed</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1989</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提供的蒸发分数公式：</w:t>
      </w:r>
    </w:p>
    <w:p>
      <w:pPr>
        <w:adjustRightInd w:val="0"/>
        <w:snapToGrid w:val="0"/>
        <w:spacing w:before="60"/>
        <w:jc w:val="center"/>
        <w:rPr>
          <w:rFonts w:eastAsia="宋体"/>
          <w:color w:val="auto"/>
          <w:szCs w:val="20"/>
        </w:rPr>
      </w:pPr>
      <w:r>
        <w:rPr>
          <w:rFonts w:eastAsia="宋体"/>
          <w:color w:val="auto"/>
          <w:position w:val="-32"/>
          <w:szCs w:val="20"/>
        </w:rPr>
        <w:object>
          <v:shape id="_x0000_i1121" o:spt="75" type="#_x0000_t75" style="height:37.5pt;width:119.25pt;" o:ole="t" filled="f" o:preferrelative="t" stroked="f" coordsize="21600,21600">
            <v:path/>
            <v:fill on="f" focussize="0,0"/>
            <v:stroke on="f" joinstyle="miter"/>
            <v:imagedata r:id="rId263" o:title=""/>
            <o:lock v:ext="edit" aspectratio="t"/>
            <w10:wrap type="none"/>
            <w10:anchorlock/>
          </v:shape>
          <o:OLEObject Type="Embed" ProgID="Equation.3" ShapeID="_x0000_i1121" DrawAspect="Content" ObjectID="_1468075821" r:id="rId262">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式中，F</w:t>
      </w:r>
      <w:r>
        <w:rPr>
          <w:rFonts w:hint="default" w:ascii="Times New Roman" w:hAnsi="Times New Roman" w:eastAsia="仿宋_GB2312" w:cs="Times New Roman"/>
          <w:color w:val="auto"/>
          <w:sz w:val="24"/>
          <w:vertAlign w:val="subscript"/>
        </w:rPr>
        <w:t>v</w:t>
      </w:r>
      <w:r>
        <w:rPr>
          <w:rFonts w:hint="default" w:ascii="Times New Roman" w:hAnsi="Times New Roman" w:eastAsia="仿宋_GB2312" w:cs="Times New Roman"/>
          <w:color w:val="auto"/>
          <w:sz w:val="24"/>
        </w:rPr>
        <w:t>为蒸发量占液体总量的分数，F</w:t>
      </w:r>
      <w:r>
        <w:rPr>
          <w:rFonts w:hint="default" w:ascii="Times New Roman" w:hAnsi="Times New Roman" w:eastAsia="仿宋_GB2312" w:cs="Times New Roman"/>
          <w:color w:val="auto"/>
          <w:sz w:val="24"/>
          <w:vertAlign w:val="subscript"/>
        </w:rPr>
        <w:t>vmax</w:t>
      </w:r>
      <w:r>
        <w:rPr>
          <w:rFonts w:hint="default" w:ascii="Times New Roman" w:hAnsi="Times New Roman" w:eastAsia="仿宋_GB2312" w:cs="Times New Roman"/>
          <w:color w:val="auto"/>
          <w:sz w:val="24"/>
        </w:rPr>
        <w:t>为最大蒸发分数，如果F</w:t>
      </w:r>
      <w:r>
        <w:rPr>
          <w:rFonts w:hint="default" w:ascii="Times New Roman" w:hAnsi="Times New Roman" w:eastAsia="仿宋_GB2312" w:cs="Times New Roman"/>
          <w:color w:val="auto"/>
          <w:sz w:val="24"/>
          <w:vertAlign w:val="subscript"/>
        </w:rPr>
        <w:t>vmax</w:t>
      </w:r>
      <w:r>
        <w:rPr>
          <w:rFonts w:hint="eastAsia" w:ascii="Times New Roman" w:hAnsi="Times New Roman" w:eastAsia="仿宋_GB2312" w:cs="Times New Roman"/>
          <w:color w:val="auto"/>
          <w:sz w:val="24"/>
        </w:rPr>
        <w:t>-</w:t>
      </w:r>
      <w:r>
        <w:rPr>
          <w:rFonts w:hint="default" w:ascii="Times New Roman" w:hAnsi="Times New Roman" w:eastAsia="仿宋_GB2312" w:cs="Times New Roman"/>
          <w:color w:val="auto"/>
          <w:sz w:val="24"/>
        </w:rPr>
        <w:t>F</w:t>
      </w:r>
      <w:r>
        <w:rPr>
          <w:rFonts w:hint="default" w:ascii="Times New Roman" w:hAnsi="Times New Roman" w:eastAsia="仿宋_GB2312" w:cs="Times New Roman"/>
          <w:color w:val="auto"/>
          <w:sz w:val="24"/>
          <w:vertAlign w:val="subscript"/>
        </w:rPr>
        <w:t>v</w:t>
      </w:r>
      <w:r>
        <w:rPr>
          <w:rFonts w:hint="eastAsia" w:ascii="Times New Roman" w:hAnsi="Times New Roman" w:eastAsia="仿宋_GB2312" w:cs="Times New Roman"/>
          <w:color w:val="auto"/>
          <w:sz w:val="24"/>
        </w:rPr>
        <w:t>≤</w:t>
      </w:r>
      <w:r>
        <w:rPr>
          <w:rFonts w:hint="default" w:ascii="Times New Roman" w:hAnsi="Times New Roman" w:eastAsia="仿宋_GB2312" w:cs="Times New Roman"/>
          <w:color w:val="auto"/>
          <w:sz w:val="24"/>
        </w:rPr>
        <w:t>0时取值0，T为时间，蒸发系数</w:t>
      </w:r>
      <w:r>
        <w:rPr>
          <w:rFonts w:hint="eastAsia" w:ascii="Times New Roman" w:hAnsi="Times New Roman" w:eastAsia="仿宋_GB2312" w:cs="Times New Roman"/>
          <w:color w:val="auto"/>
          <w:sz w:val="24"/>
        </w:rPr>
        <w:t>θ</w:t>
      </w:r>
      <w:r>
        <w:rPr>
          <w:rFonts w:hint="default" w:ascii="Times New Roman" w:hAnsi="Times New Roman" w:eastAsia="仿宋_GB2312" w:cs="Times New Roman"/>
          <w:color w:val="auto"/>
          <w:sz w:val="24"/>
        </w:rPr>
        <w:t>依据stiver和Mackay（1985）的参数化公式：</w:t>
      </w:r>
    </w:p>
    <w:p>
      <w:pPr>
        <w:widowControl w:val="0"/>
        <w:spacing w:line="360" w:lineRule="auto"/>
        <w:jc w:val="center"/>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object>
          <v:shape id="_x0000_i1122" o:spt="75" type="#_x0000_t75" style="height:34.5pt;width:78pt;" o:ole="t" filled="f" o:preferrelative="t" stroked="f" coordsize="21600,21600">
            <v:path/>
            <v:fill on="f" focussize="0,0"/>
            <v:stroke on="f" joinstyle="miter"/>
            <v:imagedata r:id="rId265" o:title=""/>
            <o:lock v:ext="edit" aspectratio="t"/>
            <w10:wrap type="none"/>
            <w10:anchorlock/>
          </v:shape>
          <o:OLEObject Type="Embed" ProgID="Equation.3" ShapeID="_x0000_i1122" DrawAspect="Content" ObjectID="_1468075822" r:id="rId264">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w:t>
      </w:r>
      <w:r>
        <w:rPr>
          <w:rFonts w:hint="default" w:ascii="Times New Roman" w:hAnsi="Times New Roman" w:eastAsia="仿宋_GB2312" w:cs="Times New Roman"/>
          <w:color w:val="auto"/>
          <w:sz w:val="24"/>
        </w:rPr>
        <w:object>
          <v:shape id="_x0000_i1123" o:spt="75" type="#_x0000_t75" style="height:21pt;width:93pt;" o:ole="t" filled="f" o:preferrelative="t" stroked="f" coordsize="21600,21600">
            <v:path/>
            <v:fill on="f" focussize="0,0"/>
            <v:stroke on="f"/>
            <v:imagedata r:id="rId267" o:title=""/>
            <o:lock v:ext="edit" aspectratio="t"/>
            <w10:wrap type="none"/>
            <w10:anchorlock/>
          </v:shape>
          <o:OLEObject Type="Embed" ProgID="Equation.3" ShapeID="_x0000_i1123" DrawAspect="Content" ObjectID="_1468075823" r:id="rId266">
            <o:LockedField>false</o:LockedField>
          </o:OLEObject>
        </w:object>
      </w:r>
      <w:r>
        <w:rPr>
          <w:rFonts w:hint="default" w:ascii="Times New Roman" w:hAnsi="Times New Roman" w:eastAsia="仿宋_GB2312" w:cs="Times New Roman"/>
          <w:color w:val="auto"/>
          <w:sz w:val="24"/>
        </w:rPr>
        <w:t>，U</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为江面以上10m处的风速，A为油膜面积，V</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为溢油初始体积，</w:t>
      </w:r>
      <w:r>
        <w:rPr>
          <w:rFonts w:hint="eastAsia" w:ascii="Times New Roman" w:hAnsi="Times New Roman" w:eastAsia="仿宋_GB2312" w:cs="Times New Roman"/>
          <w:color w:val="auto"/>
          <w:sz w:val="24"/>
        </w:rPr>
        <w:t>δ</w:t>
      </w:r>
      <w:r>
        <w:rPr>
          <w:rFonts w:hint="default" w:ascii="Times New Roman" w:hAnsi="Times New Roman" w:eastAsia="仿宋_GB2312" w:cs="Times New Roman"/>
          <w:color w:val="auto"/>
          <w:sz w:val="24"/>
        </w:rPr>
        <w:t>为油膜厚度，T为时间。</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sz w:val="24"/>
        </w:rPr>
        <w:t>②</w:t>
      </w:r>
      <w:r>
        <w:rPr>
          <w:rFonts w:hint="default" w:ascii="Times New Roman" w:hAnsi="Times New Roman" w:eastAsia="仿宋_GB2312" w:cs="Times New Roman"/>
          <w:color w:val="auto"/>
          <w:sz w:val="24"/>
        </w:rPr>
        <w:t>乳化</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溢油的乳化过程受风速、油的厚道、环境温度、油风化程度等因素的影响，一般用含水率表示乳化程度。依据Mackay</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1980</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和Zagorski</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1982</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t>提供的含水率公式：</w:t>
      </w:r>
    </w:p>
    <w:p>
      <w:pPr>
        <w:widowControl w:val="0"/>
        <w:spacing w:line="360" w:lineRule="auto"/>
        <w:jc w:val="center"/>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object>
          <v:shape id="_x0000_i1124" o:spt="75" type="#_x0000_t75" style="height:37.5pt;width:130.5pt;" o:ole="t" filled="f" o:preferrelative="t" stroked="f" coordsize="21600,21600">
            <v:path/>
            <v:fill on="f" focussize="0,0"/>
            <v:stroke on="f" joinstyle="miter"/>
            <v:imagedata r:id="rId269" o:title=""/>
            <o:lock v:ext="edit" aspectratio="t"/>
            <w10:wrap type="none"/>
            <w10:anchorlock/>
          </v:shape>
          <o:OLEObject Type="Embed" ProgID="Equation.3" ShapeID="_x0000_i1124" DrawAspect="Content" ObjectID="_1468075824" r:id="rId268">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式中，F</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为乳化物的含水率，C</w:t>
      </w:r>
      <w:r>
        <w:rPr>
          <w:rFonts w:hint="default" w:ascii="Times New Roman" w:hAnsi="Times New Roman" w:eastAsia="仿宋_GB2312" w:cs="Times New Roman"/>
          <w:color w:val="auto"/>
          <w:sz w:val="24"/>
          <w:vertAlign w:val="subscript"/>
        </w:rPr>
        <w:t>1</w:t>
      </w:r>
      <w:r>
        <w:rPr>
          <w:rFonts w:hint="default" w:ascii="Times New Roman" w:hAnsi="Times New Roman" w:eastAsia="仿宋_GB2312" w:cs="Times New Roman"/>
          <w:color w:val="auto"/>
          <w:sz w:val="24"/>
        </w:rPr>
        <w:t>＝2.1</w:t>
      </w:r>
      <w:r>
        <w:rPr>
          <w:rFonts w:hint="eastAsia" w:ascii="Times New Roman" w:hAnsi="Times New Roman" w:eastAsia="仿宋_GB2312" w:cs="Times New Roman"/>
          <w:color w:val="auto"/>
          <w:sz w:val="24"/>
        </w:rPr>
        <w:t>×</w:t>
      </w:r>
      <w:r>
        <w:rPr>
          <w:rFonts w:hint="default" w:ascii="Times New Roman" w:hAnsi="Times New Roman" w:eastAsia="仿宋_GB2312" w:cs="Times New Roman"/>
          <w:color w:val="auto"/>
          <w:sz w:val="24"/>
        </w:rPr>
        <w:t>10</w:t>
      </w:r>
      <w:r>
        <w:rPr>
          <w:rFonts w:hint="eastAsia" w:ascii="Times New Roman" w:hAnsi="Times New Roman" w:eastAsia="仿宋_GB2312" w:cs="Times New Roman"/>
          <w:color w:val="auto"/>
          <w:sz w:val="24"/>
          <w:vertAlign w:val="superscript"/>
        </w:rPr>
        <w:t>-</w:t>
      </w:r>
      <w:r>
        <w:rPr>
          <w:rFonts w:hint="default" w:ascii="Times New Roman" w:hAnsi="Times New Roman" w:eastAsia="仿宋_GB2312" w:cs="Times New Roman"/>
          <w:color w:val="auto"/>
          <w:sz w:val="24"/>
          <w:vertAlign w:val="superscript"/>
        </w:rPr>
        <w:t>6</w:t>
      </w:r>
      <w:r>
        <w:rPr>
          <w:rFonts w:hint="default" w:ascii="Times New Roman" w:hAnsi="Times New Roman" w:eastAsia="仿宋_GB2312" w:cs="Times New Roman"/>
          <w:color w:val="auto"/>
          <w:sz w:val="24"/>
        </w:rPr>
        <w:t>，U</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为风速，家用燃料油C</w:t>
      </w:r>
      <w:r>
        <w:rPr>
          <w:rFonts w:hint="default" w:ascii="Times New Roman" w:hAnsi="Times New Roman" w:eastAsia="仿宋_GB2312" w:cs="Times New Roman"/>
          <w:color w:val="auto"/>
          <w:sz w:val="24"/>
          <w:vertAlign w:val="subscript"/>
        </w:rPr>
        <w:t>2</w:t>
      </w:r>
      <w:r>
        <w:rPr>
          <w:rFonts w:hint="default" w:ascii="Times New Roman" w:hAnsi="Times New Roman" w:eastAsia="仿宋_GB2312" w:cs="Times New Roman"/>
          <w:color w:val="auto"/>
          <w:sz w:val="24"/>
        </w:rPr>
        <w:t>＝0.25、原油和重油C</w:t>
      </w:r>
      <w:r>
        <w:rPr>
          <w:rFonts w:hint="default" w:ascii="Times New Roman" w:hAnsi="Times New Roman" w:eastAsia="仿宋_GB2312" w:cs="Times New Roman"/>
          <w:color w:val="auto"/>
          <w:sz w:val="24"/>
          <w:vertAlign w:val="subscript"/>
        </w:rPr>
        <w:t>2</w:t>
      </w:r>
      <w:r>
        <w:rPr>
          <w:rFonts w:hint="default" w:ascii="Times New Roman" w:hAnsi="Times New Roman" w:eastAsia="仿宋_GB2312" w:cs="Times New Roman"/>
          <w:color w:val="auto"/>
          <w:sz w:val="24"/>
        </w:rPr>
        <w:t>＝0.7（Reed，1989），T为时间。</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eastAsia" w:ascii="Times New Roman" w:hAnsi="Times New Roman" w:eastAsia="仿宋_GB2312" w:cs="Times New Roman"/>
          <w:color w:val="auto"/>
          <w:sz w:val="24"/>
        </w:rPr>
        <w:t>③</w:t>
      </w:r>
      <w:r>
        <w:rPr>
          <w:rFonts w:hint="default" w:ascii="Times New Roman" w:hAnsi="Times New Roman" w:eastAsia="仿宋_GB2312" w:cs="Times New Roman"/>
          <w:color w:val="auto"/>
          <w:sz w:val="24"/>
        </w:rPr>
        <w:t>溢油性质变化</w: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随着蒸发和乳化等变化过程的进行，残留在水体中的溢油性质也不断发生变化，主要表现为：</w:t>
      </w:r>
    </w:p>
    <w:p>
      <w:pPr>
        <w:widowControl w:val="0"/>
        <w:spacing w:line="360" w:lineRule="auto"/>
        <w:jc w:val="center"/>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溢油体积的变化</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object>
          <v:shape id="_x0000_i1125" o:spt="75" type="#_x0000_t75" style="height:18pt;width:128.25pt;" o:ole="t" filled="f" o:preferrelative="t" stroked="f" coordsize="21600,21600">
            <v:path/>
            <v:fill on="f" focussize="0,0"/>
            <v:stroke on="f" joinstyle="miter"/>
            <v:imagedata r:id="rId271" o:title=""/>
            <o:lock v:ext="edit" aspectratio="t"/>
            <w10:wrap type="none"/>
            <w10:anchorlock/>
          </v:shape>
          <o:OLEObject Type="Embed" ProgID="Equation.3" ShapeID="_x0000_i1125" DrawAspect="Content" ObjectID="_1468075825" r:id="rId270">
            <o:LockedField>false</o:LockedField>
          </o:OLEObject>
        </w:object>
      </w:r>
    </w:p>
    <w:p>
      <w:pPr>
        <w:widowControl w:val="0"/>
        <w:spacing w:line="360" w:lineRule="auto"/>
        <w:jc w:val="center"/>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溢油密度变化</w:t>
      </w:r>
      <w:r>
        <w:rPr>
          <w:rFonts w:hint="eastAsia" w:eastAsia="仿宋_GB2312" w:cs="Times New Roman"/>
          <w:color w:val="auto"/>
          <w:sz w:val="24"/>
          <w:lang w:eastAsia="zh-CN"/>
        </w:rPr>
        <w:t>：</w:t>
      </w:r>
      <w:r>
        <w:rPr>
          <w:rFonts w:hint="default" w:ascii="Times New Roman" w:hAnsi="Times New Roman" w:eastAsia="仿宋_GB2312" w:cs="Times New Roman"/>
          <w:color w:val="auto"/>
          <w:sz w:val="24"/>
        </w:rPr>
        <w:object>
          <v:shape id="_x0000_i1126" o:spt="75" type="#_x0000_t75" style="height:18pt;width:200.25pt;" o:ole="t" filled="f" o:preferrelative="t" stroked="f" coordsize="21600,21600">
            <v:path/>
            <v:fill on="f" focussize="0,0"/>
            <v:stroke on="f" joinstyle="miter"/>
            <v:imagedata r:id="rId273" o:title=""/>
            <o:lock v:ext="edit" aspectratio="t"/>
            <w10:wrap type="none"/>
            <w10:anchorlock/>
          </v:shape>
          <o:OLEObject Type="Embed" ProgID="Equation.3" ShapeID="_x0000_i1126" DrawAspect="Content" ObjectID="_1468075826" r:id="rId272">
            <o:LockedField>false</o:LockedField>
          </o:OLEObject>
        </w:object>
      </w:r>
    </w:p>
    <w:p>
      <w:pPr>
        <w:widowControl w:val="0"/>
        <w:spacing w:line="360" w:lineRule="auto"/>
        <w:ind w:firstLine="480" w:firstLineChars="200"/>
        <w:jc w:val="both"/>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式中，ρ</w:t>
      </w:r>
      <w:r>
        <w:rPr>
          <w:rFonts w:hint="default" w:ascii="Times New Roman" w:hAnsi="Times New Roman" w:eastAsia="仿宋_GB2312" w:cs="Times New Roman"/>
          <w:color w:val="auto"/>
          <w:sz w:val="24"/>
          <w:vertAlign w:val="subscript"/>
        </w:rPr>
        <w:t>0</w:t>
      </w:r>
      <w:r>
        <w:rPr>
          <w:rFonts w:hint="default" w:ascii="Times New Roman" w:hAnsi="Times New Roman" w:eastAsia="仿宋_GB2312" w:cs="Times New Roman"/>
          <w:color w:val="auto"/>
          <w:sz w:val="24"/>
        </w:rPr>
        <w:t>为乳化前油的初始密度，ρ</w:t>
      </w:r>
      <w:r>
        <w:rPr>
          <w:rFonts w:hint="default" w:ascii="Times New Roman" w:hAnsi="Times New Roman" w:eastAsia="仿宋_GB2312" w:cs="Times New Roman"/>
          <w:color w:val="auto"/>
          <w:sz w:val="24"/>
          <w:vertAlign w:val="subscript"/>
        </w:rPr>
        <w:t>w</w:t>
      </w:r>
      <w:r>
        <w:rPr>
          <w:rFonts w:hint="default" w:ascii="Times New Roman" w:hAnsi="Times New Roman" w:eastAsia="仿宋_GB2312" w:cs="Times New Roman"/>
          <w:color w:val="auto"/>
          <w:sz w:val="24"/>
        </w:rPr>
        <w:t>为水密度。</w:t>
      </w:r>
    </w:p>
    <w:p>
      <w:pPr>
        <w:pStyle w:val="9"/>
        <w:widowControl w:val="0"/>
        <w:spacing w:before="120" w:after="120" w:line="360" w:lineRule="auto"/>
        <w:rPr>
          <w:rFonts w:hint="default" w:eastAsia="黑体"/>
          <w:b w:val="0"/>
          <w:color w:val="auto"/>
          <w:sz w:val="24"/>
          <w:lang w:val="en-US" w:eastAsia="zh-CN"/>
        </w:rPr>
      </w:pPr>
      <w:bookmarkStart w:id="478" w:name="_Toc6412"/>
      <w:r>
        <w:rPr>
          <w:rFonts w:hint="eastAsia" w:eastAsia="黑体"/>
          <w:b w:val="0"/>
          <w:color w:val="auto"/>
          <w:sz w:val="24"/>
          <w:lang w:val="en-US" w:eastAsia="zh-CN"/>
        </w:rPr>
        <w:t>7.8.3预测参数</w:t>
      </w:r>
      <w:bookmarkEnd w:id="478"/>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7.8.3.1油粒子参数</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模拟的精度一般采用最小浓度（厚度）来表示，该浓度（厚度）由单个粒子在一个计算网格单元表征。最小浓度（厚度）为单个粒子的质量除以其所处的网格的体积，其计算式表示如下：</w:t>
      </w:r>
    </w:p>
    <w:p>
      <w:pPr>
        <w:widowControl w:val="0"/>
        <w:spacing w:line="360" w:lineRule="auto"/>
        <w:jc w:val="center"/>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object>
          <v:shape id="_x0000_i1127" o:spt="75" type="#_x0000_t75" style="height:36.75pt;width:186.75pt;" o:ole="t" filled="f" o:preferrelative="t" stroked="f" coordsize="21600,21600">
            <v:path/>
            <v:fill on="f" focussize="0,0"/>
            <v:stroke on="f" joinstyle="miter"/>
            <v:imagedata r:id="rId275" o:title=""/>
            <o:lock v:ext="edit" aspectratio="t"/>
            <w10:wrap type="none"/>
            <w10:anchorlock/>
          </v:shape>
          <o:OLEObject Type="Embed" ProgID="Equation.3" ShapeID="_x0000_i1127" DrawAspect="Content" ObjectID="_1468075827" r:id="rId274">
            <o:LockedField>false</o:LockedField>
          </o:OLEObject>
        </w:objec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式中，C</w:t>
      </w:r>
      <w:r>
        <w:rPr>
          <w:rFonts w:hint="eastAsia" w:ascii="Times New Roman" w:hAnsi="Times New Roman" w:eastAsia="仿宋_GB2312" w:cs="Times New Roman"/>
          <w:color w:val="auto"/>
          <w:sz w:val="24"/>
          <w:vertAlign w:val="subscript"/>
        </w:rPr>
        <w:t>min</w:t>
      </w:r>
      <w:r>
        <w:rPr>
          <w:rFonts w:hint="eastAsia" w:ascii="Times New Roman" w:hAnsi="Times New Roman" w:eastAsia="仿宋_GB2312" w:cs="Times New Roman"/>
          <w:color w:val="auto"/>
          <w:sz w:val="24"/>
        </w:rPr>
        <w:t>为最小浓度（厚度）；m</w:t>
      </w:r>
      <w:r>
        <w:rPr>
          <w:rFonts w:hint="eastAsia" w:ascii="Times New Roman" w:hAnsi="Times New Roman" w:eastAsia="仿宋_GB2312" w:cs="Times New Roman"/>
          <w:color w:val="auto"/>
          <w:sz w:val="24"/>
          <w:vertAlign w:val="subscript"/>
        </w:rPr>
        <w:t>particle</w:t>
      </w:r>
      <w:r>
        <w:rPr>
          <w:rFonts w:hint="eastAsia" w:ascii="Times New Roman" w:hAnsi="Times New Roman" w:eastAsia="仿宋_GB2312" w:cs="Times New Roman"/>
          <w:color w:val="auto"/>
          <w:sz w:val="24"/>
        </w:rPr>
        <w:t>为单个油粒子的质量；A</w:t>
      </w:r>
      <w:r>
        <w:rPr>
          <w:rFonts w:hint="eastAsia" w:ascii="Times New Roman" w:hAnsi="Times New Roman" w:eastAsia="仿宋_GB2312" w:cs="Times New Roman"/>
          <w:color w:val="auto"/>
          <w:sz w:val="24"/>
          <w:vertAlign w:val="subscript"/>
        </w:rPr>
        <w:t>cell</w:t>
      </w:r>
      <w:r>
        <w:rPr>
          <w:rFonts w:hint="eastAsia" w:ascii="Times New Roman" w:hAnsi="Times New Roman" w:eastAsia="仿宋_GB2312" w:cs="Times New Roman"/>
          <w:color w:val="auto"/>
          <w:sz w:val="24"/>
        </w:rPr>
        <w:t>为网格单元的面积；h</w:t>
      </w:r>
      <w:r>
        <w:rPr>
          <w:rFonts w:hint="eastAsia" w:ascii="Times New Roman" w:hAnsi="Times New Roman" w:eastAsia="仿宋_GB2312" w:cs="Times New Roman"/>
          <w:color w:val="auto"/>
          <w:sz w:val="24"/>
          <w:vertAlign w:val="subscript"/>
        </w:rPr>
        <w:t>layer</w:t>
      </w:r>
      <w:r>
        <w:rPr>
          <w:rFonts w:hint="eastAsia" w:ascii="Times New Roman" w:hAnsi="Times New Roman" w:eastAsia="仿宋_GB2312" w:cs="Times New Roman"/>
          <w:color w:val="auto"/>
          <w:sz w:val="24"/>
        </w:rPr>
        <w:t>为水深。</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7.8.3.2参数选取</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根据溢油种类，确定模型输入参数，详见表</w:t>
      </w:r>
      <w:r>
        <w:rPr>
          <w:rFonts w:hint="eastAsia" w:eastAsia="仿宋_GB2312" w:cs="Times New Roman"/>
          <w:color w:val="auto"/>
          <w:sz w:val="24"/>
          <w:lang w:val="en-US" w:eastAsia="zh-CN"/>
        </w:rPr>
        <w:t>7.8</w:t>
      </w: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2</w:t>
      </w:r>
      <w:r>
        <w:rPr>
          <w:rFonts w:hint="eastAsia" w:ascii="Times New Roman" w:hAnsi="Times New Roman" w:eastAsia="仿宋_GB2312" w:cs="Times New Roman"/>
          <w:color w:val="auto"/>
          <w:sz w:val="24"/>
        </w:rPr>
        <w:t>。</w:t>
      </w:r>
    </w:p>
    <w:p>
      <w:pPr>
        <w:widowControl w:val="0"/>
        <w:spacing w:line="360" w:lineRule="auto"/>
        <w:jc w:val="center"/>
        <w:rPr>
          <w:rFonts w:hint="eastAsia" w:eastAsia="黑体"/>
          <w:b/>
          <w:color w:val="auto"/>
          <w:szCs w:val="21"/>
        </w:rPr>
      </w:pPr>
      <w:r>
        <w:rPr>
          <w:rFonts w:hint="eastAsia" w:eastAsia="黑体"/>
          <w:b/>
          <w:color w:val="auto"/>
          <w:szCs w:val="21"/>
        </w:rPr>
        <w:t>表</w:t>
      </w:r>
      <w:r>
        <w:rPr>
          <w:rFonts w:hint="eastAsia" w:eastAsia="黑体"/>
          <w:b/>
          <w:color w:val="auto"/>
          <w:szCs w:val="21"/>
          <w:lang w:val="en-US" w:eastAsia="zh-CN"/>
        </w:rPr>
        <w:t>7.8</w:t>
      </w:r>
      <w:r>
        <w:rPr>
          <w:rFonts w:hint="eastAsia" w:eastAsia="黑体"/>
          <w:b/>
          <w:color w:val="auto"/>
          <w:szCs w:val="21"/>
        </w:rPr>
        <w:t>-</w:t>
      </w:r>
      <w:r>
        <w:rPr>
          <w:rFonts w:hint="eastAsia" w:eastAsia="黑体"/>
          <w:b/>
          <w:color w:val="auto"/>
          <w:szCs w:val="21"/>
          <w:lang w:val="en-US" w:eastAsia="zh-CN"/>
        </w:rPr>
        <w:t>2</w:t>
      </w:r>
      <w:r>
        <w:rPr>
          <w:rFonts w:hint="eastAsia" w:eastAsia="黑体"/>
          <w:b/>
          <w:color w:val="auto"/>
          <w:szCs w:val="21"/>
        </w:rPr>
        <w:t xml:space="preserve">  溢油模型参数</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044"/>
        <w:gridCol w:w="3646"/>
        <w:gridCol w:w="36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tcBorders>
              <w:bottom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序号</w:t>
            </w:r>
          </w:p>
        </w:tc>
        <w:tc>
          <w:tcPr>
            <w:tcW w:w="2197" w:type="pct"/>
            <w:tcBorders>
              <w:bottom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计算参数</w:t>
            </w:r>
          </w:p>
        </w:tc>
        <w:tc>
          <w:tcPr>
            <w:tcW w:w="2173" w:type="pct"/>
            <w:tcBorders>
              <w:bottom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选取值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tcBorders>
              <w:top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w:t>
            </w:r>
          </w:p>
        </w:tc>
        <w:tc>
          <w:tcPr>
            <w:tcW w:w="2197" w:type="pct"/>
            <w:tcBorders>
              <w:top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溢油量</w:t>
            </w:r>
          </w:p>
        </w:tc>
        <w:tc>
          <w:tcPr>
            <w:tcW w:w="2173" w:type="pct"/>
            <w:tcBorders>
              <w:top w:val="single" w:color="auto" w:sz="12" w:space="0"/>
            </w:tcBorders>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41.5</w:t>
            </w:r>
            <w:r>
              <w:rPr>
                <w:rFonts w:hint="eastAsia" w:ascii="Times New Roman" w:hAnsi="Times New Roman" w:eastAsia="宋体" w:cs="Times New Roman"/>
                <w:color w:val="auto"/>
                <w:kern w:val="2"/>
                <w:sz w:val="20"/>
                <w:lang w:val="en-US" w:eastAsia="zh-CN" w:bidi="ar-SA"/>
              </w:rPr>
              <w:t>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油的运动粘度</w:t>
            </w:r>
          </w:p>
        </w:tc>
        <w:tc>
          <w:tcPr>
            <w:tcW w:w="2173"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10cSt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3</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时间步长</w:t>
            </w:r>
          </w:p>
        </w:tc>
        <w:tc>
          <w:tcPr>
            <w:tcW w:w="2173"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cs="Times New Roman"/>
                <w:color w:val="auto"/>
                <w:kern w:val="2"/>
                <w:sz w:val="20"/>
                <w:lang w:val="en-US" w:eastAsia="zh-CN" w:bidi="ar-SA"/>
              </w:rPr>
              <w:t>1min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4</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乳化系数</w:t>
            </w:r>
          </w:p>
        </w:tc>
        <w:tc>
          <w:tcPr>
            <w:tcW w:w="2173" w:type="pct"/>
            <w:vAlign w:val="center"/>
          </w:tcPr>
          <w:p>
            <w:pPr>
              <w:widowControl w:val="0"/>
              <w:adjustRightInd w:val="0"/>
              <w:snapToGrid w:val="0"/>
              <w:jc w:val="center"/>
              <w:rPr>
                <w:rFonts w:hint="default"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2.1*10</w:t>
            </w:r>
            <w:r>
              <w:rPr>
                <w:rFonts w:hint="eastAsia" w:ascii="Times New Roman" w:hAnsi="Times New Roman" w:eastAsia="宋体" w:cs="Times New Roman"/>
                <w:color w:val="auto"/>
                <w:kern w:val="2"/>
                <w:sz w:val="20"/>
                <w:vertAlign w:val="superscript"/>
                <w:lang w:val="en-US" w:eastAsia="zh-CN" w:bidi="ar-SA"/>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5</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蒸发系数</w:t>
            </w:r>
          </w:p>
        </w:tc>
        <w:tc>
          <w:tcPr>
            <w:tcW w:w="21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0.05day-1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6</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粒子数</w:t>
            </w:r>
          </w:p>
        </w:tc>
        <w:tc>
          <w:tcPr>
            <w:tcW w:w="21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520000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7</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比重</w:t>
            </w:r>
          </w:p>
        </w:tc>
        <w:tc>
          <w:tcPr>
            <w:tcW w:w="21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0.85×10</w:t>
            </w:r>
            <w:r>
              <w:rPr>
                <w:rFonts w:hint="eastAsia" w:ascii="Times New Roman" w:hAnsi="Times New Roman" w:eastAsia="宋体" w:cs="Times New Roman"/>
                <w:color w:val="auto"/>
                <w:kern w:val="2"/>
                <w:sz w:val="20"/>
                <w:vertAlign w:val="superscript"/>
                <w:lang w:val="en-US" w:eastAsia="zh-CN" w:bidi="ar-SA"/>
              </w:rPr>
              <w:t>3</w:t>
            </w:r>
            <w:r>
              <w:rPr>
                <w:rFonts w:hint="eastAsia" w:ascii="Times New Roman" w:hAnsi="Times New Roman" w:eastAsia="宋体" w:cs="Times New Roman"/>
                <w:color w:val="auto"/>
                <w:kern w:val="2"/>
                <w:sz w:val="20"/>
                <w:lang w:val="en-US" w:eastAsia="zh-CN" w:bidi="ar-SA"/>
              </w:rPr>
              <w:t>kg/m</w:t>
            </w:r>
            <w:r>
              <w:rPr>
                <w:rFonts w:hint="eastAsia" w:ascii="Times New Roman" w:hAnsi="Times New Roman" w:eastAsia="宋体" w:cs="Times New Roman"/>
                <w:color w:val="auto"/>
                <w:kern w:val="2"/>
                <w:sz w:val="20"/>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9" w:hRule="atLeast"/>
          <w:tblHeader/>
          <w:jc w:val="center"/>
        </w:trPr>
        <w:tc>
          <w:tcPr>
            <w:tcW w:w="629"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8</w:t>
            </w:r>
          </w:p>
        </w:tc>
        <w:tc>
          <w:tcPr>
            <w:tcW w:w="2197"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水运动粘性系数</w:t>
            </w:r>
          </w:p>
        </w:tc>
        <w:tc>
          <w:tcPr>
            <w:tcW w:w="2173" w:type="pct"/>
            <w:vAlign w:val="center"/>
          </w:tcPr>
          <w:p>
            <w:pPr>
              <w:widowControl w:val="0"/>
              <w:adjustRightInd w:val="0"/>
              <w:snapToGrid w:val="0"/>
              <w:jc w:val="center"/>
              <w:rPr>
                <w:rFonts w:hint="eastAsia" w:ascii="Times New Roman" w:hAnsi="Times New Roman" w:eastAsia="宋体" w:cs="Times New Roman"/>
                <w:color w:val="auto"/>
                <w:kern w:val="2"/>
                <w:sz w:val="20"/>
                <w:lang w:val="en-US" w:eastAsia="zh-CN" w:bidi="ar-SA"/>
              </w:rPr>
            </w:pPr>
            <w:r>
              <w:rPr>
                <w:rFonts w:hint="eastAsia" w:ascii="Times New Roman" w:hAnsi="Times New Roman" w:eastAsia="宋体" w:cs="Times New Roman"/>
                <w:color w:val="auto"/>
                <w:kern w:val="2"/>
                <w:sz w:val="20"/>
                <w:lang w:val="en-US" w:eastAsia="zh-CN" w:bidi="ar-SA"/>
              </w:rPr>
              <w:t>1.31×10</w:t>
            </w:r>
            <w:r>
              <w:rPr>
                <w:rFonts w:hint="eastAsia" w:ascii="Times New Roman" w:hAnsi="Times New Roman" w:eastAsia="宋体" w:cs="Times New Roman"/>
                <w:color w:val="auto"/>
                <w:kern w:val="2"/>
                <w:sz w:val="20"/>
                <w:vertAlign w:val="superscript"/>
                <w:lang w:val="en-US" w:eastAsia="zh-CN" w:bidi="ar-SA"/>
              </w:rPr>
              <w:t>-6</w:t>
            </w:r>
            <w:r>
              <w:rPr>
                <w:rFonts w:hint="eastAsia" w:ascii="Times New Roman" w:hAnsi="Times New Roman" w:eastAsia="宋体" w:cs="Times New Roman"/>
                <w:color w:val="auto"/>
                <w:kern w:val="2"/>
                <w:sz w:val="20"/>
                <w:lang w:val="en-US" w:eastAsia="zh-CN" w:bidi="ar-SA"/>
              </w:rPr>
              <w:t>m</w:t>
            </w:r>
            <w:r>
              <w:rPr>
                <w:rFonts w:hint="eastAsia" w:ascii="Times New Roman" w:hAnsi="Times New Roman" w:eastAsia="宋体" w:cs="Times New Roman"/>
                <w:color w:val="auto"/>
                <w:kern w:val="2"/>
                <w:sz w:val="20"/>
                <w:vertAlign w:val="superscript"/>
                <w:lang w:val="en-US" w:eastAsia="zh-CN" w:bidi="ar-SA"/>
              </w:rPr>
              <w:t>2</w:t>
            </w:r>
            <w:r>
              <w:rPr>
                <w:rFonts w:hint="eastAsia" w:ascii="Times New Roman" w:hAnsi="Times New Roman" w:eastAsia="宋体" w:cs="Times New Roman"/>
                <w:color w:val="auto"/>
                <w:kern w:val="2"/>
                <w:sz w:val="20"/>
                <w:lang w:val="en-US" w:eastAsia="zh-CN" w:bidi="ar-SA"/>
              </w:rPr>
              <w:t>/sec</w:t>
            </w:r>
          </w:p>
        </w:tc>
      </w:tr>
    </w:tbl>
    <w:p>
      <w:pPr>
        <w:pStyle w:val="9"/>
        <w:widowControl w:val="0"/>
        <w:spacing w:before="120" w:after="120" w:line="360" w:lineRule="auto"/>
        <w:rPr>
          <w:rFonts w:hint="default" w:eastAsia="黑体"/>
          <w:b w:val="0"/>
          <w:color w:val="auto"/>
          <w:sz w:val="24"/>
          <w:lang w:val="en-US" w:eastAsia="zh-CN"/>
        </w:rPr>
      </w:pPr>
      <w:bookmarkStart w:id="479" w:name="_Toc23743"/>
      <w:r>
        <w:rPr>
          <w:rFonts w:hint="eastAsia" w:eastAsia="黑体"/>
          <w:b w:val="0"/>
          <w:color w:val="auto"/>
          <w:sz w:val="24"/>
          <w:lang w:val="en-US" w:eastAsia="zh-CN"/>
        </w:rPr>
        <w:t>7.8.4预测结果及分析</w:t>
      </w:r>
      <w:bookmarkEnd w:id="479"/>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根据模型预测，4种风险组合条件下溢油事故发生后的油膜漂移扩散范围见图</w:t>
      </w:r>
      <w:r>
        <w:rPr>
          <w:rFonts w:hint="eastAsia" w:eastAsia="仿宋_GB2312"/>
          <w:color w:val="auto"/>
          <w:sz w:val="24"/>
          <w:lang w:val="en-US" w:eastAsia="zh-CN"/>
        </w:rPr>
        <w:t>7.8-1</w:t>
      </w:r>
      <w:r>
        <w:rPr>
          <w:rFonts w:hint="eastAsia" w:eastAsia="仿宋_GB2312"/>
          <w:color w:val="auto"/>
          <w:sz w:val="24"/>
        </w:rPr>
        <w:t>~图</w:t>
      </w:r>
      <w:r>
        <w:rPr>
          <w:rFonts w:hint="eastAsia" w:eastAsia="仿宋_GB2312"/>
          <w:color w:val="auto"/>
          <w:sz w:val="24"/>
          <w:lang w:val="en-US" w:eastAsia="zh-CN"/>
        </w:rPr>
        <w:t>7.8-4</w:t>
      </w:r>
      <w:r>
        <w:rPr>
          <w:rFonts w:hint="eastAsia" w:eastAsia="仿宋_GB2312"/>
          <w:color w:val="auto"/>
          <w:sz w:val="24"/>
        </w:rPr>
        <w:t>（图中数字表示发生溢油后到达所在位置的时间，单位：h）。从计算结果可见，不同组合情况下油膜漂移轨迹有差异，油膜漂移主要取决于风况与水流的共同作用。</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7.8.4.1丰水期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主导风向ES、平均风速1.0m/s条件下，码头前沿发生溢油事故时，油膜向下游方向飘移。第3.13h油膜到达百里洲水厂取水口二级水源保护区水域，持续污染04h后不再对其产生污染影响；第3.67h油膜到达百里洲水厂取水口一级水源保护区水域，持续污染0.22h后不再对其产生污染影响；第3.47h油膜到达百里洲水厂取水口水域附近，持续污染0.07h后不再对其产生污染影响；第3.5h油膜到达百里洲水厂取水口二级水源保护区水域，持续污染0.1h后不再对其产生污染影响；此后油膜继续向下游漂移直至消散。</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不利风向SW、最大风速10.8m/s条件下，码头前沿发生溢油事故时，油膜向下游方向飘移，第2.93h油膜到达百里洲水厂取水口二级水源保护区水域，持续污染0.28h后不再对其产生污染影响；第3.17h油膜到达百里洲水厂取水口一级水源保护区水域，持续污染0.17h后不再对其产生污染影响；第3.3h油膜到达百里洲水厂取水口水域附近，持续污染0.05h后不再对其产生污染影响；第3.33h油膜到达百里洲水厂取水口二级水源保护区水域，持续污染0.07h后不再对其产生污染影响；此后油膜继续向下游漂移直至消散。</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7.8.4.2平水期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主导风向ES、平均风速1.0m/s条件下，第3.87h油膜到达百里洲水厂取水口二级水源保护区水域，持续污染0.62h后不再对其产生污染影响；第4.17h油膜到达百里洲水厂取水口一级水源保护区水域，持续污染0.37h后不再对其产生污染影响；第4.27h油膜到达百里洲水厂取水口水域附近，持续污染0.12h后不再对其产生污染影响；第4.3h油膜到达百里洲水厂取水口二级水源保护区水域，持续污染0.17h后不再对其产生污染影响；此后油膜继续向下游漂移直至消散。</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不利风向SW、最大风速10.8m/s条件下，码头前沿发生溢油事故时，油膜向下游方向飘移，第3.67h油膜到达百里洲水厂取水口二级水源保护区水域，持续污染0.50h后不再对其产生污染影响；第3.93h油膜到达百里洲水厂取水口一级水源保护区水域，持续污染0.28h后不再对其产生污染影响；第4.03h油膜到达百里洲水厂取水口水域附近，持续污染0.08h后不再对其产生污染影响；第4.07h油膜到达百里洲水厂取水口二级水源保护区水域，持续污染0.12h后不再对其产生污染影响；此后油膜继续向下游漂移直至消散。</w:t>
      </w:r>
    </w:p>
    <w:p>
      <w:pPr>
        <w:widowControl w:val="0"/>
        <w:spacing w:line="360" w:lineRule="auto"/>
        <w:ind w:firstLine="480" w:firstLineChars="200"/>
        <w:jc w:val="both"/>
        <w:rPr>
          <w:rFonts w:hint="eastAsia" w:eastAsia="仿宋_GB2312"/>
          <w:color w:val="auto"/>
          <w:sz w:val="24"/>
        </w:rPr>
        <w:sectPr>
          <w:headerReference r:id="rId23"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eastAsia="仿宋_GB2312"/>
          <w:color w:val="auto"/>
          <w:sz w:val="24"/>
        </w:rPr>
        <w:t>由于溢油事故中无论是溢油量还是溢油时间均有较大的不确定性，为此，一旦发生事故需尽快启动溢油应急预案进行处理。溢油事故本身对水环境、生态环境影响巨大，需对溢油事故严加防范杜绝发生，避免造成经济损失和环境污染。</w:t>
      </w:r>
    </w:p>
    <w:p>
      <w:pPr>
        <w:tabs>
          <w:tab w:val="left" w:pos="1875"/>
        </w:tabs>
        <w:jc w:val="center"/>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drawing>
          <wp:inline distT="0" distB="0" distL="0" distR="0">
            <wp:extent cx="7329170" cy="5076825"/>
            <wp:effectExtent l="0" t="0" r="508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6" cstate="print">
                      <a:extLst>
                        <a:ext uri="{28A0092B-C50C-407E-A947-70E740481C1C}">
                          <a14:useLocalDpi xmlns:a14="http://schemas.microsoft.com/office/drawing/2010/main" val="0"/>
                        </a:ext>
                      </a:extLst>
                    </a:blip>
                    <a:srcRect l="1272" t="2398" r="1501" b="2348"/>
                    <a:stretch>
                      <a:fillRect/>
                    </a:stretch>
                  </pic:blipFill>
                  <pic:spPr>
                    <a:xfrm>
                      <a:off x="0" y="0"/>
                      <a:ext cx="7329170" cy="5076825"/>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w:t>
      </w:r>
      <w:r>
        <w:rPr>
          <w:rFonts w:hint="eastAsia" w:eastAsia="黑体"/>
          <w:b/>
          <w:color w:val="auto"/>
          <w:szCs w:val="21"/>
          <w:lang w:val="en-US" w:eastAsia="zh-CN"/>
        </w:rPr>
        <w:t>7.8-1</w:t>
      </w:r>
      <w:r>
        <w:rPr>
          <w:rFonts w:hint="eastAsia" w:eastAsia="黑体"/>
          <w:b/>
          <w:color w:val="auto"/>
          <w:szCs w:val="21"/>
        </w:rPr>
        <w:t xml:space="preserve"> </w:t>
      </w:r>
      <w:r>
        <w:rPr>
          <w:rFonts w:hint="eastAsia" w:eastAsia="黑体"/>
          <w:b/>
          <w:color w:val="auto"/>
          <w:szCs w:val="21"/>
          <w:lang w:val="en-US" w:eastAsia="zh-CN"/>
        </w:rPr>
        <w:t xml:space="preserve">   </w:t>
      </w:r>
      <w:r>
        <w:rPr>
          <w:rFonts w:hint="eastAsia" w:eastAsia="黑体"/>
          <w:b/>
          <w:color w:val="auto"/>
          <w:szCs w:val="21"/>
        </w:rPr>
        <w:t>丰水期主导风况时溢油影响范围（ES，平均风速1.0m/s）</w:t>
      </w:r>
    </w:p>
    <w:p>
      <w:pPr>
        <w:tabs>
          <w:tab w:val="left" w:pos="1875"/>
        </w:tabs>
        <w:jc w:val="center"/>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drawing>
          <wp:inline distT="0" distB="0" distL="0" distR="0">
            <wp:extent cx="7312025" cy="5071110"/>
            <wp:effectExtent l="0" t="0" r="3175" b="152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7" cstate="print">
                      <a:extLst>
                        <a:ext uri="{28A0092B-C50C-407E-A947-70E740481C1C}">
                          <a14:useLocalDpi xmlns:a14="http://schemas.microsoft.com/office/drawing/2010/main" val="0"/>
                        </a:ext>
                      </a:extLst>
                    </a:blip>
                    <a:srcRect l="1484" t="2696" r="1710" b="2350"/>
                    <a:stretch>
                      <a:fillRect/>
                    </a:stretch>
                  </pic:blipFill>
                  <pic:spPr>
                    <a:xfrm>
                      <a:off x="0" y="0"/>
                      <a:ext cx="7312025" cy="5071110"/>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w:t>
      </w:r>
      <w:r>
        <w:rPr>
          <w:rFonts w:hint="eastAsia" w:eastAsia="黑体"/>
          <w:b/>
          <w:color w:val="auto"/>
          <w:szCs w:val="21"/>
          <w:lang w:val="en-US" w:eastAsia="zh-CN"/>
        </w:rPr>
        <w:t>7.8-2</w:t>
      </w:r>
      <w:r>
        <w:rPr>
          <w:rFonts w:hint="eastAsia" w:eastAsia="黑体"/>
          <w:b/>
          <w:color w:val="auto"/>
          <w:szCs w:val="21"/>
        </w:rPr>
        <w:t xml:space="preserve"> 丰水期不利风况时溢油影响范围（SW，最大风速10.8m/s）</w:t>
      </w:r>
    </w:p>
    <w:p>
      <w:pPr>
        <w:tabs>
          <w:tab w:val="left" w:pos="1875"/>
        </w:tabs>
        <w:jc w:val="center"/>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drawing>
          <wp:inline distT="0" distB="0" distL="0" distR="0">
            <wp:extent cx="7326630" cy="5070475"/>
            <wp:effectExtent l="0" t="0" r="7620" b="158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78" cstate="print">
                      <a:extLst>
                        <a:ext uri="{28A0092B-C50C-407E-A947-70E740481C1C}">
                          <a14:useLocalDpi xmlns:a14="http://schemas.microsoft.com/office/drawing/2010/main" val="0"/>
                        </a:ext>
                      </a:extLst>
                    </a:blip>
                    <a:srcRect l="1377" t="2696" r="1612" b="2350"/>
                    <a:stretch>
                      <a:fillRect/>
                    </a:stretch>
                  </pic:blipFill>
                  <pic:spPr>
                    <a:xfrm>
                      <a:off x="0" y="0"/>
                      <a:ext cx="7326630" cy="5070475"/>
                    </a:xfrm>
                    <a:prstGeom prst="rect">
                      <a:avLst/>
                    </a:prstGeom>
                    <a:ln>
                      <a:noFill/>
                    </a:ln>
                  </pic:spPr>
                </pic:pic>
              </a:graphicData>
            </a:graphic>
          </wp:inline>
        </w:drawing>
      </w:r>
    </w:p>
    <w:p>
      <w:pPr>
        <w:widowControl w:val="0"/>
        <w:spacing w:line="360" w:lineRule="auto"/>
        <w:jc w:val="center"/>
        <w:rPr>
          <w:rFonts w:hint="eastAsia" w:eastAsia="黑体"/>
          <w:b/>
          <w:color w:val="auto"/>
          <w:szCs w:val="21"/>
        </w:rPr>
      </w:pPr>
      <w:r>
        <w:rPr>
          <w:rFonts w:hint="eastAsia" w:eastAsia="黑体"/>
          <w:b/>
          <w:color w:val="auto"/>
          <w:szCs w:val="21"/>
        </w:rPr>
        <w:t>图7</w:t>
      </w:r>
      <w:r>
        <w:rPr>
          <w:rFonts w:hint="eastAsia" w:eastAsia="黑体"/>
          <w:b/>
          <w:color w:val="auto"/>
          <w:szCs w:val="21"/>
          <w:lang w:val="en-US" w:eastAsia="zh-CN"/>
        </w:rPr>
        <w:t>.8-3</w:t>
      </w:r>
      <w:r>
        <w:rPr>
          <w:rFonts w:hint="eastAsia" w:eastAsia="黑体"/>
          <w:b/>
          <w:color w:val="auto"/>
          <w:szCs w:val="21"/>
        </w:rPr>
        <w:t xml:space="preserve"> 平水期主导风况时溢油影响范围（ES，平均风速0.0m/s）</w:t>
      </w:r>
    </w:p>
    <w:p>
      <w:pPr>
        <w:tabs>
          <w:tab w:val="left" w:pos="1875"/>
        </w:tabs>
        <w:jc w:val="center"/>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drawing>
          <wp:inline distT="0" distB="0" distL="0" distR="0">
            <wp:extent cx="7325995" cy="5068570"/>
            <wp:effectExtent l="0" t="0" r="8255" b="177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79" cstate="print">
                      <a:extLst>
                        <a:ext uri="{28A0092B-C50C-407E-A947-70E740481C1C}">
                          <a14:useLocalDpi xmlns:a14="http://schemas.microsoft.com/office/drawing/2010/main" val="0"/>
                        </a:ext>
                      </a:extLst>
                    </a:blip>
                    <a:srcRect l="1482" t="2546" r="1604" b="2654"/>
                    <a:stretch>
                      <a:fillRect/>
                    </a:stretch>
                  </pic:blipFill>
                  <pic:spPr>
                    <a:xfrm>
                      <a:off x="0" y="0"/>
                      <a:ext cx="7325995" cy="5068570"/>
                    </a:xfrm>
                    <a:prstGeom prst="rect">
                      <a:avLst/>
                    </a:prstGeom>
                    <a:ln>
                      <a:noFill/>
                    </a:ln>
                  </pic:spPr>
                </pic:pic>
              </a:graphicData>
            </a:graphic>
          </wp:inline>
        </w:drawing>
      </w:r>
    </w:p>
    <w:p>
      <w:pPr>
        <w:widowControl w:val="0"/>
        <w:spacing w:line="360" w:lineRule="auto"/>
        <w:jc w:val="center"/>
        <w:rPr>
          <w:rFonts w:hint="eastAsia" w:eastAsia="黑体"/>
          <w:b/>
          <w:color w:val="auto"/>
          <w:szCs w:val="21"/>
        </w:rPr>
        <w:sectPr>
          <w:headerReference r:id="rId24" w:type="default"/>
          <w:pgSz w:w="16838" w:h="11905" w:orient="landscape"/>
          <w:pgMar w:top="1803" w:right="1440" w:bottom="1803" w:left="1440" w:header="851" w:footer="964"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eastAsia="黑体"/>
          <w:b/>
          <w:color w:val="auto"/>
          <w:szCs w:val="21"/>
        </w:rPr>
        <w:t>图</w:t>
      </w:r>
      <w:r>
        <w:rPr>
          <w:rFonts w:hint="eastAsia" w:eastAsia="黑体"/>
          <w:b/>
          <w:color w:val="auto"/>
          <w:szCs w:val="21"/>
          <w:lang w:val="en-US" w:eastAsia="zh-CN"/>
        </w:rPr>
        <w:t>7.</w:t>
      </w:r>
      <w:r>
        <w:rPr>
          <w:rFonts w:hint="eastAsia" w:eastAsia="黑体"/>
          <w:b/>
          <w:color w:val="auto"/>
          <w:szCs w:val="21"/>
        </w:rPr>
        <w:t>8</w:t>
      </w:r>
      <w:r>
        <w:rPr>
          <w:rFonts w:hint="eastAsia" w:eastAsia="黑体"/>
          <w:b/>
          <w:color w:val="auto"/>
          <w:szCs w:val="21"/>
          <w:lang w:val="en-US" w:eastAsia="zh-CN"/>
        </w:rPr>
        <w:t>-4</w:t>
      </w:r>
      <w:r>
        <w:rPr>
          <w:rFonts w:hint="eastAsia" w:eastAsia="黑体"/>
          <w:b/>
          <w:color w:val="auto"/>
          <w:szCs w:val="21"/>
        </w:rPr>
        <w:t xml:space="preserve"> 平水期不利风况时溢油影响范围（SW，最大风速10.8m/s）</w:t>
      </w:r>
    </w:p>
    <w:p>
      <w:pPr>
        <w:pStyle w:val="8"/>
        <w:widowControl w:val="0"/>
        <w:spacing w:before="120" w:after="120" w:line="360" w:lineRule="auto"/>
        <w:rPr>
          <w:rFonts w:hint="eastAsia" w:ascii="Times New Roman" w:hAnsi="Times New Roman"/>
          <w:b w:val="0"/>
          <w:color w:val="auto"/>
          <w:szCs w:val="32"/>
          <w:lang w:val="en-US" w:eastAsia="zh-CN"/>
        </w:rPr>
      </w:pPr>
      <w:bookmarkStart w:id="480" w:name="_Toc4340"/>
      <w:r>
        <w:rPr>
          <w:rFonts w:hint="eastAsia" w:ascii="Times New Roman" w:hAnsi="Times New Roman"/>
          <w:b w:val="0"/>
          <w:color w:val="auto"/>
          <w:szCs w:val="32"/>
          <w:lang w:val="en-US" w:eastAsia="zh-CN"/>
        </w:rPr>
        <w:t>7.9溢油污染事故对水生生态的影响</w:t>
      </w:r>
      <w:bookmarkEnd w:id="480"/>
    </w:p>
    <w:p>
      <w:pPr>
        <w:pStyle w:val="9"/>
        <w:widowControl w:val="0"/>
        <w:spacing w:before="120" w:after="120" w:line="360" w:lineRule="auto"/>
        <w:rPr>
          <w:rFonts w:hint="eastAsia" w:eastAsia="黑体"/>
          <w:b w:val="0"/>
          <w:color w:val="auto"/>
          <w:sz w:val="24"/>
          <w:lang w:val="en-US" w:eastAsia="zh-CN"/>
        </w:rPr>
      </w:pPr>
      <w:bookmarkStart w:id="481" w:name="_Toc8540"/>
      <w:r>
        <w:rPr>
          <w:rFonts w:hint="eastAsia" w:eastAsia="黑体"/>
          <w:b w:val="0"/>
          <w:color w:val="auto"/>
          <w:sz w:val="24"/>
          <w:lang w:val="en-US" w:eastAsia="zh-CN"/>
        </w:rPr>
        <w:t>7.9.1急性中毒效应</w:t>
      </w:r>
      <w:bookmarkEnd w:id="481"/>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一旦发生溢油污染事故，将对航道内的生物、鱼类影响较大。国内外许多的研究表明高浓度的石油会使鱼卵、仔幼鱼短时间内中毒死亡，低浓度的长期亚急性毒可干扰鱼类摄食和繁殖，其毒性随石油组分的不同而有差异。石油类中低沸点芳香烃对一切生物均有毒性，高沸点则是长期毒性，会对水生生物生命构成威胁和危害直至死亡。</w:t>
      </w:r>
    </w:p>
    <w:p>
      <w:pPr>
        <w:pStyle w:val="9"/>
        <w:widowControl w:val="0"/>
        <w:spacing w:before="120" w:after="120" w:line="360" w:lineRule="auto"/>
        <w:rPr>
          <w:rFonts w:hint="eastAsia" w:eastAsia="黑体"/>
          <w:b w:val="0"/>
          <w:color w:val="auto"/>
          <w:sz w:val="24"/>
          <w:lang w:val="en-US" w:eastAsia="zh-CN"/>
        </w:rPr>
      </w:pPr>
      <w:bookmarkStart w:id="482" w:name="_Toc10305"/>
      <w:r>
        <w:rPr>
          <w:rFonts w:hint="eastAsia" w:eastAsia="黑体"/>
          <w:b w:val="0"/>
          <w:color w:val="auto"/>
          <w:sz w:val="24"/>
          <w:lang w:val="en-US" w:eastAsia="zh-CN"/>
        </w:rPr>
        <w:t>7.9.2对鱼类的影响分析</w:t>
      </w:r>
      <w:bookmarkEnd w:id="482"/>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1</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对鱼类的急性毒性测试</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根据近年来对几种不同的长江鱼类仔鱼的毒性试验结果表明，石油类对鲤鱼仔鱼LC</w:t>
      </w:r>
      <w:r>
        <w:rPr>
          <w:rFonts w:hint="eastAsia" w:ascii="Times New Roman" w:hAnsi="Times New Roman" w:eastAsia="仿宋_GB2312" w:cs="Times New Roman"/>
          <w:color w:val="auto"/>
          <w:sz w:val="24"/>
          <w:vertAlign w:val="subscript"/>
        </w:rPr>
        <w:t>50</w:t>
      </w:r>
      <w:r>
        <w:rPr>
          <w:rFonts w:hint="eastAsia" w:ascii="Times New Roman" w:hAnsi="Times New Roman" w:eastAsia="仿宋_GB2312" w:cs="Times New Roman"/>
          <w:color w:val="auto"/>
          <w:sz w:val="24"/>
        </w:rPr>
        <w:t>（96h）值为0.5～3.0mg/L，因此污染带瞬时高浓度排放</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即事故性排放</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可导致急性中毒死鱼事故。</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2</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石油类在鱼体内的蓄积残留分析</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污染因子石油类在鱼体中的积累和残留可引起鱼类慢性中毒而带来长效应的污染影响，这种影响不仅可引起鱼类资源的变动，甚至会引起鱼类种质的变异。鱼类一旦与油分子接触就会在短时间内发生油臭，从而影响其食用价值。以20号燃料油为例，当石油类浓度为0.01mg/L时，7天之内就能对大部分的鱼、虾产生油味，30天内会使绝大多数鱼类产生异味。</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3</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石油类对鱼的致突变性分析</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微核的产生是在诱变物作用之下造成染色体损伤而发生变异的一种形式，根据近年来对几种定居性的长江鱼类仔鱼鱼类外周血微核试验表明，长江鱼类</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主要是定居性鱼类</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微核的高检出率是由于江段水环境污染物的高浓度诱变物的诱发作用而引起，而石油类污染物可能是其主要的诱变源。</w:t>
      </w:r>
    </w:p>
    <w:p>
      <w:pPr>
        <w:pStyle w:val="9"/>
        <w:widowControl w:val="0"/>
        <w:spacing w:before="120" w:after="120" w:line="360" w:lineRule="auto"/>
        <w:rPr>
          <w:rFonts w:hint="eastAsia" w:eastAsia="黑体"/>
          <w:b w:val="0"/>
          <w:color w:val="auto"/>
          <w:sz w:val="24"/>
          <w:lang w:val="en-US" w:eastAsia="zh-CN"/>
        </w:rPr>
      </w:pPr>
      <w:bookmarkStart w:id="483" w:name="_Toc28073"/>
      <w:r>
        <w:rPr>
          <w:rFonts w:hint="eastAsia" w:eastAsia="黑体"/>
          <w:b w:val="0"/>
          <w:color w:val="auto"/>
          <w:sz w:val="24"/>
          <w:lang w:val="en-US" w:eastAsia="zh-CN"/>
        </w:rPr>
        <w:t>7.9.3对浮游植物的影响分析</w:t>
      </w:r>
      <w:bookmarkEnd w:id="483"/>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实验证明石油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一般浮游植物石油急性中毒致死浓度为0.1～10.0mg/L，一般为1.0～3.6mg/L，对于更敏感的种类，油浓度低于0.1mg/L时，也会妨碍细胞的分裂和生长的速率。</w:t>
      </w:r>
    </w:p>
    <w:p>
      <w:pPr>
        <w:pStyle w:val="9"/>
        <w:widowControl w:val="0"/>
        <w:spacing w:before="120" w:after="120" w:line="360" w:lineRule="auto"/>
        <w:rPr>
          <w:rFonts w:hint="eastAsia" w:eastAsia="黑体"/>
          <w:b w:val="0"/>
          <w:color w:val="auto"/>
          <w:sz w:val="24"/>
          <w:lang w:val="en-US" w:eastAsia="zh-CN"/>
        </w:rPr>
      </w:pPr>
      <w:bookmarkStart w:id="484" w:name="_Toc18398"/>
      <w:r>
        <w:rPr>
          <w:rFonts w:hint="eastAsia" w:eastAsia="黑体"/>
          <w:b w:val="0"/>
          <w:color w:val="auto"/>
          <w:sz w:val="24"/>
          <w:lang w:val="en-US" w:eastAsia="zh-CN"/>
        </w:rPr>
        <w:t>7.9.4对浮游动物的影响分析</w:t>
      </w:r>
      <w:bookmarkEnd w:id="484"/>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浮游动物石油急性中毒致死浓度范围一般为0.1～15mg/L，而且通过不同浓度的石油类环境对桡足类幼体的影响实验表明，永久性</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终生性</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浮游动物幼体的敏感性大于阶段性</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临时性</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的底栖生物幼体，而它们各自的幼体的敏感性又大于成体。</w:t>
      </w:r>
    </w:p>
    <w:p>
      <w:pPr>
        <w:pStyle w:val="9"/>
        <w:widowControl w:val="0"/>
        <w:spacing w:before="120" w:after="120" w:line="360" w:lineRule="auto"/>
        <w:rPr>
          <w:rFonts w:hint="eastAsia" w:eastAsia="黑体"/>
          <w:b w:val="0"/>
          <w:color w:val="auto"/>
          <w:sz w:val="24"/>
          <w:lang w:val="en-US" w:eastAsia="zh-CN"/>
        </w:rPr>
      </w:pPr>
      <w:bookmarkStart w:id="485" w:name="_Toc20456"/>
      <w:r>
        <w:rPr>
          <w:rFonts w:hint="eastAsia" w:eastAsia="黑体"/>
          <w:b w:val="0"/>
          <w:color w:val="auto"/>
          <w:sz w:val="24"/>
          <w:lang w:val="en-US" w:eastAsia="zh-CN"/>
        </w:rPr>
        <w:t>7.9.5对底栖生物的影响分析</w:t>
      </w:r>
      <w:bookmarkEnd w:id="485"/>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不同种类底栖生物对石油类浓度的适应性具有差异，多数底栖生物石油类急性中毒致死浓度范围在2.0~15mg/L，其幼体的致死浓度范围更小一些。</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底栖生物的耐油污性很差，即使水体中石油类含量只有0.01mg/L，也会致其死亡。当水体中石油类浓度0.1~0.01mg/L，对某些底栖甲壳类动物幼体（如：无节幼虫、藤壶幼体和蟹幼体）有明显的毒效。据吴彰宽报导，胜利原油对对虾各发育阶段造成影响的最低浓度分别为：a受精卵56mg/L、b无节幼体3.2mg/L、c蚤状幼体0.1mg/L、d糠虾幼体1.8mg/L，仔虾5.6mg/L。其中，蚤状幼体为最敏感发育阶段，胜利原油对虾幼体的LC</w:t>
      </w:r>
      <w:r>
        <w:rPr>
          <w:rFonts w:hint="eastAsia" w:ascii="Times New Roman" w:hAnsi="Times New Roman" w:eastAsia="仿宋_GB2312" w:cs="Times New Roman"/>
          <w:color w:val="auto"/>
          <w:sz w:val="24"/>
          <w:vertAlign w:val="subscript"/>
        </w:rPr>
        <w:t>50</w:t>
      </w:r>
      <w:r>
        <w:rPr>
          <w:rFonts w:hint="eastAsia" w:ascii="Times New Roman" w:hAnsi="Times New Roman" w:eastAsia="仿宋_GB2312" w:cs="Times New Roman"/>
          <w:color w:val="auto"/>
          <w:sz w:val="24"/>
        </w:rPr>
        <w:t>（96h）为11.1mg/L。</w:t>
      </w:r>
    </w:p>
    <w:p>
      <w:pPr>
        <w:pStyle w:val="9"/>
        <w:widowControl w:val="0"/>
        <w:spacing w:before="120" w:after="120" w:line="360" w:lineRule="auto"/>
        <w:rPr>
          <w:rFonts w:hint="eastAsia" w:eastAsia="黑体"/>
          <w:b w:val="0"/>
          <w:color w:val="auto"/>
          <w:sz w:val="24"/>
          <w:lang w:val="en-US" w:eastAsia="zh-CN"/>
        </w:rPr>
      </w:pPr>
      <w:bookmarkStart w:id="486" w:name="_Toc29180"/>
      <w:r>
        <w:rPr>
          <w:rFonts w:hint="eastAsia" w:eastAsia="黑体"/>
          <w:b w:val="0"/>
          <w:color w:val="auto"/>
          <w:sz w:val="24"/>
          <w:lang w:val="en-US" w:eastAsia="zh-CN"/>
        </w:rPr>
        <w:t>7.9.6溢油事故对长江中华鲟、江豚的影响分析</w:t>
      </w:r>
      <w:bookmarkEnd w:id="486"/>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工程河段一旦发生溢油事故，污染因子石油类将会对航道区域内鱼类的急性中毒、在鱼体内的蓄积残留和对鱼的致突变性产生较大的负面影响，而且对中华鲟、江豚等珍稀水生保护动物也会产生一定的影响，故建设单位必须严格制定并落实事故风险防范措施和事故应急预案。在事故发生后，在中华鲟、江豚等水生保护动物可能分布的区域及时展开搜索救援、及时处理和降低事故可能产生的生态影响，迅速恢复事故江段及下游江段的水环境状况。</w:t>
      </w:r>
    </w:p>
    <w:p>
      <w:pPr>
        <w:pStyle w:val="9"/>
        <w:widowControl w:val="0"/>
        <w:spacing w:before="120" w:after="120" w:line="360" w:lineRule="auto"/>
        <w:rPr>
          <w:rFonts w:hint="eastAsia" w:eastAsia="黑体"/>
          <w:b w:val="0"/>
          <w:color w:val="auto"/>
          <w:sz w:val="24"/>
          <w:lang w:val="en-US" w:eastAsia="zh-CN"/>
        </w:rPr>
      </w:pPr>
      <w:bookmarkStart w:id="487" w:name="_Toc8857"/>
      <w:r>
        <w:rPr>
          <w:rFonts w:hint="eastAsia" w:eastAsia="黑体"/>
          <w:b w:val="0"/>
          <w:color w:val="auto"/>
          <w:sz w:val="24"/>
          <w:lang w:val="en-US" w:eastAsia="zh-CN"/>
        </w:rPr>
        <w:t>7.9.7溢油事故对长江湖北宜昌中华鲟自然保护区外围保护地带风险影响分析</w:t>
      </w:r>
      <w:bookmarkEnd w:id="487"/>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根据《中华人民共和国自然保护区条例》和《关于涉及自然保护区的开发建设项目环境管理工作有关问题的通知》，在自然保护区的外围保护地带建设的项目，不得损害自然保护区内的环境质量。</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拟建工程位于湖北宜昌中华鲟自然保护区下游的</w:t>
      </w:r>
      <w:r>
        <w:rPr>
          <w:rFonts w:hint="eastAsia" w:ascii="Times New Roman" w:hAnsi="Times New Roman" w:eastAsia="仿宋_GB2312" w:cs="Times New Roman"/>
          <w:b/>
          <w:bCs/>
          <w:color w:val="auto"/>
          <w:sz w:val="24"/>
        </w:rPr>
        <w:t>外围保护地带</w:t>
      </w:r>
      <w:r>
        <w:rPr>
          <w:rFonts w:hint="eastAsia" w:ascii="Times New Roman" w:hAnsi="Times New Roman" w:eastAsia="仿宋_GB2312" w:cs="Times New Roman"/>
          <w:color w:val="auto"/>
          <w:sz w:val="24"/>
        </w:rPr>
        <w:t>，且距离自然保护区实验区</w:t>
      </w:r>
      <w:r>
        <w:rPr>
          <w:rFonts w:hint="eastAsia" w:eastAsia="仿宋_GB2312" w:cs="Times New Roman"/>
          <w:color w:val="auto"/>
          <w:sz w:val="24"/>
          <w:lang w:val="en-US" w:eastAsia="zh-CN"/>
        </w:rPr>
        <w:t>下</w:t>
      </w:r>
      <w:r>
        <w:rPr>
          <w:rFonts w:hint="eastAsia" w:ascii="Times New Roman" w:hAnsi="Times New Roman" w:eastAsia="仿宋_GB2312" w:cs="Times New Roman"/>
          <w:color w:val="auto"/>
          <w:sz w:val="24"/>
        </w:rPr>
        <w:t>边界距离约</w:t>
      </w:r>
      <w:r>
        <w:rPr>
          <w:rFonts w:hint="eastAsia" w:ascii="Times New Roman" w:hAnsi="Times New Roman" w:eastAsia="仿宋_GB2312" w:cs="Times New Roman"/>
          <w:color w:val="auto"/>
          <w:sz w:val="24"/>
          <w:lang w:val="en-US" w:eastAsia="zh-CN"/>
        </w:rPr>
        <w:t>6.25</w:t>
      </w:r>
      <w:r>
        <w:rPr>
          <w:rFonts w:hint="eastAsia" w:ascii="Times New Roman" w:hAnsi="Times New Roman" w:eastAsia="仿宋_GB2312" w:cs="Times New Roman"/>
          <w:color w:val="auto"/>
          <w:sz w:val="24"/>
        </w:rPr>
        <w:t>km，溢油事故不会损害自然保护区内的环境质量。拟建工程下游无中华鲟产卵场和索饵场，溢油事故会对中华鲟的洄游会产生一定影响。燃油泄漏不会覆盖整个江面，中华鲟自身具备躲避本能，可能会引起中华鲟的累积不良效应。</w:t>
      </w:r>
    </w:p>
    <w:p>
      <w:pPr>
        <w:pStyle w:val="9"/>
        <w:widowControl w:val="0"/>
        <w:spacing w:before="120" w:after="120" w:line="360" w:lineRule="auto"/>
        <w:rPr>
          <w:rFonts w:hint="eastAsia" w:eastAsia="黑体"/>
          <w:b w:val="0"/>
          <w:color w:val="auto"/>
          <w:sz w:val="24"/>
          <w:lang w:val="en-US" w:eastAsia="zh-CN"/>
        </w:rPr>
      </w:pPr>
      <w:bookmarkStart w:id="488" w:name="_Toc15337"/>
      <w:r>
        <w:rPr>
          <w:rFonts w:hint="eastAsia" w:eastAsia="黑体"/>
          <w:b w:val="0"/>
          <w:color w:val="auto"/>
          <w:sz w:val="24"/>
          <w:lang w:val="en-US" w:eastAsia="zh-CN"/>
        </w:rPr>
        <w:t>7.9.8小结</w:t>
      </w:r>
      <w:bookmarkEnd w:id="488"/>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综上所述，工程河段一旦发生溢油事故，污染因子石油类将会对航道区域内鱼类的急性中毒、在鱼体内的蓄积残留和对鱼的致突变性产生较大的负面影响，而且对浮游植物、浮游动物、中华鲟、江豚等珍稀水生保护动物也会产生一定的影响，故建设单位必须严格制定并落实事故风险防范措施和事故应急预案。在中华鲟、江豚等水生保护动物可能分布的区域及时展开搜索救援、及时处理和降低事故可能产生的生态影响，迅速恢复事故江段及下游江段的水环境状况。</w:t>
      </w:r>
    </w:p>
    <w:p>
      <w:pPr>
        <w:pStyle w:val="8"/>
        <w:widowControl w:val="0"/>
        <w:spacing w:before="120" w:after="120" w:line="360" w:lineRule="auto"/>
        <w:rPr>
          <w:rFonts w:hint="eastAsia" w:ascii="Times New Roman" w:hAnsi="Times New Roman"/>
          <w:b w:val="0"/>
          <w:color w:val="auto"/>
          <w:szCs w:val="32"/>
          <w:lang w:val="en-US" w:eastAsia="zh-CN"/>
        </w:rPr>
      </w:pPr>
      <w:bookmarkStart w:id="489" w:name="_Toc24435"/>
      <w:r>
        <w:rPr>
          <w:rFonts w:hint="eastAsia" w:ascii="Times New Roman" w:hAnsi="Times New Roman"/>
          <w:b w:val="0"/>
          <w:color w:val="auto"/>
          <w:szCs w:val="32"/>
          <w:lang w:val="en-US" w:eastAsia="zh-CN"/>
        </w:rPr>
        <w:t>7.10事故风险预防措施与应急计划</w:t>
      </w:r>
      <w:bookmarkEnd w:id="489"/>
    </w:p>
    <w:p>
      <w:pPr>
        <w:pStyle w:val="9"/>
        <w:widowControl w:val="0"/>
        <w:spacing w:before="120" w:after="120" w:line="360" w:lineRule="auto"/>
        <w:rPr>
          <w:rFonts w:hint="eastAsia" w:eastAsia="黑体"/>
          <w:b w:val="0"/>
          <w:color w:val="auto"/>
          <w:sz w:val="24"/>
          <w:lang w:val="en-US" w:eastAsia="zh-CN"/>
        </w:rPr>
      </w:pPr>
      <w:bookmarkStart w:id="490" w:name="_Toc4947"/>
      <w:r>
        <w:rPr>
          <w:rFonts w:hint="eastAsia" w:eastAsia="黑体"/>
          <w:b w:val="0"/>
          <w:color w:val="auto"/>
          <w:sz w:val="24"/>
          <w:lang w:val="en-US" w:eastAsia="zh-CN"/>
        </w:rPr>
        <w:t>7.10.1事故风险防范措施</w:t>
      </w:r>
      <w:bookmarkEnd w:id="490"/>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船舶交通事故的发生与船舶航行和停泊的地理条件、气象条件、运输装载的货种、船舶密度、导/助航条件以及船舶驾驶等因素有关。本工程发生航道及码头附近船舶交通事故造成环境污染的可能性是存在的，一旦发生船舶交通事故特别是进港航道上的交通事故，将会造成事故区域环境资源的严重损失，且其应急反应的人力物力财力消耗大，因此采取有效的措施预防船舶交通事故的发生意义重大。</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（1）在码头附近区域配备必要的导助航等安全保障设施</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为了保障码头附近船舶的航行安全，码头经营者要接受该辖区内</w:t>
      </w:r>
      <w:r>
        <w:rPr>
          <w:rFonts w:hint="eastAsia" w:eastAsia="仿宋_GB2312" w:cs="Times New Roman"/>
          <w:color w:val="auto"/>
          <w:sz w:val="24"/>
          <w:lang w:val="en-US" w:eastAsia="zh-CN"/>
        </w:rPr>
        <w:t>以宜都</w:t>
      </w:r>
      <w:r>
        <w:rPr>
          <w:rFonts w:hint="eastAsia" w:ascii="Times New Roman" w:hAnsi="Times New Roman" w:eastAsia="仿宋_GB2312" w:cs="Times New Roman"/>
          <w:color w:val="auto"/>
          <w:sz w:val="24"/>
        </w:rPr>
        <w:t>市港航局对船舶交通和船舶报告等方面的协调、监督和管理，在码头前沿和船舶掉头区设置必要的助航等安全保障设施。</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（2）推进船舶交通管理系统（VTS）建设</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建设VTS是为了保障船舶安全航行，避免船舶碰撞事故的发生，辅助大型船舶在单向航道内安全航行，避免大型船舶过于靠近航道边缘或其他浅水区域而发生搁浅或触礁事故，此外还可以提高港口效率，方便组织有效江上搜救行动和事故应急反应等。</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（3）加强航道内船舶交通秩序的管理</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为避免港区航道内船舶发生碰撞事故而造成污染，港区航道交通管理部门应加强对航道内船舶交通秩序的管理，及时掌握进出航道船舶的动态。</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（4）为防止因自然气候因素引发的海损事故，对船舶装卸及靠泊作业条件进行如下规定：</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●风：风力≥7级，停止作业；</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●雨：降雨强度≥中雨，停止作业；</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●雾：能见度&lt;lkm，船舶停止进出港；</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●雪：大雪，停止作业。</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（5）制定严格的码头作业制度和操作规程，杜绝事故发生。</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（6）施工期和</w:t>
      </w:r>
      <w:r>
        <w:rPr>
          <w:rFonts w:hint="eastAsia" w:eastAsia="仿宋_GB2312" w:cs="Times New Roman"/>
          <w:color w:val="auto"/>
          <w:sz w:val="24"/>
          <w:lang w:eastAsia="zh-CN"/>
        </w:rPr>
        <w:t>运营期</w:t>
      </w:r>
      <w:r>
        <w:rPr>
          <w:rFonts w:hint="eastAsia" w:ascii="Times New Roman" w:hAnsi="Times New Roman" w:eastAsia="仿宋_GB2312" w:cs="Times New Roman"/>
          <w:color w:val="auto"/>
          <w:sz w:val="24"/>
        </w:rPr>
        <w:t>间所有船舶必须按照交通部信号管理规定显示信号，港方应加强过往船舶的安全调度管理。</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（7）进出港船舶和施工船舶必须根据施工水域船舶动态，合理安排进出港船舶的航行时间和施工船舶作业面，提前采取避让的措施。</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（8）各类船舶在发生紧急事件时，应立即采取必要的措施，同时向水上事故应急救援中心及有关单位报告。</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（9）严禁施工作业单位擅自扩大施工作业安全区，严禁无关船舶进入施工作业水域。</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（10）合理安排</w:t>
      </w:r>
      <w:r>
        <w:rPr>
          <w:rFonts w:hint="eastAsia" w:eastAsia="仿宋_GB2312" w:cs="Times New Roman"/>
          <w:color w:val="auto"/>
          <w:sz w:val="24"/>
          <w:lang w:eastAsia="zh-CN"/>
        </w:rPr>
        <w:t>运营期</w:t>
      </w:r>
      <w:r>
        <w:rPr>
          <w:rFonts w:hint="eastAsia" w:ascii="Times New Roman" w:hAnsi="Times New Roman" w:eastAsia="仿宋_GB2312" w:cs="Times New Roman"/>
          <w:color w:val="auto"/>
          <w:sz w:val="24"/>
        </w:rPr>
        <w:t>船舶靠、离港时间及行驶航道，避免发生船舶碰撞事故。</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（11）通过中央控制室监视船舶进出港过程，提早发现可能出现的事故隐患。</w:t>
      </w:r>
    </w:p>
    <w:p>
      <w:pPr>
        <w:widowControl w:val="0"/>
        <w:spacing w:line="360" w:lineRule="auto"/>
        <w:ind w:firstLine="480" w:firstLineChars="200"/>
        <w:jc w:val="both"/>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（12）运输货品种类严格限制为矿石，不得超范围经营。</w:t>
      </w:r>
    </w:p>
    <w:p>
      <w:pPr>
        <w:pStyle w:val="9"/>
        <w:widowControl w:val="0"/>
        <w:spacing w:before="120" w:after="120" w:line="360" w:lineRule="auto"/>
        <w:rPr>
          <w:rFonts w:hint="eastAsia" w:eastAsia="黑体"/>
          <w:b w:val="0"/>
          <w:color w:val="auto"/>
          <w:sz w:val="24"/>
          <w:lang w:val="en-US" w:eastAsia="zh-CN"/>
        </w:rPr>
      </w:pPr>
      <w:bookmarkStart w:id="491" w:name="_Toc5723"/>
      <w:r>
        <w:rPr>
          <w:rFonts w:hint="eastAsia" w:eastAsia="黑体"/>
          <w:b w:val="0"/>
          <w:color w:val="auto"/>
          <w:sz w:val="24"/>
          <w:lang w:val="en-US" w:eastAsia="zh-CN"/>
        </w:rPr>
        <w:t>7.10.2事故风险预防措施</w:t>
      </w:r>
      <w:bookmarkEnd w:id="491"/>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（1）</w:t>
      </w:r>
      <w:r>
        <w:rPr>
          <w:rFonts w:hint="eastAsia" w:eastAsia="仿宋_GB2312"/>
          <w:color w:val="auto"/>
          <w:sz w:val="24"/>
        </w:rPr>
        <w:t>制定严格的码头作业制度和操作规程，杜绝事故发生。</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（2）</w:t>
      </w:r>
      <w:r>
        <w:rPr>
          <w:rFonts w:hint="eastAsia" w:eastAsia="仿宋_GB2312"/>
          <w:color w:val="auto"/>
          <w:sz w:val="24"/>
        </w:rPr>
        <w:t>进出港船舶和施工船舶必须根据施工水域船舶动态，合理安排进出港船舶的航行时间和施工船舶作业面，提前采取避让的措施。</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3</w:t>
      </w:r>
      <w:r>
        <w:rPr>
          <w:rFonts w:hint="eastAsia" w:ascii="Times New Roman" w:hAnsi="Times New Roman" w:eastAsia="仿宋_GB2312" w:cs="Times New Roman"/>
          <w:color w:val="auto"/>
          <w:sz w:val="24"/>
        </w:rPr>
        <w:t>）</w:t>
      </w:r>
      <w:r>
        <w:rPr>
          <w:rFonts w:hint="eastAsia" w:eastAsia="仿宋_GB2312"/>
          <w:color w:val="auto"/>
          <w:sz w:val="24"/>
        </w:rPr>
        <w:t>施工期和</w:t>
      </w:r>
      <w:r>
        <w:rPr>
          <w:rFonts w:hint="eastAsia" w:eastAsia="仿宋_GB2312"/>
          <w:color w:val="auto"/>
          <w:sz w:val="24"/>
          <w:lang w:eastAsia="zh-CN"/>
        </w:rPr>
        <w:t>运营期</w:t>
      </w:r>
      <w:r>
        <w:rPr>
          <w:rFonts w:hint="eastAsia" w:eastAsia="仿宋_GB2312"/>
          <w:color w:val="auto"/>
          <w:sz w:val="24"/>
        </w:rPr>
        <w:t>间所有船舶必须按照交通部信号管理规定显示信号，港方应加强过往船舶的安全调度管理。</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4</w:t>
      </w:r>
      <w:r>
        <w:rPr>
          <w:rFonts w:hint="eastAsia" w:ascii="Times New Roman" w:hAnsi="Times New Roman" w:eastAsia="仿宋_GB2312" w:cs="Times New Roman"/>
          <w:color w:val="auto"/>
          <w:sz w:val="24"/>
        </w:rPr>
        <w:t>）</w:t>
      </w:r>
      <w:r>
        <w:rPr>
          <w:rFonts w:hint="eastAsia" w:eastAsia="仿宋_GB2312"/>
          <w:color w:val="auto"/>
          <w:sz w:val="24"/>
        </w:rPr>
        <w:t>各类船舶在发生紧急事件时，应立即采取必要的措施，同时向水上事故应急救援中心及有关单位报告。</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5</w:t>
      </w:r>
      <w:r>
        <w:rPr>
          <w:rFonts w:hint="eastAsia" w:ascii="Times New Roman" w:hAnsi="Times New Roman" w:eastAsia="仿宋_GB2312" w:cs="Times New Roman"/>
          <w:color w:val="auto"/>
          <w:sz w:val="24"/>
        </w:rPr>
        <w:t>）</w:t>
      </w:r>
      <w:r>
        <w:rPr>
          <w:rFonts w:hint="eastAsia" w:eastAsia="仿宋_GB2312"/>
          <w:color w:val="auto"/>
          <w:sz w:val="24"/>
        </w:rPr>
        <w:t>严禁施工作业单位擅自扩大施工作业安全区，严禁无关船舶进入施工作业水域。</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6</w:t>
      </w:r>
      <w:r>
        <w:rPr>
          <w:rFonts w:hint="eastAsia" w:ascii="Times New Roman" w:hAnsi="Times New Roman" w:eastAsia="仿宋_GB2312" w:cs="Times New Roman"/>
          <w:color w:val="auto"/>
          <w:sz w:val="24"/>
        </w:rPr>
        <w:t>）</w:t>
      </w:r>
      <w:r>
        <w:rPr>
          <w:rFonts w:hint="eastAsia" w:eastAsia="仿宋_GB2312"/>
          <w:color w:val="auto"/>
          <w:sz w:val="24"/>
        </w:rPr>
        <w:t>合理安排</w:t>
      </w:r>
      <w:r>
        <w:rPr>
          <w:rFonts w:hint="eastAsia" w:eastAsia="仿宋_GB2312"/>
          <w:color w:val="auto"/>
          <w:sz w:val="24"/>
          <w:lang w:eastAsia="zh-CN"/>
        </w:rPr>
        <w:t>运营期</w:t>
      </w:r>
      <w:r>
        <w:rPr>
          <w:rFonts w:hint="eastAsia" w:eastAsia="仿宋_GB2312"/>
          <w:color w:val="auto"/>
          <w:sz w:val="24"/>
        </w:rPr>
        <w:t>船舶靠、离港时间及行驶航道，避免发生船舶碰撞事故。</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7</w:t>
      </w:r>
      <w:r>
        <w:rPr>
          <w:rFonts w:hint="eastAsia" w:ascii="Times New Roman" w:hAnsi="Times New Roman" w:eastAsia="仿宋_GB2312" w:cs="Times New Roman"/>
          <w:color w:val="auto"/>
          <w:sz w:val="24"/>
        </w:rPr>
        <w:t>）</w:t>
      </w:r>
      <w:r>
        <w:rPr>
          <w:rFonts w:hint="eastAsia" w:eastAsia="仿宋_GB2312"/>
          <w:color w:val="auto"/>
          <w:sz w:val="24"/>
        </w:rPr>
        <w:t>码头前方配置吸油毡、围油栏等应急设备，放在码头前沿的工作平台内，发生溢油事故时及时抛投吸油毡进行吸油处理。</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8</w:t>
      </w:r>
      <w:r>
        <w:rPr>
          <w:rFonts w:hint="eastAsia" w:ascii="Times New Roman" w:hAnsi="Times New Roman" w:eastAsia="仿宋_GB2312" w:cs="Times New Roman"/>
          <w:color w:val="auto"/>
          <w:sz w:val="24"/>
        </w:rPr>
        <w:t>）</w:t>
      </w:r>
      <w:r>
        <w:rPr>
          <w:rFonts w:hint="eastAsia" w:eastAsia="仿宋_GB2312"/>
          <w:color w:val="auto"/>
          <w:sz w:val="24"/>
        </w:rPr>
        <w:t>码头设置足够的照明，预防夜间操作维护时意外事故发生。</w:t>
      </w:r>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9</w:t>
      </w:r>
      <w:r>
        <w:rPr>
          <w:rFonts w:hint="eastAsia" w:ascii="Times New Roman" w:hAnsi="Times New Roman" w:eastAsia="仿宋_GB2312" w:cs="Times New Roman"/>
          <w:color w:val="auto"/>
          <w:sz w:val="24"/>
        </w:rPr>
        <w:t>）</w:t>
      </w:r>
      <w:r>
        <w:rPr>
          <w:rFonts w:hint="eastAsia" w:eastAsia="仿宋_GB2312"/>
          <w:color w:val="auto"/>
          <w:sz w:val="24"/>
        </w:rPr>
        <w:t>为预防货物落江，在船、岸之间应按规定设置安全网。若在特殊情况下发生袋装件杂货落江，应立即通知海事部门出动船舶、潜水员以及吊机进行打捞。</w:t>
      </w:r>
    </w:p>
    <w:p>
      <w:pPr>
        <w:pStyle w:val="9"/>
        <w:widowControl w:val="0"/>
        <w:spacing w:before="120" w:after="120" w:line="360" w:lineRule="auto"/>
        <w:rPr>
          <w:rFonts w:hint="eastAsia" w:eastAsia="黑体"/>
          <w:b w:val="0"/>
          <w:color w:val="auto"/>
          <w:sz w:val="24"/>
          <w:lang w:val="en-US" w:eastAsia="zh-CN"/>
        </w:rPr>
      </w:pPr>
      <w:bookmarkStart w:id="492" w:name="_Toc17016"/>
      <w:r>
        <w:rPr>
          <w:rFonts w:hint="eastAsia" w:eastAsia="黑体"/>
          <w:b w:val="0"/>
          <w:color w:val="auto"/>
          <w:sz w:val="24"/>
          <w:lang w:val="en-US" w:eastAsia="zh-CN"/>
        </w:rPr>
        <w:t>7.10.3事故风险应急预案</w:t>
      </w:r>
      <w:bookmarkEnd w:id="492"/>
    </w:p>
    <w:p>
      <w:pPr>
        <w:widowControl w:val="0"/>
        <w:spacing w:line="360" w:lineRule="auto"/>
        <w:ind w:firstLine="480" w:firstLineChars="200"/>
        <w:rPr>
          <w:rFonts w:hint="eastAsia" w:eastAsia="仿宋_GB2312"/>
          <w:color w:val="auto"/>
          <w:sz w:val="24"/>
        </w:rPr>
      </w:pPr>
      <w:r>
        <w:rPr>
          <w:rFonts w:hint="eastAsia" w:ascii="Times New Roman" w:hAnsi="Times New Roman" w:eastAsia="仿宋_GB2312" w:cs="Times New Roman"/>
          <w:color w:val="auto"/>
          <w:sz w:val="24"/>
        </w:rPr>
        <w:t>（</w:t>
      </w:r>
      <w:r>
        <w:rPr>
          <w:rFonts w:hint="eastAsia" w:eastAsia="仿宋_GB2312" w:cs="Times New Roman"/>
          <w:color w:val="auto"/>
          <w:sz w:val="24"/>
          <w:lang w:val="en-US" w:eastAsia="zh-CN"/>
        </w:rPr>
        <w:t>1</w:t>
      </w:r>
      <w:r>
        <w:rPr>
          <w:rFonts w:hint="eastAsia" w:ascii="Times New Roman" w:hAnsi="Times New Roman" w:eastAsia="仿宋_GB2312" w:cs="Times New Roman"/>
          <w:color w:val="auto"/>
          <w:sz w:val="24"/>
        </w:rPr>
        <w:t>）</w:t>
      </w:r>
      <w:r>
        <w:rPr>
          <w:rFonts w:hint="eastAsia" w:eastAsia="仿宋_GB2312"/>
          <w:color w:val="auto"/>
          <w:sz w:val="24"/>
        </w:rPr>
        <w:t>区域防污应急能力</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本工程江段溢油应急设备情况见表</w:t>
      </w:r>
      <w:r>
        <w:rPr>
          <w:rFonts w:hint="eastAsia" w:eastAsia="仿宋_GB2312"/>
          <w:color w:val="auto"/>
          <w:sz w:val="24"/>
          <w:lang w:val="en-US" w:eastAsia="zh-CN"/>
        </w:rPr>
        <w:t>7</w:t>
      </w:r>
      <w:r>
        <w:rPr>
          <w:rFonts w:hint="eastAsia" w:eastAsia="仿宋_GB2312"/>
          <w:color w:val="auto"/>
          <w:sz w:val="24"/>
        </w:rPr>
        <w:t>.</w:t>
      </w:r>
      <w:r>
        <w:rPr>
          <w:rFonts w:hint="eastAsia" w:eastAsia="仿宋_GB2312"/>
          <w:color w:val="auto"/>
          <w:sz w:val="24"/>
          <w:lang w:val="en-US" w:eastAsia="zh-CN"/>
        </w:rPr>
        <w:t>10</w:t>
      </w:r>
      <w:r>
        <w:rPr>
          <w:rFonts w:hint="eastAsia" w:eastAsia="仿宋_GB2312"/>
          <w:color w:val="auto"/>
          <w:sz w:val="24"/>
        </w:rPr>
        <w:t>-1，溢油应急队伍见表</w:t>
      </w:r>
      <w:r>
        <w:rPr>
          <w:rFonts w:hint="eastAsia" w:eastAsia="仿宋_GB2312"/>
          <w:color w:val="auto"/>
          <w:sz w:val="24"/>
          <w:lang w:val="en-US" w:eastAsia="zh-CN"/>
        </w:rPr>
        <w:t>7</w:t>
      </w:r>
      <w:r>
        <w:rPr>
          <w:rFonts w:hint="eastAsia" w:eastAsia="仿宋_GB2312"/>
          <w:color w:val="auto"/>
          <w:sz w:val="24"/>
        </w:rPr>
        <w:t>.</w:t>
      </w:r>
      <w:r>
        <w:rPr>
          <w:rFonts w:hint="eastAsia" w:eastAsia="仿宋_GB2312"/>
          <w:color w:val="auto"/>
          <w:sz w:val="24"/>
          <w:lang w:val="en-US" w:eastAsia="zh-CN"/>
        </w:rPr>
        <w:t>10</w:t>
      </w:r>
      <w:r>
        <w:rPr>
          <w:rFonts w:hint="eastAsia" w:eastAsia="仿宋_GB2312"/>
          <w:color w:val="auto"/>
          <w:sz w:val="24"/>
        </w:rPr>
        <w:t>-2。宜昌港的防污染应急设备和应急队伍作为外部协作支援队伍，由宜昌海事局视事故影响程度和范围就近调配。</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7.10</w:t>
      </w:r>
      <w:r>
        <w:rPr>
          <w:rFonts w:eastAsia="黑体"/>
          <w:b/>
          <w:color w:val="auto"/>
          <w:szCs w:val="21"/>
        </w:rPr>
        <w:t>-1  本工程江段溢油应急设备</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1555"/>
        <w:gridCol w:w="1169"/>
        <w:gridCol w:w="1065"/>
        <w:gridCol w:w="1266"/>
        <w:gridCol w:w="1153"/>
        <w:gridCol w:w="990"/>
        <w:gridCol w:w="8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序号</w:t>
            </w:r>
          </w:p>
        </w:tc>
        <w:tc>
          <w:tcPr>
            <w:tcW w:w="9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应急设备配备单位名称</w:t>
            </w:r>
          </w:p>
        </w:tc>
        <w:tc>
          <w:tcPr>
            <w:tcW w:w="6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位置</w:t>
            </w:r>
          </w:p>
        </w:tc>
        <w:tc>
          <w:tcPr>
            <w:tcW w:w="6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联系人及联系电话</w:t>
            </w:r>
          </w:p>
        </w:tc>
        <w:tc>
          <w:tcPr>
            <w:tcW w:w="7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所在海事机构辖区</w:t>
            </w:r>
          </w:p>
        </w:tc>
        <w:tc>
          <w:tcPr>
            <w:tcW w:w="1744"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污染应急设备性能参数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w:t>
            </w:r>
          </w:p>
        </w:tc>
        <w:tc>
          <w:tcPr>
            <w:tcW w:w="91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中国石油化工股分有限公司湖北宜昌宜都石油配送中心枝城油库</w:t>
            </w:r>
          </w:p>
        </w:tc>
        <w:tc>
          <w:tcPr>
            <w:tcW w:w="68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本项目下游约5.5km处</w:t>
            </w:r>
          </w:p>
        </w:tc>
        <w:tc>
          <w:tcPr>
            <w:tcW w:w="62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卞兆荣4640601</w:t>
            </w:r>
          </w:p>
        </w:tc>
        <w:tc>
          <w:tcPr>
            <w:tcW w:w="74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宜都海事处</w:t>
            </w: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围油栏</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GWJ900</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220米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1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7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收油机</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手摇式</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1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7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卸载泵</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150-75A</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4套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1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7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铁皮桶</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180L</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50套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1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7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吸油毡</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手持式</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50套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1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2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7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消油剂</w:t>
            </w:r>
          </w:p>
        </w:tc>
        <w:tc>
          <w:tcPr>
            <w:tcW w:w="5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手提式</w:t>
            </w:r>
          </w:p>
        </w:tc>
        <w:tc>
          <w:tcPr>
            <w:tcW w:w="4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6桶</w:t>
            </w:r>
          </w:p>
        </w:tc>
      </w:tr>
    </w:tbl>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7.10</w:t>
      </w:r>
      <w:r>
        <w:rPr>
          <w:rFonts w:eastAsia="黑体"/>
          <w:b/>
          <w:color w:val="auto"/>
          <w:szCs w:val="21"/>
        </w:rPr>
        <w:t>-2  本工程江段溢油应急队伍</w:t>
      </w:r>
    </w:p>
    <w:tbl>
      <w:tblPr>
        <w:tblStyle w:val="9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1"/>
        <w:gridCol w:w="1488"/>
        <w:gridCol w:w="960"/>
        <w:gridCol w:w="900"/>
        <w:gridCol w:w="1335"/>
        <w:gridCol w:w="1274"/>
        <w:gridCol w:w="1034"/>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序号</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单位名称</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性质</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联系人</w:t>
            </w:r>
          </w:p>
        </w:tc>
        <w:tc>
          <w:tcPr>
            <w:tcW w:w="7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联系电话</w:t>
            </w:r>
          </w:p>
        </w:tc>
        <w:tc>
          <w:tcPr>
            <w:tcW w:w="7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所属海事管理机构</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专业应急人员数量</w:t>
            </w:r>
          </w:p>
        </w:tc>
        <w:tc>
          <w:tcPr>
            <w:tcW w:w="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一般应急人员数量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国家应急物资储备枝城成品油库</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危险品</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码头</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卞兆荣</w:t>
            </w:r>
          </w:p>
        </w:tc>
        <w:tc>
          <w:tcPr>
            <w:tcW w:w="7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4640601</w:t>
            </w:r>
          </w:p>
        </w:tc>
        <w:tc>
          <w:tcPr>
            <w:tcW w:w="7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宜都海事处</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w:t>
            </w:r>
          </w:p>
        </w:tc>
        <w:tc>
          <w:tcPr>
            <w:tcW w:w="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宜都装卸运输总公司</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危险品</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码头</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周大明</w:t>
            </w:r>
          </w:p>
        </w:tc>
        <w:tc>
          <w:tcPr>
            <w:tcW w:w="7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13986817923</w:t>
            </w:r>
          </w:p>
        </w:tc>
        <w:tc>
          <w:tcPr>
            <w:tcW w:w="7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宜都海事处</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4</w:t>
            </w:r>
          </w:p>
        </w:tc>
        <w:tc>
          <w:tcPr>
            <w:tcW w:w="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3</w:t>
            </w:r>
          </w:p>
        </w:tc>
        <w:tc>
          <w:tcPr>
            <w:tcW w:w="8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宜昌港务集团有限责任公司</w:t>
            </w:r>
            <w:r>
              <w:rPr>
                <w:color w:val="auto"/>
                <w:sz w:val="20"/>
              </w:rPr>
              <w:t>枝城港公司</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危险品</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码头</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黄体斌</w:t>
            </w:r>
          </w:p>
        </w:tc>
        <w:tc>
          <w:tcPr>
            <w:tcW w:w="7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13339787318</w:t>
            </w:r>
          </w:p>
        </w:tc>
        <w:tc>
          <w:tcPr>
            <w:tcW w:w="7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宜都海事处</w:t>
            </w:r>
          </w:p>
        </w:tc>
        <w:tc>
          <w:tcPr>
            <w:tcW w:w="6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13</w:t>
            </w:r>
          </w:p>
        </w:tc>
        <w:tc>
          <w:tcPr>
            <w:tcW w:w="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w:t>
            </w:r>
          </w:p>
        </w:tc>
      </w:tr>
    </w:tbl>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应急组织指挥机构</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事故溢油应急组织指挥机构见图</w:t>
      </w:r>
      <w:r>
        <w:rPr>
          <w:rFonts w:hint="eastAsia" w:eastAsia="仿宋_GB2312"/>
          <w:color w:val="auto"/>
          <w:sz w:val="24"/>
          <w:lang w:val="en-US" w:eastAsia="zh-CN"/>
        </w:rPr>
        <w:t>7.10</w:t>
      </w:r>
      <w:r>
        <w:rPr>
          <w:rFonts w:hint="eastAsia" w:eastAsia="仿宋_GB2312"/>
          <w:color w:val="auto"/>
          <w:sz w:val="24"/>
        </w:rPr>
        <w:t>-1。</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应急组织指挥机构由宜都海事处领导、宜都港区生产安全部领导、生产安全部应急小组领导成员、以及相关的技术咨询专家组成。宜都港区生产安全部应急小组组长在宜昌海事局领导、生产安全部领导未到达事故现场时担任应急指挥，待有关领导抵达现场时移交指挥。</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应急组织指挥机构成员职责见表</w:t>
      </w:r>
      <w:r>
        <w:rPr>
          <w:rFonts w:hint="eastAsia" w:eastAsia="仿宋_GB2312"/>
          <w:color w:val="auto"/>
          <w:sz w:val="24"/>
          <w:lang w:val="en-US" w:eastAsia="zh-CN"/>
        </w:rPr>
        <w:t>7-10</w:t>
      </w:r>
      <w:r>
        <w:rPr>
          <w:rFonts w:hint="eastAsia" w:eastAsia="仿宋_GB2312"/>
          <w:color w:val="auto"/>
          <w:sz w:val="24"/>
        </w:rPr>
        <w:t>-3。</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rPr>
        <w:t>事故应急队伍组成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事故应急队伍由港区内部人员和外部协作支援队伍组成，其中外部协作支援队伍由宜都海事处视事故影响程度和范围就近调配。长江枝城大桥巡航救助执法大队位于码头上游约</w:t>
      </w:r>
      <w:r>
        <w:rPr>
          <w:rFonts w:hint="eastAsia" w:eastAsia="仿宋_GB2312"/>
          <w:color w:val="auto"/>
          <w:sz w:val="24"/>
          <w:lang w:val="en-US" w:eastAsia="zh-CN"/>
        </w:rPr>
        <w:t>5</w:t>
      </w:r>
      <w:r>
        <w:rPr>
          <w:rFonts w:hint="eastAsia" w:eastAsia="仿宋_GB2312"/>
          <w:color w:val="auto"/>
          <w:sz w:val="24"/>
        </w:rPr>
        <w:t>km，一旦发生事故，执法大队可立即出发给予救援，10min之内即可赶到，最大限度避免溢油到达下游取水口从而对取水口水质产生污染</w:t>
      </w:r>
      <w:r>
        <w:rPr>
          <w:rFonts w:hint="eastAsia" w:eastAsia="仿宋_GB2312"/>
          <w:color w:val="auto"/>
          <w:sz w:val="24"/>
          <w:lang w:eastAsia="zh-CN"/>
        </w:rPr>
        <w:t>。</w:t>
      </w:r>
    </w:p>
    <w:p>
      <w:pPr>
        <w:spacing w:line="360" w:lineRule="auto"/>
        <w:ind w:firstLine="420" w:firstLineChars="200"/>
        <w:jc w:val="center"/>
        <w:rPr>
          <w:rFonts w:ascii="Times New Roman" w:eastAsia="黑体"/>
          <w:bCs/>
          <w:color w:val="auto"/>
        </w:rPr>
      </w:pPr>
      <w:r>
        <w:rPr>
          <w:rFonts w:ascii="Times New Roman" w:eastAsia="黑体"/>
          <w:bCs/>
          <w:color w:val="auto"/>
        </w:rPr>
        <w:object>
          <v:shape id="_x0000_i1128" o:spt="75" type="#_x0000_t75" style="height:282.75pt;width:312.45pt;" o:ole="t" filled="f" o:preferrelative="t" stroked="f" coordsize="21600,21600">
            <v:path/>
            <v:fill on="f" focussize="0,0"/>
            <v:stroke on="f"/>
            <v:imagedata r:id="rId281" o:title=""/>
            <o:lock v:ext="edit" aspectratio="f"/>
            <w10:wrap type="none"/>
            <w10:anchorlock/>
          </v:shape>
          <o:OLEObject Type="Embed" ProgID="Visio.Drawing.15" ShapeID="_x0000_i1128" DrawAspect="Content" ObjectID="_1468075828" r:id="rId280">
            <o:LockedField>false</o:LockedField>
          </o:OLEObject>
        </w:object>
      </w:r>
    </w:p>
    <w:p>
      <w:pPr>
        <w:widowControl w:val="0"/>
        <w:spacing w:line="360" w:lineRule="auto"/>
        <w:jc w:val="center"/>
        <w:rPr>
          <w:rFonts w:eastAsia="黑体"/>
          <w:b/>
          <w:color w:val="auto"/>
          <w:szCs w:val="21"/>
        </w:rPr>
      </w:pPr>
      <w:r>
        <w:rPr>
          <w:rFonts w:eastAsia="黑体"/>
          <w:b/>
          <w:color w:val="auto"/>
          <w:szCs w:val="21"/>
        </w:rPr>
        <w:t>图</w:t>
      </w:r>
      <w:r>
        <w:rPr>
          <w:rFonts w:hint="eastAsia" w:eastAsia="黑体"/>
          <w:b/>
          <w:color w:val="auto"/>
          <w:szCs w:val="21"/>
          <w:lang w:val="en-US" w:eastAsia="zh-CN"/>
        </w:rPr>
        <w:t>7.10</w:t>
      </w:r>
      <w:r>
        <w:rPr>
          <w:rFonts w:eastAsia="黑体"/>
          <w:b/>
          <w:color w:val="auto"/>
          <w:szCs w:val="21"/>
        </w:rPr>
        <w:t>-1  组织指挥机构框图</w:t>
      </w:r>
    </w:p>
    <w:p>
      <w:pPr>
        <w:widowControl w:val="0"/>
        <w:spacing w:line="360" w:lineRule="auto"/>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7.10</w:t>
      </w:r>
      <w:r>
        <w:rPr>
          <w:rFonts w:eastAsia="黑体"/>
          <w:b/>
          <w:color w:val="auto"/>
          <w:szCs w:val="21"/>
        </w:rPr>
        <w:t>-3  应急组织指挥机构成员职责一览表</w:t>
      </w:r>
    </w:p>
    <w:tbl>
      <w:tblPr>
        <w:tblStyle w:val="9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3"/>
        <w:gridCol w:w="1121"/>
        <w:gridCol w:w="4134"/>
        <w:gridCol w:w="1530"/>
        <w:gridCol w:w="1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序号</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机构成员</w:t>
            </w:r>
          </w:p>
        </w:tc>
        <w:tc>
          <w:tcPr>
            <w:tcW w:w="245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职责</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联系方式</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宜都海事处</w:t>
            </w:r>
          </w:p>
        </w:tc>
        <w:tc>
          <w:tcPr>
            <w:tcW w:w="2457" w:type="pct"/>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接收水上事故险情报告，负责监督油污应急计划的实施，必要时协调水上专业救助队伍和交通行业有关部门的应急行动，调动各部门拥有的溢油应急反应的人力、物力、后勤支援，召集应急专家为本码头提供技术咨询支持。</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0717—4662934</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0717—12395</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0717—6220217</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长江枝城大桥巡航救助执法大队</w:t>
            </w:r>
          </w:p>
        </w:tc>
        <w:tc>
          <w:tcPr>
            <w:tcW w:w="2457" w:type="pct"/>
            <w:vMerge w:val="continue"/>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0717-4664517</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位于本工程上游约</w:t>
            </w:r>
            <w:r>
              <w:rPr>
                <w:rFonts w:hint="eastAsia"/>
                <w:color w:val="auto"/>
                <w:sz w:val="20"/>
                <w:lang w:val="en-US" w:eastAsia="zh-CN"/>
              </w:rPr>
              <w:t>5</w:t>
            </w:r>
            <w:r>
              <w:rPr>
                <w:color w:val="auto"/>
                <w:sz w:val="20"/>
              </w:rPr>
              <w:t>km处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5" w:hRule="atLeast"/>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3</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环保主管</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部门</w:t>
            </w:r>
          </w:p>
        </w:tc>
        <w:tc>
          <w:tcPr>
            <w:tcW w:w="245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组织有关专家提供技术咨询，负责事故可能造成环境危害的监测组织、指导工作，组织有关单位人员进行现场监测，密切关注上下游水厂取水口水域水质变化情况，提供相应的环保监测技术支持。对事故处理后的吸油毡处置、溢油回收、清污作业等提出技术要求。</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湖北省生态环境厅(027)87167130</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宜昌市生态环境局</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（0717)6448003</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事故发生时逐级上报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1" w:hRule="atLeast"/>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4</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技术咨询</w:t>
            </w:r>
          </w:p>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专家组</w:t>
            </w:r>
          </w:p>
        </w:tc>
        <w:tc>
          <w:tcPr>
            <w:tcW w:w="245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由海事、环保等部门组织有关专家成立技术咨询专家组，为应急反应提供技术咨询参加应急反应决策支持工作。还将视事故影响程度聘请国内溢油应急反应专家，对事故影响预测、应急决策、清污作业和事故后的污染赔偿等处理提供咨询。</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事故发生时临时组建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310" w:type="pct"/>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5</w:t>
            </w:r>
          </w:p>
        </w:tc>
        <w:tc>
          <w:tcPr>
            <w:tcW w:w="666" w:type="pct"/>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公司生产安全部</w:t>
            </w:r>
          </w:p>
        </w:tc>
        <w:tc>
          <w:tcPr>
            <w:tcW w:w="2457" w:type="pct"/>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应急指挥中心主任在应急指挥中担任本码头现场应急总指挥，下达调动本分公司各种力量参加抢险、救援命令，决策重大事故处理方案，决定向本系统上级汇报或请求其它救援的时间、方式等。</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法人代表</w:t>
            </w:r>
          </w:p>
        </w:tc>
        <w:tc>
          <w:tcPr>
            <w:tcW w:w="655" w:type="pct"/>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szCs w:val="20"/>
                <w:lang w:val="en-US" w:eastAsia="zh-CN"/>
              </w:rPr>
              <w:t>宜都市飞强物流有限公司（运营期责任主体）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310" w:type="pct"/>
            <w:vMerge w:val="continue"/>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666" w:type="pct"/>
            <w:vMerge w:val="continue"/>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2457" w:type="pct"/>
            <w:vMerge w:val="continue"/>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部门负责人</w:t>
            </w:r>
          </w:p>
        </w:tc>
        <w:tc>
          <w:tcPr>
            <w:tcW w:w="655" w:type="pct"/>
            <w:vMerge w:val="continue"/>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6</w:t>
            </w:r>
          </w:p>
        </w:tc>
        <w:tc>
          <w:tcPr>
            <w:tcW w:w="66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公司生产安全部应急小组</w:t>
            </w:r>
          </w:p>
        </w:tc>
        <w:tc>
          <w:tcPr>
            <w:tcW w:w="245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组长全面负责本计划实施。在接到现场事故报告后组织本港区人员采取应急措施，并在海事局主管部门领导、公司应急小组领导抵达现场前担任应急指挥。组长不在现场时，副组长担任总监相应的职责，依此类推。小组成员执行组长或应急总指挥下达的命令，具体负责组织现场人员回收或消除溢油等工作。</w:t>
            </w:r>
          </w:p>
        </w:tc>
        <w:tc>
          <w:tcPr>
            <w:tcW w:w="909"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w:t>
            </w:r>
          </w:p>
        </w:tc>
        <w:tc>
          <w:tcPr>
            <w:tcW w:w="6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szCs w:val="20"/>
                <w:lang w:val="en-US" w:eastAsia="zh-CN"/>
              </w:rPr>
              <w:t>宜都市飞强物流有限公司（运营期责任主体）</w:t>
            </w:r>
          </w:p>
        </w:tc>
      </w:tr>
    </w:tbl>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olor w:val="auto"/>
          <w:sz w:val="24"/>
          <w:lang w:eastAsia="zh-CN"/>
        </w:rPr>
        <w:t>（</w:t>
      </w:r>
      <w:r>
        <w:rPr>
          <w:rFonts w:hint="eastAsia" w:eastAsia="仿宋_GB2312"/>
          <w:color w:val="auto"/>
          <w:sz w:val="24"/>
          <w:lang w:val="en-US" w:eastAsia="zh-CN"/>
        </w:rPr>
        <w:t>4</w:t>
      </w:r>
      <w:r>
        <w:rPr>
          <w:rFonts w:hint="eastAsia" w:eastAsia="仿宋_GB2312"/>
          <w:color w:val="auto"/>
          <w:sz w:val="24"/>
          <w:lang w:eastAsia="zh-CN"/>
        </w:rPr>
        <w:t>）</w:t>
      </w:r>
      <w:r>
        <w:rPr>
          <w:rFonts w:hint="eastAsia" w:ascii="Times New Roman" w:hAnsi="Times New Roman" w:eastAsia="仿宋_GB2312" w:cs="Times New Roman"/>
          <w:color w:val="auto"/>
          <w:sz w:val="24"/>
        </w:rPr>
        <w:t>应急设施、设备、材料和管理</w:t>
      </w:r>
    </w:p>
    <w:p>
      <w:pPr>
        <w:widowControl w:val="0"/>
        <w:spacing w:line="360" w:lineRule="auto"/>
        <w:ind w:firstLine="480" w:firstLineChars="200"/>
        <w:rPr>
          <w:rFonts w:hint="eastAsia" w:eastAsia="仿宋_GB2312" w:cs="Times New Roman"/>
          <w:color w:val="auto"/>
          <w:sz w:val="24"/>
          <w:lang w:eastAsia="zh-CN"/>
        </w:rPr>
      </w:pPr>
      <w:r>
        <w:rPr>
          <w:rFonts w:hint="eastAsia" w:ascii="Times New Roman" w:hAnsi="Times New Roman" w:eastAsia="仿宋_GB2312" w:cs="Times New Roman"/>
          <w:color w:val="auto"/>
          <w:sz w:val="24"/>
        </w:rPr>
        <w:t>利用海事、港口部门应急设施，对船舶事故溢油进行吸附拦截。沿线应急设备库、港口溢油应急设施基本可以满足本项目事故泄漏应急救援要求</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考虑到溢油事故的突发性，本码头应自备必要的应急设施和应急行动计划工作人员，以便在突发事故的第一时间采取行动，将事故影响的范围和程度降低到最小</w:t>
      </w:r>
      <w:r>
        <w:rPr>
          <w:rFonts w:hint="eastAsia" w:eastAsia="仿宋_GB2312" w:cs="Times New Roman"/>
          <w:color w:val="auto"/>
          <w:sz w:val="24"/>
          <w:lang w:eastAsia="zh-CN"/>
        </w:rPr>
        <w:t>。</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根据交通部《港口码头水上污染事故应急防备能力要求》（JT/T 451—2017），建议本项目配置以下设备以满足本项目事故应急需求。</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7.10</w:t>
      </w:r>
      <w:r>
        <w:rPr>
          <w:rFonts w:eastAsia="黑体"/>
          <w:b/>
          <w:color w:val="auto"/>
          <w:szCs w:val="21"/>
        </w:rPr>
        <w:t xml:space="preserve">-4  </w:t>
      </w:r>
      <w:r>
        <w:rPr>
          <w:rFonts w:hint="eastAsia" w:eastAsia="黑体"/>
          <w:b/>
          <w:color w:val="auto"/>
          <w:szCs w:val="21"/>
          <w:lang w:val="en-US" w:eastAsia="zh-CN"/>
        </w:rPr>
        <w:t>河港其他码头水上溢油应急设施、设备、物资配备要求一览表</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8"/>
        <w:gridCol w:w="1401"/>
        <w:gridCol w:w="1578"/>
        <w:gridCol w:w="1632"/>
        <w:gridCol w:w="1250"/>
        <w:gridCol w:w="11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59" w:type="pct"/>
            <w:gridSpan w:val="2"/>
            <w:vMerge w:val="restar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设备名称</w:t>
            </w:r>
          </w:p>
        </w:tc>
        <w:tc>
          <w:tcPr>
            <w:tcW w:w="3340" w:type="pct"/>
            <w:gridSpan w:val="4"/>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靠泊能力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659" w:type="pct"/>
            <w:gridSpan w:val="2"/>
            <w:vMerge w:val="continue"/>
            <w:tcBorders>
              <w:bottom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938" w:type="pct"/>
            <w:tcBorders>
              <w:bottom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1000吨级~5000吨级（含）</w:t>
            </w:r>
          </w:p>
        </w:tc>
        <w:tc>
          <w:tcPr>
            <w:tcW w:w="970" w:type="pct"/>
            <w:tcBorders>
              <w:bottom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5000吨级~10000吨级（含）</w:t>
            </w:r>
          </w:p>
        </w:tc>
        <w:tc>
          <w:tcPr>
            <w:tcW w:w="743" w:type="pct"/>
            <w:tcBorders>
              <w:bottom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10000吨级~50000吨级</w:t>
            </w:r>
          </w:p>
        </w:tc>
        <w:tc>
          <w:tcPr>
            <w:tcW w:w="687" w:type="pct"/>
            <w:tcBorders>
              <w:bottom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50000吨级及以上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26" w:type="pct"/>
            <w:tcBorders>
              <w:top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围油栏</w:t>
            </w:r>
          </w:p>
        </w:tc>
        <w:tc>
          <w:tcPr>
            <w:tcW w:w="832" w:type="pct"/>
            <w:tcBorders>
              <w:top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应急型（m）</w:t>
            </w:r>
          </w:p>
        </w:tc>
        <w:tc>
          <w:tcPr>
            <w:tcW w:w="3340" w:type="pct"/>
            <w:gridSpan w:val="4"/>
            <w:tcBorders>
              <w:top w:val="single" w:color="auto" w:sz="12" w:space="0"/>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不低于最大设计船型设计船长的3倍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2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收油机</w:t>
            </w:r>
          </w:p>
        </w:tc>
        <w:tc>
          <w:tcPr>
            <w:tcW w:w="83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总能力（m</w:t>
            </w:r>
            <w:r>
              <w:rPr>
                <w:rFonts w:hint="eastAsia"/>
                <w:color w:val="auto"/>
                <w:sz w:val="20"/>
                <w:vertAlign w:val="superscript"/>
              </w:rPr>
              <w:t>3</w:t>
            </w:r>
            <w:r>
              <w:rPr>
                <w:rFonts w:hint="eastAsia"/>
                <w:color w:val="auto"/>
                <w:sz w:val="20"/>
              </w:rPr>
              <w:t>/h）</w:t>
            </w:r>
          </w:p>
        </w:tc>
        <w:tc>
          <w:tcPr>
            <w:tcW w:w="93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1</w:t>
            </w:r>
          </w:p>
        </w:tc>
        <w:tc>
          <w:tcPr>
            <w:tcW w:w="97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2</w:t>
            </w:r>
          </w:p>
        </w:tc>
        <w:tc>
          <w:tcPr>
            <w:tcW w:w="743"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3</w:t>
            </w:r>
          </w:p>
        </w:tc>
        <w:tc>
          <w:tcPr>
            <w:tcW w:w="68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2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油拖网*</w:t>
            </w:r>
          </w:p>
        </w:tc>
        <w:tc>
          <w:tcPr>
            <w:tcW w:w="83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数量（套）</w:t>
            </w:r>
          </w:p>
        </w:tc>
        <w:tc>
          <w:tcPr>
            <w:tcW w:w="3340" w:type="pct"/>
            <w:gridSpan w:val="4"/>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2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吸油材料</w:t>
            </w:r>
          </w:p>
        </w:tc>
        <w:tc>
          <w:tcPr>
            <w:tcW w:w="83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数量（t）</w:t>
            </w:r>
          </w:p>
        </w:tc>
        <w:tc>
          <w:tcPr>
            <w:tcW w:w="93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0.2</w:t>
            </w:r>
          </w:p>
        </w:tc>
        <w:tc>
          <w:tcPr>
            <w:tcW w:w="97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0.3</w:t>
            </w:r>
          </w:p>
        </w:tc>
        <w:tc>
          <w:tcPr>
            <w:tcW w:w="743"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0.5</w:t>
            </w:r>
          </w:p>
        </w:tc>
        <w:tc>
          <w:tcPr>
            <w:tcW w:w="68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2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储存装置</w:t>
            </w:r>
          </w:p>
        </w:tc>
        <w:tc>
          <w:tcPr>
            <w:tcW w:w="83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有效容积（m</w:t>
            </w:r>
            <w:r>
              <w:rPr>
                <w:rFonts w:hint="eastAsia"/>
                <w:color w:val="auto"/>
                <w:sz w:val="20"/>
                <w:vertAlign w:val="superscript"/>
              </w:rPr>
              <w:t>3</w:t>
            </w:r>
            <w:r>
              <w:rPr>
                <w:rFonts w:hint="eastAsia"/>
                <w:color w:val="auto"/>
                <w:sz w:val="20"/>
              </w:rPr>
              <w:t>）</w:t>
            </w:r>
          </w:p>
        </w:tc>
        <w:tc>
          <w:tcPr>
            <w:tcW w:w="93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1</w:t>
            </w:r>
          </w:p>
        </w:tc>
        <w:tc>
          <w:tcPr>
            <w:tcW w:w="97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2</w:t>
            </w:r>
          </w:p>
        </w:tc>
        <w:tc>
          <w:tcPr>
            <w:tcW w:w="743"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3</w:t>
            </w:r>
          </w:p>
        </w:tc>
        <w:tc>
          <w:tcPr>
            <w:tcW w:w="68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000" w:type="pct"/>
            <w:gridSpan w:val="6"/>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color w:val="auto"/>
                <w:sz w:val="20"/>
              </w:rPr>
            </w:pPr>
            <w:r>
              <w:rPr>
                <w:rFonts w:hint="eastAsia"/>
                <w:color w:val="auto"/>
                <w:sz w:val="20"/>
              </w:rPr>
              <w:t>注：*仅适用于油品的黏度大于6000cSt或在港区水域的水温可能低于油品凝点的情况下配备</w:t>
            </w:r>
          </w:p>
        </w:tc>
      </w:tr>
    </w:tbl>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lang w:val="en-US" w:eastAsia="zh-CN"/>
        </w:rPr>
        <w:t>技改码头</w:t>
      </w:r>
      <w:r>
        <w:rPr>
          <w:rFonts w:hint="eastAsia" w:ascii="Times New Roman" w:hAnsi="Times New Roman" w:eastAsia="仿宋_GB2312" w:cs="Times New Roman"/>
          <w:color w:val="auto"/>
          <w:sz w:val="24"/>
        </w:rPr>
        <w:t>设计代表船型为</w:t>
      </w:r>
      <w:r>
        <w:rPr>
          <w:rFonts w:hint="eastAsia" w:ascii="Times New Roman" w:hAnsi="Times New Roman" w:eastAsia="仿宋_GB2312" w:cs="Times New Roman"/>
          <w:color w:val="auto"/>
          <w:sz w:val="24"/>
          <w:lang w:val="en-US" w:eastAsia="zh-CN"/>
        </w:rPr>
        <w:t>3</w:t>
      </w:r>
      <w:r>
        <w:rPr>
          <w:rFonts w:hint="eastAsia" w:ascii="Times New Roman" w:hAnsi="Times New Roman" w:eastAsia="仿宋_GB2312" w:cs="Times New Roman"/>
          <w:color w:val="auto"/>
          <w:sz w:val="24"/>
        </w:rPr>
        <w:t>000吨级内河船，船长均</w:t>
      </w:r>
      <w:r>
        <w:rPr>
          <w:rFonts w:hint="eastAsia" w:ascii="Times New Roman" w:hAnsi="Times New Roman" w:eastAsia="仿宋_GB2312" w:cs="Times New Roman"/>
          <w:color w:val="auto"/>
          <w:sz w:val="24"/>
          <w:lang w:val="en-US" w:eastAsia="zh-CN"/>
        </w:rPr>
        <w:t>为95</w:t>
      </w:r>
      <w:r>
        <w:rPr>
          <w:rFonts w:hint="eastAsia" w:ascii="Times New Roman" w:hAnsi="Times New Roman" w:eastAsia="仿宋_GB2312" w:cs="Times New Roman"/>
          <w:color w:val="auto"/>
          <w:sz w:val="24"/>
        </w:rPr>
        <w:t>m，因此应急型围油栏长度至少需要</w:t>
      </w:r>
      <w:r>
        <w:rPr>
          <w:rFonts w:hint="eastAsia" w:eastAsia="仿宋_GB2312" w:cs="Times New Roman"/>
          <w:color w:val="auto"/>
          <w:sz w:val="24"/>
          <w:lang w:val="en-US" w:eastAsia="zh-CN"/>
        </w:rPr>
        <w:t>285</w:t>
      </w:r>
      <w:r>
        <w:rPr>
          <w:rFonts w:hint="eastAsia" w:ascii="Times New Roman" w:hAnsi="Times New Roman" w:eastAsia="仿宋_GB2312" w:cs="Times New Roman"/>
          <w:color w:val="auto"/>
          <w:sz w:val="24"/>
        </w:rPr>
        <w:t>m。本项目码头风险控制措施设备见下表。</w:t>
      </w:r>
    </w:p>
    <w:p>
      <w:pPr>
        <w:widowControl w:val="0"/>
        <w:spacing w:line="360" w:lineRule="auto"/>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7.10</w:t>
      </w:r>
      <w:r>
        <w:rPr>
          <w:rFonts w:eastAsia="黑体"/>
          <w:b/>
          <w:color w:val="auto"/>
          <w:szCs w:val="21"/>
        </w:rPr>
        <w:t>-</w:t>
      </w:r>
      <w:r>
        <w:rPr>
          <w:rFonts w:hint="eastAsia" w:eastAsia="黑体"/>
          <w:b/>
          <w:color w:val="auto"/>
          <w:szCs w:val="21"/>
          <w:lang w:val="en-US" w:eastAsia="zh-CN"/>
        </w:rPr>
        <w:t>5</w:t>
      </w:r>
      <w:r>
        <w:rPr>
          <w:rFonts w:eastAsia="黑体"/>
          <w:b/>
          <w:color w:val="auto"/>
          <w:szCs w:val="21"/>
        </w:rPr>
        <w:t xml:space="preserve">  </w:t>
      </w:r>
      <w:r>
        <w:rPr>
          <w:rFonts w:hint="eastAsia" w:eastAsia="黑体"/>
          <w:b/>
          <w:color w:val="auto"/>
          <w:szCs w:val="21"/>
          <w:lang w:val="en-US" w:eastAsia="zh-CN"/>
        </w:rPr>
        <w:t>码风险控制措施设备一览表</w:t>
      </w:r>
    </w:p>
    <w:tbl>
      <w:tblPr>
        <w:tblStyle w:val="9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15"/>
        <w:gridCol w:w="2521"/>
        <w:gridCol w:w="1275"/>
        <w:gridCol w:w="33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编号</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设备名称</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数量</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eastAsia="zh-CN"/>
              </w:rPr>
            </w:pPr>
            <w:r>
              <w:rPr>
                <w:rFonts w:hint="eastAsia" w:eastAsia="宋体"/>
                <w:color w:val="auto"/>
                <w:sz w:val="20"/>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防火</w:t>
            </w:r>
            <w:r>
              <w:rPr>
                <w:color w:val="auto"/>
                <w:sz w:val="20"/>
              </w:rPr>
              <w:t>围油栏</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lang w:val="en-US" w:eastAsia="zh-CN"/>
              </w:rPr>
              <w:t>285</w:t>
            </w:r>
            <w:r>
              <w:rPr>
                <w:color w:val="auto"/>
                <w:sz w:val="20"/>
              </w:rPr>
              <w:t>m</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eastAsia="宋体"/>
                <w:color w:val="auto"/>
                <w:sz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2</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ascii="Times New Roman" w:hAnsi="Times New Roman" w:eastAsia="宋体" w:cs="Times New Roman"/>
                <w:color w:val="auto"/>
                <w:kern w:val="2"/>
                <w:sz w:val="20"/>
                <w:lang w:val="en-US" w:eastAsia="zh-CN" w:bidi="ar-SA"/>
              </w:rPr>
            </w:pPr>
            <w:r>
              <w:rPr>
                <w:color w:val="auto"/>
                <w:sz w:val="20"/>
              </w:rPr>
              <w:t>收油机</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ascii="Times New Roman" w:hAnsi="Times New Roman" w:eastAsia="宋体" w:cs="Times New Roman"/>
                <w:color w:val="auto"/>
                <w:kern w:val="2"/>
                <w:sz w:val="20"/>
                <w:lang w:val="en-US" w:eastAsia="zh-CN" w:bidi="ar-SA"/>
              </w:rPr>
            </w:pPr>
            <w:r>
              <w:rPr>
                <w:color w:val="auto"/>
                <w:sz w:val="20"/>
              </w:rPr>
              <w:t>1台</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color w:val="auto"/>
                <w:sz w:val="20"/>
              </w:rPr>
              <w:t>1m</w:t>
            </w:r>
            <w:r>
              <w:rPr>
                <w:color w:val="auto"/>
                <w:sz w:val="20"/>
                <w:vertAlign w:val="superscript"/>
              </w:rPr>
              <w:t>3</w:t>
            </w:r>
            <w:r>
              <w:rPr>
                <w:color w:val="auto"/>
                <w:sz w:val="20"/>
              </w:rPr>
              <w:t>/h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3</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油拖网</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val="en-US" w:eastAsia="zh-CN"/>
              </w:rPr>
            </w:pPr>
            <w:r>
              <w:rPr>
                <w:rFonts w:hint="eastAsia"/>
                <w:color w:val="auto"/>
                <w:sz w:val="20"/>
                <w:lang w:val="en-US" w:eastAsia="zh-CN"/>
              </w:rPr>
              <w:t>一套</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eastAsia="宋体"/>
                <w:color w:val="auto"/>
                <w:sz w:val="2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4</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rFonts w:hint="eastAsia"/>
                <w:color w:val="auto"/>
                <w:sz w:val="20"/>
              </w:rPr>
              <w:t>吸油毡</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0.2吨</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lang w:eastAsia="zh-CN"/>
              </w:rPr>
            </w:pPr>
            <w:r>
              <w:rPr>
                <w:rFonts w:hint="eastAsia"/>
                <w:color w:val="auto"/>
                <w:sz w:val="20"/>
                <w:lang w:val="en-US" w:eastAsia="zh-CN"/>
              </w:rPr>
              <w:t>5</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储存装置</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r>
              <w:rPr>
                <w:color w:val="auto"/>
                <w:sz w:val="20"/>
              </w:rPr>
              <w:t>1m</w:t>
            </w:r>
            <w:r>
              <w:rPr>
                <w:color w:val="auto"/>
                <w:sz w:val="20"/>
                <w:vertAlign w:val="superscript"/>
              </w:rPr>
              <w:t>3</w:t>
            </w: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eastAsia="宋体"/>
                <w:color w:val="auto"/>
                <w:sz w:val="20"/>
                <w:lang w:val="en-US"/>
              </w:rPr>
              <w:t>有效容积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72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color w:val="auto"/>
                <w:sz w:val="20"/>
                <w:lang w:val="en-US" w:eastAsia="zh-CN"/>
              </w:rPr>
            </w:pPr>
            <w:r>
              <w:rPr>
                <w:rFonts w:hint="eastAsia"/>
                <w:color w:val="auto"/>
                <w:sz w:val="20"/>
                <w:lang w:val="en-US" w:eastAsia="zh-CN"/>
              </w:rPr>
              <w:t>6</w:t>
            </w:r>
          </w:p>
        </w:tc>
        <w:tc>
          <w:tcPr>
            <w:tcW w:w="149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eastAsia="宋体"/>
                <w:color w:val="auto"/>
                <w:sz w:val="20"/>
                <w:lang w:val="en-US" w:eastAsia="zh-CN"/>
              </w:rPr>
            </w:pPr>
            <w:r>
              <w:rPr>
                <w:rFonts w:hint="eastAsia"/>
                <w:color w:val="auto"/>
                <w:sz w:val="20"/>
                <w:lang w:val="en-US" w:eastAsia="zh-CN"/>
              </w:rPr>
              <w:t>各种安全标志</w:t>
            </w:r>
          </w:p>
        </w:tc>
        <w:tc>
          <w:tcPr>
            <w:tcW w:w="758"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color w:val="auto"/>
                <w:sz w:val="20"/>
              </w:rPr>
            </w:pPr>
          </w:p>
        </w:tc>
        <w:tc>
          <w:tcPr>
            <w:tcW w:w="20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eastAsia="宋体"/>
                <w:color w:val="auto"/>
                <w:sz w:val="20"/>
              </w:rPr>
            </w:pPr>
            <w:r>
              <w:rPr>
                <w:rFonts w:hint="eastAsia" w:eastAsia="宋体"/>
                <w:color w:val="auto"/>
                <w:sz w:val="20"/>
              </w:rPr>
              <w:t>禁止、警告、指令、提示、警示等</w:t>
            </w:r>
          </w:p>
        </w:tc>
      </w:tr>
    </w:tbl>
    <w:p>
      <w:pPr>
        <w:widowControl w:val="0"/>
        <w:spacing w:line="360" w:lineRule="auto"/>
        <w:ind w:firstLine="420" w:firstLineChars="200"/>
        <w:rPr>
          <w:rFonts w:hint="eastAsia" w:ascii="Times New Roman" w:hAnsi="Times New Roman" w:eastAsia="仿宋_GB2312" w:cs="Times New Roman"/>
          <w:color w:val="auto"/>
          <w:sz w:val="24"/>
        </w:rPr>
      </w:pPr>
      <w:r>
        <w:rPr>
          <w:rFonts w:hint="eastAsia" w:ascii="Times New Roman" w:eastAsia="仿宋_GB2312"/>
          <w:color w:val="auto"/>
          <w:lang w:eastAsia="zh-CN"/>
        </w:rPr>
        <w:t>（</w:t>
      </w:r>
      <w:r>
        <w:rPr>
          <w:rFonts w:hint="eastAsia" w:ascii="Times New Roman" w:eastAsia="仿宋_GB2312"/>
          <w:color w:val="auto"/>
          <w:lang w:val="en-US" w:eastAsia="zh-CN"/>
        </w:rPr>
        <w:t>5</w:t>
      </w:r>
      <w:r>
        <w:rPr>
          <w:rFonts w:hint="eastAsia" w:ascii="Times New Roman" w:eastAsia="仿宋_GB2312"/>
          <w:color w:val="auto"/>
          <w:lang w:eastAsia="zh-CN"/>
        </w:rPr>
        <w:t>）</w:t>
      </w:r>
      <w:r>
        <w:rPr>
          <w:rFonts w:hint="eastAsia" w:ascii="Times New Roman" w:hAnsi="Times New Roman" w:eastAsia="仿宋_GB2312" w:cs="Times New Roman"/>
          <w:color w:val="auto"/>
          <w:sz w:val="24"/>
        </w:rPr>
        <w:t>应急反应</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在码头出现和可能出现事故溢油时，码头区调度室及值班人员应视溢油程度需要快速向应急小组报告。应急小组在接到事故现场人员报告后，迅速组织技术评估人员立即评估溢油规模，预计溢油漂移趋势，初步确定应急方案。</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在经过溢油事故初始评估后，应急小组组长决定是否启动应急计划。若溢油事故规模较小，码头人员、设备具备处理的能力，应立即组织人员、调用设备进行处理，若码头人员、设备不具备处理的能力，应立即启动应急计划。</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应急计划反应内容包括：由组长或其指定的人员向上级主管部门以及与事故相关的货主、保险公司、海事、环保等部门报告。报告内容应包括：</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①事故发生的时间、地点、船名、位置；</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②事故发生江段气象、水文情况；</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③事故发生后已经采取的措施及控制情况；</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④事故发展势态、可能发生的严重后果；</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⑤需要的援助（应急设施和物资、人员、环境监测、医疗援助等）；</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⑥事故报警单位、联系人及联系电话等。</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应急小组全体成员立即采取应急措施，包括溢油控制与清除，溢油的监测和监视等。同时，在事故发生第一时间应立即通知码头下游水厂，立即停止取水。应急行动反应见图</w:t>
      </w:r>
      <w:r>
        <w:rPr>
          <w:rFonts w:hint="eastAsia" w:ascii="Times New Roman" w:hAnsi="Times New Roman" w:eastAsia="仿宋_GB2312" w:cs="Times New Roman"/>
          <w:color w:val="auto"/>
          <w:sz w:val="24"/>
          <w:lang w:val="en-US" w:eastAsia="zh-CN"/>
        </w:rPr>
        <w:t>7.10-</w:t>
      </w:r>
      <w:r>
        <w:rPr>
          <w:rFonts w:hint="eastAsia" w:ascii="Times New Roman" w:hAnsi="Times New Roman" w:eastAsia="仿宋_GB2312" w:cs="Times New Roman"/>
          <w:color w:val="auto"/>
          <w:sz w:val="24"/>
        </w:rPr>
        <w:t>2。当事故规模、气候条件使码头人员、设备无法满足要求时，码头应立即请求宜都海事处提供外部力量支援，由宜都海事处视溢油事故的程度和影响范围就近调拨应急设施、物资和工作人员等进行处理。</w:t>
      </w:r>
    </w:p>
    <w:p>
      <w:pPr>
        <w:spacing w:before="120" w:after="120" w:line="360" w:lineRule="auto"/>
        <w:jc w:val="center"/>
        <w:rPr>
          <w:rFonts w:ascii="Times New Roman" w:eastAsia="黑体"/>
          <w:color w:val="auto"/>
        </w:rPr>
      </w:pPr>
      <w:r>
        <w:rPr>
          <w:rFonts w:ascii="Times New Roman"/>
          <w:color w:val="auto"/>
        </w:rPr>
        <w:drawing>
          <wp:inline distT="0" distB="0" distL="114300" distR="114300">
            <wp:extent cx="3881120" cy="3981450"/>
            <wp:effectExtent l="0" t="0" r="5080" b="0"/>
            <wp:docPr id="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7"/>
                    <pic:cNvPicPr>
                      <a:picLocks noChangeAspect="1"/>
                    </pic:cNvPicPr>
                  </pic:nvPicPr>
                  <pic:blipFill>
                    <a:blip r:embed="rId282"/>
                    <a:stretch>
                      <a:fillRect/>
                    </a:stretch>
                  </pic:blipFill>
                  <pic:spPr>
                    <a:xfrm>
                      <a:off x="0" y="0"/>
                      <a:ext cx="3881120" cy="3981450"/>
                    </a:xfrm>
                    <a:prstGeom prst="rect">
                      <a:avLst/>
                    </a:prstGeom>
                    <a:noFill/>
                    <a:ln>
                      <a:noFill/>
                    </a:ln>
                  </pic:spPr>
                </pic:pic>
              </a:graphicData>
            </a:graphic>
          </wp:inline>
        </w:drawing>
      </w:r>
    </w:p>
    <w:p>
      <w:pPr>
        <w:widowControl w:val="0"/>
        <w:spacing w:line="360" w:lineRule="auto"/>
        <w:jc w:val="center"/>
        <w:rPr>
          <w:rFonts w:eastAsia="黑体"/>
          <w:b/>
          <w:color w:val="auto"/>
          <w:szCs w:val="21"/>
        </w:rPr>
      </w:pPr>
      <w:r>
        <w:rPr>
          <w:rFonts w:eastAsia="黑体"/>
          <w:b/>
          <w:color w:val="auto"/>
          <w:szCs w:val="21"/>
        </w:rPr>
        <w:t>图</w:t>
      </w:r>
      <w:r>
        <w:rPr>
          <w:rFonts w:hint="eastAsia" w:eastAsia="黑体"/>
          <w:b/>
          <w:color w:val="auto"/>
          <w:szCs w:val="21"/>
          <w:lang w:val="en-US" w:eastAsia="zh-CN"/>
        </w:rPr>
        <w:t>7.10</w:t>
      </w:r>
      <w:r>
        <w:rPr>
          <w:rFonts w:eastAsia="黑体"/>
          <w:b/>
          <w:color w:val="auto"/>
          <w:szCs w:val="21"/>
        </w:rPr>
        <w:t>-2  应急反应行动图</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6</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溢油回收</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●吸油毡回收后可重复使用。</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●溢油回收后，送至有资质单位处理。</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●当溢油经过围控和回收，但仍有部分漂移至码头附近的岸边时，需要组织码头人员、外部协作单位并召集附近民众进行岸滩油污清除工作。</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●当回收溢油量较大时，应由宜昌港主管机关认可的油类、类油物和沾油废弃物回收单位协作处理。</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7</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事故报告制度</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发生污染事故时应及时报告，事故处理完毕后，应由湖北楚新矿业有限公司对事故原因、溢油量、污染清除处理过程、污染范围和影响程度报告宜都海事处，由海事处、生态环境局等部门组织调查，按实际情况确定由事故溢油造成受损失的赔偿费用，经法院最终裁决后，给予经济赔偿。</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8</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人员培训</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本码头应急反应的有关管理人员、设施操作人员、应急清污人员应通过专业培训和在职培训，掌握履行其职责所需的相关知识，逐步实现应急反应人员持证上岗，使应急人员具备应急反应理论和溢油控制及清污的实践经验。</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9</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演习</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为了提高应对水上突发事件的应急处置水平和应急指挥能力，增强应急队伍应急处置和安全保护技能，加强各应急救助单位之间的配合与沟通，检验参与单位应急能力，应适时组织举办综合演习。</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10</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定期检查</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本应急计划保证相关人员人手一册，并且每年进行一次计划检查，及时对应急组织指挥机构成员及其联系方式进行修改更新。</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eastAsia="仿宋_GB2312" w:cs="Times New Roman"/>
          <w:color w:val="auto"/>
          <w:sz w:val="24"/>
          <w:lang w:eastAsia="zh-CN"/>
        </w:rPr>
        <w:t>（</w:t>
      </w:r>
      <w:r>
        <w:rPr>
          <w:rFonts w:hint="eastAsia" w:eastAsia="仿宋_GB2312" w:cs="Times New Roman"/>
          <w:color w:val="auto"/>
          <w:sz w:val="24"/>
          <w:lang w:val="en-US" w:eastAsia="zh-CN"/>
        </w:rPr>
        <w:t>11</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水生动物保护事故风险应急预案</w:t>
      </w:r>
    </w:p>
    <w:p>
      <w:pPr>
        <w:widowControl w:val="0"/>
        <w:spacing w:line="360" w:lineRule="auto"/>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建设单位必须严格制定并落实事故风险防范措施和事故应急预案。在事故发生后，在中华鲟、江豚等水生保护动物可能分布的区域及时展开搜索救援、及时处理和降低事故可能产生的生态影响，迅速恢复事故江段及下游江段的水环境状况。</w:t>
      </w:r>
    </w:p>
    <w:bookmarkEnd w:id="460"/>
    <w:bookmarkEnd w:id="461"/>
    <w:p>
      <w:pPr>
        <w:widowControl w:val="0"/>
        <w:spacing w:line="360" w:lineRule="auto"/>
        <w:rPr>
          <w:color w:val="auto"/>
          <w:sz w:val="24"/>
        </w:rPr>
        <w:sectPr>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9" w:charSpace="0"/>
        </w:sectPr>
      </w:pPr>
    </w:p>
    <w:p>
      <w:pPr>
        <w:widowControl w:val="0"/>
        <w:spacing w:before="240" w:after="240" w:line="360" w:lineRule="auto"/>
        <w:jc w:val="center"/>
        <w:outlineLvl w:val="0"/>
        <w:rPr>
          <w:rFonts w:hint="default" w:eastAsia="黑体"/>
          <w:color w:val="auto"/>
          <w:sz w:val="44"/>
          <w:szCs w:val="44"/>
          <w:lang w:val="en-US" w:eastAsia="zh-CN"/>
        </w:rPr>
      </w:pPr>
      <w:bookmarkStart w:id="493" w:name="_Toc305859551"/>
      <w:bookmarkStart w:id="494" w:name="_Toc343702880"/>
      <w:bookmarkStart w:id="495" w:name="_Toc10931"/>
      <w:r>
        <w:rPr>
          <w:rFonts w:hint="eastAsia" w:eastAsia="黑体"/>
          <w:color w:val="auto"/>
          <w:sz w:val="44"/>
          <w:szCs w:val="44"/>
          <w:lang w:val="en-US" w:eastAsia="zh-CN"/>
        </w:rPr>
        <w:t>8</w:t>
      </w:r>
      <w:bookmarkEnd w:id="493"/>
      <w:bookmarkEnd w:id="494"/>
      <w:r>
        <w:rPr>
          <w:rFonts w:hint="eastAsia" w:eastAsia="黑体"/>
          <w:color w:val="auto"/>
          <w:sz w:val="44"/>
          <w:szCs w:val="44"/>
        </w:rPr>
        <w:t>环境</w:t>
      </w:r>
      <w:r>
        <w:rPr>
          <w:rFonts w:hint="eastAsia" w:eastAsia="黑体"/>
          <w:color w:val="auto"/>
          <w:sz w:val="44"/>
          <w:szCs w:val="44"/>
          <w:lang w:val="en-US" w:eastAsia="zh-CN"/>
        </w:rPr>
        <w:t>保护措施及其可行性论证</w:t>
      </w:r>
      <w:bookmarkEnd w:id="495"/>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496" w:name="_Toc18369"/>
      <w:r>
        <w:rPr>
          <w:rFonts w:hint="eastAsia" w:ascii="Times New Roman" w:hAnsi="Times New Roman"/>
          <w:b w:val="0"/>
          <w:color w:val="auto"/>
          <w:szCs w:val="32"/>
          <w:lang w:val="en-US" w:eastAsia="zh-CN"/>
        </w:rPr>
        <w:t>8</w:t>
      </w:r>
      <w:r>
        <w:rPr>
          <w:rFonts w:ascii="Times New Roman" w:hAnsi="Times New Roman"/>
          <w:b w:val="0"/>
          <w:color w:val="auto"/>
          <w:szCs w:val="32"/>
        </w:rPr>
        <w:t>.1</w:t>
      </w:r>
      <w:r>
        <w:rPr>
          <w:rFonts w:hint="eastAsia" w:ascii="Times New Roman" w:hAnsi="Times New Roman"/>
          <w:b w:val="0"/>
          <w:color w:val="auto"/>
          <w:szCs w:val="32"/>
          <w:lang w:val="en-US" w:eastAsia="zh-CN"/>
        </w:rPr>
        <w:t>施工期环境保护措施</w:t>
      </w:r>
      <w:bookmarkEnd w:id="496"/>
    </w:p>
    <w:p>
      <w:pPr>
        <w:pStyle w:val="9"/>
        <w:widowControl w:val="0"/>
        <w:spacing w:before="120" w:after="120" w:line="360" w:lineRule="auto"/>
        <w:rPr>
          <w:rFonts w:eastAsia="黑体"/>
          <w:b w:val="0"/>
          <w:color w:val="auto"/>
          <w:sz w:val="24"/>
        </w:rPr>
      </w:pPr>
      <w:bookmarkStart w:id="497" w:name="_Toc23816"/>
      <w:r>
        <w:rPr>
          <w:rFonts w:hint="eastAsia" w:eastAsia="黑体"/>
          <w:b w:val="0"/>
          <w:color w:val="auto"/>
          <w:sz w:val="24"/>
          <w:lang w:val="en-US" w:eastAsia="zh-CN"/>
        </w:rPr>
        <w:t>8.</w:t>
      </w:r>
      <w:r>
        <w:rPr>
          <w:rFonts w:eastAsia="黑体"/>
          <w:b w:val="0"/>
          <w:color w:val="auto"/>
          <w:sz w:val="24"/>
        </w:rPr>
        <w:t>1.1</w:t>
      </w:r>
      <w:r>
        <w:rPr>
          <w:rFonts w:hint="eastAsia" w:eastAsia="黑体"/>
          <w:b w:val="0"/>
          <w:color w:val="auto"/>
          <w:sz w:val="24"/>
          <w:lang w:val="en-US" w:eastAsia="zh-CN"/>
        </w:rPr>
        <w:t>施工期大气污染防治</w:t>
      </w:r>
      <w:r>
        <w:rPr>
          <w:rFonts w:eastAsia="黑体"/>
          <w:b w:val="0"/>
          <w:color w:val="auto"/>
          <w:sz w:val="24"/>
        </w:rPr>
        <w:t>措施</w:t>
      </w:r>
      <w:bookmarkEnd w:id="497"/>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工程施工过程中产生的道路扬尘、施工扬尘是对环境空气影响的主要污染源，所以在施工期间，应采取积极的措施来尽量减少扬尘的产生，如喷水，保持湿润、及时外运等。施工单位应负责实施下列减缓措施以防止扬尘污染：</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1）运载材料以及建筑垃圾的车辆要遮雨布遮盖或使用密闭运输车减少散落，车辆驶出装、卸场地前用水将车厢和轮胎冲洗干净，同时进出需设置洗车平台；运输车辆驶出施工现场前要将车轮和槽帮冲洗干净，确保车辆不带泥土驶离工地；施工场地内运输通道及时清扫冲洗，以减少汽车行驶扬尘。严禁使用敞口运输车运输施工垃圾。杜绝超高、超载和沿路撒落等违法运输行为。</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2）各施工阶段应有专职环境保护管理人员，其职责是指导和管理施工现场的工程弃土、建筑垃圾、建筑材料的处置、清运、堆放，场地恢复和硬化，清除进出施工现场道路上的泥土、弃料以及轮胎上的泥土，防止二次扬尘污染。</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（3）合理安排施工运输工作，对于施工作业中的大型构件和大量物资及弃土的运输，应尽量避开交通高峰期，以缓解交通压力。</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（4）施工作业区应配备专人负责，做到科学管理、文明施工。在基础施工期间，应尽可能采取措施提高工程进度，并将土石方及时外运到指定地点，缩短堆放的危害周期。</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（5）对作业面和临时土堆应适当地洒水，使其保持一定的湿度，减少起尘量；保持车辆出入口路面清洁、润湿，以减少道路扬尘污染，并要求运输车辆减缓行车速度。</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（6）加强对施工机械、车辆的维修保养，禁止以柴油为燃料的施工机械超负荷工作，减少尾气排放。</w:t>
      </w:r>
    </w:p>
    <w:p>
      <w:pPr>
        <w:pStyle w:val="9"/>
        <w:widowControl w:val="0"/>
        <w:spacing w:before="120" w:after="120" w:line="360" w:lineRule="auto"/>
        <w:rPr>
          <w:rFonts w:eastAsia="黑体"/>
          <w:b w:val="0"/>
          <w:color w:val="auto"/>
          <w:sz w:val="24"/>
        </w:rPr>
      </w:pPr>
      <w:bookmarkStart w:id="498" w:name="_Toc20176"/>
      <w:r>
        <w:rPr>
          <w:rFonts w:hint="eastAsia" w:eastAsia="黑体"/>
          <w:b w:val="0"/>
          <w:color w:val="auto"/>
          <w:sz w:val="24"/>
          <w:lang w:val="en-US" w:eastAsia="zh-CN"/>
        </w:rPr>
        <w:t>8.</w:t>
      </w:r>
      <w:r>
        <w:rPr>
          <w:rFonts w:eastAsia="黑体"/>
          <w:b w:val="0"/>
          <w:color w:val="auto"/>
          <w:sz w:val="24"/>
        </w:rPr>
        <w:t>1.</w:t>
      </w:r>
      <w:r>
        <w:rPr>
          <w:rFonts w:hint="eastAsia" w:eastAsia="黑体"/>
          <w:b w:val="0"/>
          <w:color w:val="auto"/>
          <w:sz w:val="24"/>
          <w:lang w:val="en-US" w:eastAsia="zh-CN"/>
        </w:rPr>
        <w:t>2施工期废水污染防治</w:t>
      </w:r>
      <w:r>
        <w:rPr>
          <w:rFonts w:eastAsia="黑体"/>
          <w:b w:val="0"/>
          <w:color w:val="auto"/>
          <w:sz w:val="24"/>
        </w:rPr>
        <w:t>措施</w:t>
      </w:r>
      <w:bookmarkEnd w:id="498"/>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1）钻孔灌注桩施工时在泥浆池四周设置土堤等类型围堰，围堰高度约0.3m，在溢流口设置土工布，泥浆池设置雨天遮盖装置，该措施的落实可防止钻孔施工时因降雨而产生的悬浮泥沙对长江（宜都）段水体的污染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2）施工场地（包括临时工棚、材料堆场、钢筋加工棚等）设置于后方港区内，远离河滩地，确保含有害物质的建筑材料（如施工水泥）远离水边，各类建筑材料设防雨、遮雨设施，散料堆场四周用石块或水泥砌块围出高0.5m的防冲墙，防止散料被雨水冲刷流失。</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（3）施工人员租用附近民宅居住或作为办公地点，生活污水依托已有排水系统，施工现场应设置环保型生态旱厕，施工人员生活污水经环保型生态旱厕处理后由环卫部门清运处置。</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（4）施工期尽量避免对施工机械进行冲洗，施工机械机械冲洗水、雨水需通过施工区建设排水明沟收集，通入隔油沉淀池处理后回用于临时堆场、料场喷淋防尘、道路冲洗及车辆冲洗，不排放。</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（5）施工船舶不得在港区水域排放含油舱底水和生活污水，确需排放舱底油污水、生活污水的船舶，应向海事部门提出申请，由海事部门认可的有资质的单位接收处理，可保护码头水域不受施工船舶污水污染。</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（6）施工船舶在水域内定点作业、船舶停泊，以保证不发生船舶污染水域的事故，禁止向水域抛弃垃圾，禁止向水域排放生产、生活污水。</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（7）水泥和其它建筑材料的堆放应放置尽量远离长江（宜都）岸坡，选择暴雨径流难以冲刷的地方，各类筑路材料应有防雨遮雨设施。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（8）建设单位与施工单位所签定的承包合同中应有环境保护方面的条款，并附有环保要求的具体内容。</w:t>
      </w:r>
    </w:p>
    <w:p>
      <w:pPr>
        <w:pStyle w:val="9"/>
        <w:widowControl w:val="0"/>
        <w:spacing w:before="120" w:after="120" w:line="360" w:lineRule="auto"/>
        <w:rPr>
          <w:rFonts w:hint="eastAsia" w:eastAsia="黑体"/>
          <w:b w:val="0"/>
          <w:color w:val="auto"/>
          <w:sz w:val="24"/>
          <w:lang w:val="en-US" w:eastAsia="zh-CN"/>
        </w:rPr>
      </w:pPr>
      <w:bookmarkStart w:id="499" w:name="_Toc16335"/>
      <w:r>
        <w:rPr>
          <w:rFonts w:hint="eastAsia" w:eastAsia="黑体"/>
          <w:b w:val="0"/>
          <w:color w:val="auto"/>
          <w:sz w:val="24"/>
          <w:lang w:val="en-US" w:eastAsia="zh-CN"/>
        </w:rPr>
        <w:t>8.1.3施工期声环境污染防治措施</w:t>
      </w:r>
      <w:bookmarkEnd w:id="499"/>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（1）尽量选取低噪声、低振动的施工机械和运输车辆，加强机械、车辆的日常维修保养，使其保持良好状态，避免超过正常噪声运转。对高噪声设备，应在其附近加设可移动的简单围障，以降低其噪声影响。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2）合理安排高噪声施工作业的时间，施工时在夜间（22：00-06：00）应尽量避免施工，尽可能减少对周围环境的影响。特殊情况需连续施工的，做好周围群众的工作，并报工地所在区或市生态环境部门批准后方可在指定日期内施工。</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（3）应注意合理安排施工物料的运输时间，夜间22：00以后禁止施工车辆穿越居民区，减少对周边居民区的影响。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（4）做好施工机械和运输车辆的调度和交通疏导工作，禁止车辆鸣笛，降低交通噪声。</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（5）加强港区绿化，做好施工机械和运输车辆的调度和交通疏导工作，禁止车辆鸣笛，降低交通噪声。</w:t>
      </w:r>
    </w:p>
    <w:p>
      <w:pPr>
        <w:pStyle w:val="9"/>
        <w:widowControl w:val="0"/>
        <w:spacing w:before="120" w:after="120" w:line="360" w:lineRule="auto"/>
        <w:rPr>
          <w:rFonts w:hint="eastAsia" w:eastAsia="黑体"/>
          <w:b w:val="0"/>
          <w:color w:val="auto"/>
          <w:sz w:val="24"/>
          <w:lang w:val="en-US" w:eastAsia="zh-CN"/>
        </w:rPr>
      </w:pPr>
      <w:bookmarkStart w:id="500" w:name="_Toc18488"/>
      <w:r>
        <w:rPr>
          <w:rFonts w:hint="eastAsia" w:eastAsia="黑体"/>
          <w:b w:val="0"/>
          <w:color w:val="auto"/>
          <w:sz w:val="24"/>
          <w:lang w:val="en-US" w:eastAsia="zh-CN"/>
        </w:rPr>
        <w:t>8.1.4施工期固体废物污染防治措施</w:t>
      </w:r>
      <w:bookmarkEnd w:id="500"/>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施工期固体废物主要包括现有工程拆除固废、施工人员生活垃圾、施工船舶生活垃圾等。</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生活垃圾：施工场地内配备垃圾桶，设置垃圾集中堆放场地，施工期生活垃圾由环卫部门定期清运，送至城市垃圾处理场处置。</w:t>
      </w:r>
    </w:p>
    <w:p>
      <w:pPr>
        <w:widowControl w:val="0"/>
        <w:spacing w:line="360" w:lineRule="auto"/>
        <w:ind w:firstLine="480" w:firstLineChars="200"/>
        <w:rPr>
          <w:rFonts w:hint="eastAsia" w:eastAsia="仿宋_GB2312"/>
          <w:color w:val="auto"/>
          <w:sz w:val="24"/>
          <w:szCs w:val="24"/>
          <w:lang w:eastAsia="zh-CN"/>
        </w:rPr>
      </w:pPr>
      <w:r>
        <w:rPr>
          <w:rFonts w:hint="eastAsia" w:eastAsia="仿宋_GB2312"/>
          <w:color w:val="auto"/>
          <w:sz w:val="24"/>
          <w:szCs w:val="24"/>
        </w:rPr>
        <w:t>到港船舶的船员以</w:t>
      </w:r>
      <w:r>
        <w:rPr>
          <w:rFonts w:hint="eastAsia" w:eastAsia="仿宋_GB2312"/>
          <w:color w:val="auto"/>
          <w:sz w:val="24"/>
          <w:szCs w:val="24"/>
          <w:lang w:val="en-US" w:eastAsia="zh-CN"/>
        </w:rPr>
        <w:t>10</w:t>
      </w:r>
      <w:r>
        <w:rPr>
          <w:rFonts w:hint="eastAsia" w:eastAsia="仿宋_GB2312"/>
          <w:color w:val="auto"/>
          <w:sz w:val="24"/>
          <w:szCs w:val="24"/>
        </w:rPr>
        <w:t>人/艘估算，船员生活垃圾产生量按1.0kg/天·人计算，施工期到港船舶生活垃圾产生量约为</w:t>
      </w:r>
      <w:r>
        <w:rPr>
          <w:rFonts w:hint="eastAsia" w:eastAsia="仿宋_GB2312"/>
          <w:color w:val="auto"/>
          <w:sz w:val="24"/>
          <w:szCs w:val="24"/>
          <w:lang w:val="en-US" w:eastAsia="zh-CN"/>
        </w:rPr>
        <w:t>0.5</w:t>
      </w:r>
      <w:r>
        <w:rPr>
          <w:rFonts w:hint="eastAsia" w:eastAsia="仿宋_GB2312"/>
          <w:color w:val="auto"/>
          <w:sz w:val="24"/>
          <w:szCs w:val="24"/>
        </w:rPr>
        <w:t>t/艘，由海事部门认可的单位接收处理</w:t>
      </w:r>
      <w:r>
        <w:rPr>
          <w:rFonts w:hint="eastAsia" w:eastAsia="仿宋_GB2312"/>
          <w:color w:val="auto"/>
          <w:sz w:val="24"/>
          <w:szCs w:val="24"/>
          <w:lang w:eastAsia="zh-CN"/>
        </w:rPr>
        <w:t>。</w:t>
      </w:r>
    </w:p>
    <w:p>
      <w:pPr>
        <w:widowControl w:val="0"/>
        <w:spacing w:line="360" w:lineRule="auto"/>
        <w:ind w:firstLine="480" w:firstLineChars="200"/>
        <w:rPr>
          <w:rFonts w:hint="eastAsia" w:eastAsia="仿宋_GB2312"/>
          <w:color w:val="auto"/>
          <w:sz w:val="24"/>
          <w:szCs w:val="24"/>
        </w:rPr>
      </w:pPr>
      <w:r>
        <w:rPr>
          <w:rFonts w:hint="eastAsia" w:eastAsia="仿宋_GB2312"/>
          <w:color w:val="auto"/>
          <w:sz w:val="24"/>
          <w:szCs w:val="24"/>
        </w:rPr>
        <w:t>本次项目施工期间拆除</w:t>
      </w:r>
      <w:r>
        <w:rPr>
          <w:rFonts w:hint="eastAsia" w:eastAsia="仿宋_GB2312"/>
          <w:color w:val="auto"/>
          <w:sz w:val="24"/>
          <w:szCs w:val="24"/>
          <w:lang w:eastAsia="zh-CN"/>
        </w:rPr>
        <w:t>的</w:t>
      </w:r>
      <w:r>
        <w:rPr>
          <w:rFonts w:hint="eastAsia" w:eastAsia="仿宋_GB2312"/>
          <w:color w:val="auto"/>
          <w:sz w:val="24"/>
          <w:szCs w:val="24"/>
        </w:rPr>
        <w:t>现有码头，趸船</w:t>
      </w:r>
      <w:r>
        <w:rPr>
          <w:rFonts w:hint="eastAsia" w:eastAsia="仿宋_GB2312"/>
          <w:color w:val="auto"/>
          <w:sz w:val="24"/>
          <w:szCs w:val="24"/>
          <w:lang w:eastAsia="zh-CN"/>
        </w:rPr>
        <w:t>、</w:t>
      </w:r>
      <w:r>
        <w:rPr>
          <w:rFonts w:hint="eastAsia" w:eastAsia="仿宋_GB2312"/>
          <w:color w:val="auto"/>
          <w:sz w:val="24"/>
          <w:szCs w:val="24"/>
        </w:rPr>
        <w:t>皮带机及其配套的接料漏斗外售给物资回收单位回收处置。</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施工期各类固体废物均可得到合理处置，并尽量做到资源化利用，不会对施工场地区域造成环境污染。</w:t>
      </w:r>
    </w:p>
    <w:p>
      <w:pPr>
        <w:pStyle w:val="9"/>
        <w:widowControl w:val="0"/>
        <w:spacing w:before="120" w:after="120" w:line="360" w:lineRule="auto"/>
        <w:rPr>
          <w:rFonts w:hint="eastAsia" w:eastAsia="黑体"/>
          <w:b w:val="0"/>
          <w:color w:val="auto"/>
          <w:sz w:val="24"/>
          <w:lang w:val="en-US" w:eastAsia="zh-CN"/>
        </w:rPr>
      </w:pPr>
      <w:bookmarkStart w:id="501" w:name="_Toc20861"/>
      <w:r>
        <w:rPr>
          <w:rFonts w:hint="eastAsia" w:eastAsia="黑体"/>
          <w:b w:val="0"/>
          <w:color w:val="auto"/>
          <w:sz w:val="24"/>
          <w:lang w:val="en-US" w:eastAsia="zh-CN"/>
        </w:rPr>
        <w:t>8.1.5施工期生态环境保护措施</w:t>
      </w:r>
      <w:bookmarkEnd w:id="501"/>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8.1.5.1陆域生态保护措施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（1）陆生植物</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①避免和减缓措施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在施工过程中严格控制施工车辆、机械和人员的活动范围，间可能缩小施工作业带宽度，减少对地面的碾压。除施工作业带外不得任意砍伐树木破坏植被，减少对陆生生态的影响。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项目施工前应对工程占用区域可利用的表土进行剥离，单独堆存，加强表土堆存防护及管理，后期回用于施工过程中植被破坏及港区场地绿化等。施工过程中，采取绿色施工工艺，减少地表开挖，合理设计高陡边坡支挡、加固措施，减少对生态系统的扰动。</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物料运输车辆应用防尘篷布遮盖严实，避免散料在运输过程中散落造成环境污染。同时施工产生的废水、生活垃圾等需进行集中收集及处理，避免其污染保护区生态环境。</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②恢复与补偿措施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对于绿化工程，应充分考虑自然生态条件，因地制宜，制定生态修复方案，优先使用原生表土和选用乡土物种，如意杨等，构建与周边生态环境相协调的植物群落，最终形成可自我维持的生态系统。</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③生态管理措施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落实监督机制。施工期建设单位应加强对施工人员的管理，同时安排专人监管，保证各项生态措施的实施。合理安排施工期，尽量避开多雨天气，防止产生水土流失。</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加强宣教活动。在工程管理机构，应设置生态环境管理人员，建立管理及报告制度，开展区域环境教育工作，提高施工人员、周围居民和管理人员的环境保护意识。同时，严格执行我国野生动植物保护法等相关的法律法规，并做好施工监理工作。</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做好污染物的防治工作。施工过程中应做好弃渣、废水、固废等污染物的收集及处理工作，运营期应对生活垃圾进行收集及处理，并做好应急预案，避免施工及运营产生的污染物对区域生态环境的影响。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（2）陆生动物</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①避免和减缓措施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提高施工人员的保护意识，严禁捕猎野生动物。施工人员必须遵守《中华人民共和国野生动物保护法》，严禁在施工区及其周围捕猎野生动物，特别是国家级及省级重点保护动物，在施工时严禁对其进行猎捕，严禁施工人员和当地居民捕杀野生动物。</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合理安排施工期，减少在鸟类繁殖期的作业内容，减缓对鸟类的影响。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野生鸟类和兽类大多是早晨、黄昏或夜间外出觅食，正午是鸟类休息时间。为了减少工程施工噪声对野生动物的惊扰，应做好施工方式和时间的计划，并力求避免在晨昏和正午的噪声影响等。同时避免夜间施工，以免施工噪声、灯光等对动物造成不利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由于水体中有一些游禽、涉禽及两栖爬行类活动，所以要加强施工人员的各类卫生管理（如个人卫生、粪便和生活污水），施工废水应经过处理达标后回用于施工或绿化，施工材料的堆放要远离水源，尤其是粉状材料与有害材料，运输材料时也要注意不能被雨水或风吹至水体中，以免对这些动物造成生境污染。</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②恢复与补偿措施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工程完工后尽快做好生态环境的恢复工作，应尽量减少生境破坏对动物的不利影响。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③生态管理措施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加强野生动物法律法规宣传，提高施工人员对野生动物的保护意识，严惩随意猎捕野生动物的行为。加强施工人员生活污水排放及水土保持措施实施的管理，减少水体污染，降低野生动物生境的受污染程度。加大栖息地保护，合理安排施工，尽量避开敏感期，减少影响范围与时间。</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8.1.5.2水生生态保持措施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（1）调整施工时段</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进一步优化施工进度和施工工序，合理安排施工时段，繁殖季节及繁殖活动前后应减小施工活动规模。在鱼类的繁殖季节（4~6月）及中华鲟洄游高峰期（10~12月）应减少涉水施工。以尽量减少或避免工程船螺旋桨和施工活动对中华鲟的机械损伤及对鱼类产卵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（2）严格控制水下施工范围</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严格控制码头打桩区、抛石区，减少对水体的扰动，降低对浮游动植物、底栖生物的影响。</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（3）优化施工管理和施工工艺工</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为避免施工船舶对江段水生生物特别是中华鲟造成伤害，施工单位应优化施工工艺方案，控制施工作业、施工船舶污染物排放。抓紧施工进度，尽量缩短水上作业时间。加强施工区域通航管理工作，严防危险品运输船舶溢油事故。</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（4）施工期水生生态监测</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由于施工产生的噪声、振动等因素，拟建工程在施工期不可避免的会对中华鲟等水生生物的索饵、繁殖及洄游等生命活动产生一定的影响，为了保护生态环境及维持保护区的生态功能，应加强对工程邻近水域水质浮游生物等相关监测，保证码头施工期不会对保护区带来水生态环境方面的污染。</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（5）制定水生生物保护规定程</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施工人员在施工中能按照规定自觉保护珍稀水生动物，并遵守相关的生态保护规定。严禁施工人员在施工江段进行捕鱼或从事其它有碍生态环境及鱼类保护的活动。由于中华鲟有周期性上浮的行为，应优化调整施工方案，减少施工船只数量及施工活动规模，以降低对中华鲟等鱼类的机械损伤。</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在工程施工期，夜间应减少或避免高强度光源长时间照射，尤其是照射在保护区水域。</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建议在施工期通过敲击船舷、超声波等驱鱼措施，驱赶工程区域水生生物尤其是豚类。</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（6）制定严格的作业规程</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加强施工人员管理，不得随意破坏洲滩和岸坡上的植被。工程所需砂石料应采用购买方式获取，严禁随意在江段和岸坡取砂石。陆域施工时严禁随意砍伐工程附近区域的树木或破坏植被。施工期的各种固体废物均进行收集处理，不得随意抛弃。</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（7）加强生态环境保护的宣传和管理力度</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加大对《中华人民共和国渔业法》等法律法规的学习和宣传力度，加强对承包商、施工人员的宣传教育工作，严禁施工人员利用水上作业之便进行捕捞活动。</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（8）施工期巡视及应急生态保护措施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施工期间应加强对工程河段周围水体的巡查，施工点派专人进行巡视与瞭望，误伤保护动物的应急措施主要是通过监测，及时发现误伤个体，并进行救护。</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本工程总体上属非污染生态影响建设项目，但在工程施工过程中也会有一些污染物产生，其污染排放风险主要体现在施工船舶溢油事故对工程河段水质带来的风险，从而影响该工程河段渔业水域的生态功能。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针对船舶事故，制定应急预案，配备应急通讯联络器材设备和相应的应急处理设施，包括油污拦截、清理设施，消防设施等。当风险事故发生时，及时作出应急响应，启动应急预案。应急预案包括江面油污拦截与清理预案、河岸带油污预防与清理预案等，对其他事故如搁浅、起火等，应具备及时处理能力和防止油污溢漏措施。</w:t>
      </w:r>
    </w:p>
    <w:p>
      <w:pPr>
        <w:widowControl w:val="0"/>
        <w:overflowPunct w:val="0"/>
        <w:autoSpaceDE w:val="0"/>
        <w:autoSpaceDN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针对可能出现的伤害保护水生动物的应急事件，应及时启动应急预案，保护水生态环境，救护受影响的水生动物，特别是保护对象和保护水生动物，并对事故影响进行评价和采取适当的补偿措施。误伤保护动物的应急措施主要是通过监测，及时发现误伤个体，并进行救护。</w:t>
      </w:r>
    </w:p>
    <w:p>
      <w:pPr>
        <w:pStyle w:val="8"/>
        <w:widowControl w:val="0"/>
        <w:spacing w:before="120" w:after="120" w:line="360" w:lineRule="auto"/>
        <w:rPr>
          <w:rFonts w:ascii="Times New Roman" w:hAnsi="Times New Roman"/>
          <w:b w:val="0"/>
          <w:color w:val="auto"/>
          <w:szCs w:val="32"/>
        </w:rPr>
      </w:pPr>
      <w:bookmarkStart w:id="502" w:name="_Toc28702"/>
      <w:r>
        <w:rPr>
          <w:rFonts w:hint="eastAsia" w:ascii="Times New Roman" w:hAnsi="Times New Roman"/>
          <w:b w:val="0"/>
          <w:color w:val="auto"/>
          <w:szCs w:val="32"/>
          <w:lang w:val="en-US" w:eastAsia="zh-CN"/>
        </w:rPr>
        <w:t>8</w:t>
      </w:r>
      <w:r>
        <w:rPr>
          <w:rFonts w:ascii="Times New Roman" w:hAnsi="Times New Roman"/>
          <w:b w:val="0"/>
          <w:color w:val="auto"/>
          <w:szCs w:val="32"/>
        </w:rPr>
        <w:t>.2</w:t>
      </w:r>
      <w:r>
        <w:rPr>
          <w:rFonts w:hint="eastAsia" w:ascii="Times New Roman" w:hAnsi="Times New Roman"/>
          <w:b w:val="0"/>
          <w:color w:val="auto"/>
          <w:szCs w:val="32"/>
          <w:lang w:val="en-US" w:eastAsia="zh-CN"/>
        </w:rPr>
        <w:t>运营期</w:t>
      </w:r>
      <w:r>
        <w:rPr>
          <w:rFonts w:ascii="Times New Roman" w:hAnsi="Times New Roman"/>
          <w:b w:val="0"/>
          <w:color w:val="auto"/>
          <w:szCs w:val="32"/>
        </w:rPr>
        <w:t>污染防治措施</w:t>
      </w:r>
      <w:bookmarkEnd w:id="502"/>
    </w:p>
    <w:p>
      <w:pPr>
        <w:pStyle w:val="9"/>
        <w:widowControl w:val="0"/>
        <w:spacing w:before="120" w:after="120" w:line="360" w:lineRule="auto"/>
        <w:rPr>
          <w:rFonts w:hint="default" w:eastAsia="黑体"/>
          <w:b w:val="0"/>
          <w:color w:val="auto"/>
          <w:sz w:val="24"/>
          <w:lang w:val="en-US" w:eastAsia="zh-CN"/>
        </w:rPr>
      </w:pPr>
      <w:bookmarkStart w:id="503" w:name="_Toc16154"/>
      <w:r>
        <w:rPr>
          <w:rFonts w:hint="eastAsia" w:eastAsia="黑体"/>
          <w:b w:val="0"/>
          <w:color w:val="auto"/>
          <w:sz w:val="24"/>
          <w:lang w:val="en-US" w:eastAsia="zh-CN"/>
        </w:rPr>
        <w:t>8.2.1运营期废气环保措施可行性分析</w:t>
      </w:r>
    </w:p>
    <w:p>
      <w:pPr>
        <w:pStyle w:val="1025"/>
        <w:widowControl w:val="0"/>
        <w:spacing w:line="360" w:lineRule="auto"/>
        <w:ind w:firstLine="480" w:firstLineChars="200"/>
        <w:jc w:val="both"/>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本项目运营期废气主要为装卸粉尘、转运粉尘及到港船舶燃油废气。</w:t>
      </w:r>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8.2.1.1粉尘废气处理措施达标分析</w:t>
      </w:r>
    </w:p>
    <w:p>
      <w:pPr>
        <w:pStyle w:val="1025"/>
        <w:widowControl w:val="0"/>
        <w:spacing w:line="360" w:lineRule="auto"/>
        <w:ind w:firstLine="480" w:firstLineChars="200"/>
        <w:jc w:val="both"/>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项目产生的装卸粉尘及转运粉尘收集后经脉冲布袋除尘器处理后无组织票房，可满足《大气污染物综合排放标准》（GB16297-1996）中无组织排放限值要求。</w:t>
      </w:r>
    </w:p>
    <w:p>
      <w:pPr>
        <w:pStyle w:val="5"/>
        <w:widowControl w:val="0"/>
        <w:adjustRightInd/>
        <w:spacing w:before="156" w:beforeLines="50" w:after="156" w:afterLines="50" w:line="360" w:lineRule="auto"/>
        <w:ind w:firstLine="0"/>
        <w:textAlignment w:val="auto"/>
        <w:outlineLvl w:val="3"/>
        <w:rPr>
          <w:rFonts w:hint="eastAsia" w:eastAsia="黑体"/>
          <w:color w:val="auto"/>
          <w:szCs w:val="24"/>
          <w:lang w:val="en-US" w:eastAsia="zh-CN"/>
        </w:rPr>
      </w:pPr>
      <w:r>
        <w:rPr>
          <w:rFonts w:hint="eastAsia" w:ascii="Times New Roman" w:hAnsi="Times New Roman" w:eastAsia="黑体" w:cs="Times New Roman"/>
          <w:color w:val="auto"/>
          <w:szCs w:val="24"/>
          <w:lang w:val="en-US" w:eastAsia="zh-CN"/>
        </w:rPr>
        <w:t>8.2.1.2粉尘措施技术可行性</w:t>
      </w:r>
      <w:r>
        <w:rPr>
          <w:rFonts w:hint="eastAsia" w:eastAsia="黑体"/>
          <w:color w:val="auto"/>
          <w:szCs w:val="24"/>
          <w:lang w:val="en-US" w:eastAsia="zh-CN"/>
        </w:rPr>
        <w:t>分析</w:t>
      </w:r>
    </w:p>
    <w:p>
      <w:pPr>
        <w:pStyle w:val="1025"/>
        <w:widowControl w:val="0"/>
        <w:spacing w:line="360" w:lineRule="auto"/>
        <w:ind w:firstLine="480" w:firstLineChars="200"/>
        <w:jc w:val="both"/>
        <w:rPr>
          <w:rFonts w:hint="eastAsia" w:eastAsia="仿宋_GB2312"/>
          <w:color w:val="auto"/>
          <w:lang w:eastAsia="zh-CN"/>
        </w:rPr>
      </w:pPr>
      <w:r>
        <w:rPr>
          <w:rFonts w:hint="eastAsia" w:eastAsia="仿宋_GB2312"/>
          <w:color w:val="auto"/>
          <w:lang w:eastAsia="zh-CN"/>
        </w:rPr>
        <w:t>本工程码头为通用码头，本环评参照《排污许可证申请与核发技术规范</w:t>
      </w:r>
      <w:r>
        <w:rPr>
          <w:rFonts w:hint="eastAsia" w:eastAsia="仿宋_GB2312"/>
          <w:color w:val="auto"/>
          <w:lang w:val="en-US" w:eastAsia="zh-CN"/>
        </w:rPr>
        <w:t xml:space="preserve"> </w:t>
      </w:r>
      <w:r>
        <w:rPr>
          <w:rFonts w:hint="eastAsia" w:eastAsia="仿宋_GB2312"/>
          <w:color w:val="auto"/>
          <w:lang w:eastAsia="zh-CN"/>
        </w:rPr>
        <w:t>码头》（HJ1107—2020）中附录B.1及运行管理要求进行废气治理设施可行性分析，详见下表。</w:t>
      </w:r>
    </w:p>
    <w:p>
      <w:pPr>
        <w:widowControl w:val="0"/>
        <w:spacing w:line="360" w:lineRule="auto"/>
        <w:ind w:firstLine="422" w:firstLineChars="200"/>
        <w:jc w:val="center"/>
        <w:rPr>
          <w:rFonts w:eastAsia="黑体"/>
          <w:b/>
          <w:color w:val="auto"/>
          <w:szCs w:val="21"/>
        </w:rPr>
      </w:pPr>
      <w:r>
        <w:rPr>
          <w:rFonts w:eastAsia="黑体"/>
          <w:b/>
          <w:color w:val="auto"/>
          <w:szCs w:val="21"/>
        </w:rPr>
        <w:t>表</w:t>
      </w:r>
      <w:r>
        <w:rPr>
          <w:rFonts w:hint="eastAsia" w:eastAsia="黑体"/>
          <w:b/>
          <w:color w:val="auto"/>
          <w:szCs w:val="21"/>
          <w:lang w:val="en-US" w:eastAsia="zh-CN"/>
        </w:rPr>
        <w:t>8.</w:t>
      </w:r>
      <w:r>
        <w:rPr>
          <w:rFonts w:eastAsia="黑体"/>
          <w:b/>
          <w:color w:val="auto"/>
          <w:szCs w:val="21"/>
        </w:rPr>
        <w:t>2-1</w:t>
      </w:r>
      <w:r>
        <w:rPr>
          <w:rFonts w:hint="eastAsia" w:eastAsia="黑体"/>
          <w:b/>
          <w:color w:val="auto"/>
          <w:szCs w:val="21"/>
        </w:rPr>
        <w:t xml:space="preserve">  </w:t>
      </w:r>
      <w:r>
        <w:rPr>
          <w:rFonts w:eastAsia="黑体"/>
          <w:b/>
          <w:color w:val="auto"/>
          <w:szCs w:val="21"/>
        </w:rPr>
        <w:t>项目废气治理设施可行性分析</w:t>
      </w:r>
    </w:p>
    <w:tbl>
      <w:tblPr>
        <w:tblStyle w:val="9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91"/>
        <w:gridCol w:w="560"/>
        <w:gridCol w:w="1258"/>
        <w:gridCol w:w="840"/>
        <w:gridCol w:w="1069"/>
        <w:gridCol w:w="2857"/>
        <w:gridCol w:w="105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tcBorders>
              <w:top w:val="single" w:color="000000" w:sz="12"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生产单元</w:t>
            </w:r>
          </w:p>
          <w:p>
            <w:pPr>
              <w:widowControl w:val="0"/>
              <w:jc w:val="center"/>
              <w:rPr>
                <w:rFonts w:hint="eastAsia"/>
                <w:color w:val="auto"/>
                <w:sz w:val="20"/>
                <w:szCs w:val="21"/>
                <w:lang w:val="en-US" w:eastAsia="zh-CN"/>
              </w:rPr>
            </w:pPr>
            <w:r>
              <w:rPr>
                <w:rFonts w:hint="eastAsia"/>
                <w:color w:val="auto"/>
                <w:sz w:val="20"/>
                <w:szCs w:val="21"/>
                <w:lang w:val="en-US" w:eastAsia="zh-CN"/>
              </w:rPr>
              <w:t>及工艺</w:t>
            </w:r>
          </w:p>
        </w:tc>
        <w:tc>
          <w:tcPr>
            <w:tcW w:w="755" w:type="pct"/>
            <w:tcBorders>
              <w:top w:val="single" w:color="000000" w:sz="12" w:space="0"/>
              <w:bottom w:val="single" w:color="000000"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生产设施</w:t>
            </w:r>
          </w:p>
        </w:tc>
        <w:tc>
          <w:tcPr>
            <w:tcW w:w="504" w:type="pct"/>
            <w:tcBorders>
              <w:top w:val="single" w:color="000000" w:sz="12" w:space="0"/>
              <w:left w:val="single" w:color="auto" w:sz="4" w:space="0"/>
              <w:bottom w:val="single" w:color="000000"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污染物</w:t>
            </w:r>
          </w:p>
        </w:tc>
        <w:tc>
          <w:tcPr>
            <w:tcW w:w="641" w:type="pct"/>
            <w:tcBorders>
              <w:top w:val="single" w:color="000000" w:sz="12" w:space="0"/>
              <w:left w:val="single" w:color="auto" w:sz="4" w:space="0"/>
              <w:bottom w:val="single" w:color="000000"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可行技术</w:t>
            </w:r>
          </w:p>
        </w:tc>
        <w:tc>
          <w:tcPr>
            <w:tcW w:w="1715" w:type="pct"/>
            <w:tcBorders>
              <w:top w:val="single" w:color="000000" w:sz="12" w:space="0"/>
              <w:left w:val="single" w:color="auto" w:sz="4" w:space="0"/>
              <w:bottom w:val="single" w:color="000000"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本工程防治措施</w:t>
            </w:r>
          </w:p>
        </w:tc>
        <w:tc>
          <w:tcPr>
            <w:tcW w:w="632" w:type="pct"/>
            <w:tcBorders>
              <w:top w:val="single" w:color="000000" w:sz="12" w:space="0"/>
              <w:left w:val="single" w:color="auto" w:sz="4" w:space="0"/>
              <w:bottom w:val="single" w:color="000000" w:sz="12"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是否可行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restart"/>
            <w:tcBorders>
              <w:top w:val="single" w:color="000000" w:sz="12"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泊位</w:t>
            </w:r>
          </w:p>
        </w:tc>
        <w:tc>
          <w:tcPr>
            <w:tcW w:w="336" w:type="pct"/>
            <w:tcBorders>
              <w:top w:val="single" w:color="000000"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装船</w:t>
            </w:r>
          </w:p>
        </w:tc>
        <w:tc>
          <w:tcPr>
            <w:tcW w:w="755" w:type="pct"/>
            <w:tcBorders>
              <w:top w:val="single" w:color="000000" w:sz="12"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散货连续装船机</w:t>
            </w:r>
          </w:p>
        </w:tc>
        <w:tc>
          <w:tcPr>
            <w:tcW w:w="504" w:type="pct"/>
            <w:tcBorders>
              <w:top w:val="single" w:color="000000" w:sz="12"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12"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封闭a、湿式除尘/抑尘b</w:t>
            </w:r>
          </w:p>
        </w:tc>
        <w:tc>
          <w:tcPr>
            <w:tcW w:w="1715" w:type="pct"/>
            <w:tcBorders>
              <w:top w:val="single" w:color="000000" w:sz="12"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封闭a</w:t>
            </w:r>
          </w:p>
        </w:tc>
        <w:tc>
          <w:tcPr>
            <w:tcW w:w="632" w:type="pct"/>
            <w:tcBorders>
              <w:top w:val="single" w:color="000000" w:sz="12"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336" w:type="pct"/>
            <w:vMerge w:val="restart"/>
            <w:tcBorders>
              <w:top w:val="single" w:color="000000"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卸船</w:t>
            </w:r>
          </w:p>
        </w:tc>
        <w:tc>
          <w:tcPr>
            <w:tcW w:w="755" w:type="pct"/>
            <w:tcBorders>
              <w:top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桥式抓斗卸船机、链斗式连续卸船机</w:t>
            </w:r>
          </w:p>
        </w:tc>
        <w:tc>
          <w:tcPr>
            <w:tcW w:w="504"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336" w:type="pct"/>
            <w:vMerge w:val="continue"/>
            <w:noWrap w:val="0"/>
            <w:vAlign w:val="center"/>
          </w:tcPr>
          <w:p>
            <w:pPr>
              <w:widowControl w:val="0"/>
              <w:jc w:val="center"/>
              <w:rPr>
                <w:rFonts w:hint="eastAsia"/>
                <w:color w:val="auto"/>
                <w:sz w:val="20"/>
                <w:szCs w:val="21"/>
                <w:lang w:val="en-US" w:eastAsia="zh-CN"/>
              </w:rPr>
            </w:pPr>
          </w:p>
        </w:tc>
        <w:tc>
          <w:tcPr>
            <w:tcW w:w="755" w:type="pct"/>
            <w:tcBorders>
              <w:top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其他卸船设备</w:t>
            </w:r>
          </w:p>
        </w:tc>
        <w:tc>
          <w:tcPr>
            <w:tcW w:w="504"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tcBorders>
              <w:top w:val="single" w:color="auto"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堆场</w:t>
            </w:r>
          </w:p>
        </w:tc>
        <w:tc>
          <w:tcPr>
            <w:tcW w:w="336"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储存</w:t>
            </w:r>
          </w:p>
        </w:tc>
        <w:tc>
          <w:tcPr>
            <w:tcW w:w="755" w:type="pct"/>
            <w:tcBorders>
              <w:top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露天堆场</w:t>
            </w:r>
          </w:p>
        </w:tc>
        <w:tc>
          <w:tcPr>
            <w:tcW w:w="504"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防风抑尘c、湿式除尘/抑尘、覆盖d</w:t>
            </w:r>
          </w:p>
        </w:tc>
        <w:tc>
          <w:tcPr>
            <w:tcW w:w="1715"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000000" w:sz="4" w:space="0"/>
              <w:lef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336" w:type="pct"/>
            <w:vMerge w:val="continue"/>
            <w:noWrap w:val="0"/>
            <w:vAlign w:val="center"/>
          </w:tcPr>
          <w:p>
            <w:pPr>
              <w:widowControl w:val="0"/>
              <w:jc w:val="center"/>
              <w:rPr>
                <w:rFonts w:hint="eastAsia"/>
                <w:color w:val="auto"/>
                <w:sz w:val="20"/>
                <w:szCs w:val="21"/>
                <w:lang w:val="en-US" w:eastAsia="zh-CN"/>
              </w:rPr>
            </w:pPr>
          </w:p>
        </w:tc>
        <w:tc>
          <w:tcPr>
            <w:tcW w:w="755" w:type="pct"/>
            <w:tcBorders>
              <w:top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条形仓/筒仓/球形仓</w:t>
            </w:r>
          </w:p>
        </w:tc>
        <w:tc>
          <w:tcPr>
            <w:tcW w:w="504"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湿式除尘/抑尘、干式除尘e</w:t>
            </w:r>
          </w:p>
        </w:tc>
        <w:tc>
          <w:tcPr>
            <w:tcW w:w="1715"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000000" w:sz="4" w:space="0"/>
              <w:lef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noWrap w:val="0"/>
            <w:vAlign w:val="center"/>
          </w:tcPr>
          <w:p>
            <w:pPr>
              <w:widowControl w:val="0"/>
              <w:jc w:val="center"/>
              <w:rPr>
                <w:rFonts w:hint="eastAsia"/>
                <w:color w:val="auto"/>
                <w:sz w:val="20"/>
                <w:szCs w:val="21"/>
                <w:lang w:val="en-US" w:eastAsia="zh-CN"/>
              </w:rPr>
            </w:pPr>
          </w:p>
        </w:tc>
        <w:tc>
          <w:tcPr>
            <w:tcW w:w="336" w:type="pct"/>
            <w:vMerge w:val="restart"/>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堆取料</w:t>
            </w:r>
          </w:p>
        </w:tc>
        <w:tc>
          <w:tcPr>
            <w:tcW w:w="755" w:type="pct"/>
            <w:tcBorders>
              <w:top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堆料机、斗轮取料机、斗轮堆取料机</w:t>
            </w:r>
          </w:p>
        </w:tc>
        <w:tc>
          <w:tcPr>
            <w:tcW w:w="504"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vMerge w:val="restart"/>
            <w:tcBorders>
              <w:top w:val="single" w:color="000000"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vMerge w:val="restart"/>
            <w:tcBorders>
              <w:top w:val="single" w:color="000000" w:sz="4" w:space="0"/>
              <w:lef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bottom w:val="single" w:color="000000"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bottom w:val="single" w:color="000000"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000000" w:sz="4" w:space="0"/>
              <w:bottom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其他堆取料设备</w:t>
            </w:r>
          </w:p>
        </w:tc>
        <w:tc>
          <w:tcPr>
            <w:tcW w:w="504" w:type="pct"/>
            <w:tcBorders>
              <w:top w:val="single" w:color="000000" w:sz="4" w:space="0"/>
              <w:left w:val="single" w:color="auto" w:sz="4" w:space="0"/>
              <w:bottom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bottom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vMerge w:val="continue"/>
            <w:tcBorders>
              <w:left w:val="single" w:color="auto" w:sz="4" w:space="0"/>
              <w:bottom w:val="single" w:color="000000" w:sz="4" w:space="0"/>
              <w:right w:val="single" w:color="auto" w:sz="4" w:space="0"/>
            </w:tcBorders>
            <w:noWrap w:val="0"/>
            <w:vAlign w:val="center"/>
          </w:tcPr>
          <w:p>
            <w:pPr>
              <w:widowControl w:val="0"/>
              <w:jc w:val="center"/>
              <w:rPr>
                <w:rFonts w:hint="eastAsia"/>
                <w:color w:val="auto"/>
                <w:sz w:val="20"/>
                <w:szCs w:val="21"/>
                <w:lang w:val="en-US" w:eastAsia="zh-CN"/>
              </w:rPr>
            </w:pPr>
          </w:p>
        </w:tc>
        <w:tc>
          <w:tcPr>
            <w:tcW w:w="632" w:type="pct"/>
            <w:vMerge w:val="continue"/>
            <w:tcBorders>
              <w:left w:val="single" w:color="auto" w:sz="4" w:space="0"/>
              <w:bottom w:val="single" w:color="000000" w:sz="4" w:space="0"/>
            </w:tcBorders>
            <w:noWrap w:val="0"/>
            <w:vAlign w:val="center"/>
          </w:tcPr>
          <w:p>
            <w:pPr>
              <w:widowControl w:val="0"/>
              <w:jc w:val="center"/>
              <w:rPr>
                <w:rFonts w:hint="eastAsia"/>
                <w:color w:val="auto"/>
                <w:sz w:val="20"/>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restart"/>
            <w:tcBorders>
              <w:top w:val="single" w:color="000000"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输运</w:t>
            </w:r>
          </w:p>
          <w:p>
            <w:pPr>
              <w:widowControl w:val="0"/>
              <w:jc w:val="center"/>
              <w:rPr>
                <w:rFonts w:hint="eastAsia"/>
                <w:color w:val="auto"/>
                <w:sz w:val="20"/>
                <w:szCs w:val="21"/>
                <w:lang w:val="en-US" w:eastAsia="zh-CN"/>
              </w:rPr>
            </w:pPr>
            <w:r>
              <w:rPr>
                <w:rFonts w:hint="eastAsia"/>
                <w:color w:val="auto"/>
                <w:sz w:val="20"/>
                <w:szCs w:val="21"/>
                <w:lang w:val="en-US" w:eastAsia="zh-CN"/>
              </w:rPr>
              <w:t>系统</w:t>
            </w:r>
          </w:p>
        </w:tc>
        <w:tc>
          <w:tcPr>
            <w:tcW w:w="336" w:type="pct"/>
            <w:vMerge w:val="restart"/>
            <w:tcBorders>
              <w:top w:val="single" w:color="000000"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卸车</w:t>
            </w:r>
          </w:p>
        </w:tc>
        <w:tc>
          <w:tcPr>
            <w:tcW w:w="755" w:type="pct"/>
            <w:tcBorders>
              <w:top w:val="single" w:color="000000"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翻车机</w:t>
            </w:r>
          </w:p>
        </w:tc>
        <w:tc>
          <w:tcPr>
            <w:tcW w:w="504" w:type="pct"/>
            <w:tcBorders>
              <w:top w:val="single" w:color="000000"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000000"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封闭、湿式除尘/抑尘、干式除尘</w:t>
            </w:r>
          </w:p>
        </w:tc>
        <w:tc>
          <w:tcPr>
            <w:tcW w:w="1715" w:type="pct"/>
            <w:tcBorders>
              <w:top w:val="single" w:color="000000"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000000"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其他卸车设施</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封闭、湿式除尘/抑尘、干式除尘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restar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装车</w:t>
            </w: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装车楼</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封闭、湿式除尘/抑尘、干式除尘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装车机</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封闭、湿式除尘/抑尘、干式除尘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抓斗起重机、装载机等</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湿式除尘/抑尘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restar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输送输送</w:t>
            </w: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转运站</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封闭、湿式除尘/抑尘、干式除尘</w:t>
            </w:r>
          </w:p>
        </w:tc>
        <w:tc>
          <w:tcPr>
            <w:tcW w:w="1715" w:type="pct"/>
            <w:tcBorders>
              <w:top w:val="single" w:color="auto" w:sz="4" w:space="0"/>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转运站设置密封罩、防尘帘等封闭设施，同事设置干式抑尘（布袋除尘），对布置有带式输送机的楼层予以封闭</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带式输送机</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tcBorders>
              <w:left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砂石料转运过程中带式输送机设置密闭廊道予以封闭</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415" w:type="pct"/>
            <w:vMerge w:val="continue"/>
            <w:tcBorders>
              <w:top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336"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p>
        </w:tc>
        <w:tc>
          <w:tcPr>
            <w:tcW w:w="75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自卸机车等</w:t>
            </w:r>
          </w:p>
        </w:tc>
        <w:tc>
          <w:tcPr>
            <w:tcW w:w="504"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颗粒物</w:t>
            </w:r>
          </w:p>
        </w:tc>
        <w:tc>
          <w:tcPr>
            <w:tcW w:w="641"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封闭、湿式除尘/抑尘</w:t>
            </w:r>
          </w:p>
        </w:tc>
        <w:tc>
          <w:tcPr>
            <w:tcW w:w="1715" w:type="pct"/>
            <w:tcBorders>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restart"/>
            <w:tcBorders>
              <w:top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运行管理要求</w:t>
            </w: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a）污染防治设施应与其对应的生产工艺设备同步运转。</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按要求执行</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b）加强除尘设备巡检，消除设备隐患，保证正常运行。布袋除尘器应安装压差计，及时更换除尘器滤袋，保证滤袋完整无破损。静电除尘器应定期检修维护电晕极、振打清灰装置。湿式除尘器应定期检查喷淋头、循环水泵等设施。</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加强除尘设备巡检，布袋除尘器应安装压差计，及时更换除尘器滤袋，保证滤袋完整无破损</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c）对于露天堆场中周转频率低的堆垛可采用苫盖、喷洒抑尘剂等措施。</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d）煤炭、矿石露天堆场散货堆垛高度不宜超过设计堆高；露天堆场定期实施洒水喷淋，洒水频次根据物料性质和气象条件等确定；堆场宜设置必要的堆垛表面含水率监测仪器，煤炭堆垛表面含水率不宜低于6%、矿石堆垛表面含水率不宜低于5%。</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e）场区内集疏运车辆装卸作业及其他装卸点宜配备移动式远程射雾器，对装卸点进行喷雾抑尘或同步开启场内洒水喷淋系统进行洒水抑尘。</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f）散装粮食、水泥等无法采取洒水喷淋的货种应采用封闭式或者半封闭式的装卸和输送设备，起尘部位应配置干式除尘装置。</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g）控制装卸作业落差，堆料作业落差宜在2米以内，装卸车/船作业落差宜在1.5米以内。</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码头采用弧形轨道装船机装船作业，装船作业高差在0.5m内</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h）码头面、装卸车区在装卸作业完毕时应及时清理；场区内道路应进行定期清扫和冲洗，确保不产生明显扬尘；北方冬季严寒，道路不宜洒水时，可增加清扫频次。</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default"/>
                <w:color w:val="auto"/>
                <w:sz w:val="20"/>
                <w:szCs w:val="21"/>
                <w:lang w:val="en-US" w:eastAsia="zh-CN"/>
              </w:rPr>
            </w:pPr>
            <w:r>
              <w:rPr>
                <w:rFonts w:hint="eastAsia"/>
                <w:color w:val="auto"/>
                <w:sz w:val="20"/>
                <w:szCs w:val="21"/>
                <w:lang w:val="en-US" w:eastAsia="zh-CN"/>
              </w:rPr>
              <w:t>码头面在装卸作业完毕时应及时冲洗，冲洗废水经趸船收集坎收集至趸船下方初期雨水收集柜内暂存，委托海事部门认定的船舶污染物接收船定期统一处理</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i）散货集疏运车辆应采用封闭车型，采用敞车时，应对车厢进行有效覆盖；车辆驶出作业区前应在冲洗点对车轮进行冲洗，北方冬季做好洗车用水管网的防冻措施，确保洗车正常进行。</w:t>
            </w:r>
          </w:p>
        </w:tc>
        <w:tc>
          <w:tcPr>
            <w:tcW w:w="2857" w:type="dxa"/>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不涉及</w:t>
            </w:r>
          </w:p>
        </w:tc>
        <w:tc>
          <w:tcPr>
            <w:tcW w:w="1054" w:type="dxa"/>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j）船舶装卸作业的允许风力不宜超过6级；重污染天气、冬防期间及大风天气等特殊时段，地方对码头颗粒物无组织排放管控有特殊要求的，从其规定。</w:t>
            </w:r>
          </w:p>
        </w:tc>
        <w:tc>
          <w:tcPr>
            <w:tcW w:w="1715" w:type="pct"/>
            <w:tcBorders>
              <w:top w:val="single" w:color="auto" w:sz="4" w:space="0"/>
              <w:left w:val="single" w:color="auto" w:sz="4" w:space="0"/>
              <w:bottom w:val="single" w:color="auto" w:sz="4"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超过6级风力后，本工程码头不进行装卸作业</w:t>
            </w:r>
          </w:p>
        </w:tc>
        <w:tc>
          <w:tcPr>
            <w:tcW w:w="632" w:type="pct"/>
            <w:tcBorders>
              <w:top w:val="single" w:color="auto" w:sz="4" w:space="0"/>
              <w:left w:val="single" w:color="auto" w:sz="4" w:space="0"/>
              <w:bottom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751" w:type="pct"/>
            <w:gridSpan w:val="2"/>
            <w:vMerge w:val="continue"/>
            <w:tcBorders>
              <w:bottom w:val="single" w:color="auto" w:sz="12" w:space="0"/>
              <w:right w:val="single" w:color="auto" w:sz="4" w:space="0"/>
            </w:tcBorders>
            <w:noWrap w:val="0"/>
            <w:vAlign w:val="center"/>
          </w:tcPr>
          <w:p>
            <w:pPr>
              <w:widowControl w:val="0"/>
              <w:jc w:val="center"/>
              <w:rPr>
                <w:rFonts w:hint="eastAsia"/>
                <w:color w:val="auto"/>
                <w:sz w:val="20"/>
                <w:szCs w:val="21"/>
                <w:lang w:val="en-US" w:eastAsia="zh-CN"/>
              </w:rPr>
            </w:pPr>
          </w:p>
        </w:tc>
        <w:tc>
          <w:tcPr>
            <w:tcW w:w="1901" w:type="pct"/>
            <w:gridSpan w:val="3"/>
            <w:tcBorders>
              <w:top w:val="single" w:color="auto" w:sz="4" w:space="0"/>
              <w:left w:val="single" w:color="auto" w:sz="4" w:space="0"/>
              <w:bottom w:val="single" w:color="auto"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k）污染防治设施发生故障时，应及时上报、维修，并做好故障记录，写明发生故障时间、故障原因和重新正常使用时间。</w:t>
            </w:r>
          </w:p>
        </w:tc>
        <w:tc>
          <w:tcPr>
            <w:tcW w:w="1715" w:type="pct"/>
            <w:tcBorders>
              <w:top w:val="single" w:color="auto" w:sz="4" w:space="0"/>
              <w:left w:val="single" w:color="auto" w:sz="4" w:space="0"/>
              <w:bottom w:val="single" w:color="auto" w:sz="12" w:space="0"/>
              <w:right w:val="single" w:color="auto" w:sz="4"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污染防治设施发生故障时，应及时上报、维修，并做好故障记录，写明发生故障时间、故障原因和重新正常使用时间</w:t>
            </w:r>
          </w:p>
        </w:tc>
        <w:tc>
          <w:tcPr>
            <w:tcW w:w="632" w:type="pct"/>
            <w:tcBorders>
              <w:top w:val="single" w:color="auto" w:sz="4" w:space="0"/>
              <w:left w:val="single" w:color="auto" w:sz="4" w:space="0"/>
              <w:bottom w:val="single" w:color="auto" w:sz="12" w:space="0"/>
            </w:tcBorders>
            <w:noWrap w:val="0"/>
            <w:vAlign w:val="center"/>
          </w:tcPr>
          <w:p>
            <w:pPr>
              <w:widowControl w:val="0"/>
              <w:jc w:val="center"/>
              <w:rPr>
                <w:rFonts w:hint="eastAsia"/>
                <w:color w:val="auto"/>
                <w:sz w:val="20"/>
                <w:szCs w:val="21"/>
                <w:lang w:val="en-US" w:eastAsia="zh-CN"/>
              </w:rPr>
            </w:pPr>
            <w:r>
              <w:rPr>
                <w:rFonts w:hint="eastAsia"/>
                <w:color w:val="auto"/>
                <w:sz w:val="20"/>
                <w:szCs w:val="21"/>
                <w:lang w:val="en-US" w:eastAsia="zh-CN"/>
              </w:rPr>
              <w:t>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5000" w:type="pct"/>
            <w:gridSpan w:val="7"/>
            <w:tcBorders>
              <w:bottom w:val="single" w:color="auto" w:sz="12" w:space="0"/>
            </w:tcBorders>
            <w:noWrap w:val="0"/>
            <w:vAlign w:val="center"/>
          </w:tcPr>
          <w:p>
            <w:pPr>
              <w:widowControl w:val="0"/>
              <w:jc w:val="left"/>
              <w:rPr>
                <w:rFonts w:hint="eastAsia"/>
                <w:color w:val="auto"/>
                <w:sz w:val="20"/>
                <w:szCs w:val="21"/>
                <w:lang w:val="en-US" w:eastAsia="zh-CN"/>
              </w:rPr>
            </w:pPr>
            <w:r>
              <w:rPr>
                <w:rFonts w:hint="eastAsia"/>
                <w:color w:val="auto"/>
                <w:sz w:val="20"/>
                <w:szCs w:val="21"/>
                <w:lang w:val="en-US" w:eastAsia="zh-CN"/>
              </w:rPr>
              <w:t>注：a封闭包括皮带机防护罩/廊道、导料槽、密闭罩、防尘帘、防风板、车厢封闭/覆盖等污染防治设施。</w:t>
            </w:r>
          </w:p>
          <w:p>
            <w:pPr>
              <w:widowControl w:val="0"/>
              <w:jc w:val="left"/>
              <w:rPr>
                <w:rFonts w:hint="eastAsia"/>
                <w:color w:val="auto"/>
                <w:sz w:val="20"/>
                <w:szCs w:val="21"/>
                <w:lang w:val="en-US" w:eastAsia="zh-CN"/>
              </w:rPr>
            </w:pPr>
            <w:r>
              <w:rPr>
                <w:rFonts w:hint="eastAsia"/>
                <w:color w:val="auto"/>
                <w:sz w:val="20"/>
                <w:szCs w:val="21"/>
                <w:lang w:val="en-US" w:eastAsia="zh-CN"/>
              </w:rPr>
              <w:t>b湿式除尘/抑尘包括水雾、干雾、喷枪洒水、高杆喷雾、远程射雾器、洒水车、水力冲洗等污染防治设施。</w:t>
            </w:r>
          </w:p>
          <w:p>
            <w:pPr>
              <w:widowControl w:val="0"/>
              <w:jc w:val="left"/>
              <w:rPr>
                <w:rFonts w:hint="eastAsia"/>
                <w:color w:val="auto"/>
                <w:sz w:val="20"/>
                <w:szCs w:val="21"/>
                <w:lang w:val="en-US" w:eastAsia="zh-CN"/>
              </w:rPr>
            </w:pPr>
            <w:r>
              <w:rPr>
                <w:rFonts w:hint="eastAsia"/>
                <w:color w:val="auto"/>
                <w:sz w:val="20"/>
                <w:szCs w:val="21"/>
                <w:lang w:val="en-US" w:eastAsia="zh-CN"/>
              </w:rPr>
              <w:t>c防风抑尘包括防风抑尘网、挡风围墙、防护林等污染防治设施。</w:t>
            </w:r>
          </w:p>
          <w:p>
            <w:pPr>
              <w:widowControl w:val="0"/>
              <w:jc w:val="left"/>
              <w:rPr>
                <w:rFonts w:hint="eastAsia"/>
                <w:color w:val="auto"/>
                <w:sz w:val="20"/>
                <w:szCs w:val="21"/>
                <w:lang w:val="en-US" w:eastAsia="zh-CN"/>
              </w:rPr>
            </w:pPr>
            <w:r>
              <w:rPr>
                <w:rFonts w:hint="eastAsia"/>
                <w:color w:val="auto"/>
                <w:sz w:val="20"/>
                <w:szCs w:val="21"/>
                <w:lang w:val="en-US" w:eastAsia="zh-CN"/>
              </w:rPr>
              <w:t>d覆盖包括喷洒抑尘剂、苫盖等污染防治设施。</w:t>
            </w:r>
          </w:p>
          <w:p>
            <w:pPr>
              <w:widowControl w:val="0"/>
              <w:jc w:val="left"/>
              <w:rPr>
                <w:rFonts w:hint="eastAsia"/>
                <w:color w:val="auto"/>
                <w:sz w:val="20"/>
                <w:szCs w:val="21"/>
                <w:lang w:val="en-US" w:eastAsia="zh-CN"/>
              </w:rPr>
            </w:pPr>
            <w:r>
              <w:rPr>
                <w:rFonts w:hint="eastAsia"/>
                <w:color w:val="auto"/>
                <w:sz w:val="20"/>
                <w:szCs w:val="21"/>
                <w:lang w:val="en-US" w:eastAsia="zh-CN"/>
              </w:rPr>
              <w:t>e干式抑尘包括布袋除尘、静电除尘、微动力除尘等污染防治设施。</w:t>
            </w:r>
          </w:p>
        </w:tc>
      </w:tr>
    </w:tbl>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根据上表可知，本工程废废气治理设施可行的。</w:t>
      </w:r>
    </w:p>
    <w:p>
      <w:pPr>
        <w:pStyle w:val="5"/>
        <w:widowControl w:val="0"/>
        <w:adjustRightInd/>
        <w:spacing w:before="156" w:beforeLines="50" w:after="156" w:afterLines="50" w:line="360" w:lineRule="auto"/>
        <w:ind w:firstLine="0"/>
        <w:textAlignment w:val="auto"/>
        <w:outlineLvl w:val="3"/>
        <w:rPr>
          <w:rFonts w:hint="default" w:ascii="Times New Roman" w:hAnsi="Times New Roman" w:eastAsia="黑体" w:cs="Times New Roman"/>
          <w:color w:val="auto"/>
          <w:szCs w:val="24"/>
          <w:lang w:val="en-US" w:eastAsia="zh-CN"/>
        </w:rPr>
      </w:pPr>
      <w:r>
        <w:rPr>
          <w:rFonts w:hint="eastAsia" w:ascii="Times New Roman" w:hAnsi="Times New Roman" w:eastAsia="黑体" w:cs="Times New Roman"/>
          <w:color w:val="auto"/>
          <w:szCs w:val="24"/>
          <w:lang w:val="en-US" w:eastAsia="zh-CN"/>
        </w:rPr>
        <w:t>8.2.2.3运营期废气污染防治措施</w:t>
      </w:r>
      <w:bookmarkEnd w:id="503"/>
    </w:p>
    <w:p>
      <w:pPr>
        <w:pStyle w:val="1025"/>
        <w:widowControl w:val="0"/>
        <w:spacing w:line="360" w:lineRule="auto"/>
        <w:ind w:firstLine="480" w:firstLineChars="200"/>
        <w:jc w:val="both"/>
        <w:rPr>
          <w:rFonts w:hint="eastAsia" w:eastAsia="仿宋_GB2312"/>
          <w:color w:val="auto"/>
        </w:rPr>
      </w:pPr>
      <w:bookmarkStart w:id="504" w:name="_Toc337630768"/>
      <w:r>
        <w:rPr>
          <w:rFonts w:hint="eastAsia" w:eastAsia="仿宋_GB2312"/>
          <w:color w:val="auto"/>
          <w:lang w:eastAsia="zh-CN"/>
        </w:rPr>
        <w:t>（</w:t>
      </w:r>
      <w:r>
        <w:rPr>
          <w:rFonts w:hint="eastAsia" w:eastAsia="仿宋_GB2312"/>
          <w:color w:val="auto"/>
        </w:rPr>
        <w:t>1）</w:t>
      </w:r>
      <w:r>
        <w:rPr>
          <w:rFonts w:hint="eastAsia" w:eastAsia="仿宋_GB2312"/>
          <w:color w:val="auto"/>
          <w:lang w:val="en-US" w:eastAsia="zh-CN"/>
        </w:rPr>
        <w:t>弧形</w:t>
      </w:r>
      <w:r>
        <w:rPr>
          <w:rFonts w:hint="eastAsia" w:eastAsia="仿宋_GB2312"/>
          <w:color w:val="auto"/>
        </w:rPr>
        <w:t>装船机皮带头部设置密闭罩，在物料转运处设置导料槽、密闭罩和防尘帘；</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lang w:eastAsia="zh-CN"/>
        </w:rPr>
        <w:t>（</w:t>
      </w:r>
      <w:r>
        <w:rPr>
          <w:rFonts w:hint="eastAsia" w:eastAsia="仿宋_GB2312"/>
          <w:color w:val="auto"/>
        </w:rPr>
        <w:t>2）</w:t>
      </w:r>
      <w:r>
        <w:rPr>
          <w:rFonts w:hint="eastAsia" w:eastAsia="仿宋_GB2312"/>
          <w:color w:val="auto"/>
          <w:lang w:val="en-US" w:eastAsia="zh-CN"/>
        </w:rPr>
        <w:t>弧形</w:t>
      </w:r>
      <w:r>
        <w:rPr>
          <w:rFonts w:hint="eastAsia" w:eastAsia="仿宋_GB2312"/>
          <w:color w:val="auto"/>
        </w:rPr>
        <w:t>装船机尾车、臂架皮带机两侧及装船机</w:t>
      </w:r>
      <w:r>
        <w:rPr>
          <w:rFonts w:hint="eastAsia" w:eastAsia="仿宋_GB2312"/>
          <w:color w:val="auto"/>
          <w:lang w:val="en-US" w:eastAsia="zh-CN"/>
        </w:rPr>
        <w:t>运输</w:t>
      </w:r>
      <w:r>
        <w:rPr>
          <w:rFonts w:hint="eastAsia" w:eastAsia="仿宋_GB2312"/>
          <w:color w:val="auto"/>
        </w:rPr>
        <w:t>段皮带机设置挡风板，其他区域皮带机采用防护罩或廊道予以封闭；</w:t>
      </w:r>
    </w:p>
    <w:p>
      <w:pPr>
        <w:pStyle w:val="1025"/>
        <w:widowControl w:val="0"/>
        <w:spacing w:line="360" w:lineRule="auto"/>
        <w:ind w:firstLine="480" w:firstLineChars="200"/>
        <w:jc w:val="both"/>
        <w:rPr>
          <w:rFonts w:hint="eastAsia" w:eastAsia="仿宋_GB2312"/>
          <w:color w:val="auto"/>
          <w:lang w:eastAsia="zh-CN"/>
        </w:rPr>
      </w:pPr>
      <w:r>
        <w:rPr>
          <w:rFonts w:hint="eastAsia" w:eastAsia="仿宋_GB2312"/>
          <w:color w:val="auto"/>
          <w:lang w:eastAsia="zh-CN"/>
        </w:rPr>
        <w:t>（</w:t>
      </w:r>
      <w:r>
        <w:rPr>
          <w:rFonts w:hint="eastAsia" w:eastAsia="仿宋_GB2312"/>
          <w:color w:val="auto"/>
          <w:lang w:val="en-US" w:eastAsia="zh-CN"/>
        </w:rPr>
        <w:t>3</w:t>
      </w:r>
      <w:r>
        <w:rPr>
          <w:rFonts w:hint="eastAsia" w:eastAsia="仿宋_GB2312"/>
          <w:color w:val="auto"/>
        </w:rPr>
        <w:t>）1#、</w:t>
      </w:r>
      <w:r>
        <w:rPr>
          <w:rFonts w:hint="eastAsia" w:eastAsia="仿宋_GB2312"/>
          <w:color w:val="auto"/>
          <w:lang w:val="en-US" w:eastAsia="zh-CN"/>
        </w:rPr>
        <w:t>2</w:t>
      </w:r>
      <w:r>
        <w:rPr>
          <w:rFonts w:hint="eastAsia" w:eastAsia="仿宋_GB2312"/>
          <w:color w:val="auto"/>
        </w:rPr>
        <w:t>#泊位散货装船机设置脉冲布袋除尘器，收集处理装船卸料口处粉尘</w:t>
      </w:r>
      <w:r>
        <w:rPr>
          <w:rFonts w:hint="eastAsia" w:eastAsia="仿宋_GB2312"/>
          <w:color w:val="auto"/>
          <w:lang w:eastAsia="zh-CN"/>
        </w:rPr>
        <w:t>；</w:t>
      </w:r>
    </w:p>
    <w:p>
      <w:pPr>
        <w:pStyle w:val="1025"/>
        <w:widowControl w:val="0"/>
        <w:spacing w:line="360" w:lineRule="auto"/>
        <w:ind w:firstLine="480" w:firstLineChars="200"/>
        <w:jc w:val="both"/>
        <w:rPr>
          <w:rFonts w:hint="eastAsia" w:eastAsia="仿宋_GB2312"/>
          <w:color w:val="auto"/>
          <w:lang w:eastAsia="zh-CN"/>
        </w:rPr>
      </w:pPr>
      <w:r>
        <w:rPr>
          <w:rFonts w:hint="eastAsia" w:eastAsia="仿宋_GB2312"/>
          <w:color w:val="auto"/>
          <w:lang w:eastAsia="zh-CN"/>
        </w:rPr>
        <w:t>（</w:t>
      </w:r>
      <w:r>
        <w:rPr>
          <w:rFonts w:hint="eastAsia" w:eastAsia="仿宋_GB2312"/>
          <w:color w:val="auto"/>
          <w:lang w:val="en-US" w:eastAsia="zh-CN"/>
        </w:rPr>
        <w:t>4</w:t>
      </w:r>
      <w:r>
        <w:rPr>
          <w:rFonts w:hint="eastAsia" w:eastAsia="仿宋_GB2312"/>
          <w:color w:val="auto"/>
          <w:lang w:eastAsia="zh-CN"/>
        </w:rPr>
        <w:t>）尽量采用岸电形式为靠港船舶提供能量，避免船舶辅机燃油过程带来的污染影响；</w:t>
      </w:r>
    </w:p>
    <w:p>
      <w:pPr>
        <w:pStyle w:val="1025"/>
        <w:widowControl w:val="0"/>
        <w:spacing w:line="360" w:lineRule="auto"/>
        <w:ind w:firstLine="480" w:firstLineChars="200"/>
        <w:jc w:val="both"/>
        <w:rPr>
          <w:rFonts w:hint="eastAsia" w:eastAsia="仿宋_GB2312"/>
          <w:color w:val="auto"/>
          <w:lang w:eastAsia="zh-CN"/>
        </w:rPr>
      </w:pPr>
      <w:r>
        <w:rPr>
          <w:rFonts w:hint="eastAsia" w:eastAsia="仿宋_GB2312"/>
          <w:color w:val="auto"/>
          <w:lang w:eastAsia="zh-CN"/>
        </w:rPr>
        <w:t>（</w:t>
      </w:r>
      <w:r>
        <w:rPr>
          <w:rFonts w:hint="eastAsia" w:eastAsia="仿宋_GB2312"/>
          <w:color w:val="auto"/>
          <w:lang w:val="en-US" w:eastAsia="zh-CN"/>
        </w:rPr>
        <w:t>5</w:t>
      </w:r>
      <w:r>
        <w:rPr>
          <w:rFonts w:hint="eastAsia" w:eastAsia="仿宋_GB2312"/>
          <w:color w:val="auto"/>
          <w:lang w:eastAsia="zh-CN"/>
        </w:rPr>
        <w:t>）在港区</w:t>
      </w:r>
      <w:r>
        <w:rPr>
          <w:rFonts w:hint="eastAsia" w:eastAsia="仿宋_GB2312"/>
          <w:color w:val="auto"/>
          <w:lang w:val="en-US" w:eastAsia="zh-CN"/>
        </w:rPr>
        <w:t>内部及</w:t>
      </w:r>
      <w:r>
        <w:rPr>
          <w:rFonts w:hint="eastAsia" w:eastAsia="仿宋_GB2312"/>
          <w:color w:val="auto"/>
          <w:lang w:eastAsia="zh-CN"/>
        </w:rPr>
        <w:t>周边种植绿化带，吸收</w:t>
      </w:r>
      <w:r>
        <w:rPr>
          <w:rFonts w:hint="eastAsia" w:eastAsia="仿宋_GB2312"/>
          <w:color w:val="auto"/>
          <w:lang w:val="en-US" w:eastAsia="zh-CN"/>
        </w:rPr>
        <w:t>船舶燃油尾气</w:t>
      </w:r>
      <w:r>
        <w:rPr>
          <w:rFonts w:hint="eastAsia" w:eastAsia="仿宋_GB2312"/>
          <w:color w:val="auto"/>
          <w:lang w:eastAsia="zh-CN"/>
        </w:rPr>
        <w:t>空气污染物，降低</w:t>
      </w:r>
      <w:r>
        <w:rPr>
          <w:rFonts w:hint="eastAsia" w:eastAsia="仿宋_GB2312"/>
          <w:color w:val="auto"/>
          <w:lang w:val="en-US" w:eastAsia="zh-CN"/>
        </w:rPr>
        <w:t>船舶燃油</w:t>
      </w:r>
      <w:r>
        <w:rPr>
          <w:rFonts w:hint="eastAsia" w:eastAsia="仿宋_GB2312"/>
          <w:color w:val="auto"/>
          <w:lang w:eastAsia="zh-CN"/>
        </w:rPr>
        <w:t>尾气对该区域的大气环境造成的影响。</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lang w:eastAsia="zh-CN"/>
        </w:rPr>
        <w:t>（</w:t>
      </w:r>
      <w:r>
        <w:rPr>
          <w:rFonts w:hint="eastAsia" w:eastAsia="仿宋_GB2312"/>
          <w:color w:val="auto"/>
          <w:lang w:val="en-US" w:eastAsia="zh-CN"/>
        </w:rPr>
        <w:t>6</w:t>
      </w:r>
      <w:r>
        <w:rPr>
          <w:rFonts w:hint="eastAsia" w:eastAsia="仿宋_GB2312"/>
          <w:color w:val="auto"/>
        </w:rPr>
        <w:t>）皮带机转运输送全程设置封闭廊道，皮带机过渡处设防尘帘。</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lang w:eastAsia="zh-CN"/>
        </w:rPr>
        <w:t>（</w:t>
      </w:r>
      <w:r>
        <w:rPr>
          <w:rFonts w:hint="eastAsia" w:eastAsia="仿宋_GB2312"/>
          <w:color w:val="auto"/>
          <w:lang w:val="en-US" w:eastAsia="zh-CN"/>
        </w:rPr>
        <w:t>7</w:t>
      </w:r>
      <w:r>
        <w:rPr>
          <w:rFonts w:hint="eastAsia" w:eastAsia="仿宋_GB2312"/>
          <w:color w:val="auto"/>
        </w:rPr>
        <w:t>）转运站采用封闭作业，</w:t>
      </w:r>
      <w:r>
        <w:rPr>
          <w:rFonts w:hint="eastAsia" w:eastAsia="仿宋_GB2312"/>
          <w:color w:val="auto"/>
          <w:lang w:val="en-US" w:eastAsia="zh-CN"/>
        </w:rPr>
        <w:t>各转运楼及趸船转运平台分别</w:t>
      </w:r>
      <w:r>
        <w:rPr>
          <w:rFonts w:hint="eastAsia" w:eastAsia="仿宋_GB2312"/>
          <w:color w:val="auto"/>
        </w:rPr>
        <w:t>配套设置一台脉冲除尘器在装卸料口上方抽风并收集处理粉尘。物料进、出口设防尘帘，避免粉尘扩散。</w:t>
      </w:r>
    </w:p>
    <w:p>
      <w:pPr>
        <w:pStyle w:val="9"/>
        <w:widowControl w:val="0"/>
        <w:spacing w:before="120" w:after="120" w:line="360" w:lineRule="auto"/>
        <w:rPr>
          <w:rFonts w:hint="default" w:eastAsia="黑体"/>
          <w:b w:val="0"/>
          <w:color w:val="auto"/>
          <w:sz w:val="24"/>
          <w:lang w:val="en-US" w:eastAsia="zh-CN"/>
        </w:rPr>
      </w:pPr>
      <w:bookmarkStart w:id="505" w:name="_Toc765"/>
      <w:r>
        <w:rPr>
          <w:rFonts w:hint="eastAsia" w:eastAsia="黑体"/>
          <w:b w:val="0"/>
          <w:color w:val="auto"/>
          <w:sz w:val="24"/>
          <w:lang w:val="en-US" w:eastAsia="zh-CN"/>
        </w:rPr>
        <w:t>8</w:t>
      </w:r>
      <w:r>
        <w:rPr>
          <w:rFonts w:eastAsia="黑体"/>
          <w:b w:val="0"/>
          <w:color w:val="auto"/>
          <w:sz w:val="24"/>
        </w:rPr>
        <w:t>.2.</w:t>
      </w:r>
      <w:r>
        <w:rPr>
          <w:rFonts w:hint="eastAsia" w:eastAsia="黑体"/>
          <w:b w:val="0"/>
          <w:color w:val="auto"/>
          <w:sz w:val="24"/>
          <w:lang w:val="en-US" w:eastAsia="zh-CN"/>
        </w:rPr>
        <w:t>2运营期废水污染防治措施</w:t>
      </w:r>
      <w:bookmarkEnd w:id="505"/>
    </w:p>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r>
        <w:rPr>
          <w:rFonts w:hint="eastAsia" w:eastAsia="黑体"/>
          <w:color w:val="auto"/>
          <w:szCs w:val="24"/>
          <w:lang w:val="en-US" w:eastAsia="zh-CN"/>
        </w:rPr>
        <w:t>8.2.2.1废水去向</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运营期废水主要有到港船舶生活污水</w:t>
      </w:r>
      <w:r>
        <w:rPr>
          <w:rFonts w:hint="eastAsia" w:eastAsia="仿宋_GB2312"/>
          <w:color w:val="auto"/>
          <w:lang w:val="en-US" w:eastAsia="zh-CN"/>
        </w:rPr>
        <w:t>及油</w:t>
      </w:r>
      <w:r>
        <w:rPr>
          <w:rFonts w:hint="eastAsia" w:eastAsia="仿宋_GB2312"/>
          <w:color w:val="auto"/>
        </w:rPr>
        <w:t>污水、码头面冲洗水</w:t>
      </w:r>
      <w:r>
        <w:rPr>
          <w:rFonts w:hint="eastAsia" w:eastAsia="仿宋_GB2312"/>
          <w:color w:val="auto"/>
          <w:lang w:val="en-US" w:eastAsia="zh-CN"/>
        </w:rPr>
        <w:t>及</w:t>
      </w:r>
      <w:r>
        <w:rPr>
          <w:rFonts w:hint="eastAsia" w:eastAsia="仿宋_GB2312"/>
          <w:color w:val="auto"/>
        </w:rPr>
        <w:t>码头面初期雨水</w:t>
      </w:r>
      <w:r>
        <w:rPr>
          <w:rFonts w:hint="eastAsia" w:eastAsia="仿宋_GB2312"/>
          <w:color w:val="auto"/>
          <w:lang w:eastAsia="zh-CN"/>
        </w:rPr>
        <w:t>、</w:t>
      </w:r>
      <w:r>
        <w:rPr>
          <w:rFonts w:hint="eastAsia" w:eastAsia="仿宋_GB2312"/>
          <w:color w:val="auto"/>
        </w:rPr>
        <w:t>港区工作人员生活污水。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（1）到港船舶油污水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本项目</w:t>
      </w:r>
      <w:r>
        <w:rPr>
          <w:rFonts w:hint="eastAsia" w:eastAsia="仿宋_GB2312"/>
          <w:color w:val="auto"/>
          <w:lang w:eastAsia="zh-CN"/>
        </w:rPr>
        <w:t>运营期</w:t>
      </w:r>
      <w:r>
        <w:rPr>
          <w:rFonts w:hint="eastAsia" w:eastAsia="仿宋_GB2312"/>
          <w:color w:val="auto"/>
        </w:rPr>
        <w:t>泊位趸船、到港船舶的舱底油污水主要污染物为石油类。根据《中华人民共和国防止船舶污染内河水域环境管理规定》和《船舶水污染物排放标准》</w:t>
      </w:r>
      <w:r>
        <w:rPr>
          <w:rFonts w:hint="eastAsia" w:eastAsia="仿宋_GB2312"/>
          <w:color w:val="auto"/>
          <w:lang w:eastAsia="zh-CN"/>
        </w:rPr>
        <w:t>（</w:t>
      </w:r>
      <w:r>
        <w:rPr>
          <w:rFonts w:hint="eastAsia" w:eastAsia="仿宋_GB2312"/>
          <w:color w:val="auto"/>
        </w:rPr>
        <w:t>GB3552-2018</w:t>
      </w:r>
      <w:r>
        <w:rPr>
          <w:rFonts w:hint="eastAsia" w:eastAsia="仿宋_GB2312"/>
          <w:color w:val="auto"/>
          <w:lang w:eastAsia="zh-CN"/>
        </w:rPr>
        <w:t>）</w:t>
      </w:r>
      <w:r>
        <w:rPr>
          <w:rFonts w:hint="eastAsia" w:eastAsia="仿宋_GB2312"/>
          <w:color w:val="auto"/>
        </w:rPr>
        <w:t>的规定，船舶不仅要设置油污储存舱和装设油水分离设备，还应装有排油监控装置和标准排放接头。根据国际海事组织有关公约规定船舶的污水不能在码头区域排放。不得在码头所在江段排放舱底油污水，确需排放的由当地海事部门认可的有资质的单位接收处理。</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本项目趸船设置</w:t>
      </w:r>
      <w:r>
        <w:rPr>
          <w:rFonts w:hint="eastAsia" w:eastAsia="仿宋_GB2312"/>
          <w:color w:val="auto"/>
          <w:lang w:eastAsia="zh-CN"/>
        </w:rPr>
        <w:t>的</w:t>
      </w:r>
      <w:r>
        <w:rPr>
          <w:rFonts w:hint="eastAsia" w:eastAsia="仿宋_GB2312"/>
          <w:color w:val="auto"/>
        </w:rPr>
        <w:t>1m</w:t>
      </w:r>
      <w:r>
        <w:rPr>
          <w:rFonts w:hint="eastAsia" w:eastAsia="仿宋_GB2312"/>
          <w:color w:val="auto"/>
          <w:vertAlign w:val="superscript"/>
        </w:rPr>
        <w:t>3</w:t>
      </w:r>
      <w:r>
        <w:rPr>
          <w:rFonts w:hint="eastAsia" w:eastAsia="仿宋_GB2312"/>
          <w:color w:val="auto"/>
        </w:rPr>
        <w:t>到港船舶油污水收集桶1个收集到港船舶油污水，定期交由海事部门认可的船舶污水接收船接收处理。</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（2）到港船舶生活污水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到港船舶污水严禁在本码头区域排放。船舶生活污水首先由船舶自备生活污水处理设施进行预处理，靠港后通过趸船</w:t>
      </w:r>
      <w:r>
        <w:rPr>
          <w:rFonts w:hint="eastAsia" w:eastAsia="仿宋_GB2312"/>
          <w:color w:val="auto"/>
          <w:lang w:val="en-US" w:eastAsia="zh-CN"/>
        </w:rPr>
        <w:t>设置的</w:t>
      </w:r>
      <w:r>
        <w:rPr>
          <w:rFonts w:hint="eastAsia" w:eastAsia="仿宋_GB2312"/>
          <w:color w:val="auto"/>
        </w:rPr>
        <w:t>1m</w:t>
      </w:r>
      <w:r>
        <w:rPr>
          <w:rFonts w:hint="eastAsia" w:eastAsia="仿宋_GB2312"/>
          <w:color w:val="auto"/>
          <w:vertAlign w:val="superscript"/>
        </w:rPr>
        <w:t>3</w:t>
      </w:r>
      <w:r>
        <w:rPr>
          <w:rFonts w:hint="eastAsia" w:eastAsia="仿宋_GB2312"/>
          <w:color w:val="auto"/>
        </w:rPr>
        <w:t>到港船舶生活污水收集桶收集，定期交由海事部门认可的船舶污水接收船接收处理，不得排入长江。</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（3）码头冲洗废水及初期雨水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码头平台冲洗废水产生量为</w:t>
      </w:r>
      <w:r>
        <w:rPr>
          <w:rFonts w:hint="eastAsia" w:eastAsia="仿宋_GB2312"/>
          <w:color w:val="auto"/>
          <w:lang w:val="en-US" w:eastAsia="zh-CN"/>
        </w:rPr>
        <w:t>9.6</w:t>
      </w:r>
      <w:r>
        <w:rPr>
          <w:rFonts w:hint="eastAsia" w:eastAsia="仿宋_GB2312"/>
          <w:color w:val="auto"/>
        </w:rPr>
        <w:t>m</w:t>
      </w:r>
      <w:r>
        <w:rPr>
          <w:rFonts w:hint="eastAsia" w:eastAsia="仿宋_GB2312"/>
          <w:color w:val="auto"/>
          <w:vertAlign w:val="superscript"/>
        </w:rPr>
        <w:t>3</w:t>
      </w:r>
      <w:r>
        <w:rPr>
          <w:rFonts w:hint="eastAsia" w:eastAsia="仿宋_GB2312"/>
          <w:color w:val="auto"/>
        </w:rPr>
        <w:t>/次，码头面初期雨水量为</w:t>
      </w:r>
      <w:r>
        <w:rPr>
          <w:rFonts w:hint="eastAsia" w:eastAsia="仿宋_GB2312"/>
          <w:color w:val="auto"/>
          <w:lang w:val="en-US" w:eastAsia="zh-CN"/>
        </w:rPr>
        <w:t>56.03</w:t>
      </w:r>
      <w:r>
        <w:rPr>
          <w:rFonts w:hint="eastAsia" w:eastAsia="仿宋_GB2312"/>
          <w:color w:val="auto"/>
        </w:rPr>
        <w:t>m</w:t>
      </w:r>
      <w:r>
        <w:rPr>
          <w:rFonts w:hint="eastAsia" w:eastAsia="仿宋_GB2312"/>
          <w:color w:val="auto"/>
          <w:vertAlign w:val="superscript"/>
        </w:rPr>
        <w:t>3</w:t>
      </w:r>
      <w:r>
        <w:rPr>
          <w:rFonts w:hint="eastAsia" w:eastAsia="仿宋_GB2312"/>
          <w:color w:val="auto"/>
        </w:rPr>
        <w:t>/次。本项目沉淀池容积按单次初期雨水量设计，约</w:t>
      </w:r>
      <w:r>
        <w:rPr>
          <w:rFonts w:hint="eastAsia" w:eastAsia="仿宋_GB2312"/>
          <w:color w:val="auto"/>
          <w:lang w:val="en-US" w:eastAsia="zh-CN"/>
        </w:rPr>
        <w:t>100</w:t>
      </w:r>
      <w:r>
        <w:rPr>
          <w:rFonts w:hint="eastAsia" w:eastAsia="仿宋_GB2312"/>
          <w:color w:val="auto"/>
        </w:rPr>
        <w:t>m</w:t>
      </w:r>
      <w:r>
        <w:rPr>
          <w:rFonts w:hint="eastAsia" w:eastAsia="仿宋_GB2312"/>
          <w:color w:val="auto"/>
          <w:vertAlign w:val="superscript"/>
        </w:rPr>
        <w:t>3</w:t>
      </w:r>
      <w:r>
        <w:rPr>
          <w:rFonts w:hint="eastAsia" w:eastAsia="仿宋_GB2312"/>
          <w:color w:val="auto"/>
        </w:rPr>
        <w:t>。</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w:t>
      </w:r>
      <w:r>
        <w:rPr>
          <w:rFonts w:hint="eastAsia" w:eastAsia="仿宋_GB2312"/>
          <w:color w:val="auto"/>
          <w:sz w:val="24"/>
        </w:rPr>
        <w:t>，</w:t>
      </w:r>
      <w:r>
        <w:rPr>
          <w:rFonts w:hint="eastAsia" w:eastAsia="仿宋_GB2312"/>
          <w:color w:val="auto"/>
          <w:sz w:val="24"/>
          <w:lang w:val="en-US" w:eastAsia="zh-CN"/>
        </w:rPr>
        <w:t>容积约30m</w:t>
      </w:r>
      <w:r>
        <w:rPr>
          <w:rFonts w:hint="eastAsia" w:eastAsia="仿宋_GB2312"/>
          <w:color w:val="auto"/>
          <w:sz w:val="24"/>
          <w:vertAlign w:val="superscript"/>
          <w:lang w:val="en-US" w:eastAsia="zh-CN"/>
        </w:rPr>
        <w:t>3</w:t>
      </w:r>
      <w:r>
        <w:rPr>
          <w:rFonts w:hint="eastAsia" w:eastAsia="仿宋_GB2312"/>
          <w:color w:val="auto"/>
          <w:sz w:val="24"/>
          <w:lang w:val="en-US" w:eastAsia="zh-CN"/>
        </w:rPr>
        <w:t>。</w:t>
      </w:r>
      <w:r>
        <w:rPr>
          <w:rFonts w:hint="eastAsia" w:eastAsia="仿宋_GB2312"/>
          <w:color w:val="auto"/>
          <w:sz w:val="24"/>
          <w:lang w:eastAsia="zh-CN"/>
        </w:rPr>
        <w:t>委托海事部门认定的船舶污染物接收船定期统一处理</w:t>
      </w:r>
      <w:r>
        <w:rPr>
          <w:rFonts w:hint="eastAsia" w:eastAsia="仿宋_GB2312"/>
          <w:color w:val="auto"/>
        </w:rPr>
        <w:t>。</w:t>
      </w:r>
    </w:p>
    <w:p>
      <w:pPr>
        <w:adjustRightInd w:val="0"/>
        <w:snapToGrid w:val="0"/>
        <w:spacing w:before="60"/>
        <w:rPr>
          <w:rFonts w:eastAsiaTheme="minorEastAsia"/>
          <w:color w:val="auto"/>
        </w:rPr>
      </w:pPr>
      <w:r>
        <w:rPr>
          <w:color w:val="auto"/>
        </w:rPr>
        <w:object>
          <v:shape id="_x0000_i1129" o:spt="75" type="#_x0000_t75" style="height:107.35pt;width:414.05pt;" o:ole="t" filled="f" o:preferrelative="t" stroked="f" coordsize="21600,21600">
            <v:path/>
            <v:fill on="f" focussize="0,0"/>
            <v:stroke on="f"/>
            <v:imagedata r:id="rId284" o:title=""/>
            <o:lock v:ext="edit" aspectratio="t"/>
            <w10:wrap type="none"/>
            <w10:anchorlock/>
          </v:shape>
          <o:OLEObject Type="Embed" ProgID="Visio.Drawing.11" ShapeID="_x0000_i1129" DrawAspect="Content" ObjectID="_1468075829" r:id="rId283">
            <o:LockedField>false</o:LockedField>
          </o:OLEObject>
        </w:object>
      </w:r>
    </w:p>
    <w:p>
      <w:pPr>
        <w:widowControl w:val="0"/>
        <w:spacing w:line="360" w:lineRule="auto"/>
        <w:jc w:val="center"/>
        <w:rPr>
          <w:rFonts w:hint="eastAsia" w:eastAsia="黑体"/>
          <w:b/>
          <w:color w:val="auto"/>
          <w:szCs w:val="21"/>
        </w:rPr>
      </w:pPr>
      <w:r>
        <w:rPr>
          <w:rFonts w:hint="eastAsia" w:eastAsia="黑体"/>
          <w:b/>
          <w:color w:val="auto"/>
          <w:szCs w:val="21"/>
        </w:rPr>
        <w:t>图</w:t>
      </w:r>
      <w:r>
        <w:rPr>
          <w:rFonts w:hint="eastAsia" w:eastAsia="黑体"/>
          <w:b/>
          <w:color w:val="auto"/>
          <w:szCs w:val="21"/>
          <w:lang w:val="en-US" w:eastAsia="zh-CN"/>
        </w:rPr>
        <w:t>8.</w:t>
      </w:r>
      <w:r>
        <w:rPr>
          <w:rFonts w:hint="eastAsia" w:eastAsia="黑体"/>
          <w:b/>
          <w:color w:val="auto"/>
          <w:szCs w:val="21"/>
        </w:rPr>
        <w:t>2-2  码头面初期雨水及冲洗水收集系统示意图</w:t>
      </w:r>
    </w:p>
    <w:p>
      <w:pPr>
        <w:pStyle w:val="1025"/>
        <w:widowControl w:val="0"/>
        <w:spacing w:line="360" w:lineRule="auto"/>
        <w:ind w:firstLine="480" w:firstLineChars="200"/>
        <w:jc w:val="both"/>
        <w:rPr>
          <w:rFonts w:hint="default" w:eastAsia="仿宋_GB2312"/>
          <w:color w:val="auto"/>
          <w:lang w:val="en-US" w:eastAsia="zh-CN"/>
        </w:rPr>
      </w:pPr>
      <w:r>
        <w:rPr>
          <w:rFonts w:hint="eastAsia" w:eastAsia="仿宋_GB2312"/>
          <w:color w:val="auto"/>
          <w:lang w:eastAsia="zh-CN"/>
        </w:rPr>
        <w:t>（</w:t>
      </w:r>
      <w:r>
        <w:rPr>
          <w:rFonts w:hint="eastAsia" w:eastAsia="仿宋_GB2312"/>
          <w:color w:val="auto"/>
          <w:lang w:val="en-US" w:eastAsia="zh-CN"/>
        </w:rPr>
        <w:t>4</w:t>
      </w:r>
      <w:r>
        <w:rPr>
          <w:rFonts w:hint="eastAsia" w:eastAsia="仿宋_GB2312"/>
          <w:color w:val="auto"/>
          <w:lang w:eastAsia="zh-CN"/>
        </w:rPr>
        <w:t>）</w:t>
      </w:r>
      <w:r>
        <w:rPr>
          <w:rFonts w:hint="eastAsia" w:eastAsia="仿宋_GB2312"/>
          <w:color w:val="auto"/>
          <w:lang w:val="en-US" w:eastAsia="zh-CN"/>
        </w:rPr>
        <w:t>码头工作人员生活污水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sz w:val="24"/>
          <w:lang w:val="en-US" w:eastAsia="zh-CN"/>
        </w:rPr>
        <w:t>码头人员生活污水通过</w:t>
      </w:r>
      <w:r>
        <w:rPr>
          <w:rFonts w:hint="eastAsia" w:eastAsia="仿宋_GB2312"/>
          <w:color w:val="auto"/>
          <w:sz w:val="24"/>
        </w:rPr>
        <w:t>各自趸船下方生活污水储存柜储存，</w:t>
      </w:r>
      <w:r>
        <w:rPr>
          <w:rFonts w:hint="eastAsia" w:eastAsia="仿宋_GB2312"/>
          <w:color w:val="auto"/>
          <w:sz w:val="24"/>
          <w:lang w:val="en-US" w:eastAsia="zh-CN"/>
        </w:rPr>
        <w:t>容积约5m</w:t>
      </w:r>
      <w:r>
        <w:rPr>
          <w:rFonts w:hint="eastAsia" w:eastAsia="仿宋_GB2312"/>
          <w:color w:val="auto"/>
          <w:sz w:val="24"/>
          <w:vertAlign w:val="superscript"/>
          <w:lang w:val="en-US" w:eastAsia="zh-CN"/>
        </w:rPr>
        <w:t>3</w:t>
      </w:r>
      <w:r>
        <w:rPr>
          <w:rFonts w:hint="eastAsia" w:eastAsia="仿宋_GB2312"/>
          <w:color w:val="auto"/>
          <w:sz w:val="24"/>
          <w:lang w:val="en-US" w:eastAsia="zh-CN"/>
        </w:rPr>
        <w:t>。</w:t>
      </w:r>
      <w:r>
        <w:rPr>
          <w:rFonts w:hint="eastAsia" w:eastAsia="仿宋_GB2312"/>
          <w:color w:val="auto"/>
          <w:sz w:val="24"/>
        </w:rPr>
        <w:t>委托海事部门认定的船舶污染物接收船定期统一处理</w:t>
      </w:r>
      <w:r>
        <w:rPr>
          <w:rFonts w:hint="eastAsia" w:eastAsia="仿宋_GB2312"/>
          <w:color w:val="auto"/>
        </w:rPr>
        <w:t>。</w:t>
      </w:r>
    </w:p>
    <w:bookmarkEnd w:id="504"/>
    <w:p>
      <w:pPr>
        <w:pStyle w:val="5"/>
        <w:widowControl w:val="0"/>
        <w:adjustRightInd/>
        <w:spacing w:before="156" w:beforeLines="50" w:after="156" w:afterLines="50" w:line="360" w:lineRule="auto"/>
        <w:ind w:firstLine="0"/>
        <w:textAlignment w:val="auto"/>
        <w:outlineLvl w:val="3"/>
        <w:rPr>
          <w:rFonts w:hint="default" w:eastAsia="黑体"/>
          <w:color w:val="auto"/>
          <w:szCs w:val="24"/>
          <w:lang w:val="en-US" w:eastAsia="zh-CN"/>
        </w:rPr>
      </w:pPr>
      <w:bookmarkStart w:id="506" w:name="_Toc20607"/>
      <w:r>
        <w:rPr>
          <w:rFonts w:hint="eastAsia" w:eastAsia="黑体"/>
          <w:color w:val="auto"/>
          <w:szCs w:val="24"/>
          <w:lang w:val="en-US" w:eastAsia="zh-CN"/>
        </w:rPr>
        <w:t>8.2.2.2废水污染防治措施可行性分析</w:t>
      </w:r>
    </w:p>
    <w:p>
      <w:pPr>
        <w:widowControl w:val="0"/>
        <w:spacing w:line="360" w:lineRule="auto"/>
        <w:ind w:firstLine="480" w:firstLineChars="200"/>
        <w:rPr>
          <w:rFonts w:hint="default"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参照《排污许可证申请与核发技术规范 码头》（HJ1107—2020）中附录B.3及运行管理要求进行废水污染防治措施可行性分析可知，本项目废水均不外排，交由海事部门制定的接收船处理，本项目环保措施可行。</w:t>
      </w:r>
    </w:p>
    <w:p>
      <w:pPr>
        <w:pStyle w:val="9"/>
        <w:widowControl w:val="0"/>
        <w:spacing w:before="120" w:after="120" w:line="360" w:lineRule="auto"/>
        <w:rPr>
          <w:rFonts w:eastAsia="黑体"/>
          <w:b w:val="0"/>
          <w:color w:val="auto"/>
          <w:sz w:val="24"/>
        </w:rPr>
      </w:pPr>
      <w:r>
        <w:rPr>
          <w:rFonts w:hint="eastAsia" w:eastAsia="黑体"/>
          <w:b w:val="0"/>
          <w:color w:val="auto"/>
          <w:sz w:val="24"/>
          <w:lang w:val="en-US" w:eastAsia="zh-CN"/>
        </w:rPr>
        <w:t>8</w:t>
      </w:r>
      <w:r>
        <w:rPr>
          <w:rFonts w:eastAsia="黑体"/>
          <w:b w:val="0"/>
          <w:color w:val="auto"/>
          <w:sz w:val="24"/>
        </w:rPr>
        <w:t>.</w:t>
      </w:r>
      <w:r>
        <w:rPr>
          <w:rFonts w:hint="eastAsia" w:eastAsia="黑体"/>
          <w:b w:val="0"/>
          <w:color w:val="auto"/>
          <w:sz w:val="24"/>
          <w:lang w:val="en-US" w:eastAsia="zh-CN"/>
        </w:rPr>
        <w:t>2</w:t>
      </w:r>
      <w:r>
        <w:rPr>
          <w:rFonts w:hint="eastAsia" w:eastAsia="黑体"/>
          <w:b w:val="0"/>
          <w:color w:val="auto"/>
          <w:sz w:val="24"/>
        </w:rPr>
        <w:t>.3</w:t>
      </w:r>
      <w:r>
        <w:rPr>
          <w:rFonts w:hint="eastAsia" w:eastAsia="黑体"/>
          <w:b w:val="0"/>
          <w:color w:val="auto"/>
          <w:sz w:val="24"/>
          <w:lang w:eastAsia="zh-CN"/>
        </w:rPr>
        <w:t>运营期</w:t>
      </w:r>
      <w:r>
        <w:rPr>
          <w:rFonts w:hint="eastAsia" w:eastAsia="黑体"/>
          <w:b w:val="0"/>
          <w:color w:val="auto"/>
          <w:sz w:val="24"/>
        </w:rPr>
        <w:t>声环境保护措施</w:t>
      </w:r>
      <w:bookmarkEnd w:id="506"/>
    </w:p>
    <w:p>
      <w:pPr>
        <w:widowControl w:val="0"/>
        <w:spacing w:line="360" w:lineRule="auto"/>
        <w:ind w:firstLine="480" w:firstLineChars="200"/>
        <w:rPr>
          <w:rFonts w:hint="eastAsia" w:eastAsia="仿宋_GB2312"/>
          <w:color w:val="auto"/>
          <w:sz w:val="24"/>
        </w:rPr>
      </w:pPr>
      <w:r>
        <w:rPr>
          <w:rFonts w:hint="eastAsia" w:eastAsia="仿宋_GB2312"/>
          <w:color w:val="auto"/>
          <w:sz w:val="24"/>
        </w:rPr>
        <w:t>（1）设备选型要选择符合声环境标准的低噪声设备，个别高噪声源强设备采取消声隔声设施。</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（2）加强机械和设备的保养维修，保持正常运行、正常运转、降低噪声。</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w:t>
      </w:r>
      <w:r>
        <w:rPr>
          <w:rFonts w:hint="eastAsia" w:eastAsia="仿宋_GB2312"/>
          <w:color w:val="auto"/>
          <w:sz w:val="24"/>
          <w:lang w:val="en-US" w:eastAsia="zh-CN"/>
        </w:rPr>
        <w:t>3</w:t>
      </w:r>
      <w:r>
        <w:rPr>
          <w:rFonts w:hint="eastAsia" w:eastAsia="仿宋_GB2312"/>
          <w:color w:val="auto"/>
          <w:sz w:val="24"/>
        </w:rPr>
        <w:t>）加强夜间装卸作业管理，尽量避免</w:t>
      </w:r>
      <w:r>
        <w:rPr>
          <w:rFonts w:hint="eastAsia" w:eastAsia="仿宋_GB2312"/>
          <w:color w:val="auto"/>
          <w:sz w:val="24"/>
          <w:lang w:val="en-US" w:eastAsia="zh-CN"/>
        </w:rPr>
        <w:t>货种落地</w:t>
      </w:r>
      <w:r>
        <w:rPr>
          <w:rFonts w:hint="eastAsia" w:eastAsia="仿宋_GB2312"/>
          <w:color w:val="auto"/>
          <w:sz w:val="24"/>
        </w:rPr>
        <w:t>等突发噪声造成噪声扰民</w:t>
      </w:r>
      <w:r>
        <w:rPr>
          <w:rFonts w:hint="eastAsia" w:eastAsia="仿宋_GB2312"/>
          <w:color w:val="auto"/>
          <w:sz w:val="24"/>
          <w:lang w:eastAsia="zh-CN"/>
        </w:rPr>
        <w:t>。</w:t>
      </w:r>
    </w:p>
    <w:p>
      <w:pPr>
        <w:pStyle w:val="9"/>
        <w:widowControl w:val="0"/>
        <w:spacing w:before="120" w:after="120" w:line="360" w:lineRule="auto"/>
        <w:rPr>
          <w:rFonts w:eastAsia="黑体"/>
          <w:b w:val="0"/>
          <w:color w:val="auto"/>
          <w:sz w:val="24"/>
        </w:rPr>
      </w:pPr>
      <w:bookmarkStart w:id="507" w:name="_Toc22890"/>
      <w:r>
        <w:rPr>
          <w:rFonts w:hint="eastAsia" w:eastAsia="黑体"/>
          <w:b w:val="0"/>
          <w:color w:val="auto"/>
          <w:sz w:val="24"/>
          <w:lang w:val="en-US" w:eastAsia="zh-CN"/>
        </w:rPr>
        <w:t>8</w:t>
      </w:r>
      <w:r>
        <w:rPr>
          <w:rFonts w:eastAsia="黑体"/>
          <w:b w:val="0"/>
          <w:color w:val="auto"/>
          <w:sz w:val="24"/>
        </w:rPr>
        <w:t>.</w:t>
      </w:r>
      <w:r>
        <w:rPr>
          <w:rFonts w:hint="eastAsia" w:eastAsia="黑体"/>
          <w:b w:val="0"/>
          <w:color w:val="auto"/>
          <w:sz w:val="24"/>
          <w:lang w:val="en-US" w:eastAsia="zh-CN"/>
        </w:rPr>
        <w:t>2</w:t>
      </w:r>
      <w:r>
        <w:rPr>
          <w:rFonts w:hint="eastAsia" w:eastAsia="黑体"/>
          <w:b w:val="0"/>
          <w:color w:val="auto"/>
          <w:sz w:val="24"/>
        </w:rPr>
        <w:t>.</w:t>
      </w:r>
      <w:r>
        <w:rPr>
          <w:rFonts w:hint="eastAsia" w:eastAsia="黑体"/>
          <w:b w:val="0"/>
          <w:color w:val="auto"/>
          <w:sz w:val="24"/>
          <w:lang w:val="en-US" w:eastAsia="zh-CN"/>
        </w:rPr>
        <w:t>4</w:t>
      </w:r>
      <w:r>
        <w:rPr>
          <w:rFonts w:hint="eastAsia" w:eastAsia="黑体"/>
          <w:b w:val="0"/>
          <w:color w:val="auto"/>
          <w:sz w:val="24"/>
          <w:lang w:eastAsia="zh-CN"/>
        </w:rPr>
        <w:t>运营期</w:t>
      </w:r>
      <w:r>
        <w:rPr>
          <w:rFonts w:hint="eastAsia" w:eastAsia="黑体"/>
          <w:b w:val="0"/>
          <w:color w:val="auto"/>
          <w:sz w:val="24"/>
          <w:lang w:val="en-US" w:eastAsia="zh-CN"/>
        </w:rPr>
        <w:t>固体废物</w:t>
      </w:r>
      <w:r>
        <w:rPr>
          <w:rFonts w:hint="eastAsia" w:eastAsia="黑体"/>
          <w:b w:val="0"/>
          <w:color w:val="auto"/>
          <w:sz w:val="24"/>
        </w:rPr>
        <w:t>环境保护措施</w:t>
      </w:r>
      <w:bookmarkEnd w:id="507"/>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（1）码头生活垃圾</w:t>
      </w:r>
      <w:r>
        <w:rPr>
          <w:rFonts w:hint="eastAsia" w:eastAsia="仿宋_GB2312"/>
          <w:color w:val="auto"/>
          <w:sz w:val="24"/>
          <w:lang w:val="en-US" w:eastAsia="zh-CN"/>
        </w:rPr>
        <w:t>经趸船</w:t>
      </w:r>
      <w:r>
        <w:rPr>
          <w:rFonts w:hint="eastAsia" w:eastAsia="仿宋_GB2312"/>
          <w:color w:val="auto"/>
          <w:sz w:val="24"/>
        </w:rPr>
        <w:t>移动式垃圾箱集中收集，由当地环卫部门定期清运处理。</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w:t>
      </w:r>
      <w:r>
        <w:rPr>
          <w:rFonts w:hint="eastAsia" w:eastAsia="仿宋_GB2312"/>
          <w:color w:val="auto"/>
          <w:sz w:val="24"/>
          <w:lang w:val="en-US" w:eastAsia="zh-CN"/>
        </w:rPr>
        <w:t>2</w:t>
      </w:r>
      <w:r>
        <w:rPr>
          <w:rFonts w:hint="eastAsia" w:eastAsia="仿宋_GB2312"/>
          <w:color w:val="auto"/>
          <w:sz w:val="24"/>
        </w:rPr>
        <w:t>）到港船舶生活垃圾由船舶自带的垃圾收集设施统一收集，委托海事部门认定的船舶污染物接收船统一收集处理。来自疫情港口的船舶，其船舶固体废物如需岸上接收，经卫生检疫部门检疫并进行卫生处理后，由海事部门认定的船舶污染物接收船有偿接收并处理。</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w:t>
      </w:r>
      <w:r>
        <w:rPr>
          <w:rFonts w:hint="eastAsia" w:eastAsia="仿宋_GB2312"/>
          <w:color w:val="auto"/>
          <w:sz w:val="24"/>
          <w:lang w:val="en-US" w:eastAsia="zh-CN"/>
        </w:rPr>
        <w:t>3</w:t>
      </w:r>
      <w:r>
        <w:rPr>
          <w:rFonts w:hint="eastAsia" w:eastAsia="仿宋_GB2312"/>
          <w:color w:val="auto"/>
          <w:sz w:val="24"/>
        </w:rPr>
        <w:t>）码头机械保养和机修产生废油等危险废物按照《中华人民共和国固体废物污染防治法》的要求，使用专门的容器及时收集，防止跑冒滴漏；收集后</w:t>
      </w:r>
      <w:r>
        <w:rPr>
          <w:rFonts w:hint="eastAsia" w:eastAsia="仿宋_GB2312"/>
          <w:color w:val="auto"/>
          <w:sz w:val="24"/>
          <w:lang w:val="en-US" w:eastAsia="zh-CN"/>
        </w:rPr>
        <w:t>暂存于趸船上危废暂存间内</w:t>
      </w:r>
      <w:r>
        <w:rPr>
          <w:rFonts w:hint="eastAsia" w:eastAsia="仿宋_GB2312"/>
          <w:color w:val="auto"/>
          <w:sz w:val="24"/>
        </w:rPr>
        <w:t>暂存，并按照处置路径、处置去向（委托具有接受资质单位进行处理）安全处置。</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危险废物的转移应遵从《危险废物转移联单管理办法》及其它有关规定的要求。禁止将废油任意抛洒、掩埋或倒入下水道。</w:t>
      </w:r>
    </w:p>
    <w:p>
      <w:pPr>
        <w:pStyle w:val="9"/>
        <w:widowControl w:val="0"/>
        <w:spacing w:before="120" w:after="120" w:line="360" w:lineRule="auto"/>
        <w:rPr>
          <w:rFonts w:eastAsia="黑体"/>
          <w:b w:val="0"/>
          <w:color w:val="auto"/>
          <w:sz w:val="24"/>
        </w:rPr>
      </w:pPr>
      <w:bookmarkStart w:id="508" w:name="_Toc29574"/>
      <w:r>
        <w:rPr>
          <w:rFonts w:hint="eastAsia" w:eastAsia="黑体"/>
          <w:b w:val="0"/>
          <w:color w:val="auto"/>
          <w:sz w:val="24"/>
          <w:lang w:val="en-US" w:eastAsia="zh-CN"/>
        </w:rPr>
        <w:t>8</w:t>
      </w:r>
      <w:r>
        <w:rPr>
          <w:rFonts w:eastAsia="黑体"/>
          <w:b w:val="0"/>
          <w:color w:val="auto"/>
          <w:sz w:val="24"/>
        </w:rPr>
        <w:t>.</w:t>
      </w:r>
      <w:r>
        <w:rPr>
          <w:rFonts w:hint="eastAsia" w:eastAsia="黑体"/>
          <w:b w:val="0"/>
          <w:color w:val="auto"/>
          <w:sz w:val="24"/>
          <w:lang w:val="en-US" w:eastAsia="zh-CN"/>
        </w:rPr>
        <w:t>2</w:t>
      </w:r>
      <w:r>
        <w:rPr>
          <w:rFonts w:hint="eastAsia" w:eastAsia="黑体"/>
          <w:b w:val="0"/>
          <w:color w:val="auto"/>
          <w:sz w:val="24"/>
        </w:rPr>
        <w:t>.</w:t>
      </w:r>
      <w:r>
        <w:rPr>
          <w:rFonts w:hint="eastAsia" w:eastAsia="黑体"/>
          <w:b w:val="0"/>
          <w:color w:val="auto"/>
          <w:sz w:val="24"/>
          <w:lang w:val="en-US" w:eastAsia="zh-CN"/>
        </w:rPr>
        <w:t>5</w:t>
      </w:r>
      <w:r>
        <w:rPr>
          <w:rFonts w:hint="eastAsia" w:eastAsia="黑体"/>
          <w:b w:val="0"/>
          <w:color w:val="auto"/>
          <w:sz w:val="24"/>
          <w:lang w:eastAsia="zh-CN"/>
        </w:rPr>
        <w:t>运营期</w:t>
      </w:r>
      <w:r>
        <w:rPr>
          <w:rFonts w:hint="eastAsia" w:eastAsia="黑体"/>
          <w:b w:val="0"/>
          <w:color w:val="auto"/>
          <w:sz w:val="24"/>
          <w:lang w:val="en-US" w:eastAsia="zh-CN"/>
        </w:rPr>
        <w:t>生态环境</w:t>
      </w:r>
      <w:r>
        <w:rPr>
          <w:rFonts w:hint="eastAsia" w:eastAsia="黑体"/>
          <w:b w:val="0"/>
          <w:color w:val="auto"/>
          <w:sz w:val="24"/>
        </w:rPr>
        <w:t>保护措施</w:t>
      </w:r>
      <w:bookmarkEnd w:id="508"/>
    </w:p>
    <w:p>
      <w:pPr>
        <w:widowControl w:val="0"/>
        <w:spacing w:line="360" w:lineRule="auto"/>
        <w:ind w:firstLine="480" w:firstLineChars="200"/>
        <w:rPr>
          <w:rFonts w:hint="eastAsia" w:eastAsia="仿宋_GB2312"/>
          <w:color w:val="auto"/>
          <w:sz w:val="24"/>
        </w:rPr>
      </w:pPr>
      <w:r>
        <w:rPr>
          <w:rFonts w:hint="eastAsia" w:eastAsia="仿宋_GB2312"/>
          <w:color w:val="auto"/>
          <w:sz w:val="24"/>
        </w:rPr>
        <w:t>对于码头作业</w:t>
      </w:r>
      <w:r>
        <w:rPr>
          <w:rFonts w:hint="eastAsia" w:eastAsia="仿宋_GB2312"/>
          <w:color w:val="auto"/>
          <w:sz w:val="24"/>
          <w:lang w:val="en-US" w:eastAsia="zh-CN"/>
        </w:rPr>
        <w:t>人员</w:t>
      </w:r>
      <w:r>
        <w:rPr>
          <w:rFonts w:hint="eastAsia" w:eastAsia="仿宋_GB2312"/>
          <w:color w:val="auto"/>
          <w:sz w:val="24"/>
        </w:rPr>
        <w:t>，如不加强管理，可能人为的影响该江段水生生态环境，运营期，建设单位重点要做好以下几项工作：</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（1）加大对水上作业人员的法律、法规意识培训，包括《中华人民共和国野生动物法》、《中华人民共和国渔业法》等，严禁作业人员利用码头趸船捕捞珍稀水生保护动物。</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（2）减少水域污染</w:t>
      </w:r>
      <w:r>
        <w:rPr>
          <w:rFonts w:hint="eastAsia" w:eastAsia="仿宋_GB2312"/>
          <w:color w:val="auto"/>
          <w:sz w:val="24"/>
          <w:lang w:eastAsia="zh-CN"/>
        </w:rPr>
        <w:t>，</w:t>
      </w:r>
      <w:r>
        <w:rPr>
          <w:rFonts w:hint="eastAsia" w:eastAsia="仿宋_GB2312"/>
          <w:color w:val="auto"/>
          <w:sz w:val="24"/>
        </w:rPr>
        <w:t>采取有效的环境保护措施，控制生活垃圾、生活污水、生产废水和噪声等的排放，码头水域禁止停靠船舶排放船舶生活污水和舱底油污水，降低对水生生态的影响。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（3）建议在</w:t>
      </w:r>
      <w:r>
        <w:rPr>
          <w:rFonts w:hint="eastAsia" w:eastAsia="仿宋_GB2312"/>
          <w:color w:val="auto"/>
          <w:sz w:val="24"/>
          <w:lang w:eastAsia="zh-CN"/>
        </w:rPr>
        <w:t>运营期</w:t>
      </w:r>
      <w:r>
        <w:rPr>
          <w:rFonts w:hint="eastAsia" w:eastAsia="仿宋_GB2312"/>
          <w:color w:val="auto"/>
          <w:sz w:val="24"/>
        </w:rPr>
        <w:t>船舶靠岸前或离开前通过敲击船舷来驱赶码头区域的重要水生生物。</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（4）</w:t>
      </w:r>
      <w:r>
        <w:rPr>
          <w:rFonts w:hint="eastAsia" w:eastAsia="仿宋_GB2312"/>
          <w:color w:val="auto"/>
          <w:sz w:val="24"/>
          <w:lang w:eastAsia="zh-CN"/>
        </w:rPr>
        <w:t>运营期</w:t>
      </w:r>
      <w:r>
        <w:rPr>
          <w:rFonts w:hint="eastAsia" w:eastAsia="仿宋_GB2312"/>
          <w:color w:val="auto"/>
          <w:sz w:val="24"/>
        </w:rPr>
        <w:t>水生生态监测</w:t>
      </w:r>
      <w:r>
        <w:rPr>
          <w:rFonts w:hint="eastAsia" w:eastAsia="仿宋_GB2312"/>
          <w:color w:val="auto"/>
          <w:sz w:val="24"/>
          <w:lang w:eastAsia="zh-CN"/>
        </w:rPr>
        <w:t>，</w:t>
      </w:r>
      <w:r>
        <w:rPr>
          <w:rFonts w:hint="eastAsia" w:eastAsia="仿宋_GB2312"/>
          <w:color w:val="auto"/>
          <w:sz w:val="24"/>
        </w:rPr>
        <w:t>由于相关作业产生的噪声、振动等因素，拟建工程在</w:t>
      </w:r>
      <w:r>
        <w:rPr>
          <w:rFonts w:hint="eastAsia" w:eastAsia="仿宋_GB2312"/>
          <w:color w:val="auto"/>
          <w:sz w:val="24"/>
          <w:lang w:eastAsia="zh-CN"/>
        </w:rPr>
        <w:t>运营期</w:t>
      </w:r>
      <w:r>
        <w:rPr>
          <w:rFonts w:hint="eastAsia" w:eastAsia="仿宋_GB2312"/>
          <w:color w:val="auto"/>
          <w:sz w:val="24"/>
        </w:rPr>
        <w:t>不可避免的会对中华鲟等水生生物的索饵、繁殖及洄游等生命活动产生一定的影响，为了保护生态环境及维持保护区的生态功能，应加强对工程邻近水域水质浮游生物等相关监测，保证码头运行期间不会对保护区带来水生态环境方面的污染</w:t>
      </w:r>
      <w:r>
        <w:rPr>
          <w:rFonts w:hint="eastAsia" w:eastAsia="仿宋_GB2312"/>
          <w:color w:val="auto"/>
          <w:sz w:val="24"/>
          <w:lang w:eastAsia="zh-CN"/>
        </w:rPr>
        <w:t>。</w:t>
      </w:r>
    </w:p>
    <w:p>
      <w:pPr>
        <w:widowControl w:val="0"/>
        <w:spacing w:line="360" w:lineRule="auto"/>
        <w:ind w:firstLine="480" w:firstLineChars="200"/>
        <w:rPr>
          <w:rFonts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5</w:t>
      </w:r>
      <w:r>
        <w:rPr>
          <w:rFonts w:hint="eastAsia" w:eastAsia="仿宋_GB2312"/>
          <w:color w:val="auto"/>
          <w:sz w:val="24"/>
          <w:lang w:eastAsia="zh-CN"/>
        </w:rPr>
        <w:t>）运营期</w:t>
      </w:r>
      <w:r>
        <w:rPr>
          <w:rFonts w:hint="eastAsia" w:eastAsia="仿宋_GB2312"/>
          <w:color w:val="auto"/>
          <w:sz w:val="24"/>
          <w:lang w:val="en-US" w:eastAsia="zh-CN"/>
        </w:rPr>
        <w:t>应</w:t>
      </w:r>
      <w:r>
        <w:rPr>
          <w:rFonts w:hint="eastAsia" w:eastAsia="仿宋_GB2312"/>
          <w:color w:val="auto"/>
          <w:sz w:val="24"/>
        </w:rPr>
        <w:t>加强对进出船舶管理，合理安排进出时间，避免船舶发生碰撞发生溢油事故，进而避免影响水生生态</w:t>
      </w:r>
      <w:r>
        <w:rPr>
          <w:rFonts w:eastAsia="仿宋_GB2312"/>
          <w:color w:val="auto"/>
          <w:sz w:val="24"/>
        </w:rPr>
        <w:t>。</w:t>
      </w:r>
    </w:p>
    <w:p>
      <w:pPr>
        <w:pStyle w:val="8"/>
        <w:widowControl w:val="0"/>
        <w:spacing w:before="120" w:after="120" w:line="360" w:lineRule="auto"/>
        <w:rPr>
          <w:rFonts w:ascii="Times New Roman" w:hAnsi="Times New Roman"/>
          <w:b w:val="0"/>
          <w:color w:val="auto"/>
          <w:szCs w:val="32"/>
        </w:rPr>
      </w:pPr>
      <w:bookmarkStart w:id="509" w:name="_Toc11016"/>
      <w:r>
        <w:rPr>
          <w:rFonts w:hint="eastAsia" w:ascii="Times New Roman" w:hAnsi="Times New Roman"/>
          <w:b w:val="0"/>
          <w:color w:val="auto"/>
          <w:szCs w:val="32"/>
          <w:lang w:val="en-US" w:eastAsia="zh-CN"/>
        </w:rPr>
        <w:t>8</w:t>
      </w:r>
      <w:r>
        <w:rPr>
          <w:rFonts w:ascii="Times New Roman" w:hAnsi="Times New Roman"/>
          <w:b w:val="0"/>
          <w:color w:val="auto"/>
          <w:szCs w:val="32"/>
        </w:rPr>
        <w:t>.</w:t>
      </w:r>
      <w:r>
        <w:rPr>
          <w:rFonts w:hint="eastAsia" w:ascii="Times New Roman" w:hAnsi="Times New Roman"/>
          <w:b w:val="0"/>
          <w:color w:val="auto"/>
          <w:szCs w:val="32"/>
          <w:lang w:val="en-US" w:eastAsia="zh-CN"/>
        </w:rPr>
        <w:t>3</w:t>
      </w:r>
      <w:r>
        <w:rPr>
          <w:rFonts w:ascii="Times New Roman" w:hAnsi="Times New Roman"/>
          <w:b w:val="0"/>
          <w:color w:val="auto"/>
          <w:szCs w:val="32"/>
        </w:rPr>
        <w:t>非正常排放防范措施建议</w:t>
      </w:r>
      <w:bookmarkEnd w:id="509"/>
    </w:p>
    <w:p>
      <w:pPr>
        <w:pStyle w:val="26"/>
        <w:widowControl w:val="0"/>
        <w:spacing w:line="360" w:lineRule="auto"/>
        <w:ind w:firstLine="460" w:firstLineChars="192"/>
        <w:rPr>
          <w:rFonts w:ascii="Times New Roman" w:hAnsi="Times New Roman" w:eastAsia="仿宋_GB2312"/>
          <w:color w:val="auto"/>
          <w:szCs w:val="24"/>
        </w:rPr>
      </w:pPr>
      <w:r>
        <w:rPr>
          <w:rFonts w:ascii="Times New Roman" w:hAnsi="Times New Roman" w:eastAsia="仿宋_GB2312"/>
          <w:color w:val="auto"/>
          <w:szCs w:val="24"/>
        </w:rPr>
        <w:t>本评价主要针对项目废气的非正常排放进行相应的防范措施分析。</w:t>
      </w:r>
    </w:p>
    <w:p>
      <w:pPr>
        <w:pStyle w:val="26"/>
        <w:widowControl w:val="0"/>
        <w:spacing w:line="360" w:lineRule="auto"/>
        <w:ind w:firstLine="460" w:firstLineChars="192"/>
        <w:rPr>
          <w:rFonts w:ascii="Times New Roman" w:hAnsi="Times New Roman" w:eastAsia="仿宋_GB2312"/>
          <w:color w:val="auto"/>
        </w:rPr>
      </w:pPr>
      <w:r>
        <w:rPr>
          <w:rFonts w:ascii="Times New Roman" w:hAnsi="Times New Roman" w:eastAsia="仿宋_GB2312"/>
          <w:color w:val="auto"/>
          <w:szCs w:val="24"/>
        </w:rPr>
        <w:t>项目废气发生非正常排放主要指</w:t>
      </w:r>
      <w:r>
        <w:rPr>
          <w:rFonts w:hint="eastAsia" w:ascii="Times New Roman" w:hAnsi="Times New Roman" w:eastAsia="仿宋_GB2312"/>
          <w:color w:val="auto"/>
          <w:szCs w:val="24"/>
          <w:lang w:val="en-US" w:eastAsia="zh-CN"/>
        </w:rPr>
        <w:t>脉冲布袋除尘器</w:t>
      </w:r>
      <w:r>
        <w:rPr>
          <w:rFonts w:ascii="Times New Roman" w:hAnsi="Times New Roman" w:eastAsia="仿宋_GB2312"/>
          <w:color w:val="auto"/>
          <w:szCs w:val="24"/>
        </w:rPr>
        <w:t>装置运行异常，一旦发生故障或异常，监控设施可以迅速反映。此时，应合理调度、及时暂停相关设备的运行并查找故障原因，待修复后才能恢复相关生产</w:t>
      </w:r>
      <w:r>
        <w:rPr>
          <w:rFonts w:ascii="Times New Roman" w:hAnsi="Times New Roman" w:eastAsia="仿宋_GB2312"/>
          <w:color w:val="auto"/>
        </w:rPr>
        <w:t>。</w:t>
      </w:r>
    </w:p>
    <w:p>
      <w:pPr>
        <w:widowControl w:val="0"/>
        <w:spacing w:line="360" w:lineRule="auto"/>
        <w:ind w:firstLine="480" w:firstLineChars="200"/>
        <w:rPr>
          <w:rFonts w:eastAsia="仿宋_GB2312"/>
          <w:color w:val="auto"/>
          <w:sz w:val="24"/>
        </w:rPr>
        <w:sectPr>
          <w:headerReference r:id="rId25"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9" w:charSpace="0"/>
        </w:sectPr>
      </w:pPr>
    </w:p>
    <w:p>
      <w:pPr>
        <w:widowControl w:val="0"/>
        <w:spacing w:before="240" w:after="240" w:line="360" w:lineRule="auto"/>
        <w:jc w:val="center"/>
        <w:outlineLvl w:val="0"/>
        <w:rPr>
          <w:rFonts w:eastAsia="黑体"/>
          <w:color w:val="auto"/>
          <w:sz w:val="44"/>
          <w:szCs w:val="44"/>
        </w:rPr>
      </w:pPr>
      <w:bookmarkStart w:id="510" w:name="_Toc305859589"/>
      <w:bookmarkStart w:id="511" w:name="_Toc17844"/>
      <w:bookmarkStart w:id="512" w:name="_Toc343702940"/>
      <w:r>
        <w:rPr>
          <w:rFonts w:hint="eastAsia" w:eastAsia="黑体"/>
          <w:color w:val="auto"/>
          <w:sz w:val="44"/>
          <w:szCs w:val="44"/>
          <w:lang w:val="en-US" w:eastAsia="zh-CN"/>
        </w:rPr>
        <w:t>9</w:t>
      </w:r>
      <w:r>
        <w:rPr>
          <w:rFonts w:eastAsia="黑体"/>
          <w:color w:val="auto"/>
          <w:sz w:val="44"/>
          <w:szCs w:val="44"/>
        </w:rPr>
        <w:t>环境</w:t>
      </w:r>
      <w:r>
        <w:rPr>
          <w:rFonts w:hint="eastAsia" w:eastAsia="黑体"/>
          <w:color w:val="auto"/>
          <w:sz w:val="44"/>
          <w:szCs w:val="44"/>
          <w:lang w:val="en-US" w:eastAsia="zh-CN"/>
        </w:rPr>
        <w:t>影响</w:t>
      </w:r>
      <w:r>
        <w:rPr>
          <w:rFonts w:eastAsia="黑体"/>
          <w:color w:val="auto"/>
          <w:sz w:val="44"/>
          <w:szCs w:val="44"/>
        </w:rPr>
        <w:t>经济损益分析</w:t>
      </w:r>
      <w:bookmarkEnd w:id="510"/>
      <w:bookmarkEnd w:id="511"/>
      <w:bookmarkEnd w:id="512"/>
    </w:p>
    <w:p>
      <w:pPr>
        <w:widowControl w:val="0"/>
        <w:spacing w:line="360" w:lineRule="auto"/>
        <w:ind w:firstLine="480" w:firstLineChars="200"/>
        <w:rPr>
          <w:rFonts w:eastAsia="仿宋_GB2312"/>
          <w:color w:val="auto"/>
          <w:sz w:val="24"/>
        </w:rPr>
      </w:pPr>
      <w:r>
        <w:rPr>
          <w:rFonts w:hint="eastAsia" w:eastAsia="仿宋_GB2312"/>
          <w:color w:val="auto"/>
          <w:sz w:val="24"/>
        </w:rPr>
        <w:t>环境经济损益分析是环境影响评价的一项重要工作内容，其主要任务是衡量建设项目需要投入的环保投资和所能收到的环境保护效果，因此，在环境经济损益分析中除需计算用于控制污染所需投资和费用外，还要同时核算可能收到的环境与经济实效。然而，经济效益比较直观，而环境效益和社会效益则很难用货币直接计算。本评价环境经济损益分析，采用定性与半定量相结合的方法进行简要的分析</w:t>
      </w:r>
      <w:r>
        <w:rPr>
          <w:rFonts w:eastAsia="仿宋_GB2312"/>
          <w:color w:val="auto"/>
          <w:sz w:val="24"/>
        </w:rPr>
        <w:t>。</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513" w:name="_Toc305859590"/>
      <w:bookmarkStart w:id="514" w:name="_Toc343702941"/>
      <w:bookmarkStart w:id="515" w:name="_Toc31244"/>
      <w:r>
        <w:rPr>
          <w:rFonts w:hint="eastAsia" w:ascii="Times New Roman" w:hAnsi="Times New Roman"/>
          <w:b w:val="0"/>
          <w:color w:val="auto"/>
          <w:szCs w:val="32"/>
          <w:lang w:val="en-US" w:eastAsia="zh-CN"/>
        </w:rPr>
        <w:t>9</w:t>
      </w:r>
      <w:r>
        <w:rPr>
          <w:rFonts w:ascii="Times New Roman" w:hAnsi="Times New Roman"/>
          <w:b w:val="0"/>
          <w:color w:val="auto"/>
          <w:szCs w:val="32"/>
        </w:rPr>
        <w:t>.1</w:t>
      </w:r>
      <w:bookmarkEnd w:id="513"/>
      <w:bookmarkEnd w:id="514"/>
      <w:r>
        <w:rPr>
          <w:rFonts w:hint="eastAsia" w:ascii="Times New Roman" w:hAnsi="Times New Roman"/>
          <w:b w:val="0"/>
          <w:color w:val="auto"/>
          <w:szCs w:val="32"/>
          <w:lang w:val="en-US" w:eastAsia="zh-CN"/>
        </w:rPr>
        <w:t>项目带来的经济损失</w:t>
      </w:r>
      <w:bookmarkEnd w:id="515"/>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本项目码头工程带来的环境损失主要表现在施工期码头平台、引桥基础施工对区域水环境的影响，</w:t>
      </w:r>
      <w:r>
        <w:rPr>
          <w:rFonts w:hint="eastAsia" w:eastAsia="仿宋_GB2312"/>
          <w:color w:val="auto"/>
          <w:sz w:val="24"/>
          <w:lang w:eastAsia="zh-CN"/>
        </w:rPr>
        <w:t>运营期</w:t>
      </w:r>
      <w:r>
        <w:rPr>
          <w:rFonts w:hint="eastAsia" w:eastAsia="仿宋_GB2312"/>
          <w:color w:val="auto"/>
          <w:sz w:val="24"/>
          <w:lang w:val="en-US" w:eastAsia="zh-CN"/>
        </w:rPr>
        <w:t>风险</w:t>
      </w:r>
      <w:r>
        <w:rPr>
          <w:rFonts w:hint="eastAsia" w:eastAsia="仿宋_GB2312"/>
          <w:color w:val="auto"/>
          <w:sz w:val="24"/>
        </w:rPr>
        <w:t>事故风险溢油。</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码头平台、引桥基础施工作业对水环境的影响</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本工程不涉及航道疏浚，码头桩基水下施工将造成局部水域悬浮物浓度增加，对局部水环境、生态环境有一定的污染影响，但影响是暂时的、有限的，随着施工期的结束，这种影响也随之结束。</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事故溢油</w:t>
      </w:r>
    </w:p>
    <w:p>
      <w:pPr>
        <w:widowControl w:val="0"/>
        <w:spacing w:line="360" w:lineRule="auto"/>
        <w:ind w:firstLine="480" w:firstLineChars="200"/>
        <w:rPr>
          <w:rFonts w:eastAsia="仿宋_GB2312"/>
          <w:color w:val="auto"/>
          <w:sz w:val="24"/>
        </w:rPr>
      </w:pPr>
      <w:r>
        <w:rPr>
          <w:rFonts w:hint="eastAsia" w:eastAsia="仿宋_GB2312"/>
          <w:color w:val="auto"/>
          <w:sz w:val="24"/>
        </w:rPr>
        <w:t>到港船舶如在码头水域发生碰撞等事故，造成柴油泄漏，将对区域水、空气和生态环境和居民产生污染影响，造成环境损失</w:t>
      </w:r>
      <w:r>
        <w:rPr>
          <w:rFonts w:eastAsia="仿宋_GB2312"/>
          <w:color w:val="auto"/>
          <w:sz w:val="24"/>
        </w:rPr>
        <w:t>。</w:t>
      </w:r>
    </w:p>
    <w:p>
      <w:pPr>
        <w:pStyle w:val="8"/>
        <w:widowControl w:val="0"/>
        <w:spacing w:before="120" w:after="120" w:line="360" w:lineRule="auto"/>
        <w:rPr>
          <w:rFonts w:ascii="Times New Roman" w:hAnsi="Times New Roman"/>
          <w:b w:val="0"/>
          <w:color w:val="auto"/>
          <w:szCs w:val="32"/>
        </w:rPr>
      </w:pPr>
      <w:bookmarkStart w:id="516" w:name="_Toc14366"/>
      <w:bookmarkStart w:id="517" w:name="_Toc38904767"/>
      <w:bookmarkStart w:id="518" w:name="_Toc343702942"/>
      <w:bookmarkStart w:id="519" w:name="_Toc305859591"/>
      <w:r>
        <w:rPr>
          <w:rFonts w:hint="eastAsia" w:ascii="Times New Roman" w:hAnsi="Times New Roman"/>
          <w:b w:val="0"/>
          <w:color w:val="auto"/>
          <w:szCs w:val="32"/>
          <w:lang w:val="en-US" w:eastAsia="zh-CN"/>
        </w:rPr>
        <w:t>9</w:t>
      </w:r>
      <w:r>
        <w:rPr>
          <w:rFonts w:ascii="Times New Roman" w:hAnsi="Times New Roman"/>
          <w:b w:val="0"/>
          <w:color w:val="auto"/>
          <w:szCs w:val="32"/>
        </w:rPr>
        <w:t>.2</w:t>
      </w:r>
      <w:r>
        <w:rPr>
          <w:rFonts w:hint="eastAsia" w:ascii="Times New Roman" w:hAnsi="Times New Roman"/>
          <w:b w:val="0"/>
          <w:color w:val="auto"/>
          <w:szCs w:val="32"/>
          <w:lang w:val="en-US" w:eastAsia="zh-CN"/>
        </w:rPr>
        <w:t>项目产生的</w:t>
      </w:r>
      <w:r>
        <w:rPr>
          <w:rFonts w:ascii="Times New Roman" w:hAnsi="Times New Roman"/>
          <w:b w:val="0"/>
          <w:color w:val="auto"/>
          <w:szCs w:val="32"/>
        </w:rPr>
        <w:t>效益分析</w:t>
      </w:r>
      <w:bookmarkEnd w:id="516"/>
      <w:bookmarkEnd w:id="517"/>
    </w:p>
    <w:p>
      <w:pPr>
        <w:pStyle w:val="9"/>
        <w:keepNext w:val="0"/>
        <w:keepLines w:val="0"/>
        <w:widowControl w:val="0"/>
        <w:spacing w:before="120" w:after="120" w:line="360" w:lineRule="auto"/>
        <w:rPr>
          <w:rFonts w:eastAsia="黑体"/>
          <w:b w:val="0"/>
          <w:color w:val="auto"/>
          <w:sz w:val="24"/>
        </w:rPr>
      </w:pPr>
      <w:bookmarkStart w:id="520" w:name="_Toc29703"/>
      <w:bookmarkStart w:id="521" w:name="_Toc38904768"/>
      <w:r>
        <w:rPr>
          <w:rFonts w:hint="eastAsia" w:eastAsia="黑体"/>
          <w:b w:val="0"/>
          <w:color w:val="auto"/>
          <w:sz w:val="24"/>
          <w:lang w:val="en-US" w:eastAsia="zh-CN"/>
        </w:rPr>
        <w:t>9.</w:t>
      </w:r>
      <w:r>
        <w:rPr>
          <w:rFonts w:eastAsia="黑体"/>
          <w:b w:val="0"/>
          <w:color w:val="auto"/>
          <w:sz w:val="24"/>
        </w:rPr>
        <w:t>2.1</w:t>
      </w:r>
      <w:r>
        <w:rPr>
          <w:rFonts w:hint="eastAsia" w:eastAsia="黑体"/>
          <w:b w:val="0"/>
          <w:color w:val="auto"/>
          <w:sz w:val="24"/>
          <w:lang w:val="en-US" w:eastAsia="zh-CN"/>
        </w:rPr>
        <w:t>社会</w:t>
      </w:r>
      <w:r>
        <w:rPr>
          <w:rFonts w:eastAsia="黑体"/>
          <w:b w:val="0"/>
          <w:color w:val="auto"/>
          <w:sz w:val="24"/>
        </w:rPr>
        <w:t>经济效益</w:t>
      </w:r>
      <w:bookmarkEnd w:id="520"/>
      <w:bookmarkEnd w:id="521"/>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本项目的建设符合国家产业政策，符合《宜昌港总体规划修订（2018-2035年</w:t>
      </w:r>
      <w:r>
        <w:rPr>
          <w:rFonts w:hint="eastAsia" w:eastAsia="仿宋_GB2312"/>
          <w:color w:val="auto"/>
          <w:sz w:val="24"/>
          <w:lang w:eastAsia="zh-CN"/>
        </w:rPr>
        <w:t>）</w:t>
      </w:r>
      <w:r>
        <w:rPr>
          <w:rFonts w:hint="eastAsia" w:eastAsia="仿宋_GB2312"/>
          <w:color w:val="auto"/>
          <w:sz w:val="24"/>
        </w:rPr>
        <w:t>》，本工程的兴建，将提高宜都港区通过能力，促进本地区经济发展，提高工程区域范围内人民生活质量，创造更大的经济效益和社会效益</w:t>
      </w:r>
      <w:r>
        <w:rPr>
          <w:rFonts w:hint="eastAsia" w:eastAsia="仿宋_GB2312"/>
          <w:color w:val="auto"/>
          <w:sz w:val="24"/>
          <w:lang w:eastAsia="zh-CN"/>
        </w:rPr>
        <w:t>。</w:t>
      </w:r>
      <w:r>
        <w:rPr>
          <w:rFonts w:hint="eastAsia" w:eastAsia="仿宋_GB2312"/>
          <w:color w:val="auto"/>
          <w:sz w:val="24"/>
        </w:rPr>
        <w:t>未来工程建成后的经营阶段，将助于解决当地就业人员；同时，工程建设期内将雇佣大量建筑工人，增加当地临时就业岗位。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由此可见，本项目</w:t>
      </w:r>
      <w:r>
        <w:rPr>
          <w:rFonts w:hint="eastAsia" w:eastAsia="仿宋_GB2312"/>
          <w:color w:val="auto"/>
          <w:sz w:val="24"/>
          <w:lang w:val="en-US" w:eastAsia="zh-CN"/>
        </w:rPr>
        <w:t>既对</w:t>
      </w:r>
      <w:r>
        <w:rPr>
          <w:rFonts w:hint="eastAsia" w:eastAsia="仿宋_GB2312"/>
          <w:color w:val="auto"/>
          <w:sz w:val="24"/>
        </w:rPr>
        <w:t>当地社会经济发展作出贡献，</w:t>
      </w:r>
      <w:r>
        <w:rPr>
          <w:rFonts w:hint="eastAsia" w:eastAsia="仿宋_GB2312"/>
          <w:color w:val="auto"/>
          <w:sz w:val="24"/>
          <w:lang w:val="en-US" w:eastAsia="zh-CN"/>
        </w:rPr>
        <w:t>同时</w:t>
      </w:r>
      <w:r>
        <w:rPr>
          <w:rFonts w:hint="eastAsia" w:eastAsia="仿宋_GB2312"/>
          <w:color w:val="auto"/>
          <w:sz w:val="24"/>
        </w:rPr>
        <w:t>增加当地就业，减少失业率，</w:t>
      </w:r>
      <w:r>
        <w:rPr>
          <w:rFonts w:hint="eastAsia" w:eastAsia="仿宋_GB2312"/>
          <w:color w:val="auto"/>
          <w:sz w:val="24"/>
          <w:lang w:val="en-US" w:eastAsia="zh-CN"/>
        </w:rPr>
        <w:t>对</w:t>
      </w:r>
      <w:r>
        <w:rPr>
          <w:rFonts w:hint="eastAsia" w:eastAsia="仿宋_GB2312"/>
          <w:color w:val="auto"/>
          <w:sz w:val="24"/>
        </w:rPr>
        <w:t>保障社会稳定做出贡献</w:t>
      </w:r>
      <w:r>
        <w:rPr>
          <w:rFonts w:hint="eastAsia" w:eastAsia="仿宋_GB2312"/>
          <w:color w:val="auto"/>
          <w:sz w:val="24"/>
          <w:lang w:eastAsia="zh-CN"/>
        </w:rPr>
        <w:t>。</w:t>
      </w:r>
    </w:p>
    <w:p>
      <w:pPr>
        <w:pStyle w:val="9"/>
        <w:keepNext w:val="0"/>
        <w:keepLines w:val="0"/>
        <w:widowControl w:val="0"/>
        <w:spacing w:before="120" w:after="120" w:line="360" w:lineRule="auto"/>
        <w:rPr>
          <w:rFonts w:eastAsia="黑体"/>
          <w:b w:val="0"/>
          <w:color w:val="auto"/>
          <w:sz w:val="24"/>
        </w:rPr>
      </w:pPr>
      <w:bookmarkStart w:id="522" w:name="_Toc38904772"/>
      <w:bookmarkStart w:id="523" w:name="_Toc1951"/>
      <w:r>
        <w:rPr>
          <w:rFonts w:hint="eastAsia" w:eastAsia="黑体"/>
          <w:b w:val="0"/>
          <w:color w:val="auto"/>
          <w:sz w:val="24"/>
          <w:lang w:val="en-US" w:eastAsia="zh-CN"/>
        </w:rPr>
        <w:t>9</w:t>
      </w:r>
      <w:r>
        <w:rPr>
          <w:rFonts w:eastAsia="黑体"/>
          <w:b w:val="0"/>
          <w:color w:val="auto"/>
          <w:sz w:val="24"/>
        </w:rPr>
        <w:t>.</w:t>
      </w:r>
      <w:r>
        <w:rPr>
          <w:rFonts w:hint="eastAsia" w:eastAsia="黑体"/>
          <w:b w:val="0"/>
          <w:color w:val="auto"/>
          <w:sz w:val="24"/>
          <w:lang w:val="en-US" w:eastAsia="zh-CN"/>
        </w:rPr>
        <w:t>2.2环境经济效</w:t>
      </w:r>
      <w:r>
        <w:rPr>
          <w:rFonts w:eastAsia="黑体"/>
          <w:b w:val="0"/>
          <w:color w:val="auto"/>
          <w:sz w:val="24"/>
        </w:rPr>
        <w:t>益</w:t>
      </w:r>
      <w:bookmarkEnd w:id="522"/>
      <w:bookmarkEnd w:id="523"/>
    </w:p>
    <w:p>
      <w:pPr>
        <w:widowControl w:val="0"/>
        <w:spacing w:line="360" w:lineRule="auto"/>
        <w:ind w:firstLine="480" w:firstLineChars="200"/>
        <w:rPr>
          <w:rFonts w:hint="eastAsia" w:eastAsia="仿宋_GB2312"/>
          <w:color w:val="auto"/>
          <w:sz w:val="24"/>
        </w:rPr>
      </w:pPr>
      <w:r>
        <w:rPr>
          <w:rFonts w:hint="eastAsia" w:eastAsia="仿宋_GB2312"/>
          <w:color w:val="auto"/>
          <w:sz w:val="24"/>
        </w:rPr>
        <w:t>施工期通过采用先进施工工艺、文明施工，加强施工监理，降低施工对环境的影响。施工期的直接效益通过场地绿化和其它控制措施来体现。</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运营期</w:t>
      </w:r>
      <w:r>
        <w:rPr>
          <w:rFonts w:hint="eastAsia" w:eastAsia="仿宋_GB2312"/>
          <w:color w:val="auto"/>
          <w:sz w:val="24"/>
        </w:rPr>
        <w:t>通过定期清扫、洒水等措施减少道路扬尘。码头面初期雨水、</w:t>
      </w:r>
      <w:r>
        <w:rPr>
          <w:rFonts w:hint="eastAsia" w:eastAsia="仿宋_GB2312"/>
          <w:color w:val="auto"/>
          <w:sz w:val="24"/>
          <w:lang w:val="en-US" w:eastAsia="zh-CN"/>
        </w:rPr>
        <w:t>码头</w:t>
      </w:r>
      <w:r>
        <w:rPr>
          <w:rFonts w:hint="eastAsia" w:eastAsia="仿宋_GB2312"/>
          <w:color w:val="auto"/>
          <w:sz w:val="24"/>
        </w:rPr>
        <w:t>冲洗水经</w:t>
      </w:r>
      <w:r>
        <w:rPr>
          <w:rFonts w:hint="eastAsia" w:eastAsia="仿宋_GB2312"/>
          <w:color w:val="auto"/>
          <w:sz w:val="24"/>
          <w:lang w:val="en-US" w:eastAsia="zh-CN"/>
        </w:rPr>
        <w:t>趸船围坎收集后通过管道输送至后方</w:t>
      </w:r>
      <w:r>
        <w:rPr>
          <w:rFonts w:hint="eastAsia" w:eastAsia="仿宋_GB2312"/>
          <w:color w:val="auto"/>
          <w:sz w:val="24"/>
        </w:rPr>
        <w:t>沉淀</w:t>
      </w:r>
      <w:r>
        <w:rPr>
          <w:rFonts w:hint="eastAsia" w:eastAsia="仿宋_GB2312"/>
          <w:color w:val="auto"/>
          <w:sz w:val="24"/>
          <w:lang w:val="en-US" w:eastAsia="zh-CN"/>
        </w:rPr>
        <w:t>池进行</w:t>
      </w:r>
      <w:r>
        <w:rPr>
          <w:rFonts w:hint="eastAsia" w:eastAsia="仿宋_GB2312"/>
          <w:color w:val="auto"/>
          <w:sz w:val="24"/>
        </w:rPr>
        <w:t>处理</w:t>
      </w:r>
      <w:r>
        <w:rPr>
          <w:rFonts w:hint="eastAsia" w:eastAsia="仿宋_GB2312"/>
          <w:color w:val="auto"/>
          <w:sz w:val="24"/>
          <w:lang w:eastAsia="zh-CN"/>
        </w:rPr>
        <w:t>，</w:t>
      </w:r>
      <w:r>
        <w:rPr>
          <w:rFonts w:hint="eastAsia" w:eastAsia="仿宋_GB2312"/>
          <w:color w:val="auto"/>
          <w:sz w:val="24"/>
          <w:lang w:val="en-US" w:eastAsia="zh-CN"/>
        </w:rPr>
        <w:t>处理后用作绿化不外排</w:t>
      </w:r>
      <w:r>
        <w:rPr>
          <w:rFonts w:hint="eastAsia" w:eastAsia="仿宋_GB2312"/>
          <w:color w:val="auto"/>
          <w:sz w:val="24"/>
        </w:rPr>
        <w:t>；码头</w:t>
      </w:r>
      <w:r>
        <w:rPr>
          <w:rFonts w:hint="eastAsia" w:eastAsia="仿宋_GB2312"/>
          <w:color w:val="auto"/>
          <w:sz w:val="24"/>
          <w:lang w:val="en-US" w:eastAsia="zh-CN"/>
        </w:rPr>
        <w:t>员工</w:t>
      </w:r>
      <w:r>
        <w:rPr>
          <w:rFonts w:hint="eastAsia" w:eastAsia="仿宋_GB2312"/>
          <w:color w:val="auto"/>
          <w:sz w:val="24"/>
        </w:rPr>
        <w:t>生活污水依托</w:t>
      </w:r>
      <w:r>
        <w:rPr>
          <w:rFonts w:hint="eastAsia" w:eastAsia="仿宋_GB2312"/>
          <w:color w:val="auto"/>
          <w:sz w:val="24"/>
          <w:lang w:val="en-US" w:eastAsia="zh-CN"/>
        </w:rPr>
        <w:t>后方化粪池</w:t>
      </w:r>
      <w:r>
        <w:rPr>
          <w:rFonts w:hint="eastAsia" w:eastAsia="仿宋_GB2312"/>
          <w:color w:val="auto"/>
          <w:sz w:val="24"/>
        </w:rPr>
        <w:t>处理</w:t>
      </w:r>
      <w:r>
        <w:rPr>
          <w:rFonts w:hint="eastAsia" w:eastAsia="仿宋_GB2312"/>
          <w:color w:val="auto"/>
          <w:sz w:val="24"/>
          <w:lang w:val="en-US" w:eastAsia="zh-CN"/>
        </w:rPr>
        <w:t>后用作农肥不外排</w:t>
      </w:r>
      <w:r>
        <w:rPr>
          <w:rFonts w:hint="eastAsia" w:eastAsia="仿宋_GB2312"/>
          <w:color w:val="auto"/>
          <w:sz w:val="24"/>
        </w:rPr>
        <w:t>；进港船舶配备船舶污水暂存容器，船舶</w:t>
      </w:r>
      <w:r>
        <w:rPr>
          <w:rFonts w:hint="eastAsia" w:eastAsia="仿宋_GB2312"/>
          <w:color w:val="auto"/>
          <w:sz w:val="24"/>
          <w:lang w:val="en-US" w:eastAsia="zh-CN"/>
        </w:rPr>
        <w:t>油</w:t>
      </w:r>
      <w:r>
        <w:rPr>
          <w:rFonts w:hint="eastAsia" w:eastAsia="仿宋_GB2312"/>
          <w:color w:val="auto"/>
          <w:sz w:val="24"/>
        </w:rPr>
        <w:t>污水</w:t>
      </w:r>
      <w:r>
        <w:rPr>
          <w:rFonts w:hint="eastAsia" w:eastAsia="仿宋_GB2312"/>
          <w:color w:val="auto"/>
          <w:sz w:val="24"/>
          <w:lang w:val="en-US" w:eastAsia="zh-CN"/>
        </w:rPr>
        <w:t>及船舶生活污水</w:t>
      </w:r>
      <w:r>
        <w:rPr>
          <w:rFonts w:hint="eastAsia" w:eastAsia="仿宋_GB2312"/>
          <w:color w:val="auto"/>
          <w:sz w:val="24"/>
        </w:rPr>
        <w:t>定期交由有资质的单位接收处理。各类废水均不直排</w:t>
      </w:r>
      <w:r>
        <w:rPr>
          <w:rFonts w:hint="eastAsia" w:eastAsia="仿宋_GB2312"/>
          <w:color w:val="auto"/>
          <w:sz w:val="24"/>
          <w:lang w:val="en-US" w:eastAsia="zh-CN"/>
        </w:rPr>
        <w:t>长江</w:t>
      </w:r>
      <w:r>
        <w:rPr>
          <w:rFonts w:hint="eastAsia" w:eastAsia="仿宋_GB2312"/>
          <w:color w:val="auto"/>
          <w:sz w:val="24"/>
        </w:rPr>
        <w:t>，可避免</w:t>
      </w:r>
      <w:r>
        <w:rPr>
          <w:rFonts w:hint="eastAsia" w:eastAsia="仿宋_GB2312"/>
          <w:color w:val="auto"/>
          <w:sz w:val="24"/>
          <w:lang w:val="en-US" w:eastAsia="zh-CN"/>
        </w:rPr>
        <w:t>对长江</w:t>
      </w:r>
      <w:r>
        <w:rPr>
          <w:rFonts w:hint="eastAsia" w:eastAsia="仿宋_GB2312"/>
          <w:color w:val="auto"/>
          <w:sz w:val="24"/>
        </w:rPr>
        <w:t>水质的影响并保护下游取水口水质和</w:t>
      </w:r>
      <w:r>
        <w:rPr>
          <w:rFonts w:hint="eastAsia" w:eastAsia="仿宋_GB2312"/>
          <w:color w:val="auto"/>
          <w:sz w:val="24"/>
          <w:lang w:val="en-US" w:eastAsia="zh-CN"/>
        </w:rPr>
        <w:t>长江</w:t>
      </w:r>
      <w:r>
        <w:rPr>
          <w:rFonts w:hint="eastAsia" w:eastAsia="仿宋_GB2312"/>
          <w:color w:val="auto"/>
          <w:sz w:val="24"/>
        </w:rPr>
        <w:t>水生生态环境</w:t>
      </w:r>
      <w:r>
        <w:rPr>
          <w:rFonts w:hint="eastAsia" w:eastAsia="仿宋_GB2312"/>
          <w:color w:val="auto"/>
          <w:sz w:val="24"/>
          <w:lang w:eastAsia="zh-CN"/>
        </w:rPr>
        <w:t>。</w:t>
      </w:r>
    </w:p>
    <w:p>
      <w:pPr>
        <w:widowControl w:val="0"/>
        <w:spacing w:line="360" w:lineRule="auto"/>
        <w:ind w:firstLine="480" w:firstLineChars="200"/>
        <w:rPr>
          <w:rFonts w:eastAsia="仿宋_GB2312"/>
          <w:color w:val="auto"/>
          <w:sz w:val="24"/>
        </w:rPr>
      </w:pPr>
      <w:r>
        <w:rPr>
          <w:rFonts w:hint="eastAsia" w:eastAsia="仿宋_GB2312"/>
          <w:color w:val="auto"/>
          <w:sz w:val="24"/>
        </w:rPr>
        <w:t>为避免突发事故，应制定应急计划，预防并减轻环境风险事故影响。本项目环境经济效益估算详见下表</w:t>
      </w:r>
      <w:r>
        <w:rPr>
          <w:rFonts w:eastAsia="仿宋_GB2312"/>
          <w:color w:val="auto"/>
          <w:sz w:val="24"/>
        </w:rPr>
        <w:t>。</w:t>
      </w:r>
    </w:p>
    <w:p>
      <w:pPr>
        <w:widowControl w:val="0"/>
        <w:spacing w:line="360" w:lineRule="auto"/>
        <w:ind w:firstLine="422" w:firstLineChars="200"/>
        <w:jc w:val="center"/>
        <w:rPr>
          <w:rFonts w:hint="default"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9.2-1</w:t>
      </w:r>
      <w:r>
        <w:rPr>
          <w:rFonts w:eastAsia="黑体"/>
          <w:b/>
          <w:color w:val="auto"/>
          <w:szCs w:val="21"/>
        </w:rPr>
        <w:t xml:space="preserve">  </w:t>
      </w:r>
      <w:r>
        <w:rPr>
          <w:rFonts w:hint="eastAsia" w:eastAsia="黑体"/>
          <w:b/>
          <w:color w:val="auto"/>
          <w:szCs w:val="21"/>
          <w:lang w:val="en-US" w:eastAsia="zh-CN"/>
        </w:rPr>
        <w:t>环境经济效益估算表</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34"/>
        <w:gridCol w:w="3645"/>
        <w:gridCol w:w="1500"/>
        <w:gridCol w:w="241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4" w:type="dxa"/>
            <w:tcBorders>
              <w:top w:val="single" w:color="auto" w:sz="12" w:space="0"/>
              <w:bottom w:val="single" w:color="auto" w:sz="1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序号</w:t>
            </w:r>
          </w:p>
        </w:tc>
        <w:tc>
          <w:tcPr>
            <w:tcW w:w="3645" w:type="dxa"/>
            <w:tcBorders>
              <w:top w:val="single" w:color="auto" w:sz="12" w:space="0"/>
              <w:bottom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投资目的</w:t>
            </w:r>
          </w:p>
        </w:tc>
        <w:tc>
          <w:tcPr>
            <w:tcW w:w="1500" w:type="dxa"/>
            <w:tcBorders>
              <w:top w:val="single" w:color="auto" w:sz="12" w:space="0"/>
              <w:bottom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估算挽回费用</w:t>
            </w:r>
          </w:p>
        </w:tc>
        <w:tc>
          <w:tcPr>
            <w:tcW w:w="2410" w:type="dxa"/>
            <w:tcBorders>
              <w:top w:val="single" w:color="auto" w:sz="12" w:space="0"/>
              <w:bottom w:val="single" w:color="auto" w:sz="1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4" w:type="dxa"/>
            <w:tcBorders>
              <w:top w:val="single" w:color="auto" w:sz="12" w:space="0"/>
            </w:tcBorders>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1</w:t>
            </w:r>
          </w:p>
        </w:tc>
        <w:tc>
          <w:tcPr>
            <w:tcW w:w="3645" w:type="dxa"/>
            <w:tcBorders>
              <w:top w:val="single" w:color="auto" w:sz="12" w:space="0"/>
            </w:tcBorders>
            <w:noWrap w:val="0"/>
            <w:vAlign w:val="center"/>
          </w:tcPr>
          <w:p>
            <w:pPr>
              <w:widowControl w:val="0"/>
              <w:jc w:val="center"/>
              <w:rPr>
                <w:color w:val="auto"/>
                <w:sz w:val="20"/>
                <w:szCs w:val="21"/>
              </w:rPr>
            </w:pPr>
            <w:r>
              <w:rPr>
                <w:rFonts w:hint="eastAsia"/>
                <w:color w:val="auto"/>
                <w:sz w:val="20"/>
                <w:szCs w:val="21"/>
              </w:rPr>
              <w:t>杜绝风险事故发生，避免事故溢油造成的经济损失，减少水域污染</w:t>
            </w:r>
          </w:p>
        </w:tc>
        <w:tc>
          <w:tcPr>
            <w:tcW w:w="1500" w:type="dxa"/>
            <w:tcBorders>
              <w:top w:val="single" w:color="auto" w:sz="12" w:space="0"/>
            </w:tcBorders>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40</w:t>
            </w:r>
          </w:p>
        </w:tc>
        <w:tc>
          <w:tcPr>
            <w:tcW w:w="2410" w:type="dxa"/>
            <w:tcBorders>
              <w:top w:val="single" w:color="auto" w:sz="12" w:space="0"/>
            </w:tcBorders>
            <w:noWrap w:val="0"/>
            <w:vAlign w:val="center"/>
          </w:tcPr>
          <w:p>
            <w:pPr>
              <w:widowControl w:val="0"/>
              <w:jc w:val="center"/>
              <w:rPr>
                <w:color w:val="auto"/>
                <w:sz w:val="20"/>
                <w:szCs w:val="21"/>
              </w:rPr>
            </w:pPr>
            <w:r>
              <w:rPr>
                <w:rFonts w:hint="eastAsia"/>
                <w:color w:val="auto"/>
                <w:sz w:val="20"/>
                <w:szCs w:val="21"/>
              </w:rPr>
              <w:t>按发生一次事故溢油损失计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34" w:type="dxa"/>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2</w:t>
            </w:r>
          </w:p>
        </w:tc>
        <w:tc>
          <w:tcPr>
            <w:tcW w:w="3645" w:type="dxa"/>
            <w:noWrap w:val="0"/>
            <w:vAlign w:val="center"/>
          </w:tcPr>
          <w:p>
            <w:pPr>
              <w:widowControl w:val="0"/>
              <w:jc w:val="center"/>
              <w:rPr>
                <w:color w:val="auto"/>
                <w:sz w:val="20"/>
                <w:szCs w:val="21"/>
              </w:rPr>
            </w:pPr>
            <w:r>
              <w:rPr>
                <w:rFonts w:hint="eastAsia"/>
                <w:color w:val="auto"/>
                <w:sz w:val="20"/>
                <w:szCs w:val="21"/>
              </w:rPr>
              <w:t>防止污水排放和其它污染物对水体影响</w:t>
            </w:r>
          </w:p>
        </w:tc>
        <w:tc>
          <w:tcPr>
            <w:tcW w:w="1500" w:type="dxa"/>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10</w:t>
            </w:r>
          </w:p>
        </w:tc>
        <w:tc>
          <w:tcPr>
            <w:tcW w:w="2410" w:type="dxa"/>
            <w:noWrap w:val="0"/>
            <w:vAlign w:val="center"/>
          </w:tcPr>
          <w:p>
            <w:pPr>
              <w:widowControl w:val="0"/>
              <w:jc w:val="center"/>
              <w:rPr>
                <w:color w:val="auto"/>
                <w:sz w:val="20"/>
                <w:szCs w:val="21"/>
              </w:rPr>
            </w:pPr>
            <w:r>
              <w:rPr>
                <w:rFonts w:hint="eastAsia"/>
                <w:color w:val="auto"/>
                <w:sz w:val="20"/>
                <w:szCs w:val="21"/>
              </w:rPr>
              <w:t>按污染物排入江中造成的损失计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4279" w:type="dxa"/>
            <w:gridSpan w:val="2"/>
            <w:noWrap w:val="0"/>
            <w:vAlign w:val="center"/>
          </w:tcPr>
          <w:p>
            <w:pPr>
              <w:widowControl w:val="0"/>
              <w:jc w:val="center"/>
              <w:rPr>
                <w:rFonts w:hint="eastAsia" w:eastAsia="宋体"/>
                <w:color w:val="auto"/>
                <w:sz w:val="20"/>
                <w:szCs w:val="21"/>
                <w:lang w:val="en-US" w:eastAsia="zh-CN"/>
              </w:rPr>
            </w:pPr>
            <w:r>
              <w:rPr>
                <w:rFonts w:hint="eastAsia"/>
                <w:color w:val="auto"/>
                <w:sz w:val="20"/>
                <w:szCs w:val="21"/>
                <w:lang w:val="en-US" w:eastAsia="zh-CN"/>
              </w:rPr>
              <w:t>合计</w:t>
            </w:r>
          </w:p>
        </w:tc>
        <w:tc>
          <w:tcPr>
            <w:tcW w:w="1500" w:type="dxa"/>
            <w:noWrap w:val="0"/>
            <w:vAlign w:val="center"/>
          </w:tcPr>
          <w:p>
            <w:pPr>
              <w:widowControl w:val="0"/>
              <w:jc w:val="center"/>
              <w:rPr>
                <w:rFonts w:hint="default" w:eastAsia="宋体"/>
                <w:color w:val="auto"/>
                <w:sz w:val="20"/>
                <w:szCs w:val="21"/>
                <w:lang w:val="en-US" w:eastAsia="zh-CN"/>
              </w:rPr>
            </w:pPr>
            <w:r>
              <w:rPr>
                <w:rFonts w:hint="eastAsia"/>
                <w:color w:val="auto"/>
                <w:sz w:val="20"/>
                <w:szCs w:val="21"/>
                <w:lang w:val="en-US" w:eastAsia="zh-CN"/>
              </w:rPr>
              <w:t>50</w:t>
            </w:r>
          </w:p>
        </w:tc>
        <w:tc>
          <w:tcPr>
            <w:tcW w:w="2410" w:type="dxa"/>
            <w:noWrap w:val="0"/>
            <w:vAlign w:val="center"/>
          </w:tcPr>
          <w:p>
            <w:pPr>
              <w:widowControl w:val="0"/>
              <w:jc w:val="center"/>
              <w:rPr>
                <w:color w:val="auto"/>
                <w:sz w:val="20"/>
                <w:szCs w:val="21"/>
              </w:rPr>
            </w:pPr>
          </w:p>
        </w:tc>
      </w:tr>
    </w:tbl>
    <w:p>
      <w:pPr>
        <w:pStyle w:val="9"/>
        <w:keepNext w:val="0"/>
        <w:keepLines w:val="0"/>
        <w:widowControl w:val="0"/>
        <w:spacing w:before="120" w:after="120" w:line="360" w:lineRule="auto"/>
        <w:rPr>
          <w:rFonts w:eastAsia="黑体"/>
          <w:b w:val="0"/>
          <w:color w:val="auto"/>
          <w:sz w:val="24"/>
        </w:rPr>
      </w:pPr>
      <w:bookmarkStart w:id="524" w:name="_Toc38904774"/>
      <w:bookmarkStart w:id="525" w:name="_Toc14796"/>
      <w:r>
        <w:rPr>
          <w:rFonts w:hint="eastAsia" w:eastAsia="黑体"/>
          <w:b w:val="0"/>
          <w:color w:val="auto"/>
          <w:sz w:val="24"/>
          <w:lang w:val="en-US" w:eastAsia="zh-CN"/>
        </w:rPr>
        <w:t>9</w:t>
      </w:r>
      <w:r>
        <w:rPr>
          <w:rFonts w:eastAsia="黑体"/>
          <w:b w:val="0"/>
          <w:color w:val="auto"/>
          <w:sz w:val="24"/>
        </w:rPr>
        <w:t>.</w:t>
      </w:r>
      <w:r>
        <w:rPr>
          <w:rFonts w:hint="eastAsia" w:eastAsia="黑体"/>
          <w:b w:val="0"/>
          <w:color w:val="auto"/>
          <w:sz w:val="24"/>
          <w:lang w:val="en-US" w:eastAsia="zh-CN"/>
        </w:rPr>
        <w:t>2</w:t>
      </w:r>
      <w:r>
        <w:rPr>
          <w:rFonts w:eastAsia="黑体"/>
          <w:b w:val="0"/>
          <w:color w:val="auto"/>
          <w:sz w:val="24"/>
        </w:rPr>
        <w:t>.3环境影响损益分析</w:t>
      </w:r>
      <w:bookmarkEnd w:id="524"/>
      <w:bookmarkEnd w:id="525"/>
    </w:p>
    <w:p>
      <w:pPr>
        <w:widowControl w:val="0"/>
        <w:spacing w:line="360" w:lineRule="auto"/>
        <w:ind w:firstLine="480" w:firstLineChars="200"/>
        <w:rPr>
          <w:rFonts w:hint="eastAsia" w:eastAsia="仿宋_GB2312"/>
          <w:color w:val="auto"/>
          <w:sz w:val="24"/>
        </w:rPr>
      </w:pPr>
      <w:r>
        <w:rPr>
          <w:rFonts w:hint="eastAsia" w:eastAsia="仿宋_GB2312"/>
          <w:color w:val="auto"/>
          <w:sz w:val="24"/>
        </w:rPr>
        <w:t>环保措施的经济损益分析可由年环保费用的经济效益来表示，计算公式如下：</w:t>
      </w:r>
    </w:p>
    <w:p>
      <w:pPr>
        <w:widowControl w:val="0"/>
        <w:spacing w:line="360" w:lineRule="auto"/>
        <w:jc w:val="center"/>
        <w:rPr>
          <w:rFonts w:hint="eastAsia" w:eastAsia="仿宋_GB2312"/>
          <w:color w:val="auto"/>
          <w:sz w:val="24"/>
        </w:rPr>
      </w:pPr>
      <w:r>
        <w:rPr>
          <w:rFonts w:hint="eastAsia" w:eastAsia="仿宋_GB2312"/>
          <w:color w:val="auto"/>
          <w:sz w:val="24"/>
        </w:rPr>
        <w:t>E=S/H</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式中：E——环保费用的经济效益；</w:t>
      </w:r>
    </w:p>
    <w:p>
      <w:pPr>
        <w:widowControl w:val="0"/>
        <w:spacing w:line="360" w:lineRule="auto"/>
        <w:ind w:firstLine="1200" w:firstLineChars="500"/>
        <w:rPr>
          <w:rFonts w:hint="eastAsia" w:eastAsia="仿宋_GB2312"/>
          <w:color w:val="auto"/>
          <w:sz w:val="24"/>
        </w:rPr>
      </w:pPr>
      <w:r>
        <w:rPr>
          <w:rFonts w:hint="eastAsia" w:eastAsia="仿宋_GB2312"/>
          <w:color w:val="auto"/>
          <w:sz w:val="24"/>
        </w:rPr>
        <w:t>S——采取环保措施后每年可挽回的经济损失；</w:t>
      </w:r>
    </w:p>
    <w:p>
      <w:pPr>
        <w:widowControl w:val="0"/>
        <w:spacing w:line="360" w:lineRule="auto"/>
        <w:ind w:firstLine="1200" w:firstLineChars="500"/>
        <w:rPr>
          <w:rFonts w:eastAsia="仿宋_GB2312"/>
          <w:color w:val="auto"/>
          <w:sz w:val="24"/>
        </w:rPr>
      </w:pPr>
      <w:r>
        <w:rPr>
          <w:rFonts w:hint="eastAsia" w:eastAsia="仿宋_GB2312"/>
          <w:color w:val="auto"/>
          <w:sz w:val="24"/>
        </w:rPr>
        <w:t>H——年均环保投资费用。</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本项目采取的环保措施每年可挽回经济损失</w:t>
      </w:r>
      <w:r>
        <w:rPr>
          <w:rFonts w:hint="eastAsia" w:eastAsia="仿宋_GB2312"/>
          <w:color w:val="auto"/>
          <w:sz w:val="24"/>
          <w:lang w:val="en-US" w:eastAsia="zh-CN"/>
        </w:rPr>
        <w:t>50</w:t>
      </w:r>
      <w:r>
        <w:rPr>
          <w:rFonts w:hint="eastAsia" w:eastAsia="仿宋_GB2312"/>
          <w:color w:val="auto"/>
          <w:sz w:val="24"/>
        </w:rPr>
        <w:t>万元，每年（折算运营期20年）用于环保的直接费用为</w:t>
      </w:r>
      <w:r>
        <w:rPr>
          <w:rFonts w:hint="eastAsia" w:eastAsia="仿宋_GB2312"/>
          <w:color w:val="auto"/>
          <w:sz w:val="24"/>
          <w:lang w:val="en-US" w:eastAsia="zh-CN"/>
        </w:rPr>
        <w:t>9</w:t>
      </w:r>
      <w:r>
        <w:rPr>
          <w:rFonts w:hint="eastAsia" w:eastAsia="仿宋_GB2312"/>
          <w:color w:val="auto"/>
          <w:sz w:val="24"/>
        </w:rPr>
        <w:t>.3元，环保费用的经济效益E=20/</w:t>
      </w:r>
      <w:r>
        <w:rPr>
          <w:rFonts w:hint="eastAsia" w:eastAsia="仿宋_GB2312"/>
          <w:color w:val="auto"/>
          <w:sz w:val="24"/>
          <w:lang w:val="en-US" w:eastAsia="zh-CN"/>
        </w:rPr>
        <w:t>9.3</w:t>
      </w:r>
      <w:r>
        <w:rPr>
          <w:rFonts w:hint="eastAsia" w:eastAsia="仿宋_GB2312"/>
          <w:color w:val="auto"/>
          <w:sz w:val="24"/>
        </w:rPr>
        <w:t>=2.</w:t>
      </w:r>
      <w:r>
        <w:rPr>
          <w:rFonts w:hint="eastAsia" w:eastAsia="仿宋_GB2312"/>
          <w:color w:val="auto"/>
          <w:sz w:val="24"/>
          <w:lang w:val="en-US" w:eastAsia="zh-CN"/>
        </w:rPr>
        <w:t>15</w:t>
      </w:r>
      <w:r>
        <w:rPr>
          <w:rFonts w:hint="eastAsia" w:eastAsia="仿宋_GB2312"/>
          <w:color w:val="auto"/>
          <w:sz w:val="24"/>
        </w:rPr>
        <w:t>，较为合理。结合本工程带来的环境损失、产生的社会效益和经济效益，以及环保投入产生的环境效益进行综合分析，本工程的建设在创造良好社会效益和经济效益的同时，对环境的影响有限，经采取措施后，能够使工程带来的环境损失得到最大限度地控制。</w:t>
      </w:r>
    </w:p>
    <w:p>
      <w:pPr>
        <w:widowControl w:val="0"/>
        <w:spacing w:line="360" w:lineRule="auto"/>
        <w:ind w:firstLine="480" w:firstLineChars="200"/>
        <w:rPr>
          <w:rFonts w:eastAsia="仿宋_GB2312"/>
          <w:color w:val="auto"/>
          <w:sz w:val="24"/>
        </w:rPr>
      </w:pPr>
      <w:r>
        <w:rPr>
          <w:rFonts w:hint="eastAsia" w:eastAsia="仿宋_GB2312"/>
          <w:color w:val="auto"/>
          <w:sz w:val="24"/>
        </w:rPr>
        <w:t>综上所述，本工程的建设能够做到社会效益、经济效益和环境效益的统一</w:t>
      </w:r>
      <w:r>
        <w:rPr>
          <w:rFonts w:eastAsia="仿宋_GB2312"/>
          <w:color w:val="auto"/>
          <w:sz w:val="24"/>
        </w:rPr>
        <w:t>。</w:t>
      </w:r>
    </w:p>
    <w:bookmarkEnd w:id="518"/>
    <w:bookmarkEnd w:id="519"/>
    <w:p>
      <w:pPr>
        <w:widowControl w:val="0"/>
        <w:spacing w:line="360" w:lineRule="auto"/>
        <w:ind w:firstLine="480" w:firstLineChars="200"/>
        <w:rPr>
          <w:rFonts w:eastAsia="仿宋_GB2312"/>
          <w:color w:val="auto"/>
          <w:sz w:val="24"/>
        </w:rPr>
        <w:sectPr>
          <w:headerReference r:id="rId26"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9" w:charSpace="0"/>
        </w:sectPr>
      </w:pPr>
    </w:p>
    <w:p>
      <w:pPr>
        <w:widowControl w:val="0"/>
        <w:spacing w:before="240" w:after="240" w:line="360" w:lineRule="auto"/>
        <w:jc w:val="center"/>
        <w:outlineLvl w:val="0"/>
        <w:rPr>
          <w:rFonts w:eastAsia="黑体"/>
          <w:color w:val="auto"/>
          <w:sz w:val="44"/>
          <w:szCs w:val="44"/>
        </w:rPr>
      </w:pPr>
      <w:bookmarkStart w:id="526" w:name="_Toc305859597"/>
      <w:bookmarkStart w:id="527" w:name="_Toc21401"/>
      <w:bookmarkStart w:id="528" w:name="_Toc343702948"/>
      <w:r>
        <w:rPr>
          <w:rFonts w:eastAsia="黑体"/>
          <w:color w:val="auto"/>
          <w:sz w:val="44"/>
          <w:szCs w:val="44"/>
        </w:rPr>
        <w:t>1</w:t>
      </w:r>
      <w:r>
        <w:rPr>
          <w:rFonts w:hint="eastAsia" w:eastAsia="黑体"/>
          <w:color w:val="auto"/>
          <w:sz w:val="44"/>
          <w:szCs w:val="44"/>
          <w:lang w:val="en-US" w:eastAsia="zh-CN"/>
        </w:rPr>
        <w:t>0</w:t>
      </w:r>
      <w:r>
        <w:rPr>
          <w:rFonts w:eastAsia="黑体"/>
          <w:color w:val="auto"/>
          <w:sz w:val="44"/>
          <w:szCs w:val="44"/>
        </w:rPr>
        <w:t>环境管理与监测计划</w:t>
      </w:r>
      <w:bookmarkEnd w:id="526"/>
      <w:bookmarkEnd w:id="527"/>
      <w:bookmarkEnd w:id="528"/>
    </w:p>
    <w:p>
      <w:pPr>
        <w:widowControl w:val="0"/>
        <w:spacing w:line="360" w:lineRule="auto"/>
        <w:ind w:firstLine="480" w:firstLineChars="200"/>
        <w:rPr>
          <w:rFonts w:eastAsia="仿宋_GB2312"/>
          <w:color w:val="auto"/>
          <w:sz w:val="24"/>
        </w:rPr>
      </w:pPr>
      <w:r>
        <w:rPr>
          <w:rFonts w:eastAsia="仿宋_GB2312"/>
          <w:color w:val="auto"/>
          <w:sz w:val="24"/>
        </w:rPr>
        <w:t>项目</w:t>
      </w:r>
      <w:r>
        <w:rPr>
          <w:rFonts w:hint="eastAsia" w:eastAsia="仿宋_GB2312"/>
          <w:color w:val="auto"/>
          <w:sz w:val="24"/>
          <w:lang w:eastAsia="zh-CN"/>
        </w:rPr>
        <w:t>运营期</w:t>
      </w:r>
      <w:r>
        <w:rPr>
          <w:rFonts w:eastAsia="仿宋_GB2312"/>
          <w:color w:val="auto"/>
          <w:sz w:val="24"/>
        </w:rPr>
        <w:t>将对周围环境产生一定的影响，因此建设单位应在加强环境管理的同时，定期进行环境监测，以便及时了解工程在不同时期的环境影响，采取相应措施，消除不利因素，减轻环境污染，以实现预定的各项环保目标。</w:t>
      </w:r>
    </w:p>
    <w:p>
      <w:pPr>
        <w:pStyle w:val="8"/>
        <w:widowControl w:val="0"/>
        <w:spacing w:before="120" w:after="120" w:line="360" w:lineRule="auto"/>
        <w:rPr>
          <w:rFonts w:ascii="Times New Roman" w:hAnsi="Times New Roman"/>
          <w:b w:val="0"/>
          <w:color w:val="auto"/>
          <w:szCs w:val="32"/>
        </w:rPr>
      </w:pPr>
      <w:bookmarkStart w:id="529" w:name="_Toc343702949"/>
      <w:bookmarkStart w:id="530" w:name="_Toc267576432"/>
      <w:bookmarkStart w:id="531" w:name="_Toc305859598"/>
      <w:bookmarkStart w:id="532" w:name="_Toc20390"/>
      <w:r>
        <w:rPr>
          <w:rFonts w:ascii="Times New Roman" w:hAnsi="Times New Roman"/>
          <w:b w:val="0"/>
          <w:color w:val="auto"/>
          <w:szCs w:val="32"/>
        </w:rPr>
        <w:t>1</w:t>
      </w:r>
      <w:r>
        <w:rPr>
          <w:rFonts w:hint="eastAsia" w:ascii="Times New Roman" w:hAnsi="Times New Roman"/>
          <w:b w:val="0"/>
          <w:color w:val="auto"/>
          <w:szCs w:val="32"/>
          <w:lang w:val="en-US" w:eastAsia="zh-CN"/>
        </w:rPr>
        <w:t>0</w:t>
      </w:r>
      <w:r>
        <w:rPr>
          <w:rFonts w:ascii="Times New Roman" w:hAnsi="Times New Roman"/>
          <w:b w:val="0"/>
          <w:color w:val="auto"/>
          <w:szCs w:val="32"/>
        </w:rPr>
        <w:t>.1</w:t>
      </w:r>
      <w:bookmarkStart w:id="533" w:name="_Toc241056866"/>
      <w:r>
        <w:rPr>
          <w:rFonts w:ascii="Times New Roman" w:hAnsi="Times New Roman"/>
          <w:b w:val="0"/>
          <w:color w:val="auto"/>
          <w:szCs w:val="32"/>
        </w:rPr>
        <w:t>环境</w:t>
      </w:r>
      <w:r>
        <w:rPr>
          <w:rFonts w:hint="eastAsia" w:ascii="Times New Roman" w:hAnsi="Times New Roman"/>
          <w:b w:val="0"/>
          <w:color w:val="auto"/>
          <w:szCs w:val="32"/>
          <w:lang w:val="en-US" w:eastAsia="zh-CN"/>
        </w:rPr>
        <w:t>保护</w:t>
      </w:r>
      <w:r>
        <w:rPr>
          <w:rFonts w:ascii="Times New Roman" w:hAnsi="Times New Roman"/>
          <w:b w:val="0"/>
          <w:color w:val="auto"/>
          <w:szCs w:val="32"/>
        </w:rPr>
        <w:t>管理</w:t>
      </w:r>
      <w:bookmarkEnd w:id="529"/>
      <w:bookmarkEnd w:id="530"/>
      <w:bookmarkEnd w:id="531"/>
      <w:bookmarkEnd w:id="533"/>
      <w:r>
        <w:rPr>
          <w:rFonts w:ascii="Times New Roman" w:hAnsi="Times New Roman"/>
          <w:b w:val="0"/>
          <w:color w:val="auto"/>
          <w:szCs w:val="32"/>
        </w:rPr>
        <w:t>计划</w:t>
      </w:r>
      <w:bookmarkEnd w:id="532"/>
    </w:p>
    <w:p>
      <w:pPr>
        <w:pStyle w:val="9"/>
        <w:widowControl w:val="0"/>
        <w:spacing w:before="120" w:after="120" w:line="360" w:lineRule="auto"/>
        <w:rPr>
          <w:rFonts w:hint="default" w:eastAsia="黑体"/>
          <w:b w:val="0"/>
          <w:color w:val="auto"/>
          <w:sz w:val="24"/>
          <w:lang w:val="en-US" w:eastAsia="zh-CN"/>
        </w:rPr>
      </w:pPr>
      <w:bookmarkStart w:id="534" w:name="_Toc12242"/>
      <w:bookmarkStart w:id="535" w:name="_Toc505853705"/>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.1.1环境</w:t>
      </w:r>
      <w:r>
        <w:rPr>
          <w:rFonts w:hint="eastAsia" w:eastAsia="黑体"/>
          <w:b w:val="0"/>
          <w:color w:val="auto"/>
          <w:sz w:val="24"/>
          <w:lang w:val="en-US" w:eastAsia="zh-CN"/>
        </w:rPr>
        <w:t>保护管理体系</w:t>
      </w:r>
      <w:bookmarkEnd w:id="534"/>
    </w:p>
    <w:bookmarkEnd w:id="535"/>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本项目各个时段环境保护管理机构与监督机构的组成见</w:t>
      </w:r>
      <w:r>
        <w:rPr>
          <w:rFonts w:hint="eastAsia" w:eastAsia="仿宋_GB2312"/>
          <w:color w:val="auto"/>
          <w:sz w:val="24"/>
          <w:lang w:val="en-US" w:eastAsia="zh-CN"/>
        </w:rPr>
        <w:t>下</w:t>
      </w:r>
      <w:r>
        <w:rPr>
          <w:rFonts w:hint="eastAsia" w:eastAsia="仿宋_GB2312"/>
          <w:color w:val="auto"/>
          <w:sz w:val="24"/>
        </w:rPr>
        <w:t>图</w:t>
      </w:r>
      <w:r>
        <w:rPr>
          <w:rFonts w:hint="eastAsia" w:eastAsia="仿宋_GB2312"/>
          <w:color w:val="auto"/>
          <w:sz w:val="24"/>
          <w:lang w:eastAsia="zh-CN"/>
        </w:rPr>
        <w:t>。</w:t>
      </w:r>
    </w:p>
    <w:p>
      <w:pPr>
        <w:widowControl w:val="0"/>
        <w:spacing w:line="360" w:lineRule="auto"/>
        <w:jc w:val="center"/>
        <w:rPr>
          <w:color w:val="auto"/>
        </w:rPr>
      </w:pPr>
      <w:r>
        <w:rPr>
          <w:color w:val="auto"/>
        </w:rPr>
        <w:object>
          <v:shape id="_x0000_i1130" o:spt="75" type="#_x0000_t75" style="height:423.5pt;width:385.45pt;" o:ole="t" filled="f" o:preferrelative="t" stroked="f" coordsize="21600,21600">
            <v:path/>
            <v:fill on="f" focussize="0,0"/>
            <v:stroke on="f"/>
            <v:imagedata r:id="rId286" o:title=""/>
            <o:lock v:ext="edit" aspectratio="f"/>
            <w10:wrap type="none"/>
            <w10:anchorlock/>
          </v:shape>
          <o:OLEObject Type="Embed" ProgID="Visio.Drawing.15" ShapeID="_x0000_i1130" DrawAspect="Content" ObjectID="_1468075830" r:id="rId285">
            <o:LockedField>false</o:LockedField>
          </o:OLEObject>
        </w:object>
      </w:r>
    </w:p>
    <w:p>
      <w:pPr>
        <w:widowControl w:val="0"/>
        <w:spacing w:line="360" w:lineRule="auto"/>
        <w:jc w:val="center"/>
        <w:rPr>
          <w:rFonts w:eastAsia="黑体"/>
          <w:b/>
          <w:color w:val="auto"/>
          <w:szCs w:val="21"/>
        </w:rPr>
      </w:pPr>
      <w:r>
        <w:rPr>
          <w:rFonts w:eastAsia="黑体"/>
          <w:b/>
          <w:color w:val="auto"/>
          <w:szCs w:val="21"/>
        </w:rPr>
        <mc:AlternateContent>
          <mc:Choice Requires="wps">
            <w:drawing>
              <wp:anchor distT="0" distB="0" distL="114300" distR="114300" simplePos="0" relativeHeight="251669504" behindDoc="0" locked="0" layoutInCell="1" allowOverlap="1">
                <wp:simplePos x="0" y="0"/>
                <wp:positionH relativeFrom="column">
                  <wp:posOffset>1327150</wp:posOffset>
                </wp:positionH>
                <wp:positionV relativeFrom="paragraph">
                  <wp:posOffset>4050030</wp:posOffset>
                </wp:positionV>
                <wp:extent cx="1727835" cy="196215"/>
                <wp:effectExtent l="0" t="0" r="5715" b="13335"/>
                <wp:wrapNone/>
                <wp:docPr id="7" name="文本框 7"/>
                <wp:cNvGraphicFramePr/>
                <a:graphic xmlns:a="http://schemas.openxmlformats.org/drawingml/2006/main">
                  <a:graphicData uri="http://schemas.microsoft.com/office/word/2010/wordprocessingShape">
                    <wps:wsp>
                      <wps:cNvSpPr txBox="1"/>
                      <wps:spPr>
                        <a:xfrm>
                          <a:off x="0" y="0"/>
                          <a:ext cx="1727835" cy="196215"/>
                        </a:xfrm>
                        <a:prstGeom prst="rect">
                          <a:avLst/>
                        </a:prstGeom>
                        <a:solidFill>
                          <a:srgbClr val="FFFFFF"/>
                        </a:solidFill>
                        <a:ln>
                          <a:noFill/>
                        </a:ln>
                      </wps:spPr>
                      <wps:txbx>
                        <w:txbxContent>
                          <w:p>
                            <w:pPr>
                              <w:rPr>
                                <w:rFonts w:hint="eastAsia" w:ascii="黑体" w:eastAsia="黑体"/>
                                <w:szCs w:val="21"/>
                              </w:rPr>
                            </w:pPr>
                            <w:r>
                              <w:rPr>
                                <w:rFonts w:hint="eastAsia" w:ascii="黑体" w:eastAsia="黑体"/>
                                <w:szCs w:val="21"/>
                              </w:rPr>
                              <w:t>宜昌港务集团有限责任公司</w:t>
                            </w:r>
                          </w:p>
                        </w:txbxContent>
                      </wps:txbx>
                      <wps:bodyPr upright="1"/>
                    </wps:wsp>
                  </a:graphicData>
                </a:graphic>
              </wp:anchor>
            </w:drawing>
          </mc:Choice>
          <mc:Fallback>
            <w:pict>
              <v:shape id="_x0000_s1026" o:spid="_x0000_s1026" o:spt="202" type="#_x0000_t202" style="position:absolute;left:0pt;margin-left:104.5pt;margin-top:318.9pt;height:15.45pt;width:136.05pt;z-index:251669504;mso-width-relative:page;mso-height-relative:page;" fillcolor="#FFFFFF" filled="t" stroked="f" coordsize="21600,21600" o:gfxdata="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yYsXHNkAAAALAQAADwAAAAAAAAABACAAAAAiAAAAZHJzL2Rvd25yZXYu&#10;eG1sUEsBAhQAFAAAAAgAh07iQHlAtbbBAQAAdwMAAA4AAAAAAAAAAQAgAAAAKAEAAGRycy9lMm9E&#10;b2MueG1sUEsFBgAAAAAGAAYAWQEAAFsFAAAAAA==&#10;">
                <v:fill on="t" focussize="0,0"/>
                <v:stroke on="f"/>
                <v:imagedata o:title=""/>
                <o:lock v:ext="edit" aspectratio="f"/>
                <v:textbox>
                  <w:txbxContent>
                    <w:p>
                      <w:pPr>
                        <w:rPr>
                          <w:rFonts w:hint="eastAsia" w:ascii="黑体" w:eastAsia="黑体"/>
                          <w:szCs w:val="21"/>
                        </w:rPr>
                      </w:pPr>
                      <w:r>
                        <w:rPr>
                          <w:rFonts w:hint="eastAsia" w:ascii="黑体" w:eastAsia="黑体"/>
                          <w:szCs w:val="21"/>
                        </w:rPr>
                        <w:t>宜昌港务集团有限责任公司</w:t>
                      </w:r>
                    </w:p>
                  </w:txbxContent>
                </v:textbox>
              </v:shape>
            </w:pict>
          </mc:Fallback>
        </mc:AlternateContent>
      </w:r>
      <w:r>
        <w:rPr>
          <w:rFonts w:eastAsia="黑体"/>
          <w:b/>
          <w:color w:val="auto"/>
          <w:szCs w:val="21"/>
        </w:rPr>
        <mc:AlternateContent>
          <mc:Choice Requires="wps">
            <w:drawing>
              <wp:anchor distT="0" distB="0" distL="114300" distR="114300" simplePos="0" relativeHeight="251668480" behindDoc="0" locked="0" layoutInCell="1" allowOverlap="1">
                <wp:simplePos x="0" y="0"/>
                <wp:positionH relativeFrom="column">
                  <wp:posOffset>4145915</wp:posOffset>
                </wp:positionH>
                <wp:positionV relativeFrom="paragraph">
                  <wp:posOffset>3256915</wp:posOffset>
                </wp:positionV>
                <wp:extent cx="772160" cy="198120"/>
                <wp:effectExtent l="0" t="0" r="8890" b="11430"/>
                <wp:wrapNone/>
                <wp:docPr id="9" name="文本框 9"/>
                <wp:cNvGraphicFramePr/>
                <a:graphic xmlns:a="http://schemas.openxmlformats.org/drawingml/2006/main">
                  <a:graphicData uri="http://schemas.microsoft.com/office/word/2010/wordprocessingShape">
                    <wps:wsp>
                      <wps:cNvSpPr txBox="1"/>
                      <wps:spPr>
                        <a:xfrm>
                          <a:off x="0" y="0"/>
                          <a:ext cx="772160" cy="198120"/>
                        </a:xfrm>
                        <a:prstGeom prst="rect">
                          <a:avLst/>
                        </a:prstGeom>
                        <a:solidFill>
                          <a:srgbClr val="FFFFFF"/>
                        </a:solidFill>
                        <a:ln>
                          <a:noFill/>
                        </a:ln>
                      </wps:spPr>
                      <wps:txbx>
                        <w:txbxContent>
                          <w:p>
                            <w:r>
                              <w:rPr>
                                <w:rFonts w:hint="eastAsia"/>
                              </w:rPr>
                              <w:t>宜都市环保局</w:t>
                            </w:r>
                          </w:p>
                        </w:txbxContent>
                      </wps:txbx>
                      <wps:bodyPr upright="1"/>
                    </wps:wsp>
                  </a:graphicData>
                </a:graphic>
              </wp:anchor>
            </w:drawing>
          </mc:Choice>
          <mc:Fallback>
            <w:pict>
              <v:shape id="_x0000_s1026" o:spid="_x0000_s1026" o:spt="202" type="#_x0000_t202" style="position:absolute;left:0pt;margin-left:326.45pt;margin-top:256.45pt;height:15.6pt;width:60.8pt;z-index:251668480;mso-width-relative:page;mso-height-relative:page;" fillcolor="#FFFFFF" filled="t" stroked="f" coordsize="21600,21600" o:gfxdata="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EiKYo2AAAAAsBAAAPAAAAAAAAAAEAIAAAACIAAABkcnMvZG93bnJldi54&#10;bWxQSwECFAAUAAAACACHTuJAetj+2cEBAAB2AwAADgAAAAAAAAABACAAAAAnAQAAZHJzL2Uyb0Rv&#10;Yy54bWxQSwUGAAAAAAYABgBZAQAAWgUAAAAA&#10;">
                <v:fill on="t" focussize="0,0"/>
                <v:stroke on="f"/>
                <v:imagedata o:title=""/>
                <o:lock v:ext="edit" aspectratio="f"/>
                <v:textbox>
                  <w:txbxContent>
                    <w:p>
                      <w:r>
                        <w:rPr>
                          <w:rFonts w:hint="eastAsia"/>
                        </w:rPr>
                        <w:t>宜都市环保局</w:t>
                      </w:r>
                    </w:p>
                  </w:txbxContent>
                </v:textbox>
              </v:shape>
            </w:pict>
          </mc:Fallback>
        </mc:AlternateContent>
      </w:r>
      <w:r>
        <w:rPr>
          <w:rFonts w:eastAsia="黑体"/>
          <w:b/>
          <w:color w:val="auto"/>
          <w:szCs w:val="21"/>
        </w:rPr>
        <mc:AlternateContent>
          <mc:Choice Requires="wps">
            <w:drawing>
              <wp:anchor distT="0" distB="0" distL="114300" distR="114300" simplePos="0" relativeHeight="251667456" behindDoc="0" locked="0" layoutInCell="1" allowOverlap="1">
                <wp:simplePos x="0" y="0"/>
                <wp:positionH relativeFrom="column">
                  <wp:posOffset>4100830</wp:posOffset>
                </wp:positionH>
                <wp:positionV relativeFrom="paragraph">
                  <wp:posOffset>1882775</wp:posOffset>
                </wp:positionV>
                <wp:extent cx="781050" cy="207645"/>
                <wp:effectExtent l="0" t="0" r="0" b="1905"/>
                <wp:wrapNone/>
                <wp:docPr id="8" name="文本框 8"/>
                <wp:cNvGraphicFramePr/>
                <a:graphic xmlns:a="http://schemas.openxmlformats.org/drawingml/2006/main">
                  <a:graphicData uri="http://schemas.microsoft.com/office/word/2010/wordprocessingShape">
                    <wps:wsp>
                      <wps:cNvSpPr txBox="1"/>
                      <wps:spPr>
                        <a:xfrm>
                          <a:off x="0" y="0"/>
                          <a:ext cx="781050" cy="207645"/>
                        </a:xfrm>
                        <a:prstGeom prst="rect">
                          <a:avLst/>
                        </a:prstGeom>
                        <a:solidFill>
                          <a:srgbClr val="FFFFFF"/>
                        </a:solidFill>
                        <a:ln>
                          <a:noFill/>
                        </a:ln>
                      </wps:spPr>
                      <wps:txbx>
                        <w:txbxContent>
                          <w:p>
                            <w:r>
                              <w:rPr>
                                <w:rFonts w:hint="eastAsia"/>
                              </w:rPr>
                              <w:t>宜昌市环保局</w:t>
                            </w:r>
                          </w:p>
                        </w:txbxContent>
                      </wps:txbx>
                      <wps:bodyPr upright="1"/>
                    </wps:wsp>
                  </a:graphicData>
                </a:graphic>
              </wp:anchor>
            </w:drawing>
          </mc:Choice>
          <mc:Fallback>
            <w:pict>
              <v:shape id="_x0000_s1026" o:spid="_x0000_s1026" o:spt="202" type="#_x0000_t202" style="position:absolute;left:0pt;margin-left:322.9pt;margin-top:148.25pt;height:16.35pt;width:61.5pt;z-index:251667456;mso-width-relative:page;mso-height-relative:page;" fillcolor="#FFFFFF" filled="t" stroked="f" coordsize="21600,21600" o:gfxdata="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N8Rt/vZAAAACwEAAA8AAAAAAAAAAQAgAAAAIgAAAGRycy9kb3ducmV2Lnht&#10;bFBLAQIUABQAAAAIAIdO4kDfYYN6vwEAAHYDAAAOAAAAAAAAAAEAIAAAACgBAABkcnMvZTJvRG9j&#10;LnhtbFBLBQYAAAAABgAGAFkBAABZBQAAAAA=&#10;">
                <v:fill on="t" focussize="0,0"/>
                <v:stroke on="f"/>
                <v:imagedata o:title=""/>
                <o:lock v:ext="edit" aspectratio="f"/>
                <v:textbox>
                  <w:txbxContent>
                    <w:p>
                      <w:r>
                        <w:rPr>
                          <w:rFonts w:hint="eastAsia"/>
                        </w:rPr>
                        <w:t>宜昌市环保局</w:t>
                      </w:r>
                    </w:p>
                  </w:txbxContent>
                </v:textbox>
              </v:shape>
            </w:pict>
          </mc:Fallback>
        </mc:AlternateContent>
      </w:r>
      <w:r>
        <w:rPr>
          <w:rFonts w:eastAsia="黑体"/>
          <w:b/>
          <w:color w:val="auto"/>
          <w:szCs w:val="21"/>
        </w:rPr>
        <w:t>图</w:t>
      </w:r>
      <w:r>
        <w:rPr>
          <w:rFonts w:hint="eastAsia" w:eastAsia="黑体"/>
          <w:b/>
          <w:color w:val="auto"/>
          <w:szCs w:val="21"/>
          <w:lang w:val="en-US" w:eastAsia="zh-CN"/>
        </w:rPr>
        <w:t>10</w:t>
      </w:r>
      <w:r>
        <w:rPr>
          <w:rFonts w:eastAsia="黑体"/>
          <w:b/>
          <w:color w:val="auto"/>
          <w:szCs w:val="21"/>
        </w:rPr>
        <w:t>.1-1   环境保护管理与监督机构体系示意图</w:t>
      </w:r>
    </w:p>
    <w:p>
      <w:pPr>
        <w:pStyle w:val="9"/>
        <w:widowControl w:val="0"/>
        <w:spacing w:before="120" w:after="120" w:line="360" w:lineRule="auto"/>
        <w:rPr>
          <w:rFonts w:hint="eastAsia" w:eastAsia="黑体"/>
          <w:b w:val="0"/>
          <w:color w:val="auto"/>
          <w:sz w:val="24"/>
          <w:lang w:eastAsia="zh-CN"/>
        </w:rPr>
      </w:pPr>
      <w:bookmarkStart w:id="536" w:name="_Toc505853706"/>
      <w:bookmarkStart w:id="537" w:name="_Toc16455"/>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1.</w:t>
      </w:r>
      <w:r>
        <w:rPr>
          <w:rFonts w:hint="eastAsia" w:eastAsia="黑体"/>
          <w:b w:val="0"/>
          <w:color w:val="auto"/>
          <w:sz w:val="24"/>
          <w:lang w:val="en-US" w:eastAsia="zh-CN"/>
        </w:rPr>
        <w:t>2</w:t>
      </w:r>
      <w:r>
        <w:rPr>
          <w:rFonts w:eastAsia="黑体"/>
          <w:b w:val="0"/>
          <w:color w:val="auto"/>
          <w:sz w:val="24"/>
        </w:rPr>
        <w:t>环境管理</w:t>
      </w:r>
      <w:bookmarkEnd w:id="536"/>
      <w:r>
        <w:rPr>
          <w:rFonts w:hint="eastAsia" w:eastAsia="黑体"/>
          <w:b w:val="0"/>
          <w:color w:val="auto"/>
          <w:sz w:val="24"/>
          <w:lang w:val="en-US" w:eastAsia="zh-CN"/>
        </w:rPr>
        <w:t>计划</w:t>
      </w:r>
      <w:bookmarkEnd w:id="537"/>
    </w:p>
    <w:p>
      <w:pPr>
        <w:widowControl w:val="0"/>
        <w:spacing w:line="360" w:lineRule="auto"/>
        <w:ind w:firstLine="480" w:firstLineChars="200"/>
        <w:rPr>
          <w:rFonts w:eastAsia="仿宋_GB2312"/>
          <w:color w:val="auto"/>
          <w:sz w:val="24"/>
        </w:rPr>
      </w:pPr>
      <w:r>
        <w:rPr>
          <w:rFonts w:hint="eastAsia" w:eastAsia="仿宋_GB2312"/>
          <w:color w:val="auto"/>
          <w:sz w:val="24"/>
          <w:lang w:val="en-US" w:eastAsia="zh-CN"/>
        </w:rPr>
        <w:t>本项目环境管理计划见下表</w:t>
      </w:r>
      <w:r>
        <w:rPr>
          <w:rFonts w:eastAsia="仿宋_GB2312"/>
          <w:color w:val="auto"/>
          <w:sz w:val="24"/>
        </w:rPr>
        <w:t>。</w:t>
      </w:r>
    </w:p>
    <w:p>
      <w:pPr>
        <w:widowControl w:val="0"/>
        <w:spacing w:line="360" w:lineRule="auto"/>
        <w:ind w:firstLine="422" w:firstLineChars="200"/>
        <w:jc w:val="center"/>
        <w:rPr>
          <w:rFonts w:hint="eastAsia" w:eastAsia="黑体"/>
          <w:b/>
          <w:color w:val="auto"/>
          <w:szCs w:val="21"/>
          <w:lang w:val="en-US" w:eastAsia="zh-CN"/>
        </w:rPr>
      </w:pPr>
      <w:r>
        <w:rPr>
          <w:rFonts w:eastAsia="黑体"/>
          <w:b/>
          <w:color w:val="auto"/>
          <w:szCs w:val="21"/>
        </w:rPr>
        <w:t>表</w:t>
      </w:r>
      <w:r>
        <w:rPr>
          <w:rFonts w:hint="eastAsia" w:eastAsia="黑体"/>
          <w:b/>
          <w:color w:val="auto"/>
          <w:szCs w:val="21"/>
          <w:lang w:val="en-US" w:eastAsia="zh-CN"/>
        </w:rPr>
        <w:t>10</w:t>
      </w:r>
      <w:r>
        <w:rPr>
          <w:rFonts w:eastAsia="黑体"/>
          <w:b/>
          <w:color w:val="auto"/>
          <w:szCs w:val="21"/>
        </w:rPr>
        <w:t>.1-1  环境保护管理计划</w:t>
      </w:r>
      <w:r>
        <w:rPr>
          <w:rFonts w:hint="eastAsia" w:eastAsia="黑体"/>
          <w:b/>
          <w:color w:val="auto"/>
          <w:szCs w:val="21"/>
          <w:lang w:val="en-US" w:eastAsia="zh-CN"/>
        </w:rPr>
        <w:t>表</w:t>
      </w:r>
    </w:p>
    <w:tbl>
      <w:tblPr>
        <w:tblStyle w:val="92"/>
        <w:tblW w:w="511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69"/>
        <w:gridCol w:w="910"/>
        <w:gridCol w:w="4577"/>
        <w:gridCol w:w="1028"/>
        <w:gridCol w:w="754"/>
        <w:gridCol w:w="10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8" w:type="pct"/>
            <w:gridSpan w:val="2"/>
            <w:tcBorders>
              <w:bottom w:val="single" w:color="auto" w:sz="12" w:space="0"/>
            </w:tcBorders>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环境单元</w:t>
            </w:r>
          </w:p>
        </w:tc>
        <w:tc>
          <w:tcPr>
            <w:tcW w:w="2640" w:type="pct"/>
            <w:tcBorders>
              <w:bottom w:val="single" w:color="auto" w:sz="12" w:space="0"/>
            </w:tcBorders>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管理目标</w:t>
            </w:r>
          </w:p>
        </w:tc>
        <w:tc>
          <w:tcPr>
            <w:tcW w:w="593" w:type="pct"/>
            <w:tcBorders>
              <w:bottom w:val="single" w:color="auto" w:sz="12" w:space="0"/>
            </w:tcBorders>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实施机构</w:t>
            </w:r>
          </w:p>
        </w:tc>
        <w:tc>
          <w:tcPr>
            <w:tcW w:w="435" w:type="pct"/>
            <w:tcBorders>
              <w:bottom w:val="single" w:color="auto" w:sz="12" w:space="0"/>
            </w:tcBorders>
            <w:noWrap w:val="0"/>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管理机构</w:t>
            </w:r>
          </w:p>
        </w:tc>
        <w:tc>
          <w:tcPr>
            <w:tcW w:w="591" w:type="pct"/>
            <w:tcBorders>
              <w:bottom w:val="single" w:color="auto" w:sz="12" w:space="0"/>
            </w:tcBorders>
            <w:noWrap w:val="0"/>
            <w:vAlign w:val="center"/>
          </w:tcPr>
          <w:p>
            <w:pPr>
              <w:adjustRightInd w:val="0"/>
              <w:snapToGrid w:val="0"/>
              <w:jc w:val="center"/>
              <w:rPr>
                <w:rFonts w:ascii="Times New Roman"/>
                <w:snapToGrid w:val="0"/>
                <w:color w:val="auto"/>
                <w:spacing w:val="-4"/>
                <w:sz w:val="20"/>
                <w:szCs w:val="20"/>
              </w:rPr>
            </w:pPr>
            <w:r>
              <w:rPr>
                <w:rFonts w:ascii="Times New Roman"/>
                <w:snapToGrid w:val="0"/>
                <w:color w:val="auto"/>
                <w:spacing w:val="-4"/>
                <w:sz w:val="20"/>
                <w:szCs w:val="20"/>
              </w:rPr>
              <w:t>监督机构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8" w:type="pct"/>
            <w:gridSpan w:val="2"/>
            <w:tcBorders>
              <w:top w:val="single" w:color="auto" w:sz="12" w:space="0"/>
            </w:tcBorders>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1.</w:t>
            </w:r>
            <w:r>
              <w:rPr>
                <w:rFonts w:ascii="Times New Roman"/>
                <w:snapToGrid w:val="0"/>
                <w:color w:val="auto"/>
                <w:sz w:val="20"/>
                <w:szCs w:val="20"/>
              </w:rPr>
              <w:t>施工期</w:t>
            </w:r>
          </w:p>
        </w:tc>
        <w:tc>
          <w:tcPr>
            <w:tcW w:w="2640" w:type="pct"/>
            <w:tcBorders>
              <w:top w:val="single" w:color="auto" w:sz="12" w:space="0"/>
            </w:tcBorders>
            <w:noWrap w:val="0"/>
            <w:tcMar>
              <w:left w:w="57" w:type="dxa"/>
              <w:right w:w="57" w:type="dxa"/>
            </w:tcMar>
            <w:vAlign w:val="center"/>
          </w:tcPr>
          <w:p>
            <w:pPr>
              <w:adjustRightInd w:val="0"/>
              <w:snapToGrid w:val="0"/>
              <w:jc w:val="center"/>
              <w:rPr>
                <w:rFonts w:ascii="Times New Roman"/>
                <w:snapToGrid w:val="0"/>
                <w:color w:val="auto"/>
                <w:sz w:val="20"/>
                <w:szCs w:val="20"/>
              </w:rPr>
            </w:pPr>
          </w:p>
        </w:tc>
        <w:tc>
          <w:tcPr>
            <w:tcW w:w="593" w:type="pct"/>
            <w:tcBorders>
              <w:top w:val="single" w:color="auto" w:sz="12" w:space="0"/>
            </w:tcBorders>
            <w:noWrap w:val="0"/>
            <w:vAlign w:val="center"/>
          </w:tcPr>
          <w:p>
            <w:pPr>
              <w:adjustRightInd w:val="0"/>
              <w:snapToGrid w:val="0"/>
              <w:jc w:val="center"/>
              <w:rPr>
                <w:rFonts w:ascii="Times New Roman"/>
                <w:snapToGrid w:val="0"/>
                <w:color w:val="auto"/>
                <w:sz w:val="20"/>
                <w:szCs w:val="20"/>
              </w:rPr>
            </w:pPr>
          </w:p>
        </w:tc>
        <w:tc>
          <w:tcPr>
            <w:tcW w:w="435" w:type="pct"/>
            <w:tcBorders>
              <w:top w:val="single" w:color="auto" w:sz="12" w:space="0"/>
            </w:tcBorders>
            <w:noWrap w:val="0"/>
            <w:vAlign w:val="center"/>
          </w:tcPr>
          <w:p>
            <w:pPr>
              <w:adjustRightInd w:val="0"/>
              <w:snapToGrid w:val="0"/>
              <w:jc w:val="center"/>
              <w:rPr>
                <w:rFonts w:ascii="Times New Roman"/>
                <w:snapToGrid w:val="0"/>
                <w:color w:val="auto"/>
                <w:sz w:val="20"/>
                <w:szCs w:val="20"/>
              </w:rPr>
            </w:pPr>
          </w:p>
        </w:tc>
        <w:tc>
          <w:tcPr>
            <w:tcW w:w="591" w:type="pct"/>
            <w:tcBorders>
              <w:top w:val="single" w:color="auto" w:sz="12" w:space="0"/>
            </w:tcBorders>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default" w:ascii="Times New Roman" w:eastAsia="宋体"/>
                <w:snapToGrid w:val="0"/>
                <w:color w:val="auto"/>
                <w:sz w:val="20"/>
                <w:szCs w:val="20"/>
                <w:lang w:val="en-US" w:eastAsia="zh-CN"/>
              </w:rPr>
            </w:pPr>
            <w:r>
              <w:rPr>
                <w:rFonts w:ascii="Times New Roman"/>
                <w:snapToGrid w:val="0"/>
                <w:color w:val="auto"/>
                <w:sz w:val="20"/>
                <w:szCs w:val="20"/>
              </w:rPr>
              <w:t>1</w:t>
            </w:r>
            <w:r>
              <w:rPr>
                <w:rFonts w:hint="eastAsia" w:ascii="Times New Roman"/>
                <w:snapToGrid w:val="0"/>
                <w:color w:val="auto"/>
                <w:sz w:val="20"/>
                <w:szCs w:val="20"/>
                <w:lang w:val="en-US" w:eastAsia="zh-CN"/>
              </w:rPr>
              <w:t>.1</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空气污染</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施工期对施工道路定期清扫和洒水，以降低施工期道路扬尘，减少大气污染。洒水次数视天气和运输状况决定。</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料堆和贮料场遮盖或洒水以防止尘埃污染。运送建筑材料的卡车采用遮盖措施，减少物料洒落。</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场地绿化和其它形式恢复生态环境。</w:t>
            </w:r>
          </w:p>
        </w:tc>
        <w:tc>
          <w:tcPr>
            <w:tcW w:w="593" w:type="pct"/>
            <w:vMerge w:val="restart"/>
            <w:noWrap w:val="0"/>
            <w:vAlign w:val="center"/>
          </w:tcPr>
          <w:p>
            <w:pPr>
              <w:adjustRightInd w:val="0"/>
              <w:snapToGrid w:val="0"/>
              <w:jc w:val="center"/>
              <w:rPr>
                <w:rFonts w:hint="eastAsia" w:ascii="Times New Roman"/>
                <w:snapToGrid w:val="0"/>
                <w:color w:val="auto"/>
                <w:sz w:val="20"/>
                <w:szCs w:val="20"/>
              </w:rPr>
            </w:pPr>
            <w:r>
              <w:rPr>
                <w:rFonts w:hint="eastAsia"/>
                <w:snapToGrid w:val="0"/>
                <w:color w:val="auto"/>
                <w:sz w:val="20"/>
                <w:szCs w:val="20"/>
                <w:lang w:val="en-US" w:eastAsia="zh-CN"/>
              </w:rPr>
              <w:t>施工单位</w:t>
            </w:r>
          </w:p>
        </w:tc>
        <w:tc>
          <w:tcPr>
            <w:tcW w:w="435" w:type="pct"/>
            <w:vMerge w:val="restart"/>
            <w:noWrap w:val="0"/>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市交通运输局</w:t>
            </w:r>
          </w:p>
        </w:tc>
        <w:tc>
          <w:tcPr>
            <w:tcW w:w="591" w:type="pct"/>
            <w:vMerge w:val="restart"/>
            <w:noWrap w:val="0"/>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rPr>
              <w:t>宜昌市生态环境局宜都分局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1.</w:t>
            </w:r>
            <w:r>
              <w:rPr>
                <w:rFonts w:ascii="Times New Roman"/>
                <w:snapToGrid w:val="0"/>
                <w:color w:val="auto"/>
                <w:sz w:val="20"/>
                <w:szCs w:val="20"/>
              </w:rPr>
              <w:t>2</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水污染</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施工船舶不得向施工水域排放船舶污水，确需排放舱底油污水、生活污水的船舶，应向海事部门提出申请，由海事部门认可的有资质的单位接收处理。</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施工现场的水泥、沙、石料应统一管理合理堆放，下雨时应加以遮盖，避免径流雨污水的污染影响。</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施工人员生活污水不得在工程所在水域排放。</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施工期固体废物（施工建筑垃圾、施工人员生活垃圾）应集中收集，不得抛弃至江中。</w:t>
            </w:r>
          </w:p>
        </w:tc>
        <w:tc>
          <w:tcPr>
            <w:tcW w:w="593" w:type="pct"/>
            <w:vMerge w:val="continue"/>
            <w:noWrap w:val="0"/>
            <w:vAlign w:val="center"/>
          </w:tcPr>
          <w:p>
            <w:pPr>
              <w:adjustRightInd w:val="0"/>
              <w:snapToGrid w:val="0"/>
              <w:jc w:val="center"/>
              <w:rPr>
                <w:rFonts w:hint="eastAsia" w:ascii="Times New Roman"/>
                <w:snapToGrid w:val="0"/>
                <w:color w:val="auto"/>
                <w:sz w:val="20"/>
                <w:szCs w:val="20"/>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1.</w:t>
            </w:r>
            <w:r>
              <w:rPr>
                <w:rFonts w:ascii="Times New Roman"/>
                <w:snapToGrid w:val="0"/>
                <w:color w:val="auto"/>
                <w:sz w:val="20"/>
                <w:szCs w:val="20"/>
              </w:rPr>
              <w:t>3</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噪声</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加强机械和车辆的维修和保养，保持其较低噪声水平。</w:t>
            </w:r>
          </w:p>
        </w:tc>
        <w:tc>
          <w:tcPr>
            <w:tcW w:w="593" w:type="pct"/>
            <w:vMerge w:val="continue"/>
            <w:noWrap w:val="0"/>
            <w:vAlign w:val="center"/>
          </w:tcPr>
          <w:p>
            <w:pPr>
              <w:adjustRightInd w:val="0"/>
              <w:snapToGrid w:val="0"/>
              <w:jc w:val="center"/>
              <w:rPr>
                <w:rFonts w:hint="eastAsia" w:ascii="Times New Roman"/>
                <w:snapToGrid w:val="0"/>
                <w:color w:val="auto"/>
                <w:sz w:val="20"/>
                <w:szCs w:val="20"/>
              </w:rPr>
            </w:pPr>
          </w:p>
        </w:tc>
        <w:tc>
          <w:tcPr>
            <w:tcW w:w="435" w:type="pct"/>
            <w:vMerge w:val="continue"/>
            <w:noWrap w:val="0"/>
            <w:vAlign w:val="center"/>
          </w:tcPr>
          <w:p>
            <w:pPr>
              <w:pStyle w:val="53"/>
              <w:adjustRightInd w:val="0"/>
              <w:snapToGrid w:val="0"/>
              <w:rPr>
                <w:rFonts w:ascii="Times New Roman" w:hAns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default" w:ascii="Times New Roman"/>
                <w:snapToGrid w:val="0"/>
                <w:color w:val="auto"/>
                <w:sz w:val="20"/>
                <w:szCs w:val="20"/>
                <w:lang w:val="en-US" w:eastAsia="zh-CN"/>
              </w:rPr>
            </w:pPr>
            <w:r>
              <w:rPr>
                <w:rFonts w:hint="eastAsia"/>
                <w:snapToGrid w:val="0"/>
                <w:color w:val="auto"/>
                <w:sz w:val="20"/>
                <w:szCs w:val="20"/>
                <w:lang w:val="en-US" w:eastAsia="zh-CN"/>
              </w:rPr>
              <w:t>1.4</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snapToGrid w:val="0"/>
                <w:color w:val="auto"/>
                <w:sz w:val="20"/>
                <w:szCs w:val="20"/>
                <w:lang w:val="en-US" w:eastAsia="zh-CN"/>
              </w:rPr>
              <w:t>固体废物</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施工期的各种固体废物均进行收集处理，不得随意抛弃至长江。</w:t>
            </w:r>
          </w:p>
        </w:tc>
        <w:tc>
          <w:tcPr>
            <w:tcW w:w="593" w:type="pct"/>
            <w:vMerge w:val="continue"/>
            <w:noWrap w:val="0"/>
            <w:vAlign w:val="center"/>
          </w:tcPr>
          <w:p>
            <w:pPr>
              <w:adjustRightInd w:val="0"/>
              <w:snapToGrid w:val="0"/>
              <w:jc w:val="center"/>
              <w:rPr>
                <w:rFonts w:hint="eastAsia"/>
                <w:snapToGrid w:val="0"/>
                <w:color w:val="auto"/>
                <w:sz w:val="20"/>
                <w:szCs w:val="20"/>
                <w:lang w:val="en-US" w:eastAsia="zh-CN"/>
              </w:rPr>
            </w:pPr>
          </w:p>
        </w:tc>
        <w:tc>
          <w:tcPr>
            <w:tcW w:w="435" w:type="pct"/>
            <w:vMerge w:val="continue"/>
            <w:noWrap w:val="0"/>
            <w:vAlign w:val="center"/>
          </w:tcPr>
          <w:p>
            <w:pPr>
              <w:pStyle w:val="53"/>
              <w:adjustRightInd w:val="0"/>
              <w:snapToGrid w:val="0"/>
              <w:rPr>
                <w:rFonts w:ascii="Times New Roman" w:hAnsi="Times New Roman"/>
                <w:snapToGrid w:val="0"/>
                <w:color w:val="auto"/>
                <w:sz w:val="20"/>
                <w:szCs w:val="20"/>
              </w:rPr>
            </w:pPr>
          </w:p>
        </w:tc>
        <w:tc>
          <w:tcPr>
            <w:tcW w:w="591" w:type="pct"/>
            <w:vMerge w:val="continue"/>
            <w:noWrap w:val="0"/>
            <w:vAlign w:val="center"/>
          </w:tcPr>
          <w:p>
            <w:pPr>
              <w:adjustRightInd w:val="0"/>
              <w:snapToGrid w:val="0"/>
              <w:jc w:val="center"/>
              <w:rPr>
                <w:rFonts w:hint="eastAsia"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default" w:ascii="Times New Roman"/>
                <w:snapToGrid w:val="0"/>
                <w:color w:val="auto"/>
                <w:sz w:val="20"/>
                <w:szCs w:val="20"/>
                <w:lang w:val="en-US" w:eastAsia="zh-CN"/>
              </w:rPr>
            </w:pPr>
            <w:r>
              <w:rPr>
                <w:rFonts w:hint="eastAsia"/>
                <w:snapToGrid w:val="0"/>
                <w:color w:val="auto"/>
                <w:sz w:val="20"/>
                <w:szCs w:val="20"/>
                <w:lang w:val="en-US" w:eastAsia="zh-CN"/>
              </w:rPr>
              <w:t>1.5</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水生生态</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建设单位与施工单位所签定的承包合同中应有环境保护方面的条款，并附有环保要求的具体内容。</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合理进行施工组织，避开鱼类产卵繁殖期及鱼苗摄食育肥期（4~6月）、中华鲟繁殖期（10~12月）水下施工。</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发现珍稀保护水生动物，立即向相关部门报告以进行保护。</w:t>
            </w:r>
          </w:p>
        </w:tc>
        <w:tc>
          <w:tcPr>
            <w:tcW w:w="593" w:type="pct"/>
            <w:vMerge w:val="continue"/>
            <w:noWrap w:val="0"/>
            <w:vAlign w:val="center"/>
          </w:tcPr>
          <w:p>
            <w:pPr>
              <w:adjustRightInd w:val="0"/>
              <w:snapToGrid w:val="0"/>
              <w:jc w:val="center"/>
              <w:rPr>
                <w:rFonts w:hint="eastAsia"/>
                <w:snapToGrid w:val="0"/>
                <w:color w:val="auto"/>
                <w:sz w:val="20"/>
                <w:szCs w:val="20"/>
                <w:lang w:val="en-US" w:eastAsia="zh-CN"/>
              </w:rPr>
            </w:pPr>
          </w:p>
        </w:tc>
        <w:tc>
          <w:tcPr>
            <w:tcW w:w="435" w:type="pct"/>
            <w:vMerge w:val="continue"/>
            <w:noWrap w:val="0"/>
            <w:vAlign w:val="center"/>
          </w:tcPr>
          <w:p>
            <w:pPr>
              <w:pStyle w:val="53"/>
              <w:adjustRightInd w:val="0"/>
              <w:snapToGrid w:val="0"/>
              <w:rPr>
                <w:rFonts w:ascii="Times New Roman" w:hAnsi="Times New Roman"/>
                <w:snapToGrid w:val="0"/>
                <w:color w:val="auto"/>
                <w:sz w:val="20"/>
                <w:szCs w:val="20"/>
              </w:rPr>
            </w:pPr>
          </w:p>
        </w:tc>
        <w:tc>
          <w:tcPr>
            <w:tcW w:w="591" w:type="pct"/>
            <w:vMerge w:val="continue"/>
            <w:noWrap w:val="0"/>
            <w:vAlign w:val="center"/>
          </w:tcPr>
          <w:p>
            <w:pPr>
              <w:adjustRightInd w:val="0"/>
              <w:snapToGrid w:val="0"/>
              <w:jc w:val="center"/>
              <w:rPr>
                <w:rFonts w:hint="eastAsia"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default" w:ascii="Times New Roman"/>
                <w:snapToGrid w:val="0"/>
                <w:color w:val="auto"/>
                <w:sz w:val="20"/>
                <w:szCs w:val="20"/>
                <w:lang w:val="en-US"/>
              </w:rPr>
            </w:pPr>
            <w:r>
              <w:rPr>
                <w:rFonts w:hint="eastAsia" w:ascii="Times New Roman"/>
                <w:snapToGrid w:val="0"/>
                <w:color w:val="auto"/>
                <w:sz w:val="20"/>
                <w:szCs w:val="20"/>
                <w:lang w:val="en-US" w:eastAsia="zh-CN"/>
              </w:rPr>
              <w:t>1.</w:t>
            </w:r>
            <w:r>
              <w:rPr>
                <w:rFonts w:hint="eastAsia"/>
                <w:snapToGrid w:val="0"/>
                <w:color w:val="auto"/>
                <w:sz w:val="20"/>
                <w:szCs w:val="20"/>
                <w:lang w:val="en-US" w:eastAsia="zh-CN"/>
              </w:rPr>
              <w:t>6</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snapToGrid w:val="0"/>
                <w:color w:val="auto"/>
                <w:sz w:val="20"/>
                <w:szCs w:val="20"/>
                <w:lang w:val="en-US" w:eastAsia="zh-CN"/>
              </w:rPr>
              <w:t>陆生生态</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严禁在施工区及其周围捕猎野生动物，特别是国家级及省级</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重点保护动物。</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各类施工活动要严格限定在用地范围内，严禁随意占压、扰动和破坏地表植被。</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合理安排施工时间，尽量避免夜间施工。选用低噪声工程机械设备，严禁高噪声设备在夜间施工。</w:t>
            </w:r>
          </w:p>
        </w:tc>
        <w:tc>
          <w:tcPr>
            <w:tcW w:w="593" w:type="pct"/>
            <w:vMerge w:val="continue"/>
            <w:noWrap w:val="0"/>
            <w:vAlign w:val="center"/>
          </w:tcPr>
          <w:p>
            <w:pPr>
              <w:adjustRightInd w:val="0"/>
              <w:snapToGrid w:val="0"/>
              <w:jc w:val="center"/>
              <w:rPr>
                <w:rFonts w:hint="eastAsia" w:ascii="Times New Roman"/>
                <w:snapToGrid w:val="0"/>
                <w:color w:val="auto"/>
                <w:sz w:val="20"/>
                <w:szCs w:val="20"/>
              </w:rPr>
            </w:pPr>
          </w:p>
        </w:tc>
        <w:tc>
          <w:tcPr>
            <w:tcW w:w="435" w:type="pct"/>
            <w:vMerge w:val="continue"/>
            <w:noWrap w:val="0"/>
            <w:vAlign w:val="center"/>
          </w:tcPr>
          <w:p>
            <w:pPr>
              <w:pStyle w:val="53"/>
              <w:adjustRightInd w:val="0"/>
              <w:snapToGrid w:val="0"/>
              <w:rPr>
                <w:rFonts w:ascii="Times New Roman" w:hAns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eastAsia" w:ascii="Times New Roman" w:eastAsia="宋体"/>
                <w:snapToGrid w:val="0"/>
                <w:color w:val="auto"/>
                <w:sz w:val="20"/>
                <w:szCs w:val="20"/>
                <w:lang w:eastAsia="zh-CN"/>
              </w:rPr>
            </w:pPr>
            <w:r>
              <w:rPr>
                <w:rFonts w:hint="eastAsia" w:ascii="Times New Roman"/>
                <w:snapToGrid w:val="0"/>
                <w:color w:val="auto"/>
                <w:sz w:val="20"/>
                <w:szCs w:val="20"/>
                <w:lang w:val="en-US" w:eastAsia="zh-CN"/>
              </w:rPr>
              <w:t>1.</w:t>
            </w:r>
            <w:r>
              <w:rPr>
                <w:rFonts w:hint="eastAsia"/>
                <w:snapToGrid w:val="0"/>
                <w:color w:val="auto"/>
                <w:sz w:val="20"/>
                <w:szCs w:val="20"/>
                <w:lang w:val="en-US" w:eastAsia="zh-CN"/>
              </w:rPr>
              <w:t>7</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环境监理</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落实施工期环境监理制度。</w:t>
            </w:r>
          </w:p>
        </w:tc>
        <w:tc>
          <w:tcPr>
            <w:tcW w:w="593" w:type="pct"/>
            <w:noWrap w:val="0"/>
            <w:vAlign w:val="center"/>
          </w:tcPr>
          <w:p>
            <w:pPr>
              <w:pStyle w:val="53"/>
              <w:adjustRightInd w:val="0"/>
              <w:snapToGrid w:val="0"/>
              <w:jc w:val="center"/>
              <w:rPr>
                <w:rFonts w:ascii="Times New Roman" w:hAnsi="Times New Roman"/>
                <w:snapToGrid w:val="0"/>
                <w:color w:val="auto"/>
                <w:sz w:val="20"/>
                <w:szCs w:val="20"/>
              </w:rPr>
            </w:pPr>
          </w:p>
        </w:tc>
        <w:tc>
          <w:tcPr>
            <w:tcW w:w="435" w:type="pct"/>
            <w:noWrap w:val="0"/>
            <w:vAlign w:val="center"/>
          </w:tcPr>
          <w:p>
            <w:pPr>
              <w:pStyle w:val="53"/>
              <w:adjustRightInd w:val="0"/>
              <w:snapToGrid w:val="0"/>
              <w:jc w:val="center"/>
              <w:rPr>
                <w:rFonts w:ascii="Times New Roman" w:hAnsi="Times New Roman"/>
                <w:snapToGrid w:val="0"/>
                <w:color w:val="auto"/>
                <w:sz w:val="20"/>
                <w:szCs w:val="20"/>
              </w:rPr>
            </w:pPr>
          </w:p>
        </w:tc>
        <w:tc>
          <w:tcPr>
            <w:tcW w:w="591" w:type="pct"/>
            <w:noWrap w:val="0"/>
            <w:vAlign w:val="center"/>
          </w:tcPr>
          <w:p>
            <w:pPr>
              <w:pStyle w:val="53"/>
              <w:adjustRightInd w:val="0"/>
              <w:snapToGrid w:val="0"/>
              <w:jc w:val="center"/>
              <w:rPr>
                <w:rFonts w:ascii="Times New Roman" w:hAns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8" w:type="pct"/>
            <w:gridSpan w:val="2"/>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2.</w:t>
            </w:r>
            <w:r>
              <w:rPr>
                <w:rFonts w:ascii="Times New Roman"/>
                <w:snapToGrid w:val="0"/>
                <w:color w:val="auto"/>
                <w:sz w:val="20"/>
                <w:szCs w:val="20"/>
              </w:rPr>
              <w:t>验收阶段</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参加项目竣工环保验收，对达不到要求的部分立即整改。</w:t>
            </w:r>
          </w:p>
        </w:tc>
        <w:tc>
          <w:tcPr>
            <w:tcW w:w="593" w:type="pct"/>
            <w:noWrap w:val="0"/>
            <w:vAlign w:val="center"/>
          </w:tcPr>
          <w:p>
            <w:pPr>
              <w:adjustRightInd w:val="0"/>
              <w:snapToGrid w:val="0"/>
              <w:jc w:val="center"/>
              <w:rPr>
                <w:rFonts w:ascii="Times New Roman"/>
                <w:snapToGrid w:val="0"/>
                <w:color w:val="auto"/>
                <w:sz w:val="20"/>
                <w:szCs w:val="20"/>
              </w:rPr>
            </w:pPr>
          </w:p>
        </w:tc>
        <w:tc>
          <w:tcPr>
            <w:tcW w:w="435" w:type="pct"/>
            <w:noWrap w:val="0"/>
            <w:vAlign w:val="center"/>
          </w:tcPr>
          <w:p>
            <w:pPr>
              <w:adjustRightInd w:val="0"/>
              <w:snapToGrid w:val="0"/>
              <w:jc w:val="center"/>
              <w:rPr>
                <w:rFonts w:ascii="Times New Roman"/>
                <w:snapToGrid w:val="0"/>
                <w:color w:val="auto"/>
                <w:sz w:val="20"/>
                <w:szCs w:val="20"/>
              </w:rPr>
            </w:pPr>
          </w:p>
        </w:tc>
        <w:tc>
          <w:tcPr>
            <w:tcW w:w="591" w:type="pct"/>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8" w:type="pct"/>
            <w:gridSpan w:val="2"/>
            <w:noWrap w:val="0"/>
            <w:tcMar>
              <w:left w:w="57" w:type="dxa"/>
              <w:right w:w="57" w:type="dxa"/>
            </w:tcMar>
            <w:vAlign w:val="center"/>
          </w:tcPr>
          <w:p>
            <w:pPr>
              <w:adjustRightInd w:val="0"/>
              <w:snapToGrid w:val="0"/>
              <w:jc w:val="center"/>
              <w:rPr>
                <w:rFonts w:hint="eastAsia" w:ascii="Times New Roman" w:eastAsia="宋体"/>
                <w:snapToGrid w:val="0"/>
                <w:color w:val="auto"/>
                <w:sz w:val="20"/>
                <w:szCs w:val="20"/>
                <w:lang w:eastAsia="zh-CN"/>
              </w:rPr>
            </w:pPr>
            <w:r>
              <w:rPr>
                <w:rFonts w:hint="eastAsia" w:ascii="Times New Roman"/>
                <w:snapToGrid w:val="0"/>
                <w:color w:val="auto"/>
                <w:sz w:val="20"/>
                <w:szCs w:val="20"/>
                <w:lang w:val="en-US" w:eastAsia="zh-CN"/>
              </w:rPr>
              <w:t>3.</w:t>
            </w:r>
            <w:r>
              <w:rPr>
                <w:rFonts w:hint="eastAsia"/>
                <w:snapToGrid w:val="0"/>
                <w:color w:val="auto"/>
                <w:sz w:val="20"/>
                <w:szCs w:val="20"/>
                <w:lang w:eastAsia="zh-CN"/>
              </w:rPr>
              <w:t>运营期</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p>
        </w:tc>
        <w:tc>
          <w:tcPr>
            <w:tcW w:w="593" w:type="pct"/>
            <w:noWrap w:val="0"/>
            <w:vAlign w:val="center"/>
          </w:tcPr>
          <w:p>
            <w:pPr>
              <w:adjustRightInd w:val="0"/>
              <w:snapToGrid w:val="0"/>
              <w:jc w:val="center"/>
              <w:rPr>
                <w:rFonts w:ascii="Times New Roman"/>
                <w:snapToGrid w:val="0"/>
                <w:color w:val="auto"/>
                <w:sz w:val="20"/>
                <w:szCs w:val="20"/>
              </w:rPr>
            </w:pPr>
          </w:p>
        </w:tc>
        <w:tc>
          <w:tcPr>
            <w:tcW w:w="435" w:type="pct"/>
            <w:noWrap w:val="0"/>
            <w:vAlign w:val="center"/>
          </w:tcPr>
          <w:p>
            <w:pPr>
              <w:adjustRightInd w:val="0"/>
              <w:snapToGrid w:val="0"/>
              <w:jc w:val="center"/>
              <w:rPr>
                <w:rFonts w:ascii="Times New Roman"/>
                <w:snapToGrid w:val="0"/>
                <w:color w:val="auto"/>
                <w:sz w:val="20"/>
                <w:szCs w:val="20"/>
              </w:rPr>
            </w:pPr>
          </w:p>
        </w:tc>
        <w:tc>
          <w:tcPr>
            <w:tcW w:w="591" w:type="pct"/>
            <w:noWrap w:val="0"/>
            <w:vAlign w:val="center"/>
          </w:tcPr>
          <w:p>
            <w:pPr>
              <w:adjustRightInd w:val="0"/>
              <w:snapToGrid w:val="0"/>
              <w:jc w:val="center"/>
              <w:rPr>
                <w:rFonts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3.</w:t>
            </w:r>
            <w:r>
              <w:rPr>
                <w:rFonts w:ascii="Times New Roman"/>
                <w:snapToGrid w:val="0"/>
                <w:color w:val="auto"/>
                <w:sz w:val="20"/>
                <w:szCs w:val="20"/>
              </w:rPr>
              <w:t>1</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空气污染</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做好码头区绿化工作，并及时进行绿化维护。</w:t>
            </w:r>
          </w:p>
        </w:tc>
        <w:tc>
          <w:tcPr>
            <w:tcW w:w="593" w:type="pct"/>
            <w:vMerge w:val="restart"/>
            <w:noWrap w:val="0"/>
            <w:vAlign w:val="center"/>
          </w:tcPr>
          <w:p>
            <w:pPr>
              <w:adjustRightInd w:val="0"/>
              <w:snapToGrid w:val="0"/>
              <w:jc w:val="center"/>
              <w:rPr>
                <w:rFonts w:hint="default" w:ascii="Times New Roman"/>
                <w:color w:val="auto"/>
                <w:sz w:val="20"/>
                <w:szCs w:val="20"/>
                <w:lang w:val="en-US"/>
              </w:rPr>
            </w:pPr>
            <w:r>
              <w:rPr>
                <w:rFonts w:hint="eastAsia"/>
                <w:color w:val="auto"/>
                <w:sz w:val="20"/>
                <w:szCs w:val="20"/>
                <w:lang w:val="en-US" w:eastAsia="zh-CN"/>
              </w:rPr>
              <w:t>宜都市飞强物流有限公司</w:t>
            </w:r>
          </w:p>
        </w:tc>
        <w:tc>
          <w:tcPr>
            <w:tcW w:w="435" w:type="pct"/>
            <w:vMerge w:val="restart"/>
            <w:noWrap w:val="0"/>
            <w:vAlign w:val="center"/>
          </w:tcPr>
          <w:p>
            <w:pPr>
              <w:adjustRightInd w:val="0"/>
              <w:snapToGrid w:val="0"/>
              <w:jc w:val="center"/>
              <w:rPr>
                <w:rFonts w:ascii="Times New Roman"/>
                <w:snapToGrid w:val="0"/>
                <w:color w:val="auto"/>
                <w:sz w:val="20"/>
                <w:szCs w:val="20"/>
              </w:rPr>
            </w:pPr>
            <w:r>
              <w:rPr>
                <w:rFonts w:ascii="Times New Roman"/>
                <w:snapToGrid w:val="0"/>
                <w:color w:val="auto"/>
                <w:spacing w:val="-4"/>
                <w:sz w:val="20"/>
                <w:szCs w:val="20"/>
              </w:rPr>
              <w:t>管理部门</w:t>
            </w:r>
          </w:p>
        </w:tc>
        <w:tc>
          <w:tcPr>
            <w:tcW w:w="591" w:type="pct"/>
            <w:vMerge w:val="restart"/>
            <w:noWrap w:val="0"/>
            <w:vAlign w:val="center"/>
          </w:tcPr>
          <w:p>
            <w:pPr>
              <w:adjustRightInd w:val="0"/>
              <w:snapToGrid w:val="0"/>
              <w:jc w:val="center"/>
              <w:rPr>
                <w:rFonts w:ascii="Times New Roman"/>
                <w:color w:val="auto"/>
                <w:sz w:val="20"/>
                <w:szCs w:val="20"/>
              </w:rPr>
            </w:pPr>
            <w:r>
              <w:rPr>
                <w:rFonts w:hint="eastAsia" w:ascii="Times New Roman"/>
                <w:snapToGrid w:val="0"/>
                <w:color w:val="auto"/>
                <w:sz w:val="20"/>
                <w:szCs w:val="20"/>
              </w:rPr>
              <w:t>宜昌市生态环境局宜都分局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3.</w:t>
            </w:r>
            <w:r>
              <w:rPr>
                <w:rFonts w:ascii="Times New Roman"/>
                <w:snapToGrid w:val="0"/>
                <w:color w:val="auto"/>
                <w:sz w:val="20"/>
                <w:szCs w:val="20"/>
              </w:rPr>
              <w:t>2</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水污染</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到港船舶不得向港口水域排放船舶污水，由海事部门认可的有资质的单位接收处理。</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码头人员生活污水通过各自趸船下方生活污水储存柜储存，委托海事部门认定的船舶污染物接收船定期统一处理；码头面冲洗废水和初期雨水经趸船收集坎收集后进入初期雨水收集柜储存，委托海事部门认定的船舶污染物接收船定期统一处理。</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运营期固体废物（船舶垃圾）集中收集，统一运至城市垃圾场，不得抛弃至江中；废机油暂存于趸船设置的危废暂存间内定期交由有资质单位处置。</w:t>
            </w:r>
          </w:p>
        </w:tc>
        <w:tc>
          <w:tcPr>
            <w:tcW w:w="593" w:type="pct"/>
            <w:vMerge w:val="continue"/>
            <w:noWrap w:val="0"/>
            <w:vAlign w:val="center"/>
          </w:tcPr>
          <w:p>
            <w:pPr>
              <w:adjustRightInd w:val="0"/>
              <w:snapToGrid w:val="0"/>
              <w:jc w:val="center"/>
              <w:rPr>
                <w:rFonts w:ascii="Times New Roman"/>
                <w:color w:val="auto"/>
                <w:sz w:val="20"/>
                <w:szCs w:val="20"/>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3.</w:t>
            </w:r>
            <w:r>
              <w:rPr>
                <w:rFonts w:ascii="Times New Roman"/>
                <w:snapToGrid w:val="0"/>
                <w:color w:val="auto"/>
                <w:sz w:val="20"/>
                <w:szCs w:val="20"/>
              </w:rPr>
              <w:t>3</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噪声</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加强机械和车辆维修保养，保持其低噪声水平。</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加强港区绿化，发挥植物降噪效果。</w:t>
            </w:r>
          </w:p>
        </w:tc>
        <w:tc>
          <w:tcPr>
            <w:tcW w:w="593" w:type="pct"/>
            <w:vMerge w:val="continue"/>
            <w:noWrap w:val="0"/>
            <w:vAlign w:val="center"/>
          </w:tcPr>
          <w:p>
            <w:pPr>
              <w:adjustRightInd w:val="0"/>
              <w:snapToGrid w:val="0"/>
              <w:jc w:val="center"/>
              <w:rPr>
                <w:rFonts w:ascii="Times New Roman"/>
                <w:color w:val="auto"/>
                <w:sz w:val="20"/>
                <w:szCs w:val="20"/>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eastAsia" w:ascii="Times New Roman"/>
                <w:snapToGrid w:val="0"/>
                <w:color w:val="auto"/>
                <w:sz w:val="20"/>
                <w:szCs w:val="20"/>
                <w:lang w:val="en-US" w:eastAsia="zh-CN"/>
              </w:rPr>
            </w:pPr>
            <w:r>
              <w:rPr>
                <w:rFonts w:hint="eastAsia"/>
                <w:snapToGrid w:val="0"/>
                <w:color w:val="auto"/>
                <w:sz w:val="20"/>
                <w:szCs w:val="20"/>
                <w:lang w:val="en-US" w:eastAsia="zh-CN"/>
              </w:rPr>
              <w:t>3.4</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snapToGrid w:val="0"/>
                <w:color w:val="auto"/>
                <w:sz w:val="20"/>
                <w:szCs w:val="20"/>
                <w:lang w:val="en-US" w:eastAsia="zh-CN"/>
              </w:rPr>
              <w:t>固体废物</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营运期固体废物（船舶垃圾）集中收集，统一运至城市垃圾场，不得抛弃至江中；废机油暂存于趸船设置的危废暂存间内定期交由有资质单位处置。</w:t>
            </w:r>
          </w:p>
        </w:tc>
        <w:tc>
          <w:tcPr>
            <w:tcW w:w="593" w:type="pct"/>
            <w:vMerge w:val="continue"/>
            <w:noWrap w:val="0"/>
            <w:vAlign w:val="center"/>
          </w:tcPr>
          <w:p>
            <w:pPr>
              <w:adjustRightInd w:val="0"/>
              <w:snapToGrid w:val="0"/>
              <w:jc w:val="center"/>
              <w:rPr>
                <w:rFonts w:hint="eastAsia"/>
                <w:color w:val="auto"/>
                <w:sz w:val="20"/>
                <w:szCs w:val="20"/>
                <w:lang w:val="en-US" w:eastAsia="zh-CN"/>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hint="eastAsia"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eastAsia" w:ascii="Times New Roman"/>
                <w:snapToGrid w:val="0"/>
                <w:color w:val="auto"/>
                <w:sz w:val="20"/>
                <w:szCs w:val="20"/>
                <w:lang w:val="en-US" w:eastAsia="zh-CN"/>
              </w:rPr>
            </w:pPr>
            <w:r>
              <w:rPr>
                <w:rFonts w:hint="eastAsia"/>
                <w:snapToGrid w:val="0"/>
                <w:color w:val="auto"/>
                <w:sz w:val="20"/>
                <w:szCs w:val="20"/>
                <w:lang w:val="en-US" w:eastAsia="zh-CN"/>
              </w:rPr>
              <w:t>3.5</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snapToGrid w:val="0"/>
                <w:color w:val="auto"/>
                <w:sz w:val="20"/>
                <w:szCs w:val="20"/>
                <w:lang w:val="en-US" w:eastAsia="zh-CN"/>
              </w:rPr>
              <w:t>水生生态</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码头建成营运后，应采取有效的监管措施，对可能存在的安全隐患，应建立应急预案。</w:t>
            </w:r>
          </w:p>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码头工程的环境保护管理机构和监测设施码头建成后，设环保管理人员负责码头区各项环保管理工作。</w:t>
            </w:r>
          </w:p>
        </w:tc>
        <w:tc>
          <w:tcPr>
            <w:tcW w:w="593" w:type="pct"/>
            <w:vMerge w:val="continue"/>
            <w:noWrap w:val="0"/>
            <w:vAlign w:val="center"/>
          </w:tcPr>
          <w:p>
            <w:pPr>
              <w:adjustRightInd w:val="0"/>
              <w:snapToGrid w:val="0"/>
              <w:jc w:val="center"/>
              <w:rPr>
                <w:rFonts w:hint="eastAsia"/>
                <w:color w:val="auto"/>
                <w:sz w:val="20"/>
                <w:szCs w:val="20"/>
                <w:lang w:val="en-US" w:eastAsia="zh-CN"/>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hint="eastAsia" w:ascii="Times New Roman"/>
                <w:snapToGrid w:val="0"/>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213" w:type="pct"/>
            <w:noWrap w:val="0"/>
            <w:tcMar>
              <w:left w:w="57" w:type="dxa"/>
              <w:right w:w="57" w:type="dxa"/>
            </w:tcMar>
            <w:vAlign w:val="center"/>
          </w:tcPr>
          <w:p>
            <w:pPr>
              <w:adjustRightInd w:val="0"/>
              <w:snapToGrid w:val="0"/>
              <w:jc w:val="center"/>
              <w:rPr>
                <w:rFonts w:hint="eastAsia" w:ascii="Times New Roman" w:eastAsia="宋体"/>
                <w:snapToGrid w:val="0"/>
                <w:color w:val="auto"/>
                <w:sz w:val="20"/>
                <w:szCs w:val="20"/>
                <w:lang w:eastAsia="zh-CN"/>
              </w:rPr>
            </w:pPr>
            <w:r>
              <w:rPr>
                <w:rFonts w:hint="eastAsia" w:ascii="Times New Roman"/>
                <w:snapToGrid w:val="0"/>
                <w:color w:val="auto"/>
                <w:sz w:val="20"/>
                <w:szCs w:val="20"/>
                <w:lang w:val="en-US" w:eastAsia="zh-CN"/>
              </w:rPr>
              <w:t>3.</w:t>
            </w:r>
            <w:r>
              <w:rPr>
                <w:rFonts w:hint="eastAsia"/>
                <w:snapToGrid w:val="0"/>
                <w:color w:val="auto"/>
                <w:sz w:val="20"/>
                <w:szCs w:val="20"/>
                <w:lang w:val="en-US" w:eastAsia="zh-CN"/>
              </w:rPr>
              <w:t>6</w:t>
            </w:r>
          </w:p>
        </w:tc>
        <w:tc>
          <w:tcPr>
            <w:tcW w:w="525" w:type="pct"/>
            <w:noWrap w:val="0"/>
            <w:tcMar>
              <w:left w:w="57" w:type="dxa"/>
              <w:right w:w="57" w:type="dxa"/>
            </w:tcMar>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事故应急</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按照《港口码头溢油应急设备配置要求》配备事故应急设备；制订事故溢油应急预案，事故期间按预案规定执行。</w:t>
            </w:r>
          </w:p>
        </w:tc>
        <w:tc>
          <w:tcPr>
            <w:tcW w:w="593" w:type="pct"/>
            <w:vMerge w:val="continue"/>
            <w:noWrap w:val="0"/>
            <w:vAlign w:val="center"/>
          </w:tcPr>
          <w:p>
            <w:pPr>
              <w:adjustRightInd w:val="0"/>
              <w:snapToGrid w:val="0"/>
              <w:jc w:val="center"/>
              <w:rPr>
                <w:rFonts w:ascii="Times New Roman"/>
                <w:color w:val="auto"/>
                <w:sz w:val="20"/>
                <w:szCs w:val="20"/>
              </w:rPr>
            </w:pPr>
          </w:p>
        </w:tc>
        <w:tc>
          <w:tcPr>
            <w:tcW w:w="435" w:type="pct"/>
            <w:vMerge w:val="continue"/>
            <w:noWrap w:val="0"/>
            <w:vAlign w:val="center"/>
          </w:tcPr>
          <w:p>
            <w:pPr>
              <w:adjustRightInd w:val="0"/>
              <w:snapToGrid w:val="0"/>
              <w:jc w:val="center"/>
              <w:rPr>
                <w:rFonts w:ascii="Times New Roman"/>
                <w:snapToGrid w:val="0"/>
                <w:color w:val="auto"/>
                <w:sz w:val="20"/>
                <w:szCs w:val="20"/>
              </w:rPr>
            </w:pPr>
          </w:p>
        </w:tc>
        <w:tc>
          <w:tcPr>
            <w:tcW w:w="591" w:type="pct"/>
            <w:vMerge w:val="continue"/>
            <w:noWrap w:val="0"/>
            <w:vAlign w:val="center"/>
          </w:tcPr>
          <w:p>
            <w:pPr>
              <w:adjustRightInd w:val="0"/>
              <w:snapToGrid w:val="0"/>
              <w:jc w:val="center"/>
              <w:rPr>
                <w:rFonts w:ascii="Times New Roman"/>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8" w:type="pct"/>
            <w:gridSpan w:val="2"/>
            <w:noWrap w:val="0"/>
            <w:tcMar>
              <w:left w:w="57" w:type="dxa"/>
              <w:right w:w="57" w:type="dxa"/>
            </w:tcMar>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lang w:val="en-US" w:eastAsia="zh-CN"/>
              </w:rPr>
              <w:t>4.</w:t>
            </w:r>
            <w:r>
              <w:rPr>
                <w:rFonts w:ascii="Times New Roman"/>
                <w:snapToGrid w:val="0"/>
                <w:color w:val="auto"/>
                <w:sz w:val="20"/>
                <w:szCs w:val="20"/>
              </w:rPr>
              <w:t>环境监测</w:t>
            </w:r>
          </w:p>
        </w:tc>
        <w:tc>
          <w:tcPr>
            <w:tcW w:w="2640" w:type="pct"/>
            <w:noWrap w:val="0"/>
            <w:tcMar>
              <w:left w:w="57" w:type="dxa"/>
              <w:right w:w="57" w:type="dxa"/>
            </w:tcMar>
            <w:vAlign w:val="center"/>
          </w:tcPr>
          <w:p>
            <w:pPr>
              <w:adjustRightInd w:val="0"/>
              <w:snapToGrid w:val="0"/>
              <w:jc w:val="center"/>
              <w:rPr>
                <w:rFonts w:hint="eastAsia"/>
                <w:snapToGrid w:val="0"/>
                <w:color w:val="auto"/>
                <w:sz w:val="20"/>
                <w:szCs w:val="20"/>
                <w:lang w:val="en-US" w:eastAsia="zh-CN"/>
              </w:rPr>
            </w:pPr>
            <w:r>
              <w:rPr>
                <w:rFonts w:hint="eastAsia"/>
                <w:snapToGrid w:val="0"/>
                <w:color w:val="auto"/>
                <w:sz w:val="20"/>
                <w:szCs w:val="20"/>
                <w:lang w:val="en-US" w:eastAsia="zh-CN"/>
              </w:rPr>
              <w:t>按环境监测技术规范及国家环保部颁布的监测标准、方法执行。</w:t>
            </w:r>
          </w:p>
        </w:tc>
        <w:tc>
          <w:tcPr>
            <w:tcW w:w="593" w:type="pct"/>
            <w:noWrap w:val="0"/>
            <w:vAlign w:val="center"/>
          </w:tcPr>
          <w:p>
            <w:pPr>
              <w:adjustRightInd w:val="0"/>
              <w:snapToGrid w:val="0"/>
              <w:jc w:val="center"/>
              <w:rPr>
                <w:rFonts w:ascii="Times New Roman"/>
                <w:snapToGrid w:val="0"/>
                <w:color w:val="auto"/>
                <w:sz w:val="20"/>
                <w:szCs w:val="20"/>
              </w:rPr>
            </w:pPr>
            <w:r>
              <w:rPr>
                <w:rFonts w:ascii="Times New Roman"/>
                <w:snapToGrid w:val="0"/>
                <w:color w:val="auto"/>
                <w:sz w:val="20"/>
                <w:szCs w:val="20"/>
              </w:rPr>
              <w:t>有资质的环境监测站</w:t>
            </w:r>
          </w:p>
        </w:tc>
        <w:tc>
          <w:tcPr>
            <w:tcW w:w="435" w:type="pct"/>
            <w:noWrap w:val="0"/>
            <w:vAlign w:val="center"/>
          </w:tcPr>
          <w:p>
            <w:pPr>
              <w:adjustRightInd w:val="0"/>
              <w:snapToGrid w:val="0"/>
              <w:jc w:val="center"/>
              <w:rPr>
                <w:rFonts w:ascii="Times New Roman"/>
                <w:snapToGrid w:val="0"/>
                <w:color w:val="auto"/>
                <w:sz w:val="20"/>
                <w:szCs w:val="20"/>
              </w:rPr>
            </w:pPr>
            <w:r>
              <w:rPr>
                <w:rFonts w:ascii="Times New Roman"/>
                <w:snapToGrid w:val="0"/>
                <w:color w:val="auto"/>
                <w:spacing w:val="-4"/>
                <w:sz w:val="20"/>
                <w:szCs w:val="20"/>
              </w:rPr>
              <w:t>管理部门</w:t>
            </w:r>
          </w:p>
        </w:tc>
        <w:tc>
          <w:tcPr>
            <w:tcW w:w="591" w:type="pct"/>
            <w:noWrap w:val="0"/>
            <w:vAlign w:val="center"/>
          </w:tcPr>
          <w:p>
            <w:pPr>
              <w:adjustRightInd w:val="0"/>
              <w:snapToGrid w:val="0"/>
              <w:jc w:val="center"/>
              <w:rPr>
                <w:rFonts w:ascii="Times New Roman"/>
                <w:snapToGrid w:val="0"/>
                <w:color w:val="auto"/>
                <w:sz w:val="20"/>
                <w:szCs w:val="20"/>
              </w:rPr>
            </w:pPr>
            <w:r>
              <w:rPr>
                <w:rFonts w:hint="eastAsia" w:ascii="Times New Roman"/>
                <w:snapToGrid w:val="0"/>
                <w:color w:val="auto"/>
                <w:sz w:val="20"/>
                <w:szCs w:val="20"/>
              </w:rPr>
              <w:t>宜昌市生态环境局宜都分局</w:t>
            </w:r>
          </w:p>
        </w:tc>
      </w:tr>
    </w:tbl>
    <w:p>
      <w:pPr>
        <w:pStyle w:val="8"/>
        <w:widowControl w:val="0"/>
        <w:spacing w:before="120" w:after="120" w:line="360" w:lineRule="auto"/>
        <w:rPr>
          <w:rFonts w:ascii="Times New Roman" w:hAnsi="Times New Roman"/>
          <w:b w:val="0"/>
          <w:color w:val="auto"/>
          <w:szCs w:val="32"/>
        </w:rPr>
      </w:pPr>
      <w:bookmarkStart w:id="538" w:name="_Toc343702955"/>
      <w:bookmarkStart w:id="539" w:name="_Toc305859604"/>
      <w:bookmarkStart w:id="540" w:name="_Toc241056867"/>
      <w:bookmarkStart w:id="541" w:name="_Toc12847"/>
      <w:bookmarkStart w:id="542" w:name="_Toc267576438"/>
      <w:r>
        <w:rPr>
          <w:rFonts w:ascii="Times New Roman" w:hAnsi="Times New Roman"/>
          <w:b w:val="0"/>
          <w:color w:val="auto"/>
          <w:szCs w:val="32"/>
        </w:rPr>
        <w:t>1</w:t>
      </w:r>
      <w:r>
        <w:rPr>
          <w:rFonts w:hint="eastAsia" w:ascii="Times New Roman" w:hAnsi="Times New Roman"/>
          <w:b w:val="0"/>
          <w:color w:val="auto"/>
          <w:szCs w:val="32"/>
          <w:lang w:val="en-US" w:eastAsia="zh-CN"/>
        </w:rPr>
        <w:t>0</w:t>
      </w:r>
      <w:r>
        <w:rPr>
          <w:rFonts w:ascii="Times New Roman" w:hAnsi="Times New Roman"/>
          <w:b w:val="0"/>
          <w:color w:val="auto"/>
          <w:szCs w:val="32"/>
        </w:rPr>
        <w:t>.2环境监测计划</w:t>
      </w:r>
      <w:bookmarkEnd w:id="538"/>
      <w:bookmarkEnd w:id="539"/>
      <w:bookmarkEnd w:id="540"/>
      <w:bookmarkEnd w:id="541"/>
      <w:bookmarkEnd w:id="542"/>
    </w:p>
    <w:p>
      <w:pPr>
        <w:pStyle w:val="9"/>
        <w:widowControl w:val="0"/>
        <w:spacing w:before="120" w:after="120" w:line="360" w:lineRule="auto"/>
        <w:rPr>
          <w:rFonts w:hint="default" w:eastAsia="黑体"/>
          <w:b w:val="0"/>
          <w:color w:val="auto"/>
          <w:sz w:val="24"/>
          <w:lang w:val="en-US" w:eastAsia="zh-CN"/>
        </w:rPr>
      </w:pPr>
      <w:bookmarkStart w:id="543" w:name="_Toc267576440"/>
      <w:bookmarkStart w:id="544" w:name="_Toc305859606"/>
      <w:bookmarkStart w:id="545" w:name="_Toc343702957"/>
      <w:bookmarkStart w:id="546" w:name="_Toc4110"/>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.2.1</w:t>
      </w:r>
      <w:bookmarkEnd w:id="543"/>
      <w:bookmarkEnd w:id="544"/>
      <w:bookmarkEnd w:id="545"/>
      <w:r>
        <w:rPr>
          <w:rFonts w:hint="eastAsia" w:eastAsia="黑体"/>
          <w:b w:val="0"/>
          <w:color w:val="auto"/>
          <w:sz w:val="24"/>
          <w:lang w:val="en-US" w:eastAsia="zh-CN"/>
        </w:rPr>
        <w:t>环境监测的目的</w:t>
      </w:r>
      <w:bookmarkEnd w:id="546"/>
    </w:p>
    <w:p>
      <w:pPr>
        <w:widowControl w:val="0"/>
        <w:spacing w:line="360" w:lineRule="auto"/>
        <w:ind w:firstLine="480" w:firstLineChars="200"/>
        <w:rPr>
          <w:rFonts w:eastAsia="仿宋_GB2312"/>
          <w:color w:val="auto"/>
          <w:sz w:val="24"/>
        </w:rPr>
      </w:pPr>
      <w:r>
        <w:rPr>
          <w:rFonts w:eastAsia="仿宋_GB2312"/>
          <w:color w:val="auto"/>
          <w:sz w:val="24"/>
        </w:rPr>
        <w:t>根</w:t>
      </w:r>
      <w:r>
        <w:rPr>
          <w:rFonts w:hint="eastAsia" w:eastAsia="仿宋_GB2312"/>
          <w:color w:val="auto"/>
          <w:sz w:val="24"/>
        </w:rPr>
        <w:t>为使本项目施工期和</w:t>
      </w:r>
      <w:r>
        <w:rPr>
          <w:rFonts w:hint="eastAsia" w:eastAsia="仿宋_GB2312"/>
          <w:color w:val="auto"/>
          <w:sz w:val="24"/>
          <w:lang w:eastAsia="zh-CN"/>
        </w:rPr>
        <w:t>运营期</w:t>
      </w:r>
      <w:r>
        <w:rPr>
          <w:rFonts w:hint="eastAsia" w:eastAsia="仿宋_GB2312"/>
          <w:color w:val="auto"/>
          <w:sz w:val="24"/>
        </w:rPr>
        <w:t>减少污染物的排放，减轻对环境的污染，使整个受工程建设影响的区域符合本报告提出的环境质量标准，工程施工期和</w:t>
      </w:r>
      <w:r>
        <w:rPr>
          <w:rFonts w:hint="eastAsia" w:eastAsia="仿宋_GB2312"/>
          <w:color w:val="auto"/>
          <w:sz w:val="24"/>
          <w:lang w:eastAsia="zh-CN"/>
        </w:rPr>
        <w:t>运营期</w:t>
      </w:r>
      <w:r>
        <w:rPr>
          <w:rFonts w:hint="eastAsia" w:eastAsia="仿宋_GB2312"/>
          <w:color w:val="auto"/>
          <w:sz w:val="24"/>
        </w:rPr>
        <w:t>必须执行本监测计划。通过必要的环境监测计划的实施，全面及时地掌握工程施工期和</w:t>
      </w:r>
      <w:r>
        <w:rPr>
          <w:rFonts w:hint="eastAsia" w:eastAsia="仿宋_GB2312"/>
          <w:color w:val="auto"/>
          <w:sz w:val="24"/>
          <w:lang w:eastAsia="zh-CN"/>
        </w:rPr>
        <w:t>运营期</w:t>
      </w:r>
      <w:r>
        <w:rPr>
          <w:rFonts w:hint="eastAsia" w:eastAsia="仿宋_GB2312"/>
          <w:color w:val="auto"/>
          <w:sz w:val="24"/>
        </w:rPr>
        <w:t>环境状况，对可能发生的污染进行监测，为制定必要的污染控制措施提供依据。</w:t>
      </w:r>
    </w:p>
    <w:p>
      <w:pPr>
        <w:pStyle w:val="9"/>
        <w:widowControl w:val="0"/>
        <w:spacing w:before="120" w:after="120" w:line="360" w:lineRule="auto"/>
        <w:rPr>
          <w:rFonts w:hint="default" w:eastAsia="黑体"/>
          <w:b w:val="0"/>
          <w:color w:val="auto"/>
          <w:sz w:val="24"/>
          <w:lang w:val="en-US" w:eastAsia="zh-CN"/>
        </w:rPr>
      </w:pPr>
      <w:bookmarkStart w:id="547" w:name="_Toc17246"/>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.2.</w:t>
      </w:r>
      <w:r>
        <w:rPr>
          <w:rFonts w:hint="eastAsia" w:eastAsia="黑体"/>
          <w:b w:val="0"/>
          <w:color w:val="auto"/>
          <w:sz w:val="24"/>
          <w:lang w:val="en-US" w:eastAsia="zh-CN"/>
        </w:rPr>
        <w:t>2监测机构</w:t>
      </w:r>
      <w:bookmarkEnd w:id="547"/>
    </w:p>
    <w:p>
      <w:pPr>
        <w:widowControl w:val="0"/>
        <w:spacing w:line="360" w:lineRule="auto"/>
        <w:ind w:firstLine="480" w:firstLineChars="200"/>
        <w:rPr>
          <w:rFonts w:eastAsia="仿宋_GB2312"/>
          <w:color w:val="auto"/>
          <w:sz w:val="24"/>
        </w:rPr>
      </w:pPr>
      <w:r>
        <w:rPr>
          <w:rFonts w:hint="eastAsia" w:eastAsia="仿宋_GB2312"/>
          <w:color w:val="auto"/>
          <w:sz w:val="24"/>
        </w:rPr>
        <w:t>施工期和</w:t>
      </w:r>
      <w:r>
        <w:rPr>
          <w:rFonts w:hint="eastAsia" w:eastAsia="仿宋_GB2312"/>
          <w:color w:val="auto"/>
          <w:sz w:val="24"/>
          <w:lang w:eastAsia="zh-CN"/>
        </w:rPr>
        <w:t>运营期</w:t>
      </w:r>
      <w:r>
        <w:rPr>
          <w:rFonts w:hint="eastAsia" w:eastAsia="仿宋_GB2312"/>
          <w:color w:val="auto"/>
          <w:sz w:val="24"/>
        </w:rPr>
        <w:t>的大气环境、水环境和声环境监测可由当地符合环境监测资质的单位进行环境监测工作</w:t>
      </w:r>
      <w:r>
        <w:rPr>
          <w:rFonts w:eastAsia="仿宋_GB2312"/>
          <w:color w:val="auto"/>
          <w:sz w:val="24"/>
        </w:rPr>
        <w:t>。</w:t>
      </w:r>
    </w:p>
    <w:p>
      <w:pPr>
        <w:pStyle w:val="9"/>
        <w:widowControl w:val="0"/>
        <w:spacing w:before="120" w:after="120" w:line="360" w:lineRule="auto"/>
        <w:rPr>
          <w:rFonts w:hint="default" w:eastAsia="黑体"/>
          <w:b w:val="0"/>
          <w:color w:val="auto"/>
          <w:sz w:val="24"/>
          <w:lang w:val="en-US" w:eastAsia="zh-CN"/>
        </w:rPr>
      </w:pPr>
      <w:bookmarkStart w:id="548" w:name="_Toc19349"/>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.2.</w:t>
      </w:r>
      <w:r>
        <w:rPr>
          <w:rFonts w:hint="eastAsia" w:eastAsia="黑体"/>
          <w:b w:val="0"/>
          <w:color w:val="auto"/>
          <w:sz w:val="24"/>
          <w:lang w:val="en-US" w:eastAsia="zh-CN"/>
        </w:rPr>
        <w:t>3监测计划</w:t>
      </w:r>
      <w:bookmarkEnd w:id="548"/>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根据《建设项目竣工环境保护验收技术规范港口》（HJ436-2008）、《排污单位自行监测技术指南总则》（HJ819-2017）、《排污许可证申请与核发技术规范 码头》（HJ1107-2020）等要求，本评价提出项目施工期、运营期监测计划详见下表，本项目</w:t>
      </w:r>
      <w:r>
        <w:rPr>
          <w:rFonts w:hint="eastAsia" w:eastAsia="仿宋_GB2312"/>
          <w:color w:val="auto"/>
          <w:sz w:val="24"/>
        </w:rPr>
        <w:t>施工期和</w:t>
      </w:r>
      <w:r>
        <w:rPr>
          <w:rFonts w:hint="eastAsia" w:eastAsia="仿宋_GB2312"/>
          <w:color w:val="auto"/>
          <w:sz w:val="24"/>
          <w:lang w:eastAsia="zh-CN"/>
        </w:rPr>
        <w:t>运营期</w:t>
      </w:r>
      <w:r>
        <w:rPr>
          <w:rFonts w:hint="eastAsia" w:eastAsia="仿宋_GB2312"/>
          <w:color w:val="auto"/>
          <w:sz w:val="24"/>
          <w:lang w:val="en-US" w:eastAsia="zh-CN"/>
        </w:rPr>
        <w:t>监测计划见下表。</w:t>
      </w:r>
    </w:p>
    <w:p>
      <w:pPr>
        <w:widowControl w:val="0"/>
        <w:spacing w:line="360" w:lineRule="auto"/>
        <w:ind w:firstLine="422" w:firstLineChars="200"/>
        <w:jc w:val="center"/>
        <w:rPr>
          <w:rFonts w:hint="default" w:eastAsia="黑体"/>
          <w:b/>
          <w:color w:val="auto"/>
          <w:szCs w:val="21"/>
          <w:lang w:val="en-US" w:eastAsia="zh-CN"/>
        </w:rPr>
      </w:pPr>
      <w:r>
        <w:rPr>
          <w:rFonts w:eastAsia="黑体"/>
          <w:b/>
          <w:color w:val="auto"/>
          <w:szCs w:val="21"/>
        </w:rPr>
        <w:t>表1</w:t>
      </w:r>
      <w:r>
        <w:rPr>
          <w:rFonts w:hint="eastAsia" w:eastAsia="黑体"/>
          <w:b/>
          <w:color w:val="auto"/>
          <w:szCs w:val="21"/>
          <w:lang w:val="en-US" w:eastAsia="zh-CN"/>
        </w:rPr>
        <w:t>0</w:t>
      </w:r>
      <w:r>
        <w:rPr>
          <w:rFonts w:eastAsia="黑体"/>
          <w:b/>
          <w:color w:val="auto"/>
          <w:szCs w:val="21"/>
        </w:rPr>
        <w:t xml:space="preserve">.2-1  </w:t>
      </w:r>
      <w:r>
        <w:rPr>
          <w:rFonts w:hint="eastAsia" w:eastAsia="黑体"/>
          <w:b/>
          <w:color w:val="auto"/>
          <w:szCs w:val="21"/>
          <w:lang w:val="en-US" w:eastAsia="zh-CN"/>
        </w:rPr>
        <w:t>施工期环境监测计划表</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7"/>
        <w:gridCol w:w="1665"/>
        <w:gridCol w:w="2355"/>
        <w:gridCol w:w="1065"/>
        <w:gridCol w:w="20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57"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监测内容</w:t>
            </w:r>
          </w:p>
        </w:tc>
        <w:tc>
          <w:tcPr>
            <w:tcW w:w="1665" w:type="dxa"/>
            <w:tcBorders>
              <w:top w:val="single" w:color="auto" w:sz="12" w:space="0"/>
              <w:bottom w:val="single" w:color="auto" w:sz="12" w:space="0"/>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监测地点</w:t>
            </w:r>
          </w:p>
        </w:tc>
        <w:tc>
          <w:tcPr>
            <w:tcW w:w="2355"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监测项目</w:t>
            </w:r>
          </w:p>
        </w:tc>
        <w:tc>
          <w:tcPr>
            <w:tcW w:w="1065"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监测频次</w:t>
            </w:r>
          </w:p>
        </w:tc>
        <w:tc>
          <w:tcPr>
            <w:tcW w:w="2003"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57" w:type="dxa"/>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施工扬尘</w:t>
            </w:r>
          </w:p>
        </w:tc>
        <w:tc>
          <w:tcPr>
            <w:tcW w:w="1665" w:type="dxa"/>
            <w:tcBorders>
              <w:top w:val="single" w:color="auto" w:sz="12" w:space="0"/>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施工厂界</w:t>
            </w:r>
          </w:p>
        </w:tc>
        <w:tc>
          <w:tcPr>
            <w:tcW w:w="2355" w:type="dxa"/>
            <w:tcBorders>
              <w:top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TSP</w:t>
            </w:r>
          </w:p>
        </w:tc>
        <w:tc>
          <w:tcPr>
            <w:tcW w:w="1065" w:type="dxa"/>
            <w:tcBorders>
              <w:top w:val="single" w:color="auto" w:sz="12" w:space="0"/>
            </w:tcBorders>
            <w:noWrap w:val="0"/>
            <w:vAlign w:val="center"/>
          </w:tcPr>
          <w:p>
            <w:pPr>
              <w:widowControl w:val="0"/>
              <w:jc w:val="center"/>
              <w:rPr>
                <w:rFonts w:hint="default"/>
                <w:color w:val="auto"/>
                <w:sz w:val="20"/>
                <w:lang w:val="en-US" w:eastAsia="zh-CN"/>
              </w:rPr>
            </w:pPr>
            <w:r>
              <w:rPr>
                <w:rFonts w:hint="eastAsia"/>
                <w:color w:val="auto"/>
                <w:sz w:val="20"/>
                <w:lang w:val="en-US" w:eastAsia="zh-CN"/>
              </w:rPr>
              <w:t>1次/季度</w:t>
            </w:r>
          </w:p>
        </w:tc>
        <w:tc>
          <w:tcPr>
            <w:tcW w:w="2003" w:type="dxa"/>
            <w:tcBorders>
              <w:top w:val="single" w:color="auto" w:sz="12" w:space="0"/>
            </w:tcBorders>
            <w:noWrap w:val="0"/>
            <w:vAlign w:val="center"/>
          </w:tcPr>
          <w:p>
            <w:pPr>
              <w:widowControl w:val="0"/>
              <w:jc w:val="center"/>
              <w:rPr>
                <w:rFonts w:hint="default"/>
                <w:color w:val="auto"/>
                <w:sz w:val="20"/>
                <w:lang w:val="en-US" w:eastAsia="zh-CN"/>
              </w:rPr>
            </w:pPr>
            <w:r>
              <w:rPr>
                <w:rFonts w:hint="eastAsia"/>
                <w:color w:val="auto"/>
                <w:sz w:val="20"/>
                <w:lang w:val="en-US" w:eastAsia="zh-CN"/>
              </w:rPr>
              <w:t>连续监测3天，每天连续采样12小时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57" w:type="dxa"/>
            <w:noWrap w:val="0"/>
            <w:vAlign w:val="center"/>
          </w:tcPr>
          <w:p>
            <w:pPr>
              <w:widowControl w:val="0"/>
              <w:jc w:val="center"/>
              <w:rPr>
                <w:rFonts w:hint="eastAsia" w:eastAsia="宋体"/>
                <w:color w:val="auto"/>
                <w:sz w:val="20"/>
                <w:lang w:val="en-US" w:eastAsia="zh-CN"/>
              </w:rPr>
            </w:pPr>
            <w:r>
              <w:rPr>
                <w:rFonts w:hint="eastAsia"/>
                <w:color w:val="auto"/>
                <w:sz w:val="20"/>
                <w:lang w:val="en-US" w:eastAsia="zh-CN"/>
              </w:rPr>
              <w:t>地表水</w:t>
            </w:r>
          </w:p>
        </w:tc>
        <w:tc>
          <w:tcPr>
            <w:tcW w:w="1665" w:type="dxa"/>
            <w:noWrap w:val="0"/>
            <w:vAlign w:val="center"/>
          </w:tcPr>
          <w:p>
            <w:pPr>
              <w:widowControl w:val="0"/>
              <w:jc w:val="center"/>
              <w:rPr>
                <w:rFonts w:hint="eastAsia"/>
                <w:color w:val="auto"/>
                <w:sz w:val="20"/>
                <w:lang w:val="en-US" w:eastAsia="zh-CN"/>
              </w:rPr>
            </w:pPr>
            <w:r>
              <w:rPr>
                <w:rFonts w:hint="eastAsia"/>
                <w:color w:val="auto"/>
                <w:sz w:val="20"/>
                <w:lang w:val="en-US" w:eastAsia="zh-CN"/>
              </w:rPr>
              <w:t>码头上游500m、下游500m各布设1条监测断面</w:t>
            </w:r>
          </w:p>
        </w:tc>
        <w:tc>
          <w:tcPr>
            <w:tcW w:w="2355" w:type="dxa"/>
            <w:noWrap w:val="0"/>
            <w:vAlign w:val="center"/>
          </w:tcPr>
          <w:p>
            <w:pPr>
              <w:widowControl w:val="0"/>
              <w:jc w:val="center"/>
              <w:rPr>
                <w:rFonts w:hint="eastAsia"/>
                <w:color w:val="auto"/>
                <w:sz w:val="20"/>
                <w:lang w:val="en-US" w:eastAsia="zh-CN"/>
              </w:rPr>
            </w:pPr>
            <w:r>
              <w:rPr>
                <w:rFonts w:hint="eastAsia"/>
                <w:color w:val="auto"/>
                <w:sz w:val="20"/>
                <w:lang w:val="en-US" w:eastAsia="zh-CN"/>
              </w:rPr>
              <w:t>pH、SS、溶解氧、高锰酸盐指数、COD、BOD</w:t>
            </w:r>
            <w:r>
              <w:rPr>
                <w:rFonts w:hint="eastAsia"/>
                <w:color w:val="auto"/>
                <w:sz w:val="20"/>
                <w:vertAlign w:val="subscript"/>
                <w:lang w:val="en-US" w:eastAsia="zh-CN"/>
              </w:rPr>
              <w:t>5</w:t>
            </w:r>
            <w:r>
              <w:rPr>
                <w:rFonts w:hint="eastAsia"/>
                <w:color w:val="auto"/>
                <w:sz w:val="20"/>
                <w:lang w:val="en-US" w:eastAsia="zh-CN"/>
              </w:rPr>
              <w:t>、氨氮、总磷、石油类</w:t>
            </w:r>
          </w:p>
        </w:tc>
        <w:tc>
          <w:tcPr>
            <w:tcW w:w="1065" w:type="dxa"/>
            <w:noWrap w:val="0"/>
            <w:vAlign w:val="center"/>
          </w:tcPr>
          <w:p>
            <w:pPr>
              <w:widowControl w:val="0"/>
              <w:jc w:val="center"/>
              <w:rPr>
                <w:rFonts w:hint="default"/>
                <w:color w:val="auto"/>
                <w:sz w:val="20"/>
                <w:lang w:val="en-US" w:eastAsia="zh-CN"/>
              </w:rPr>
            </w:pPr>
            <w:r>
              <w:rPr>
                <w:rFonts w:hint="eastAsia"/>
                <w:color w:val="auto"/>
                <w:sz w:val="20"/>
                <w:lang w:val="en-US" w:eastAsia="zh-CN"/>
              </w:rPr>
              <w:t>涉水施工期间监测1次</w:t>
            </w:r>
          </w:p>
        </w:tc>
        <w:tc>
          <w:tcPr>
            <w:tcW w:w="20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连续监测2天，每天上、下午各采一次表层水样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57"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施工噪声</w:t>
            </w:r>
          </w:p>
        </w:tc>
        <w:tc>
          <w:tcPr>
            <w:tcW w:w="1665" w:type="dxa"/>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码头厂界</w:t>
            </w:r>
          </w:p>
        </w:tc>
        <w:tc>
          <w:tcPr>
            <w:tcW w:w="2355" w:type="dxa"/>
            <w:noWrap w:val="0"/>
            <w:vAlign w:val="center"/>
          </w:tcPr>
          <w:p>
            <w:pPr>
              <w:widowControl w:val="0"/>
              <w:jc w:val="center"/>
              <w:rPr>
                <w:rFonts w:hint="eastAsia"/>
                <w:color w:val="auto"/>
                <w:sz w:val="20"/>
              </w:rPr>
            </w:pPr>
            <w:r>
              <w:rPr>
                <w:rFonts w:ascii="Times New Roman"/>
                <w:snapToGrid w:val="0"/>
                <w:color w:val="auto"/>
                <w:sz w:val="21"/>
                <w:szCs w:val="21"/>
              </w:rPr>
              <w:t>噪声</w:t>
            </w:r>
          </w:p>
        </w:tc>
        <w:tc>
          <w:tcPr>
            <w:tcW w:w="1065" w:type="dxa"/>
            <w:noWrap w:val="0"/>
            <w:vAlign w:val="center"/>
          </w:tcPr>
          <w:p>
            <w:pPr>
              <w:widowControl w:val="0"/>
              <w:jc w:val="center"/>
              <w:rPr>
                <w:rFonts w:hint="default"/>
                <w:color w:val="auto"/>
                <w:sz w:val="20"/>
                <w:lang w:val="en-US" w:eastAsia="zh-CN"/>
              </w:rPr>
            </w:pPr>
            <w:r>
              <w:rPr>
                <w:rFonts w:hint="eastAsia"/>
                <w:color w:val="auto"/>
                <w:sz w:val="20"/>
                <w:lang w:val="en-US" w:eastAsia="zh-CN"/>
              </w:rPr>
              <w:t>1次/季度</w:t>
            </w:r>
          </w:p>
        </w:tc>
        <w:tc>
          <w:tcPr>
            <w:tcW w:w="20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连续监测2天，</w:t>
            </w:r>
          </w:p>
          <w:p>
            <w:pPr>
              <w:widowControl w:val="0"/>
              <w:jc w:val="center"/>
              <w:rPr>
                <w:rFonts w:hint="eastAsia"/>
                <w:color w:val="auto"/>
                <w:sz w:val="20"/>
                <w:lang w:val="en-US" w:eastAsia="zh-CN"/>
              </w:rPr>
            </w:pPr>
            <w:r>
              <w:rPr>
                <w:rFonts w:hint="eastAsia"/>
                <w:color w:val="auto"/>
                <w:sz w:val="20"/>
                <w:lang w:val="en-US" w:eastAsia="zh-CN"/>
              </w:rPr>
              <w:t>昼、夜各一次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157" w:type="dxa"/>
            <w:noWrap w:val="0"/>
            <w:vAlign w:val="center"/>
          </w:tcPr>
          <w:p>
            <w:pPr>
              <w:widowControl w:val="0"/>
              <w:jc w:val="center"/>
              <w:rPr>
                <w:rFonts w:hint="default"/>
                <w:color w:val="auto"/>
                <w:sz w:val="20"/>
                <w:lang w:val="en-US" w:eastAsia="zh-CN"/>
              </w:rPr>
            </w:pPr>
            <w:r>
              <w:rPr>
                <w:rFonts w:hint="eastAsia"/>
                <w:color w:val="auto"/>
                <w:sz w:val="20"/>
                <w:lang w:val="en-US" w:eastAsia="zh-CN"/>
              </w:rPr>
              <w:t>水生生物</w:t>
            </w:r>
          </w:p>
        </w:tc>
        <w:tc>
          <w:tcPr>
            <w:tcW w:w="1665" w:type="dxa"/>
            <w:noWrap w:val="0"/>
            <w:vAlign w:val="center"/>
          </w:tcPr>
          <w:p>
            <w:pPr>
              <w:widowControl w:val="0"/>
              <w:jc w:val="center"/>
              <w:rPr>
                <w:rFonts w:hint="default"/>
                <w:color w:val="auto"/>
                <w:sz w:val="20"/>
                <w:lang w:val="en-US" w:eastAsia="zh-CN"/>
              </w:rPr>
            </w:pPr>
            <w:r>
              <w:rPr>
                <w:rFonts w:hint="eastAsia"/>
                <w:color w:val="auto"/>
                <w:sz w:val="20"/>
                <w:lang w:val="en-US" w:eastAsia="zh-CN"/>
              </w:rPr>
              <w:t>工程所在江段</w:t>
            </w:r>
          </w:p>
        </w:tc>
        <w:tc>
          <w:tcPr>
            <w:tcW w:w="2355" w:type="dxa"/>
            <w:noWrap w:val="0"/>
            <w:vAlign w:val="center"/>
          </w:tcPr>
          <w:p>
            <w:pPr>
              <w:widowControl w:val="0"/>
              <w:jc w:val="center"/>
              <w:rPr>
                <w:rFonts w:hint="eastAsia"/>
                <w:color w:val="auto"/>
                <w:sz w:val="20"/>
                <w:lang w:val="en-US" w:eastAsia="zh-CN"/>
              </w:rPr>
            </w:pPr>
            <w:r>
              <w:rPr>
                <w:rFonts w:hint="eastAsia"/>
                <w:color w:val="auto"/>
                <w:sz w:val="20"/>
                <w:lang w:val="en-US" w:eastAsia="zh-CN"/>
              </w:rPr>
              <w:t>中华鲟、江豚等</w:t>
            </w:r>
          </w:p>
        </w:tc>
        <w:tc>
          <w:tcPr>
            <w:tcW w:w="1065" w:type="dxa"/>
            <w:noWrap w:val="0"/>
            <w:vAlign w:val="center"/>
          </w:tcPr>
          <w:p>
            <w:pPr>
              <w:widowControl w:val="0"/>
              <w:jc w:val="center"/>
              <w:rPr>
                <w:rFonts w:hint="default"/>
                <w:color w:val="auto"/>
                <w:sz w:val="20"/>
                <w:lang w:val="en-US" w:eastAsia="zh-CN"/>
              </w:rPr>
            </w:pPr>
            <w:r>
              <w:rPr>
                <w:rFonts w:hint="eastAsia"/>
                <w:color w:val="auto"/>
                <w:sz w:val="20"/>
                <w:lang w:val="en-US" w:eastAsia="zh-CN"/>
              </w:rPr>
              <w:t>涉水施工期间监测2次/天</w:t>
            </w:r>
          </w:p>
        </w:tc>
        <w:tc>
          <w:tcPr>
            <w:tcW w:w="20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涉水施工期每天观察</w:t>
            </w:r>
          </w:p>
        </w:tc>
      </w:tr>
    </w:tbl>
    <w:p>
      <w:pPr>
        <w:widowControl w:val="0"/>
        <w:spacing w:line="360" w:lineRule="auto"/>
        <w:ind w:firstLine="422" w:firstLineChars="200"/>
        <w:jc w:val="center"/>
        <w:rPr>
          <w:rFonts w:hint="default" w:eastAsia="黑体"/>
          <w:b/>
          <w:color w:val="auto"/>
          <w:szCs w:val="21"/>
          <w:lang w:val="en-US" w:eastAsia="zh-CN"/>
        </w:rPr>
      </w:pPr>
      <w:r>
        <w:rPr>
          <w:rFonts w:eastAsia="黑体"/>
          <w:b/>
          <w:color w:val="auto"/>
          <w:szCs w:val="21"/>
        </w:rPr>
        <w:t>表1</w:t>
      </w:r>
      <w:r>
        <w:rPr>
          <w:rFonts w:hint="eastAsia" w:eastAsia="黑体"/>
          <w:b/>
          <w:color w:val="auto"/>
          <w:szCs w:val="21"/>
          <w:lang w:val="en-US" w:eastAsia="zh-CN"/>
        </w:rPr>
        <w:t>0</w:t>
      </w:r>
      <w:r>
        <w:rPr>
          <w:rFonts w:eastAsia="黑体"/>
          <w:b/>
          <w:color w:val="auto"/>
          <w:szCs w:val="21"/>
        </w:rPr>
        <w:t>.2-</w:t>
      </w:r>
      <w:r>
        <w:rPr>
          <w:rFonts w:hint="eastAsia" w:eastAsia="黑体"/>
          <w:b/>
          <w:color w:val="auto"/>
          <w:szCs w:val="21"/>
          <w:lang w:val="en-US" w:eastAsia="zh-CN"/>
        </w:rPr>
        <w:t>2</w:t>
      </w:r>
      <w:r>
        <w:rPr>
          <w:rFonts w:eastAsia="黑体"/>
          <w:b/>
          <w:color w:val="auto"/>
          <w:szCs w:val="21"/>
        </w:rPr>
        <w:t xml:space="preserve">  </w:t>
      </w:r>
      <w:r>
        <w:rPr>
          <w:rFonts w:hint="eastAsia" w:eastAsia="黑体"/>
          <w:b/>
          <w:color w:val="auto"/>
          <w:szCs w:val="21"/>
          <w:lang w:val="en-US" w:eastAsia="zh-CN"/>
        </w:rPr>
        <w:t>运营期环境监测计划表</w:t>
      </w:r>
    </w:p>
    <w:tbl>
      <w:tblPr>
        <w:tblStyle w:val="9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52"/>
        <w:gridCol w:w="1290"/>
        <w:gridCol w:w="3450"/>
        <w:gridCol w:w="1050"/>
        <w:gridCol w:w="14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监测内容</w:t>
            </w:r>
          </w:p>
        </w:tc>
        <w:tc>
          <w:tcPr>
            <w:tcW w:w="1290" w:type="dxa"/>
            <w:tcBorders>
              <w:top w:val="single" w:color="auto" w:sz="12" w:space="0"/>
              <w:bottom w:val="single" w:color="auto" w:sz="12" w:space="0"/>
            </w:tcBorders>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监测地点</w:t>
            </w:r>
          </w:p>
        </w:tc>
        <w:tc>
          <w:tcPr>
            <w:tcW w:w="3450"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监测项目</w:t>
            </w:r>
          </w:p>
        </w:tc>
        <w:tc>
          <w:tcPr>
            <w:tcW w:w="1050"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监测频次</w:t>
            </w:r>
          </w:p>
        </w:tc>
        <w:tc>
          <w:tcPr>
            <w:tcW w:w="1403" w:type="dxa"/>
            <w:tcBorders>
              <w:top w:val="single" w:color="auto" w:sz="12" w:space="0"/>
              <w:bottom w:val="single" w:color="auto" w:sz="12" w:space="0"/>
            </w:tcBorders>
            <w:noWrap w:val="0"/>
            <w:vAlign w:val="center"/>
          </w:tcPr>
          <w:p>
            <w:pPr>
              <w:widowControl w:val="0"/>
              <w:jc w:val="center"/>
              <w:rPr>
                <w:rFonts w:hint="default" w:eastAsia="宋体"/>
                <w:color w:val="auto"/>
                <w:sz w:val="20"/>
                <w:lang w:val="en-US" w:eastAsia="zh-CN"/>
              </w:rPr>
            </w:pPr>
            <w:r>
              <w:rPr>
                <w:rFonts w:hint="eastAsia"/>
                <w:color w:val="auto"/>
                <w:sz w:val="20"/>
                <w:lang w:val="en-US" w:eastAsia="zh-CN"/>
              </w:rPr>
              <w:t>监测方式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245" w:type="dxa"/>
            <w:gridSpan w:val="5"/>
            <w:noWrap w:val="0"/>
            <w:vAlign w:val="center"/>
          </w:tcPr>
          <w:p>
            <w:pPr>
              <w:widowControl w:val="0"/>
              <w:jc w:val="center"/>
              <w:rPr>
                <w:rFonts w:hint="default"/>
                <w:color w:val="auto"/>
                <w:sz w:val="20"/>
                <w:lang w:val="en-US" w:eastAsia="zh-CN"/>
              </w:rPr>
            </w:pPr>
            <w:r>
              <w:rPr>
                <w:rFonts w:hint="eastAsia"/>
                <w:color w:val="auto"/>
                <w:sz w:val="20"/>
                <w:lang w:val="en-US" w:eastAsia="zh-CN"/>
              </w:rPr>
              <w:t>一、污染源监测计划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eastAsia"/>
                <w:color w:val="auto"/>
                <w:sz w:val="20"/>
                <w:lang w:val="en-US" w:eastAsia="zh-CN"/>
              </w:rPr>
            </w:pPr>
            <w:r>
              <w:rPr>
                <w:rFonts w:hint="eastAsia"/>
                <w:color w:val="auto"/>
                <w:sz w:val="20"/>
                <w:lang w:val="en-US" w:eastAsia="zh-CN"/>
              </w:rPr>
              <w:t>废气</w:t>
            </w:r>
          </w:p>
        </w:tc>
        <w:tc>
          <w:tcPr>
            <w:tcW w:w="1290" w:type="dxa"/>
            <w:noWrap w:val="0"/>
            <w:vAlign w:val="center"/>
          </w:tcPr>
          <w:p>
            <w:pPr>
              <w:widowControl w:val="0"/>
              <w:jc w:val="center"/>
              <w:rPr>
                <w:rFonts w:hint="eastAsia"/>
                <w:color w:val="auto"/>
                <w:sz w:val="20"/>
                <w:lang w:val="en-US" w:eastAsia="zh-CN"/>
              </w:rPr>
            </w:pPr>
            <w:r>
              <w:rPr>
                <w:rFonts w:hint="eastAsia"/>
                <w:color w:val="auto"/>
                <w:sz w:val="20"/>
                <w:lang w:val="en-US" w:eastAsia="zh-CN"/>
              </w:rPr>
              <w:t>码头厂界</w:t>
            </w:r>
          </w:p>
        </w:tc>
        <w:tc>
          <w:tcPr>
            <w:tcW w:w="3450" w:type="dxa"/>
            <w:noWrap w:val="0"/>
            <w:vAlign w:val="center"/>
          </w:tcPr>
          <w:p>
            <w:pPr>
              <w:widowControl w:val="0"/>
              <w:jc w:val="center"/>
              <w:rPr>
                <w:rFonts w:hint="default"/>
                <w:color w:val="auto"/>
                <w:sz w:val="20"/>
                <w:lang w:val="en-US" w:eastAsia="zh-CN"/>
              </w:rPr>
            </w:pPr>
            <w:r>
              <w:rPr>
                <w:rFonts w:hint="eastAsia"/>
                <w:color w:val="auto"/>
                <w:sz w:val="20"/>
                <w:lang w:val="en-US" w:eastAsia="zh-CN"/>
              </w:rPr>
              <w:t>TSP</w:t>
            </w:r>
          </w:p>
        </w:tc>
        <w:tc>
          <w:tcPr>
            <w:tcW w:w="1050" w:type="dxa"/>
            <w:noWrap w:val="0"/>
            <w:vAlign w:val="center"/>
          </w:tcPr>
          <w:p>
            <w:pPr>
              <w:widowControl w:val="0"/>
              <w:jc w:val="center"/>
              <w:rPr>
                <w:rFonts w:hint="eastAsia"/>
                <w:color w:val="auto"/>
                <w:sz w:val="20"/>
                <w:lang w:val="en-US" w:eastAsia="zh-CN"/>
              </w:rPr>
            </w:pPr>
            <w:r>
              <w:rPr>
                <w:rFonts w:hint="eastAsia"/>
                <w:color w:val="auto"/>
                <w:sz w:val="20"/>
                <w:lang w:val="en-US" w:eastAsia="zh-CN"/>
              </w:rPr>
              <w:t>1次/半年</w:t>
            </w:r>
          </w:p>
        </w:tc>
        <w:tc>
          <w:tcPr>
            <w:tcW w:w="14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连续监测3天，每天连续采样12小时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噪声</w:t>
            </w:r>
          </w:p>
        </w:tc>
        <w:tc>
          <w:tcPr>
            <w:tcW w:w="1290" w:type="dxa"/>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港界外1m</w:t>
            </w:r>
          </w:p>
        </w:tc>
        <w:tc>
          <w:tcPr>
            <w:tcW w:w="3450"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color w:val="auto"/>
              </w:rPr>
              <w:t>Leq</w:t>
            </w:r>
            <w:r>
              <w:rPr>
                <w:rFonts w:hint="eastAsia"/>
                <w:color w:val="auto"/>
                <w:spacing w:val="-1"/>
                <w:lang w:eastAsia="zh-CN"/>
              </w:rPr>
              <w:t>（</w:t>
            </w:r>
            <w:r>
              <w:rPr>
                <w:color w:val="auto"/>
                <w:spacing w:val="-1"/>
              </w:rPr>
              <w:t>A</w:t>
            </w:r>
            <w:r>
              <w:rPr>
                <w:rFonts w:hint="eastAsia"/>
                <w:color w:val="auto"/>
                <w:spacing w:val="-1"/>
                <w:lang w:eastAsia="zh-CN"/>
              </w:rPr>
              <w:t>）</w:t>
            </w:r>
          </w:p>
        </w:tc>
        <w:tc>
          <w:tcPr>
            <w:tcW w:w="1050" w:type="dxa"/>
            <w:noWrap w:val="0"/>
            <w:vAlign w:val="center"/>
          </w:tcPr>
          <w:p>
            <w:pPr>
              <w:widowControl w:val="0"/>
              <w:jc w:val="center"/>
              <w:rPr>
                <w:rFonts w:hint="default" w:ascii="Times New Roman" w:hAnsi="Times New Roman" w:eastAsia="宋体" w:cs="Times New Roman"/>
                <w:color w:val="auto"/>
                <w:kern w:val="2"/>
                <w:sz w:val="20"/>
                <w:lang w:val="en-US" w:eastAsia="zh-CN" w:bidi="ar-SA"/>
              </w:rPr>
            </w:pPr>
            <w:r>
              <w:rPr>
                <w:rFonts w:hint="eastAsia"/>
                <w:color w:val="auto"/>
                <w:sz w:val="20"/>
                <w:lang w:val="en-US" w:eastAsia="zh-CN"/>
              </w:rPr>
              <w:t>1次/季度</w:t>
            </w:r>
          </w:p>
        </w:tc>
        <w:tc>
          <w:tcPr>
            <w:tcW w:w="1403"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连续监测2天，昼、夜各一次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245" w:type="dxa"/>
            <w:gridSpan w:val="5"/>
            <w:noWrap w:val="0"/>
            <w:vAlign w:val="center"/>
          </w:tcPr>
          <w:p>
            <w:pPr>
              <w:widowControl w:val="0"/>
              <w:jc w:val="center"/>
              <w:rPr>
                <w:rFonts w:hint="default"/>
                <w:color w:val="auto"/>
                <w:sz w:val="20"/>
                <w:lang w:val="en-US" w:eastAsia="zh-CN"/>
              </w:rPr>
            </w:pPr>
            <w:r>
              <w:rPr>
                <w:rFonts w:hint="eastAsia"/>
                <w:color w:val="auto"/>
                <w:sz w:val="20"/>
                <w:lang w:val="en-US" w:eastAsia="zh-CN"/>
              </w:rPr>
              <w:t>二、环境质量现状监测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eastAsia"/>
                <w:color w:val="auto"/>
                <w:sz w:val="20"/>
                <w:lang w:val="en-US" w:eastAsia="zh-CN"/>
              </w:rPr>
            </w:pPr>
            <w:r>
              <w:rPr>
                <w:rFonts w:hint="eastAsia"/>
                <w:color w:val="auto"/>
                <w:sz w:val="20"/>
                <w:lang w:val="en-US" w:eastAsia="zh-CN"/>
              </w:rPr>
              <w:t>地表水</w:t>
            </w:r>
          </w:p>
        </w:tc>
        <w:tc>
          <w:tcPr>
            <w:tcW w:w="1290" w:type="dxa"/>
            <w:noWrap w:val="0"/>
            <w:vAlign w:val="center"/>
          </w:tcPr>
          <w:p>
            <w:pPr>
              <w:widowControl w:val="0"/>
              <w:jc w:val="center"/>
              <w:rPr>
                <w:rFonts w:hint="eastAsia"/>
                <w:color w:val="auto"/>
                <w:sz w:val="20"/>
                <w:lang w:val="en-US" w:eastAsia="zh-CN"/>
              </w:rPr>
            </w:pPr>
            <w:r>
              <w:rPr>
                <w:rFonts w:hint="eastAsia"/>
                <w:color w:val="auto"/>
                <w:sz w:val="20"/>
                <w:lang w:val="en-US" w:eastAsia="zh-CN"/>
              </w:rPr>
              <w:t>码头上游500m、码头区域、下游1km处</w:t>
            </w:r>
          </w:p>
        </w:tc>
        <w:tc>
          <w:tcPr>
            <w:tcW w:w="3450" w:type="dxa"/>
            <w:noWrap w:val="0"/>
            <w:vAlign w:val="center"/>
          </w:tcPr>
          <w:p>
            <w:pPr>
              <w:widowControl w:val="0"/>
              <w:jc w:val="center"/>
              <w:rPr>
                <w:rFonts w:hint="eastAsia"/>
                <w:color w:val="auto"/>
                <w:sz w:val="20"/>
                <w:lang w:val="en-US" w:eastAsia="zh-CN"/>
              </w:rPr>
            </w:pPr>
            <w:r>
              <w:rPr>
                <w:rFonts w:hint="eastAsia"/>
                <w:color w:val="auto"/>
                <w:sz w:val="20"/>
                <w:lang w:val="en-US" w:eastAsia="zh-CN"/>
              </w:rPr>
              <w:t>pH、悬浮物、溶解氧、COD、BOD</w:t>
            </w:r>
            <w:r>
              <w:rPr>
                <w:rFonts w:hint="eastAsia"/>
                <w:color w:val="auto"/>
                <w:sz w:val="20"/>
                <w:vertAlign w:val="subscript"/>
                <w:lang w:val="en-US" w:eastAsia="zh-CN"/>
              </w:rPr>
              <w:t>5</w:t>
            </w:r>
            <w:r>
              <w:rPr>
                <w:rFonts w:hint="eastAsia"/>
                <w:color w:val="auto"/>
                <w:sz w:val="20"/>
                <w:lang w:val="en-US" w:eastAsia="zh-CN"/>
              </w:rPr>
              <w:t>、氨氮、总氮、总磷、石油类</w:t>
            </w:r>
          </w:p>
        </w:tc>
        <w:tc>
          <w:tcPr>
            <w:tcW w:w="1050"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平、枯水期各一次</w:t>
            </w:r>
          </w:p>
        </w:tc>
        <w:tc>
          <w:tcPr>
            <w:tcW w:w="14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监测1天，采表层水样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噪声</w:t>
            </w:r>
          </w:p>
        </w:tc>
        <w:tc>
          <w:tcPr>
            <w:tcW w:w="1290" w:type="dxa"/>
            <w:noWrap w:val="0"/>
            <w:vAlign w:val="center"/>
          </w:tcPr>
          <w:p>
            <w:pPr>
              <w:widowControl w:val="0"/>
              <w:jc w:val="center"/>
              <w:rPr>
                <w:rFonts w:hint="default"/>
                <w:color w:val="auto"/>
                <w:sz w:val="20"/>
                <w:lang w:val="en-US" w:eastAsia="zh-CN"/>
              </w:rPr>
            </w:pPr>
            <w:r>
              <w:rPr>
                <w:rFonts w:hint="eastAsia"/>
                <w:color w:val="auto"/>
                <w:sz w:val="20"/>
                <w:lang w:val="en-US" w:eastAsia="zh-CN"/>
              </w:rPr>
              <w:t>洋溪社区</w:t>
            </w:r>
          </w:p>
        </w:tc>
        <w:tc>
          <w:tcPr>
            <w:tcW w:w="3450" w:type="dxa"/>
            <w:noWrap w:val="0"/>
            <w:vAlign w:val="center"/>
          </w:tcPr>
          <w:p>
            <w:pPr>
              <w:widowControl w:val="0"/>
              <w:jc w:val="center"/>
              <w:rPr>
                <w:rFonts w:hint="eastAsia"/>
                <w:color w:val="auto"/>
                <w:sz w:val="20"/>
                <w:lang w:val="en-US" w:eastAsia="zh-CN"/>
              </w:rPr>
            </w:pPr>
            <w:r>
              <w:rPr>
                <w:color w:val="auto"/>
              </w:rPr>
              <w:t>Leq</w:t>
            </w:r>
            <w:r>
              <w:rPr>
                <w:rFonts w:hint="eastAsia"/>
                <w:color w:val="auto"/>
                <w:spacing w:val="-1"/>
                <w:lang w:eastAsia="zh-CN"/>
              </w:rPr>
              <w:t>（</w:t>
            </w:r>
            <w:r>
              <w:rPr>
                <w:color w:val="auto"/>
                <w:spacing w:val="-1"/>
              </w:rPr>
              <w:t>A</w:t>
            </w:r>
            <w:r>
              <w:rPr>
                <w:rFonts w:hint="eastAsia"/>
                <w:color w:val="auto"/>
                <w:spacing w:val="-1"/>
                <w:lang w:eastAsia="zh-CN"/>
              </w:rPr>
              <w:t>）</w:t>
            </w:r>
          </w:p>
        </w:tc>
        <w:tc>
          <w:tcPr>
            <w:tcW w:w="1050" w:type="dxa"/>
            <w:noWrap w:val="0"/>
            <w:vAlign w:val="center"/>
          </w:tcPr>
          <w:p>
            <w:pPr>
              <w:widowControl w:val="0"/>
              <w:jc w:val="center"/>
              <w:rPr>
                <w:rFonts w:hint="eastAsia"/>
                <w:color w:val="auto"/>
                <w:sz w:val="20"/>
                <w:lang w:val="en-US" w:eastAsia="zh-CN"/>
              </w:rPr>
            </w:pPr>
            <w:r>
              <w:rPr>
                <w:rFonts w:hint="eastAsia"/>
                <w:color w:val="auto"/>
                <w:sz w:val="20"/>
                <w:lang w:val="en-US" w:eastAsia="zh-CN"/>
              </w:rPr>
              <w:t>1次/季度</w:t>
            </w:r>
          </w:p>
        </w:tc>
        <w:tc>
          <w:tcPr>
            <w:tcW w:w="14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连续监测2天，昼、夜各一次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水生生态</w:t>
            </w:r>
          </w:p>
        </w:tc>
        <w:tc>
          <w:tcPr>
            <w:tcW w:w="1290" w:type="dxa"/>
            <w:noWrap w:val="0"/>
            <w:vAlign w:val="center"/>
          </w:tcPr>
          <w:p>
            <w:pPr>
              <w:widowControl w:val="0"/>
              <w:jc w:val="center"/>
              <w:rPr>
                <w:rFonts w:hint="eastAsia"/>
                <w:color w:val="auto"/>
                <w:sz w:val="20"/>
                <w:lang w:val="en-US" w:eastAsia="zh-CN"/>
              </w:rPr>
            </w:pPr>
            <w:r>
              <w:rPr>
                <w:rFonts w:hint="eastAsia"/>
                <w:color w:val="auto"/>
                <w:sz w:val="20"/>
                <w:lang w:val="en-US" w:eastAsia="zh-CN"/>
              </w:rPr>
              <w:t>码头区域、码头上游5km</w:t>
            </w:r>
          </w:p>
        </w:tc>
        <w:tc>
          <w:tcPr>
            <w:tcW w:w="3450" w:type="dxa"/>
            <w:noWrap w:val="0"/>
            <w:vAlign w:val="center"/>
          </w:tcPr>
          <w:p>
            <w:pPr>
              <w:widowControl w:val="0"/>
              <w:jc w:val="center"/>
              <w:rPr>
                <w:rFonts w:hint="eastAsia"/>
                <w:color w:val="auto"/>
                <w:sz w:val="20"/>
                <w:lang w:val="en-US" w:eastAsia="zh-CN"/>
              </w:rPr>
            </w:pPr>
            <w:r>
              <w:rPr>
                <w:rFonts w:hint="eastAsia"/>
                <w:color w:val="auto"/>
                <w:sz w:val="20"/>
                <w:lang w:val="en-US" w:eastAsia="zh-CN"/>
              </w:rPr>
              <w:t>（1）浮游植物、浮游动物、水生维管束植物、底栖生物；</w:t>
            </w:r>
          </w:p>
          <w:p>
            <w:pPr>
              <w:widowControl w:val="0"/>
              <w:jc w:val="center"/>
              <w:rPr>
                <w:rFonts w:hint="eastAsia"/>
                <w:color w:val="auto"/>
                <w:sz w:val="20"/>
                <w:lang w:val="en-US" w:eastAsia="zh-CN"/>
              </w:rPr>
            </w:pPr>
            <w:r>
              <w:rPr>
                <w:rFonts w:hint="eastAsia"/>
                <w:color w:val="auto"/>
                <w:sz w:val="20"/>
                <w:lang w:val="en-US" w:eastAsia="zh-CN"/>
              </w:rPr>
              <w:t>（2）鱼类资源、鱼类早期资源；</w:t>
            </w:r>
          </w:p>
          <w:p>
            <w:pPr>
              <w:widowControl w:val="0"/>
              <w:jc w:val="center"/>
              <w:rPr>
                <w:rFonts w:hint="eastAsia"/>
                <w:color w:val="auto"/>
                <w:sz w:val="20"/>
                <w:lang w:val="en-US" w:eastAsia="zh-CN"/>
              </w:rPr>
            </w:pPr>
            <w:r>
              <w:rPr>
                <w:rFonts w:hint="eastAsia"/>
                <w:color w:val="auto"/>
                <w:sz w:val="20"/>
                <w:lang w:val="en-US" w:eastAsia="zh-CN"/>
              </w:rPr>
              <w:t>（3）中华鲟、白鲟、胭脂鱼、江豚资源等；</w:t>
            </w:r>
          </w:p>
          <w:p>
            <w:pPr>
              <w:widowControl w:val="0"/>
              <w:jc w:val="center"/>
              <w:rPr>
                <w:rFonts w:hint="eastAsia"/>
                <w:color w:val="auto"/>
                <w:sz w:val="20"/>
                <w:lang w:val="en-US" w:eastAsia="zh-CN"/>
              </w:rPr>
            </w:pPr>
            <w:r>
              <w:rPr>
                <w:rFonts w:hint="eastAsia"/>
                <w:color w:val="auto"/>
                <w:sz w:val="20"/>
                <w:lang w:val="en-US" w:eastAsia="zh-CN"/>
              </w:rPr>
              <w:t>（4）相关的水质、水文条件及底质</w:t>
            </w:r>
          </w:p>
        </w:tc>
        <w:tc>
          <w:tcPr>
            <w:tcW w:w="1050" w:type="dxa"/>
            <w:noWrap w:val="0"/>
            <w:vAlign w:val="center"/>
          </w:tcPr>
          <w:p>
            <w:pPr>
              <w:widowControl w:val="0"/>
              <w:jc w:val="center"/>
              <w:rPr>
                <w:rFonts w:hint="eastAsia"/>
                <w:color w:val="auto"/>
                <w:sz w:val="20"/>
                <w:lang w:val="en-US" w:eastAsia="zh-CN"/>
              </w:rPr>
            </w:pPr>
            <w:r>
              <w:rPr>
                <w:rFonts w:hint="eastAsia"/>
                <w:color w:val="auto"/>
                <w:sz w:val="20"/>
                <w:lang w:val="en-US" w:eastAsia="zh-CN"/>
              </w:rPr>
              <w:t>2次/年</w:t>
            </w:r>
          </w:p>
        </w:tc>
        <w:tc>
          <w:tcPr>
            <w:tcW w:w="1403" w:type="dxa"/>
            <w:noWrap w:val="0"/>
            <w:vAlign w:val="center"/>
          </w:tcPr>
          <w:p>
            <w:pPr>
              <w:widowControl w:val="0"/>
              <w:jc w:val="center"/>
              <w:rPr>
                <w:rFonts w:hint="eastAsia"/>
                <w:color w:val="auto"/>
                <w:sz w:val="20"/>
                <w:lang w:val="en-US" w:eastAsia="zh-CN"/>
              </w:rPr>
            </w:pPr>
            <w:r>
              <w:rPr>
                <w:rFonts w:hint="eastAsia"/>
                <w:color w:val="auto"/>
                <w:sz w:val="20"/>
                <w:lang w:val="en-US" w:eastAsia="zh-CN"/>
              </w:rPr>
              <w:t>每年4~6月和9~10月各开展一次，每次不少10天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8245" w:type="dxa"/>
            <w:gridSpan w:val="5"/>
            <w:noWrap w:val="0"/>
            <w:vAlign w:val="center"/>
          </w:tcPr>
          <w:p>
            <w:pPr>
              <w:widowControl w:val="0"/>
              <w:jc w:val="center"/>
              <w:rPr>
                <w:rFonts w:hint="default"/>
                <w:color w:val="auto"/>
                <w:sz w:val="20"/>
                <w:lang w:val="en-US" w:eastAsia="zh-CN"/>
              </w:rPr>
            </w:pPr>
            <w:r>
              <w:rPr>
                <w:rFonts w:hint="eastAsia"/>
                <w:color w:val="auto"/>
                <w:sz w:val="20"/>
                <w:lang w:val="en-US" w:eastAsia="zh-CN"/>
              </w:rPr>
              <w:t>三、环境风险事故监测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052"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地表水</w:t>
            </w:r>
          </w:p>
        </w:tc>
        <w:tc>
          <w:tcPr>
            <w:tcW w:w="1290"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事故发生地及取水口附近水域</w:t>
            </w:r>
          </w:p>
        </w:tc>
        <w:tc>
          <w:tcPr>
            <w:tcW w:w="3450"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COD、BOD</w:t>
            </w:r>
            <w:r>
              <w:rPr>
                <w:rFonts w:hint="eastAsia"/>
                <w:color w:val="auto"/>
                <w:sz w:val="20"/>
                <w:vertAlign w:val="subscript"/>
                <w:lang w:val="en-US" w:eastAsia="zh-CN"/>
              </w:rPr>
              <w:t>5</w:t>
            </w:r>
            <w:r>
              <w:rPr>
                <w:rFonts w:hint="eastAsia"/>
                <w:color w:val="auto"/>
                <w:sz w:val="20"/>
                <w:lang w:val="en-US" w:eastAsia="zh-CN"/>
              </w:rPr>
              <w:t>、氨氮、总磷、石油类</w:t>
            </w:r>
          </w:p>
        </w:tc>
        <w:tc>
          <w:tcPr>
            <w:tcW w:w="1050"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事故发生时</w:t>
            </w:r>
          </w:p>
        </w:tc>
        <w:tc>
          <w:tcPr>
            <w:tcW w:w="1403" w:type="dxa"/>
            <w:noWrap w:val="0"/>
            <w:vAlign w:val="center"/>
          </w:tcPr>
          <w:p>
            <w:pPr>
              <w:widowControl w:val="0"/>
              <w:jc w:val="center"/>
              <w:rPr>
                <w:rFonts w:hint="eastAsia" w:ascii="Times New Roman" w:hAnsi="Times New Roman" w:eastAsia="宋体" w:cs="Times New Roman"/>
                <w:color w:val="auto"/>
                <w:kern w:val="2"/>
                <w:sz w:val="20"/>
                <w:lang w:val="en-US" w:eastAsia="zh-CN" w:bidi="ar-SA"/>
              </w:rPr>
            </w:pPr>
            <w:r>
              <w:rPr>
                <w:rFonts w:hint="eastAsia"/>
                <w:color w:val="auto"/>
                <w:sz w:val="20"/>
                <w:lang w:val="en-US" w:eastAsia="zh-CN"/>
              </w:rPr>
              <w:t>连续监测2天，每天上、下午各采一次表层水样</w:t>
            </w:r>
          </w:p>
        </w:tc>
      </w:tr>
    </w:tbl>
    <w:p>
      <w:pPr>
        <w:pStyle w:val="9"/>
        <w:widowControl w:val="0"/>
        <w:spacing w:before="120" w:after="120" w:line="360" w:lineRule="auto"/>
        <w:rPr>
          <w:rFonts w:hint="default" w:eastAsia="黑体"/>
          <w:b w:val="0"/>
          <w:color w:val="auto"/>
          <w:sz w:val="24"/>
          <w:lang w:val="en-US" w:eastAsia="zh-CN"/>
        </w:rPr>
      </w:pPr>
      <w:bookmarkStart w:id="549" w:name="_Toc29099"/>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.2.</w:t>
      </w:r>
      <w:r>
        <w:rPr>
          <w:rFonts w:hint="eastAsia" w:eastAsia="黑体"/>
          <w:b w:val="0"/>
          <w:color w:val="auto"/>
          <w:sz w:val="24"/>
          <w:lang w:val="en-US" w:eastAsia="zh-CN"/>
        </w:rPr>
        <w:t>4监测设备及费用</w:t>
      </w:r>
      <w:bookmarkEnd w:id="549"/>
    </w:p>
    <w:p>
      <w:pPr>
        <w:widowControl w:val="0"/>
        <w:spacing w:line="360" w:lineRule="auto"/>
        <w:ind w:firstLine="480" w:firstLineChars="200"/>
        <w:rPr>
          <w:rFonts w:hint="eastAsia" w:eastAsia="仿宋_GB2312"/>
          <w:color w:val="auto"/>
          <w:sz w:val="24"/>
        </w:rPr>
      </w:pPr>
      <w:r>
        <w:rPr>
          <w:rFonts w:hint="eastAsia" w:eastAsia="仿宋_GB2312"/>
          <w:color w:val="auto"/>
          <w:sz w:val="24"/>
        </w:rPr>
        <w:t>本项目不添置新的监测仪器设备，由监测单位自备。</w:t>
      </w:r>
    </w:p>
    <w:p>
      <w:pPr>
        <w:widowControl w:val="0"/>
        <w:spacing w:line="360" w:lineRule="auto"/>
        <w:ind w:firstLine="480" w:firstLineChars="200"/>
        <w:rPr>
          <w:rFonts w:eastAsia="仿宋_GB2312"/>
          <w:color w:val="auto"/>
          <w:sz w:val="24"/>
        </w:rPr>
      </w:pPr>
      <w:r>
        <w:rPr>
          <w:rFonts w:hint="eastAsia" w:eastAsia="仿宋_GB2312"/>
          <w:color w:val="auto"/>
          <w:sz w:val="24"/>
        </w:rPr>
        <w:t>施工期为</w:t>
      </w:r>
      <w:r>
        <w:rPr>
          <w:rFonts w:hint="eastAsia" w:eastAsia="仿宋_GB2312"/>
          <w:color w:val="auto"/>
          <w:sz w:val="24"/>
          <w:lang w:val="en-US" w:eastAsia="zh-CN"/>
        </w:rPr>
        <w:t>12</w:t>
      </w:r>
      <w:r>
        <w:rPr>
          <w:rFonts w:hint="eastAsia" w:eastAsia="仿宋_GB2312"/>
          <w:color w:val="auto"/>
          <w:sz w:val="24"/>
        </w:rPr>
        <w:t>个月，监测费用为</w:t>
      </w:r>
      <w:r>
        <w:rPr>
          <w:rFonts w:hint="eastAsia" w:eastAsia="仿宋_GB2312"/>
          <w:color w:val="auto"/>
          <w:sz w:val="24"/>
          <w:lang w:val="en-US" w:eastAsia="zh-CN"/>
        </w:rPr>
        <w:t>27</w:t>
      </w:r>
      <w:r>
        <w:rPr>
          <w:rFonts w:hint="eastAsia" w:eastAsia="仿宋_GB2312"/>
          <w:color w:val="auto"/>
          <w:sz w:val="24"/>
        </w:rPr>
        <w:t>万元，其中大气环境监测1</w:t>
      </w:r>
      <w:r>
        <w:rPr>
          <w:rFonts w:hint="eastAsia" w:eastAsia="仿宋_GB2312"/>
          <w:color w:val="auto"/>
          <w:sz w:val="24"/>
          <w:lang w:val="en-US" w:eastAsia="zh-CN"/>
        </w:rPr>
        <w:t>0</w:t>
      </w:r>
      <w:r>
        <w:rPr>
          <w:rFonts w:hint="eastAsia" w:eastAsia="仿宋_GB2312"/>
          <w:color w:val="auto"/>
          <w:sz w:val="24"/>
        </w:rPr>
        <w:t>万元，水环境监测</w:t>
      </w:r>
      <w:r>
        <w:rPr>
          <w:rFonts w:hint="eastAsia" w:eastAsia="仿宋_GB2312"/>
          <w:color w:val="auto"/>
          <w:sz w:val="24"/>
          <w:lang w:val="en-US" w:eastAsia="zh-CN"/>
        </w:rPr>
        <w:t>6</w:t>
      </w:r>
      <w:r>
        <w:rPr>
          <w:rFonts w:hint="eastAsia" w:eastAsia="仿宋_GB2312"/>
          <w:color w:val="auto"/>
          <w:sz w:val="24"/>
        </w:rPr>
        <w:t>万元，声环境监测</w:t>
      </w:r>
      <w:r>
        <w:rPr>
          <w:rFonts w:hint="eastAsia" w:eastAsia="仿宋_GB2312"/>
          <w:color w:val="auto"/>
          <w:sz w:val="24"/>
          <w:lang w:val="en-US" w:eastAsia="zh-CN"/>
        </w:rPr>
        <w:t>3</w:t>
      </w:r>
      <w:r>
        <w:rPr>
          <w:rFonts w:hint="eastAsia" w:eastAsia="仿宋_GB2312"/>
          <w:color w:val="auto"/>
          <w:sz w:val="24"/>
        </w:rPr>
        <w:t>万元，水生生态监测</w:t>
      </w:r>
      <w:r>
        <w:rPr>
          <w:rFonts w:hint="eastAsia" w:eastAsia="仿宋_GB2312"/>
          <w:color w:val="auto"/>
          <w:sz w:val="24"/>
          <w:lang w:val="en-US" w:eastAsia="zh-CN"/>
        </w:rPr>
        <w:t>8</w:t>
      </w:r>
      <w:r>
        <w:rPr>
          <w:rFonts w:hint="eastAsia" w:eastAsia="仿宋_GB2312"/>
          <w:color w:val="auto"/>
          <w:sz w:val="24"/>
        </w:rPr>
        <w:t>万元。</w:t>
      </w:r>
    </w:p>
    <w:p>
      <w:pPr>
        <w:pStyle w:val="8"/>
        <w:widowControl w:val="0"/>
        <w:spacing w:before="120" w:after="120" w:line="360" w:lineRule="auto"/>
        <w:rPr>
          <w:rFonts w:hint="default" w:ascii="Times New Roman" w:hAnsi="Times New Roman" w:eastAsia="黑体"/>
          <w:b w:val="0"/>
          <w:color w:val="auto"/>
          <w:szCs w:val="32"/>
          <w:lang w:val="en-US" w:eastAsia="zh-CN"/>
        </w:rPr>
      </w:pPr>
      <w:bookmarkStart w:id="550" w:name="_Toc343702960"/>
      <w:bookmarkStart w:id="551" w:name="_Toc267576443"/>
      <w:bookmarkStart w:id="552" w:name="_Toc305859609"/>
      <w:bookmarkStart w:id="553" w:name="_Toc241056869"/>
      <w:bookmarkStart w:id="554" w:name="_Toc5035"/>
      <w:r>
        <w:rPr>
          <w:rFonts w:ascii="Times New Roman" w:hAnsi="Times New Roman"/>
          <w:b w:val="0"/>
          <w:color w:val="auto"/>
          <w:szCs w:val="32"/>
        </w:rPr>
        <w:t>1</w:t>
      </w:r>
      <w:r>
        <w:rPr>
          <w:rFonts w:hint="eastAsia" w:ascii="Times New Roman" w:hAnsi="Times New Roman"/>
          <w:b w:val="0"/>
          <w:color w:val="auto"/>
          <w:szCs w:val="32"/>
          <w:lang w:val="en-US" w:eastAsia="zh-CN"/>
        </w:rPr>
        <w:t>0</w:t>
      </w:r>
      <w:r>
        <w:rPr>
          <w:rFonts w:ascii="Times New Roman" w:hAnsi="Times New Roman"/>
          <w:b w:val="0"/>
          <w:color w:val="auto"/>
          <w:szCs w:val="32"/>
        </w:rPr>
        <w:t>.3</w:t>
      </w:r>
      <w:bookmarkEnd w:id="550"/>
      <w:bookmarkEnd w:id="551"/>
      <w:bookmarkEnd w:id="552"/>
      <w:bookmarkEnd w:id="553"/>
      <w:r>
        <w:rPr>
          <w:rFonts w:hint="eastAsia" w:ascii="Times New Roman" w:hAnsi="Times New Roman"/>
          <w:b w:val="0"/>
          <w:color w:val="auto"/>
          <w:szCs w:val="32"/>
          <w:lang w:val="en-US" w:eastAsia="zh-CN"/>
        </w:rPr>
        <w:t>环境监理</w:t>
      </w:r>
      <w:bookmarkEnd w:id="554"/>
    </w:p>
    <w:p>
      <w:pPr>
        <w:widowControl w:val="0"/>
        <w:autoSpaceDE w:val="0"/>
        <w:autoSpaceDN w:val="0"/>
        <w:spacing w:line="360" w:lineRule="auto"/>
        <w:ind w:firstLine="480" w:firstLineChars="200"/>
        <w:rPr>
          <w:rFonts w:hint="eastAsia" w:eastAsia="仿宋_GB2312"/>
          <w:color w:val="auto"/>
          <w:kern w:val="0"/>
          <w:sz w:val="24"/>
          <w:szCs w:val="24"/>
          <w:lang w:eastAsia="zh-CN"/>
        </w:rPr>
      </w:pPr>
      <w:r>
        <w:rPr>
          <w:rFonts w:hint="eastAsia" w:eastAsia="仿宋_GB2312"/>
          <w:color w:val="auto"/>
          <w:kern w:val="0"/>
          <w:sz w:val="24"/>
          <w:szCs w:val="24"/>
        </w:rPr>
        <w:t>工程施工实行监理制度，按工程质量和环保要求对项目进行全面质量管理</w:t>
      </w:r>
      <w:r>
        <w:rPr>
          <w:rFonts w:hint="eastAsia" w:eastAsia="仿宋_GB2312"/>
          <w:color w:val="auto"/>
          <w:kern w:val="0"/>
          <w:sz w:val="24"/>
          <w:szCs w:val="24"/>
          <w:lang w:eastAsia="zh-CN"/>
        </w:rPr>
        <w:t>。</w:t>
      </w:r>
    </w:p>
    <w:p>
      <w:pPr>
        <w:pStyle w:val="9"/>
        <w:widowControl w:val="0"/>
        <w:spacing w:before="120" w:after="120" w:line="360" w:lineRule="auto"/>
        <w:rPr>
          <w:rFonts w:hint="default" w:eastAsia="黑体"/>
          <w:b w:val="0"/>
          <w:color w:val="auto"/>
          <w:sz w:val="24"/>
          <w:lang w:val="en-US" w:eastAsia="zh-CN"/>
        </w:rPr>
      </w:pPr>
      <w:bookmarkStart w:id="555" w:name="_Toc16271"/>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.3.1</w:t>
      </w:r>
      <w:r>
        <w:rPr>
          <w:rFonts w:hint="eastAsia" w:eastAsia="黑体"/>
          <w:b w:val="0"/>
          <w:color w:val="auto"/>
          <w:sz w:val="24"/>
          <w:lang w:val="en-US" w:eastAsia="zh-CN"/>
        </w:rPr>
        <w:t>实施环境监理的原则</w:t>
      </w:r>
      <w:bookmarkEnd w:id="555"/>
    </w:p>
    <w:p>
      <w:pPr>
        <w:widowControl w:val="0"/>
        <w:spacing w:line="360" w:lineRule="auto"/>
        <w:ind w:firstLine="480" w:firstLineChars="200"/>
        <w:jc w:val="both"/>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1</w:t>
      </w:r>
      <w:r>
        <w:rPr>
          <w:rFonts w:hint="eastAsia" w:eastAsia="仿宋_GB2312"/>
          <w:color w:val="auto"/>
          <w:kern w:val="0"/>
          <w:sz w:val="24"/>
          <w:szCs w:val="24"/>
          <w:lang w:eastAsia="zh-CN"/>
        </w:rPr>
        <w:t>）</w:t>
      </w:r>
      <w:r>
        <w:rPr>
          <w:rFonts w:hint="eastAsia" w:eastAsia="仿宋_GB2312"/>
          <w:color w:val="auto"/>
          <w:kern w:val="0"/>
          <w:sz w:val="24"/>
          <w:szCs w:val="24"/>
        </w:rPr>
        <w:t>环境监理应成为工程监理的重要组成部分，工程监理单位应有专门的从事环境监理的分支机构及环境保护技术人员。</w:t>
      </w:r>
    </w:p>
    <w:p>
      <w:pPr>
        <w:widowControl w:val="0"/>
        <w:spacing w:line="360" w:lineRule="auto"/>
        <w:ind w:firstLine="480" w:firstLineChars="200"/>
        <w:jc w:val="both"/>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2</w:t>
      </w:r>
      <w:r>
        <w:rPr>
          <w:rFonts w:hint="eastAsia" w:eastAsia="仿宋_GB2312"/>
          <w:color w:val="auto"/>
          <w:kern w:val="0"/>
          <w:sz w:val="24"/>
          <w:szCs w:val="24"/>
          <w:lang w:eastAsia="zh-CN"/>
        </w:rPr>
        <w:t>）</w:t>
      </w:r>
      <w:r>
        <w:rPr>
          <w:rFonts w:hint="eastAsia" w:eastAsia="仿宋_GB2312"/>
          <w:color w:val="auto"/>
          <w:kern w:val="0"/>
          <w:sz w:val="24"/>
          <w:szCs w:val="24"/>
        </w:rPr>
        <w:t>工程监理单位应根据与本项目有关的环保规范和标准、工程设计图纸、设计说明及其它设计文件、工程施工合同及招投标文件、环境影响报告书</w:t>
      </w:r>
      <w:r>
        <w:rPr>
          <w:rFonts w:hint="eastAsia" w:eastAsia="仿宋_GB2312"/>
          <w:color w:val="auto"/>
          <w:kern w:val="0"/>
          <w:sz w:val="24"/>
          <w:szCs w:val="24"/>
          <w:lang w:eastAsia="zh-CN"/>
        </w:rPr>
        <w:t>（</w:t>
      </w:r>
      <w:r>
        <w:rPr>
          <w:rFonts w:hint="eastAsia" w:eastAsia="仿宋_GB2312"/>
          <w:color w:val="auto"/>
          <w:kern w:val="0"/>
          <w:sz w:val="24"/>
          <w:szCs w:val="24"/>
        </w:rPr>
        <w:t>含提出的环保措施、环境监测</w:t>
      </w:r>
      <w:r>
        <w:rPr>
          <w:rFonts w:hint="eastAsia" w:eastAsia="仿宋_GB2312"/>
          <w:color w:val="auto"/>
          <w:kern w:val="0"/>
          <w:sz w:val="24"/>
          <w:szCs w:val="24"/>
          <w:lang w:eastAsia="zh-CN"/>
        </w:rPr>
        <w:t>）</w:t>
      </w:r>
      <w:r>
        <w:rPr>
          <w:rFonts w:hint="eastAsia" w:eastAsia="仿宋_GB2312"/>
          <w:color w:val="auto"/>
          <w:kern w:val="0"/>
          <w:sz w:val="24"/>
          <w:szCs w:val="24"/>
        </w:rPr>
        <w:t>、工程环境监理合同及招标文件等编制环境监理方案，并严格按照制定的环境监理方案执行监理工作。</w:t>
      </w:r>
    </w:p>
    <w:p>
      <w:pPr>
        <w:widowControl w:val="0"/>
        <w:spacing w:line="360" w:lineRule="auto"/>
        <w:ind w:firstLine="480" w:firstLineChars="200"/>
        <w:jc w:val="both"/>
        <w:rPr>
          <w:color w:val="auto"/>
          <w:sz w:val="23"/>
          <w:szCs w:val="23"/>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3</w:t>
      </w:r>
      <w:r>
        <w:rPr>
          <w:rFonts w:hint="eastAsia" w:eastAsia="仿宋_GB2312"/>
          <w:color w:val="auto"/>
          <w:kern w:val="0"/>
          <w:sz w:val="24"/>
          <w:szCs w:val="24"/>
          <w:lang w:eastAsia="zh-CN"/>
        </w:rPr>
        <w:t>）</w:t>
      </w:r>
      <w:r>
        <w:rPr>
          <w:rFonts w:hint="eastAsia" w:eastAsia="仿宋_GB2312"/>
          <w:color w:val="auto"/>
          <w:kern w:val="0"/>
          <w:sz w:val="24"/>
          <w:szCs w:val="24"/>
        </w:rPr>
        <w:t>环境监理的对象是所有由于施工活动可能产生的环境污染行为、环境监理应以施工期的环境保护、施工后期的污染防治措施的落实情况为重点</w:t>
      </w:r>
      <w:r>
        <w:rPr>
          <w:rFonts w:eastAsia="仿宋_GB2312"/>
          <w:color w:val="auto"/>
          <w:kern w:val="0"/>
          <w:sz w:val="24"/>
          <w:szCs w:val="24"/>
        </w:rPr>
        <w:t>。</w:t>
      </w:r>
    </w:p>
    <w:p>
      <w:pPr>
        <w:pStyle w:val="9"/>
        <w:widowControl w:val="0"/>
        <w:spacing w:before="120" w:after="120" w:line="360" w:lineRule="auto"/>
        <w:rPr>
          <w:rFonts w:hint="default" w:eastAsia="黑体"/>
          <w:b w:val="0"/>
          <w:color w:val="auto"/>
          <w:sz w:val="24"/>
          <w:lang w:val="en-US" w:eastAsia="zh-CN"/>
        </w:rPr>
      </w:pPr>
      <w:bookmarkStart w:id="556" w:name="_Toc23080"/>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.3.2</w:t>
      </w:r>
      <w:r>
        <w:rPr>
          <w:rFonts w:hint="eastAsia" w:eastAsia="黑体"/>
          <w:b w:val="0"/>
          <w:color w:val="auto"/>
          <w:sz w:val="24"/>
          <w:lang w:val="en-US" w:eastAsia="zh-CN"/>
        </w:rPr>
        <w:t>环境监理的主要工作内容</w:t>
      </w:r>
      <w:bookmarkEnd w:id="556"/>
    </w:p>
    <w:p>
      <w:pPr>
        <w:pStyle w:val="5"/>
        <w:widowControl w:val="0"/>
        <w:adjustRightInd/>
        <w:spacing w:before="156" w:beforeLines="50" w:after="156" w:afterLines="50" w:line="360" w:lineRule="auto"/>
        <w:ind w:firstLine="0"/>
        <w:outlineLvl w:val="3"/>
        <w:rPr>
          <w:rFonts w:eastAsia="黑体"/>
          <w:color w:val="auto"/>
          <w:szCs w:val="24"/>
        </w:rPr>
      </w:pPr>
      <w:r>
        <w:rPr>
          <w:rFonts w:hint="eastAsia" w:eastAsia="黑体"/>
          <w:color w:val="auto"/>
          <w:szCs w:val="24"/>
          <w:lang w:val="en-US" w:eastAsia="zh-CN"/>
        </w:rPr>
        <w:t>10.3.2.1施工前期环境监理</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rPr>
        <w:t>污染防治方案的审核</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环境监理根据具体项目的工艺设计，审核施工工艺中的“三废”排放环节，排放的主要污染物及设计中采用的治理技术是否先进，治理措施是否可行。污染物的最终处置方法和去向，应在工程前期按有关文件规定和处理要求，做好计划，审核整个工艺是否具有清洁生产的特点，并提出合理建议。</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审核施工承包合同中的环境保护专项条款</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施工期承包单位必须遵循的环境保护有关要求应以专项条款的方式在施工承包合同中体现，并在施工过程中据此加强监督管理、检查、监测、减少施工期对环境的污染影响，同时应对施工单位的文明施工素质及施工环境管理水平进行审核，对施工组织人员进行环境保护培训。</w:t>
      </w:r>
    </w:p>
    <w:p>
      <w:pPr>
        <w:pStyle w:val="5"/>
        <w:widowControl w:val="0"/>
        <w:adjustRightInd/>
        <w:spacing w:before="156" w:beforeLines="50" w:after="156" w:afterLines="50" w:line="360" w:lineRule="auto"/>
        <w:ind w:firstLine="0"/>
        <w:outlineLvl w:val="3"/>
        <w:rPr>
          <w:rFonts w:eastAsia="黑体"/>
          <w:color w:val="auto"/>
          <w:szCs w:val="24"/>
        </w:rPr>
      </w:pPr>
      <w:r>
        <w:rPr>
          <w:rFonts w:hint="eastAsia" w:eastAsia="黑体"/>
          <w:color w:val="auto"/>
          <w:szCs w:val="24"/>
          <w:lang w:val="en-US" w:eastAsia="zh-CN"/>
        </w:rPr>
        <w:t>10.3.2.2施工期环境监理</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1</w:t>
      </w:r>
      <w:r>
        <w:rPr>
          <w:rFonts w:hint="eastAsia" w:eastAsia="仿宋_GB2312"/>
          <w:color w:val="auto"/>
          <w:kern w:val="0"/>
          <w:sz w:val="24"/>
          <w:szCs w:val="24"/>
          <w:lang w:eastAsia="zh-CN"/>
        </w:rPr>
        <w:t>）</w:t>
      </w:r>
      <w:r>
        <w:rPr>
          <w:rFonts w:hint="eastAsia" w:eastAsia="仿宋_GB2312"/>
          <w:color w:val="auto"/>
          <w:kern w:val="0"/>
          <w:sz w:val="24"/>
          <w:szCs w:val="24"/>
        </w:rPr>
        <w:t>大气环境污染源的监理</w:t>
      </w:r>
    </w:p>
    <w:p>
      <w:pPr>
        <w:widowControl w:val="0"/>
        <w:autoSpaceDE w:val="0"/>
        <w:autoSpaceDN w:val="0"/>
        <w:spacing w:line="360" w:lineRule="auto"/>
        <w:ind w:firstLine="480" w:firstLineChars="200"/>
        <w:jc w:val="both"/>
        <w:rPr>
          <w:rFonts w:hint="eastAsia" w:eastAsia="仿宋_GB2312"/>
          <w:color w:val="auto"/>
          <w:kern w:val="0"/>
          <w:sz w:val="24"/>
          <w:szCs w:val="24"/>
        </w:rPr>
      </w:pPr>
      <w:r>
        <w:rPr>
          <w:rFonts w:hint="eastAsia" w:eastAsia="仿宋_GB2312"/>
          <w:color w:val="auto"/>
          <w:kern w:val="0"/>
          <w:sz w:val="24"/>
          <w:szCs w:val="24"/>
        </w:rPr>
        <w:t>施工区域大气污染主要来源于施工和生产过程中产生的废气和粉尘。对污染源要求达标排放，对施工区域及其影响区域应达到规定的环境质量标准。环境监理工程师应明确施工船舶产生的废气和施工车辆路面扬尘等各类空气污染源的排放情况。对施工现场进行环境空气质量监测结果评定，如超标，环保监理工程师应通知承包方采取防范措施，保证环境空气质量达到标准限制以内。</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2</w:t>
      </w:r>
      <w:r>
        <w:rPr>
          <w:rFonts w:hint="eastAsia" w:eastAsia="仿宋_GB2312"/>
          <w:color w:val="auto"/>
          <w:kern w:val="0"/>
          <w:sz w:val="24"/>
          <w:szCs w:val="24"/>
          <w:lang w:eastAsia="zh-CN"/>
        </w:rPr>
        <w:t>）</w:t>
      </w:r>
      <w:r>
        <w:rPr>
          <w:rFonts w:hint="eastAsia" w:eastAsia="仿宋_GB2312"/>
          <w:color w:val="auto"/>
          <w:kern w:val="0"/>
          <w:sz w:val="24"/>
          <w:szCs w:val="24"/>
        </w:rPr>
        <w:t>水污染源的监理</w:t>
      </w:r>
    </w:p>
    <w:p>
      <w:pPr>
        <w:widowControl w:val="0"/>
        <w:autoSpaceDE w:val="0"/>
        <w:autoSpaceDN w:val="0"/>
        <w:spacing w:line="360" w:lineRule="auto"/>
        <w:ind w:firstLine="480" w:firstLineChars="200"/>
        <w:jc w:val="both"/>
        <w:rPr>
          <w:rFonts w:hint="eastAsia" w:eastAsia="仿宋_GB2312"/>
          <w:color w:val="auto"/>
          <w:kern w:val="0"/>
          <w:sz w:val="24"/>
          <w:szCs w:val="24"/>
        </w:rPr>
      </w:pPr>
      <w:r>
        <w:rPr>
          <w:rFonts w:hint="eastAsia" w:eastAsia="仿宋_GB2312"/>
          <w:color w:val="auto"/>
          <w:kern w:val="0"/>
          <w:sz w:val="24"/>
          <w:szCs w:val="24"/>
        </w:rPr>
        <w:t>环境监理工程师应对施工期生产和生活污水的来源、排放量、水质指标，处理设施的建设过程和处理效果等进行监理，检查和监测是否达到批准的排放标准，或是否采取措施控制污染物的产生。监督检查施工现场排水系统是否处于良好的使用状态，施工现场是否积水，施工船舶是否有与其生活污水产生量相适应的处理装置或存储器，船舶运转中产生的油污水及其它生活垃圾处置情况等。</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3</w:t>
      </w:r>
      <w:r>
        <w:rPr>
          <w:rFonts w:hint="eastAsia" w:eastAsia="仿宋_GB2312"/>
          <w:color w:val="auto"/>
          <w:kern w:val="0"/>
          <w:sz w:val="24"/>
          <w:szCs w:val="24"/>
          <w:lang w:eastAsia="zh-CN"/>
        </w:rPr>
        <w:t>）</w:t>
      </w:r>
      <w:r>
        <w:rPr>
          <w:rFonts w:hint="eastAsia" w:eastAsia="仿宋_GB2312"/>
          <w:color w:val="auto"/>
          <w:kern w:val="0"/>
          <w:sz w:val="24"/>
          <w:szCs w:val="24"/>
        </w:rPr>
        <w:t>噪声污染源的监理</w:t>
      </w:r>
    </w:p>
    <w:p>
      <w:pPr>
        <w:widowControl w:val="0"/>
        <w:autoSpaceDE w:val="0"/>
        <w:autoSpaceDN w:val="0"/>
        <w:spacing w:line="360" w:lineRule="auto"/>
        <w:ind w:firstLine="480" w:firstLineChars="200"/>
        <w:rPr>
          <w:rFonts w:eastAsia="仿宋_GB2312"/>
          <w:color w:val="auto"/>
          <w:kern w:val="0"/>
          <w:sz w:val="24"/>
          <w:szCs w:val="24"/>
        </w:rPr>
      </w:pPr>
      <w:r>
        <w:rPr>
          <w:rFonts w:hint="eastAsia" w:eastAsia="仿宋_GB2312"/>
          <w:color w:val="auto"/>
          <w:kern w:val="0"/>
          <w:sz w:val="24"/>
          <w:szCs w:val="24"/>
        </w:rPr>
        <w:t>为防止噪声危害，对产生强烈噪声污染源，应按设计要求进行防治，要求施工区域及其影响区域的噪声环境质量达到相应的标准。环境监理工程师应熟悉施工活动中施工机械作业场所、施工时间、交通噪声源</w:t>
      </w:r>
      <w:r>
        <w:rPr>
          <w:rFonts w:hint="eastAsia" w:eastAsia="仿宋_GB2312"/>
          <w:color w:val="auto"/>
          <w:kern w:val="0"/>
          <w:sz w:val="24"/>
          <w:szCs w:val="24"/>
          <w:lang w:eastAsia="zh-CN"/>
        </w:rPr>
        <w:t>（</w:t>
      </w:r>
      <w:r>
        <w:rPr>
          <w:rFonts w:hint="eastAsia" w:eastAsia="仿宋_GB2312"/>
          <w:color w:val="auto"/>
          <w:kern w:val="0"/>
          <w:sz w:val="24"/>
          <w:szCs w:val="24"/>
        </w:rPr>
        <w:t>运输车辆、船舶噪声</w:t>
      </w:r>
      <w:r>
        <w:rPr>
          <w:rFonts w:hint="eastAsia" w:eastAsia="仿宋_GB2312"/>
          <w:color w:val="auto"/>
          <w:kern w:val="0"/>
          <w:sz w:val="24"/>
          <w:szCs w:val="24"/>
          <w:lang w:eastAsia="zh-CN"/>
        </w:rPr>
        <w:t>）</w:t>
      </w:r>
      <w:r>
        <w:rPr>
          <w:rFonts w:hint="eastAsia" w:eastAsia="仿宋_GB2312"/>
          <w:color w:val="auto"/>
          <w:kern w:val="0"/>
          <w:sz w:val="24"/>
          <w:szCs w:val="24"/>
        </w:rPr>
        <w:t>、工作人员生活噪声等各类噪声污染源，监督检查施工过程中各类机械设备是否依据有关法规控制噪声污染。对施工厂界进行噪声监测结果评定，如超标，环境监理工程师应通知承包方采取必要的减噪措施，或调整施工机械作业的时间</w:t>
      </w:r>
      <w:r>
        <w:rPr>
          <w:rFonts w:eastAsia="仿宋_GB2312"/>
          <w:color w:val="auto"/>
          <w:kern w:val="0"/>
          <w:sz w:val="24"/>
          <w:szCs w:val="24"/>
        </w:rPr>
        <w:t>。</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4</w:t>
      </w:r>
      <w:r>
        <w:rPr>
          <w:rFonts w:hint="eastAsia" w:eastAsia="仿宋_GB2312"/>
          <w:color w:val="auto"/>
          <w:kern w:val="0"/>
          <w:sz w:val="24"/>
          <w:szCs w:val="24"/>
          <w:lang w:eastAsia="zh-CN"/>
        </w:rPr>
        <w:t>）</w:t>
      </w:r>
      <w:r>
        <w:rPr>
          <w:rFonts w:hint="eastAsia" w:eastAsia="仿宋_GB2312"/>
          <w:color w:val="auto"/>
          <w:kern w:val="0"/>
          <w:sz w:val="24"/>
          <w:szCs w:val="24"/>
        </w:rPr>
        <w:t>固体废物监理</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监督检查建筑工地生活垃圾是否按规定进行妥善处理处置、施工船上生活垃圾的日常收集、分类存储和处理工作。固体废物处理包括生产、生活垃圾和生产废渣的处理要保证工程所在现场清洁整齐的要求。</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lang w:eastAsia="zh-CN"/>
        </w:rPr>
        <w:t>（</w:t>
      </w:r>
      <w:r>
        <w:rPr>
          <w:rFonts w:hint="eastAsia" w:eastAsia="仿宋_GB2312"/>
          <w:color w:val="auto"/>
          <w:kern w:val="0"/>
          <w:sz w:val="24"/>
          <w:szCs w:val="24"/>
          <w:lang w:val="en-US" w:eastAsia="zh-CN"/>
        </w:rPr>
        <w:t>5</w:t>
      </w:r>
      <w:r>
        <w:rPr>
          <w:rFonts w:hint="eastAsia" w:eastAsia="仿宋_GB2312"/>
          <w:color w:val="auto"/>
          <w:kern w:val="0"/>
          <w:sz w:val="24"/>
          <w:szCs w:val="24"/>
          <w:lang w:eastAsia="zh-CN"/>
        </w:rPr>
        <w:t>）</w:t>
      </w:r>
      <w:r>
        <w:rPr>
          <w:rFonts w:hint="eastAsia" w:eastAsia="仿宋_GB2312"/>
          <w:color w:val="auto"/>
          <w:kern w:val="0"/>
          <w:sz w:val="24"/>
          <w:szCs w:val="24"/>
        </w:rPr>
        <w:t>其它方面</w:t>
      </w:r>
    </w:p>
    <w:p>
      <w:pPr>
        <w:widowControl w:val="0"/>
        <w:autoSpaceDE w:val="0"/>
        <w:autoSpaceDN w:val="0"/>
        <w:spacing w:line="360" w:lineRule="auto"/>
        <w:ind w:firstLine="480" w:firstLineChars="200"/>
        <w:rPr>
          <w:rFonts w:eastAsia="仿宋_GB2312"/>
          <w:color w:val="auto"/>
          <w:sz w:val="24"/>
        </w:rPr>
      </w:pPr>
      <w:r>
        <w:rPr>
          <w:rFonts w:hint="eastAsia" w:eastAsia="仿宋_GB2312"/>
          <w:color w:val="auto"/>
          <w:kern w:val="0"/>
          <w:sz w:val="24"/>
          <w:szCs w:val="24"/>
        </w:rPr>
        <w:t>施工期间对施工人员做好环境保护方面的培训工作，培养大家爱护环境、防止污染的意识，参与调查处理施工期的环境污染事故和环境污染纠纷</w:t>
      </w:r>
      <w:r>
        <w:rPr>
          <w:rFonts w:eastAsia="仿宋_GB2312"/>
          <w:color w:val="auto"/>
          <w:kern w:val="0"/>
          <w:sz w:val="24"/>
          <w:szCs w:val="24"/>
        </w:rPr>
        <w:t>。</w:t>
      </w:r>
    </w:p>
    <w:p>
      <w:pPr>
        <w:pStyle w:val="5"/>
        <w:widowControl w:val="0"/>
        <w:adjustRightInd/>
        <w:spacing w:before="156" w:beforeLines="50" w:after="156" w:afterLines="50" w:line="360" w:lineRule="auto"/>
        <w:ind w:firstLine="0"/>
        <w:outlineLvl w:val="3"/>
        <w:rPr>
          <w:rFonts w:eastAsia="黑体"/>
          <w:color w:val="auto"/>
          <w:szCs w:val="24"/>
        </w:rPr>
      </w:pPr>
      <w:r>
        <w:rPr>
          <w:rFonts w:hint="eastAsia" w:eastAsia="黑体"/>
          <w:color w:val="auto"/>
          <w:szCs w:val="24"/>
          <w:lang w:val="en-US" w:eastAsia="zh-CN"/>
        </w:rPr>
        <w:t>10.3.2.3施工后期环境监理</w:t>
      </w:r>
    </w:p>
    <w:p>
      <w:pPr>
        <w:widowControl w:val="0"/>
        <w:autoSpaceDE w:val="0"/>
        <w:autoSpaceDN w:val="0"/>
        <w:spacing w:line="360" w:lineRule="auto"/>
        <w:ind w:firstLine="480" w:firstLineChars="200"/>
        <w:rPr>
          <w:rFonts w:hint="eastAsia" w:eastAsia="仿宋_GB2312"/>
          <w:color w:val="auto"/>
          <w:sz w:val="24"/>
          <w:lang w:eastAsia="zh-CN"/>
        </w:rPr>
      </w:pPr>
      <w:r>
        <w:rPr>
          <w:rFonts w:hint="eastAsia" w:eastAsia="仿宋_GB2312"/>
          <w:color w:val="auto"/>
          <w:kern w:val="0"/>
          <w:sz w:val="24"/>
          <w:szCs w:val="24"/>
        </w:rPr>
        <w:t>监督管理环境恢复计划的落实情况及环保处理设施运行情况。检查生态恢复和污染防治措施的落实情况。参与环境工程验收活动，负责工程环境监理工作计划和总结</w:t>
      </w:r>
      <w:r>
        <w:rPr>
          <w:rFonts w:hint="eastAsia" w:eastAsia="仿宋_GB2312"/>
          <w:color w:val="auto"/>
          <w:kern w:val="0"/>
          <w:sz w:val="24"/>
          <w:szCs w:val="24"/>
          <w:lang w:eastAsia="zh-CN"/>
        </w:rPr>
        <w:t>。</w:t>
      </w:r>
    </w:p>
    <w:p>
      <w:pPr>
        <w:pStyle w:val="9"/>
        <w:widowControl w:val="0"/>
        <w:spacing w:before="120" w:after="120" w:line="360" w:lineRule="auto"/>
        <w:rPr>
          <w:rFonts w:hint="default" w:eastAsia="黑体"/>
          <w:b w:val="0"/>
          <w:color w:val="auto"/>
          <w:sz w:val="24"/>
          <w:lang w:val="en-US" w:eastAsia="zh-CN"/>
        </w:rPr>
      </w:pPr>
      <w:bookmarkStart w:id="557" w:name="_Toc29634"/>
      <w:r>
        <w:rPr>
          <w:rFonts w:hint="eastAsia" w:eastAsia="黑体"/>
          <w:b w:val="0"/>
          <w:color w:val="auto"/>
          <w:sz w:val="24"/>
          <w:lang w:val="en-US" w:eastAsia="zh-CN"/>
        </w:rPr>
        <w:t>10</w:t>
      </w:r>
      <w:r>
        <w:rPr>
          <w:rFonts w:eastAsia="黑体"/>
          <w:b w:val="0"/>
          <w:color w:val="auto"/>
          <w:sz w:val="24"/>
        </w:rPr>
        <w:t>.</w:t>
      </w:r>
      <w:r>
        <w:rPr>
          <w:rFonts w:hint="eastAsia" w:eastAsia="黑体"/>
          <w:b w:val="0"/>
          <w:color w:val="auto"/>
          <w:sz w:val="24"/>
          <w:lang w:val="en-US" w:eastAsia="zh-CN"/>
        </w:rPr>
        <w:t>3.3环境监理要点</w:t>
      </w:r>
      <w:bookmarkEnd w:id="557"/>
    </w:p>
    <w:p>
      <w:pPr>
        <w:widowControl w:val="0"/>
        <w:autoSpaceDE w:val="0"/>
        <w:autoSpaceDN w:val="0"/>
        <w:spacing w:line="360" w:lineRule="auto"/>
        <w:ind w:firstLine="480" w:firstLineChars="200"/>
        <w:rPr>
          <w:rFonts w:eastAsia="仿宋_GB2312"/>
          <w:color w:val="auto"/>
          <w:sz w:val="24"/>
        </w:rPr>
      </w:pPr>
      <w:r>
        <w:rPr>
          <w:rFonts w:hint="eastAsia" w:eastAsia="仿宋_GB2312"/>
          <w:color w:val="auto"/>
          <w:sz w:val="24"/>
        </w:rPr>
        <w:t>工程监理中纳入环境监理内容，按工程质量和环保质量双重要求对项目进行全面质量管理。结合环评中提出的各项环保措施，本项目的环境监理要点见</w:t>
      </w:r>
      <w:r>
        <w:rPr>
          <w:rFonts w:hint="eastAsia" w:eastAsia="仿宋_GB2312"/>
          <w:color w:val="auto"/>
          <w:sz w:val="24"/>
          <w:lang w:val="en-US" w:eastAsia="zh-CN"/>
        </w:rPr>
        <w:t>下</w:t>
      </w:r>
      <w:r>
        <w:rPr>
          <w:rFonts w:hint="eastAsia" w:eastAsia="仿宋_GB2312"/>
          <w:color w:val="auto"/>
          <w:sz w:val="24"/>
        </w:rPr>
        <w:t>表</w:t>
      </w:r>
      <w:r>
        <w:rPr>
          <w:rFonts w:eastAsia="仿宋_GB2312"/>
          <w:color w:val="auto"/>
          <w:sz w:val="24"/>
        </w:rPr>
        <w:t>。</w:t>
      </w:r>
    </w:p>
    <w:p>
      <w:pPr>
        <w:widowControl w:val="0"/>
        <w:spacing w:line="360" w:lineRule="auto"/>
        <w:jc w:val="center"/>
        <w:rPr>
          <w:rFonts w:eastAsia="黑体"/>
          <w:b/>
          <w:bCs/>
          <w:color w:val="auto"/>
          <w:szCs w:val="21"/>
        </w:rPr>
      </w:pPr>
      <w:r>
        <w:rPr>
          <w:rFonts w:eastAsia="黑体"/>
          <w:b/>
          <w:bCs/>
          <w:color w:val="auto"/>
          <w:szCs w:val="21"/>
        </w:rPr>
        <w:t>表1</w:t>
      </w:r>
      <w:r>
        <w:rPr>
          <w:rFonts w:hint="eastAsia" w:eastAsia="黑体"/>
          <w:b/>
          <w:bCs/>
          <w:color w:val="auto"/>
          <w:szCs w:val="21"/>
          <w:lang w:val="en-US" w:eastAsia="zh-CN"/>
        </w:rPr>
        <w:t>0</w:t>
      </w:r>
      <w:r>
        <w:rPr>
          <w:rFonts w:eastAsia="黑体"/>
          <w:b/>
          <w:bCs/>
          <w:color w:val="auto"/>
          <w:szCs w:val="21"/>
        </w:rPr>
        <w:t>.</w:t>
      </w:r>
      <w:r>
        <w:rPr>
          <w:rFonts w:hint="eastAsia" w:eastAsia="黑体"/>
          <w:b/>
          <w:bCs/>
          <w:color w:val="auto"/>
          <w:szCs w:val="21"/>
          <w:lang w:val="en-US" w:eastAsia="zh-CN"/>
        </w:rPr>
        <w:t>3</w:t>
      </w:r>
      <w:r>
        <w:rPr>
          <w:rFonts w:eastAsia="黑体"/>
          <w:b/>
          <w:bCs/>
          <w:color w:val="auto"/>
          <w:szCs w:val="21"/>
        </w:rPr>
        <w:t xml:space="preserve">-1  </w:t>
      </w:r>
      <w:r>
        <w:rPr>
          <w:rFonts w:hint="eastAsia" w:eastAsia="黑体"/>
          <w:b/>
          <w:bCs/>
          <w:color w:val="auto"/>
          <w:szCs w:val="21"/>
          <w:lang w:val="en-US" w:eastAsia="zh-CN"/>
        </w:rPr>
        <w:t>施工期环境监理清单</w:t>
      </w:r>
      <w:r>
        <w:rPr>
          <w:rFonts w:eastAsia="黑体"/>
          <w:b/>
          <w:bCs/>
          <w:color w:val="auto"/>
          <w:szCs w:val="21"/>
        </w:rPr>
        <w:t>表</w:t>
      </w:r>
    </w:p>
    <w:tbl>
      <w:tblPr>
        <w:tblStyle w:val="92"/>
        <w:tblW w:w="853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3"/>
        <w:gridCol w:w="1095"/>
        <w:gridCol w:w="67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序号</w:t>
            </w:r>
          </w:p>
        </w:tc>
        <w:tc>
          <w:tcPr>
            <w:tcW w:w="1095" w:type="dxa"/>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监理内容</w:t>
            </w:r>
          </w:p>
        </w:tc>
        <w:tc>
          <w:tcPr>
            <w:tcW w:w="6785" w:type="dxa"/>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环境监理要求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1</w:t>
            </w:r>
          </w:p>
        </w:tc>
        <w:tc>
          <w:tcPr>
            <w:tcW w:w="1095"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防尘措施</w:t>
            </w:r>
          </w:p>
        </w:tc>
        <w:tc>
          <w:tcPr>
            <w:tcW w:w="6785" w:type="dxa"/>
            <w:noWrap w:val="0"/>
            <w:vAlign w:val="center"/>
          </w:tcPr>
          <w:p>
            <w:pPr>
              <w:widowControl w:val="0"/>
              <w:jc w:val="left"/>
              <w:rPr>
                <w:rFonts w:hint="eastAsia" w:eastAsia="宋体"/>
                <w:b w:val="0"/>
                <w:bCs w:val="0"/>
                <w:color w:val="auto"/>
                <w:sz w:val="20"/>
                <w:lang w:eastAsia="zh-CN"/>
              </w:rPr>
            </w:pPr>
            <w:r>
              <w:rPr>
                <w:rFonts w:hint="eastAsia"/>
                <w:b w:val="0"/>
                <w:bCs w:val="0"/>
                <w:color w:val="auto"/>
                <w:sz w:val="20"/>
                <w:lang w:val="en-US" w:eastAsia="zh-CN"/>
              </w:rPr>
              <w:t>1.</w:t>
            </w:r>
            <w:r>
              <w:rPr>
                <w:rFonts w:hint="eastAsia"/>
                <w:b w:val="0"/>
                <w:bCs w:val="0"/>
                <w:color w:val="auto"/>
                <w:sz w:val="20"/>
              </w:rPr>
              <w:t>道路施工现场、堆场等施工现场处的洒水抑尘措施检查，运输道路要硬化，渣土运输车辆要</w:t>
            </w:r>
            <w:r>
              <w:rPr>
                <w:rFonts w:hint="eastAsia"/>
                <w:b w:val="0"/>
                <w:bCs w:val="0"/>
                <w:color w:val="auto"/>
                <w:sz w:val="20"/>
                <w:lang w:val="en-US" w:eastAsia="zh-CN"/>
              </w:rPr>
              <w:t>毡布</w:t>
            </w:r>
            <w:r>
              <w:rPr>
                <w:rFonts w:hint="eastAsia"/>
                <w:b w:val="0"/>
                <w:bCs w:val="0"/>
                <w:color w:val="auto"/>
                <w:sz w:val="20"/>
              </w:rPr>
              <w:t>覆盖</w:t>
            </w:r>
            <w:r>
              <w:rPr>
                <w:rFonts w:hint="eastAsia"/>
                <w:b w:val="0"/>
                <w:bCs w:val="0"/>
                <w:color w:val="auto"/>
                <w:sz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2</w:t>
            </w:r>
          </w:p>
        </w:tc>
        <w:tc>
          <w:tcPr>
            <w:tcW w:w="1095" w:type="dxa"/>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噪声防治措施</w:t>
            </w:r>
          </w:p>
        </w:tc>
        <w:tc>
          <w:tcPr>
            <w:tcW w:w="6785" w:type="dxa"/>
            <w:noWrap w:val="0"/>
            <w:vAlign w:val="center"/>
          </w:tcPr>
          <w:p>
            <w:pPr>
              <w:widowControl w:val="0"/>
              <w:numPr>
                <w:ilvl w:val="0"/>
                <w:numId w:val="0"/>
              </w:numPr>
              <w:jc w:val="left"/>
              <w:rPr>
                <w:rFonts w:hint="eastAsia"/>
                <w:b w:val="0"/>
                <w:bCs w:val="0"/>
                <w:color w:val="auto"/>
                <w:sz w:val="20"/>
              </w:rPr>
            </w:pPr>
            <w:r>
              <w:rPr>
                <w:rFonts w:hint="eastAsia"/>
                <w:b w:val="0"/>
                <w:bCs w:val="0"/>
                <w:color w:val="auto"/>
                <w:sz w:val="20"/>
                <w:lang w:val="en-US" w:eastAsia="zh-CN"/>
              </w:rPr>
              <w:t>1.</w:t>
            </w:r>
            <w:r>
              <w:rPr>
                <w:rFonts w:hint="eastAsia"/>
                <w:b w:val="0"/>
                <w:bCs w:val="0"/>
                <w:color w:val="auto"/>
                <w:sz w:val="20"/>
              </w:rPr>
              <w:t>禁止高噪声机械夜间作业的检查。</w:t>
            </w:r>
          </w:p>
          <w:p>
            <w:pPr>
              <w:widowControl w:val="0"/>
              <w:numPr>
                <w:ilvl w:val="0"/>
                <w:numId w:val="0"/>
              </w:numPr>
              <w:ind w:left="0" w:leftChars="0" w:firstLine="0" w:firstLineChars="0"/>
              <w:jc w:val="left"/>
              <w:rPr>
                <w:rFonts w:hint="eastAsia" w:eastAsia="宋体"/>
                <w:b w:val="0"/>
                <w:bCs w:val="0"/>
                <w:color w:val="auto"/>
                <w:sz w:val="20"/>
                <w:lang w:eastAsia="zh-CN"/>
              </w:rPr>
            </w:pPr>
            <w:r>
              <w:rPr>
                <w:rFonts w:hint="eastAsia"/>
                <w:b w:val="0"/>
                <w:bCs w:val="0"/>
                <w:color w:val="auto"/>
                <w:sz w:val="20"/>
                <w:lang w:val="en-US" w:eastAsia="zh-CN"/>
              </w:rPr>
              <w:t>2.</w:t>
            </w:r>
            <w:r>
              <w:rPr>
                <w:rFonts w:hint="eastAsia"/>
                <w:b w:val="0"/>
                <w:bCs w:val="0"/>
                <w:color w:val="auto"/>
                <w:sz w:val="20"/>
              </w:rPr>
              <w:t>监督对环境敏感点的监测工作，在施工周围设置挡墙，减低噪音的影响</w:t>
            </w:r>
            <w:r>
              <w:rPr>
                <w:rFonts w:hint="eastAsia"/>
                <w:b w:val="0"/>
                <w:bCs w:val="0"/>
                <w:color w:val="auto"/>
                <w:sz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3</w:t>
            </w:r>
          </w:p>
        </w:tc>
        <w:tc>
          <w:tcPr>
            <w:tcW w:w="1095" w:type="dxa"/>
            <w:noWrap w:val="0"/>
            <w:vAlign w:val="center"/>
          </w:tcPr>
          <w:p>
            <w:pPr>
              <w:widowControl w:val="0"/>
              <w:jc w:val="center"/>
              <w:rPr>
                <w:rFonts w:hint="default" w:eastAsia="宋体"/>
                <w:b w:val="0"/>
                <w:bCs w:val="0"/>
                <w:color w:val="auto"/>
                <w:sz w:val="20"/>
                <w:lang w:val="en-US" w:eastAsia="zh-CN"/>
              </w:rPr>
            </w:pPr>
            <w:r>
              <w:rPr>
                <w:rFonts w:hint="eastAsia"/>
                <w:b w:val="0"/>
                <w:bCs w:val="0"/>
                <w:color w:val="auto"/>
                <w:sz w:val="20"/>
                <w:lang w:val="en-US" w:eastAsia="zh-CN"/>
              </w:rPr>
              <w:t>废水防治措施</w:t>
            </w:r>
          </w:p>
        </w:tc>
        <w:tc>
          <w:tcPr>
            <w:tcW w:w="6785" w:type="dxa"/>
            <w:noWrap w:val="0"/>
            <w:vAlign w:val="center"/>
          </w:tcPr>
          <w:p>
            <w:pPr>
              <w:widowControl w:val="0"/>
              <w:jc w:val="left"/>
              <w:rPr>
                <w:rFonts w:hint="eastAsia"/>
                <w:b w:val="0"/>
                <w:bCs w:val="0"/>
                <w:color w:val="auto"/>
                <w:sz w:val="20"/>
              </w:rPr>
            </w:pPr>
            <w:r>
              <w:rPr>
                <w:rFonts w:hint="eastAsia"/>
                <w:b w:val="0"/>
                <w:bCs w:val="0"/>
                <w:color w:val="auto"/>
                <w:sz w:val="20"/>
                <w:lang w:val="en-US" w:eastAsia="zh-CN"/>
              </w:rPr>
              <w:t>1.</w:t>
            </w:r>
            <w:r>
              <w:rPr>
                <w:rFonts w:hint="eastAsia"/>
                <w:b w:val="0"/>
                <w:bCs w:val="0"/>
                <w:color w:val="auto"/>
                <w:sz w:val="20"/>
              </w:rPr>
              <w:t>施工道路保持畅通，排水系统良好，施工现场不积水的检查。</w:t>
            </w:r>
          </w:p>
          <w:p>
            <w:pPr>
              <w:widowControl w:val="0"/>
              <w:jc w:val="left"/>
              <w:rPr>
                <w:rFonts w:hint="eastAsia"/>
                <w:b w:val="0"/>
                <w:bCs w:val="0"/>
                <w:color w:val="auto"/>
                <w:sz w:val="20"/>
              </w:rPr>
            </w:pPr>
            <w:r>
              <w:rPr>
                <w:rFonts w:hint="eastAsia"/>
                <w:b w:val="0"/>
                <w:bCs w:val="0"/>
                <w:color w:val="auto"/>
                <w:sz w:val="20"/>
                <w:lang w:val="en-US" w:eastAsia="zh-CN"/>
              </w:rPr>
              <w:t>2.</w:t>
            </w:r>
            <w:r>
              <w:rPr>
                <w:rFonts w:hint="eastAsia"/>
                <w:b w:val="0"/>
                <w:bCs w:val="0"/>
                <w:color w:val="auto"/>
                <w:sz w:val="20"/>
              </w:rPr>
              <w:t>施工现场泥浆是否循环使用，泥浆池四周是否采用土堤加高围护，并在泥浆池上方设置遮盖装置，防止雨水进入泥浆池后造成的废水溢出。</w:t>
            </w:r>
          </w:p>
          <w:p>
            <w:pPr>
              <w:widowControl w:val="0"/>
              <w:jc w:val="left"/>
              <w:rPr>
                <w:rFonts w:hint="eastAsia"/>
                <w:b w:val="0"/>
                <w:bCs w:val="0"/>
                <w:color w:val="auto"/>
                <w:sz w:val="20"/>
              </w:rPr>
            </w:pPr>
            <w:r>
              <w:rPr>
                <w:rFonts w:hint="eastAsia"/>
                <w:b w:val="0"/>
                <w:bCs w:val="0"/>
                <w:color w:val="auto"/>
                <w:sz w:val="20"/>
                <w:lang w:val="en-US" w:eastAsia="zh-CN"/>
              </w:rPr>
              <w:t>3.</w:t>
            </w:r>
            <w:r>
              <w:rPr>
                <w:rFonts w:hint="eastAsia"/>
                <w:b w:val="0"/>
                <w:bCs w:val="0"/>
                <w:color w:val="auto"/>
                <w:sz w:val="20"/>
              </w:rPr>
              <w:t>施工船舶污水是否委托海事部门认可单位污染物接收船接收处理。</w:t>
            </w:r>
          </w:p>
          <w:p>
            <w:pPr>
              <w:widowControl w:val="0"/>
              <w:jc w:val="left"/>
              <w:rPr>
                <w:rFonts w:hint="eastAsia"/>
                <w:b w:val="0"/>
                <w:bCs w:val="0"/>
                <w:color w:val="auto"/>
                <w:sz w:val="20"/>
              </w:rPr>
            </w:pPr>
            <w:r>
              <w:rPr>
                <w:rFonts w:hint="eastAsia"/>
                <w:b w:val="0"/>
                <w:bCs w:val="0"/>
                <w:color w:val="auto"/>
                <w:sz w:val="20"/>
                <w:lang w:val="en-US" w:eastAsia="zh-CN"/>
              </w:rPr>
              <w:t>4.</w:t>
            </w:r>
            <w:r>
              <w:rPr>
                <w:rFonts w:hint="eastAsia"/>
                <w:b w:val="0"/>
                <w:bCs w:val="0"/>
                <w:color w:val="auto"/>
                <w:sz w:val="20"/>
              </w:rPr>
              <w:t>水泥、沙、石料等堆放是否有临时遮挡的帆布，施工场地四周设有排水沟。</w:t>
            </w:r>
          </w:p>
          <w:p>
            <w:pPr>
              <w:widowControl w:val="0"/>
              <w:jc w:val="left"/>
              <w:rPr>
                <w:rFonts w:hint="eastAsia"/>
                <w:b w:val="0"/>
                <w:bCs w:val="0"/>
                <w:color w:val="auto"/>
                <w:sz w:val="20"/>
              </w:rPr>
            </w:pPr>
            <w:r>
              <w:rPr>
                <w:rFonts w:hint="eastAsia"/>
                <w:b w:val="0"/>
                <w:bCs w:val="0"/>
                <w:color w:val="auto"/>
                <w:sz w:val="20"/>
                <w:lang w:val="en-US" w:eastAsia="zh-CN"/>
              </w:rPr>
              <w:t>5.</w:t>
            </w:r>
            <w:r>
              <w:rPr>
                <w:rFonts w:hint="eastAsia"/>
                <w:b w:val="0"/>
                <w:bCs w:val="0"/>
                <w:color w:val="auto"/>
                <w:sz w:val="20"/>
              </w:rPr>
              <w:t>生产废水是否经沉淀处理后回用。</w:t>
            </w:r>
          </w:p>
          <w:p>
            <w:pPr>
              <w:widowControl w:val="0"/>
              <w:jc w:val="left"/>
              <w:rPr>
                <w:rFonts w:hint="eastAsia" w:eastAsia="宋体"/>
                <w:b w:val="0"/>
                <w:bCs w:val="0"/>
                <w:color w:val="auto"/>
                <w:sz w:val="20"/>
                <w:lang w:eastAsia="zh-CN"/>
              </w:rPr>
            </w:pPr>
            <w:r>
              <w:rPr>
                <w:rFonts w:hint="eastAsia"/>
                <w:b w:val="0"/>
                <w:bCs w:val="0"/>
                <w:color w:val="auto"/>
                <w:sz w:val="20"/>
                <w:lang w:val="en-US" w:eastAsia="zh-CN"/>
              </w:rPr>
              <w:t>6.</w:t>
            </w:r>
            <w:r>
              <w:rPr>
                <w:rFonts w:hint="eastAsia"/>
                <w:b w:val="0"/>
                <w:bCs w:val="0"/>
                <w:color w:val="auto"/>
                <w:sz w:val="20"/>
              </w:rPr>
              <w:t>施工期是否存在向长江偷排污水</w:t>
            </w:r>
            <w:r>
              <w:rPr>
                <w:rFonts w:hint="eastAsia"/>
                <w:b w:val="0"/>
                <w:bCs w:val="0"/>
                <w:color w:val="auto"/>
                <w:sz w:val="20"/>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4</w:t>
            </w:r>
          </w:p>
        </w:tc>
        <w:tc>
          <w:tcPr>
            <w:tcW w:w="1095" w:type="dxa"/>
            <w:noWrap w:val="0"/>
            <w:vAlign w:val="center"/>
          </w:tcPr>
          <w:p>
            <w:pPr>
              <w:widowControl w:val="0"/>
              <w:jc w:val="center"/>
              <w:rPr>
                <w:rFonts w:hint="default" w:eastAsia="宋体"/>
                <w:b w:val="0"/>
                <w:bCs w:val="0"/>
                <w:color w:val="auto"/>
                <w:sz w:val="20"/>
                <w:szCs w:val="21"/>
                <w:lang w:val="en-US" w:eastAsia="zh-CN"/>
              </w:rPr>
            </w:pPr>
            <w:r>
              <w:rPr>
                <w:rFonts w:hint="eastAsia"/>
                <w:b w:val="0"/>
                <w:bCs w:val="0"/>
                <w:color w:val="auto"/>
                <w:sz w:val="20"/>
                <w:szCs w:val="21"/>
                <w:lang w:val="en-US" w:eastAsia="zh-CN"/>
              </w:rPr>
              <w:t>固体废物防治措施</w:t>
            </w:r>
          </w:p>
        </w:tc>
        <w:tc>
          <w:tcPr>
            <w:tcW w:w="6785" w:type="dxa"/>
            <w:noWrap w:val="0"/>
            <w:vAlign w:val="center"/>
          </w:tcPr>
          <w:p>
            <w:pPr>
              <w:widowControl w:val="0"/>
              <w:numPr>
                <w:ilvl w:val="0"/>
                <w:numId w:val="0"/>
              </w:numPr>
              <w:jc w:val="left"/>
              <w:rPr>
                <w:rFonts w:hint="eastAsia"/>
                <w:b w:val="0"/>
                <w:bCs w:val="0"/>
                <w:color w:val="auto"/>
                <w:sz w:val="20"/>
                <w:szCs w:val="21"/>
              </w:rPr>
            </w:pPr>
            <w:r>
              <w:rPr>
                <w:rFonts w:hint="eastAsia"/>
                <w:b w:val="0"/>
                <w:bCs w:val="0"/>
                <w:color w:val="auto"/>
                <w:sz w:val="20"/>
                <w:szCs w:val="21"/>
                <w:lang w:val="en-US" w:eastAsia="zh-CN"/>
              </w:rPr>
              <w:t>1.</w:t>
            </w:r>
            <w:r>
              <w:rPr>
                <w:rFonts w:hint="eastAsia"/>
                <w:b w:val="0"/>
                <w:bCs w:val="0"/>
                <w:color w:val="auto"/>
                <w:sz w:val="20"/>
                <w:szCs w:val="21"/>
              </w:rPr>
              <w:t>监督检查建筑工地生活垃圾是否按规定进行妥善处理处置、施工船上生活垃圾的日常收集、分类存储和处理工作。</w:t>
            </w:r>
          </w:p>
          <w:p>
            <w:pPr>
              <w:widowControl w:val="0"/>
              <w:numPr>
                <w:ilvl w:val="0"/>
                <w:numId w:val="0"/>
              </w:numPr>
              <w:ind w:left="0" w:leftChars="0" w:firstLine="0" w:firstLineChars="0"/>
              <w:jc w:val="left"/>
              <w:rPr>
                <w:b w:val="0"/>
                <w:bCs w:val="0"/>
                <w:color w:val="auto"/>
                <w:sz w:val="20"/>
                <w:szCs w:val="21"/>
              </w:rPr>
            </w:pPr>
            <w:r>
              <w:rPr>
                <w:rFonts w:hint="eastAsia"/>
                <w:b w:val="0"/>
                <w:bCs w:val="0"/>
                <w:color w:val="auto"/>
                <w:sz w:val="20"/>
                <w:szCs w:val="21"/>
                <w:lang w:val="en-US" w:eastAsia="zh-CN"/>
              </w:rPr>
              <w:t>2.</w:t>
            </w:r>
            <w:r>
              <w:rPr>
                <w:rFonts w:hint="eastAsia"/>
                <w:b w:val="0"/>
                <w:bCs w:val="0"/>
                <w:color w:val="auto"/>
                <w:sz w:val="20"/>
                <w:szCs w:val="21"/>
              </w:rPr>
              <w:t>固体废物处理包括生产和、生活垃圾和生产废渣的处理要保证工程所在现场清洁整齐的要求。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5</w:t>
            </w:r>
          </w:p>
        </w:tc>
        <w:tc>
          <w:tcPr>
            <w:tcW w:w="1095" w:type="dxa"/>
            <w:noWrap w:val="0"/>
            <w:vAlign w:val="center"/>
          </w:tcPr>
          <w:p>
            <w:pPr>
              <w:widowControl w:val="0"/>
              <w:jc w:val="center"/>
              <w:rPr>
                <w:rFonts w:hint="default" w:eastAsia="宋体"/>
                <w:b w:val="0"/>
                <w:bCs w:val="0"/>
                <w:color w:val="auto"/>
                <w:sz w:val="20"/>
                <w:szCs w:val="21"/>
                <w:lang w:val="en-US" w:eastAsia="zh-CN"/>
              </w:rPr>
            </w:pPr>
            <w:r>
              <w:rPr>
                <w:rFonts w:hint="eastAsia"/>
                <w:b w:val="0"/>
                <w:bCs w:val="0"/>
                <w:color w:val="auto"/>
                <w:sz w:val="20"/>
                <w:szCs w:val="21"/>
                <w:lang w:val="en-US" w:eastAsia="zh-CN"/>
              </w:rPr>
              <w:t>水生生态保护措施</w:t>
            </w:r>
          </w:p>
        </w:tc>
        <w:tc>
          <w:tcPr>
            <w:tcW w:w="6785" w:type="dxa"/>
            <w:noWrap w:val="0"/>
            <w:vAlign w:val="center"/>
          </w:tcPr>
          <w:p>
            <w:pPr>
              <w:widowControl w:val="0"/>
              <w:jc w:val="left"/>
              <w:rPr>
                <w:b w:val="0"/>
                <w:bCs w:val="0"/>
                <w:color w:val="auto"/>
                <w:sz w:val="20"/>
                <w:szCs w:val="21"/>
              </w:rPr>
            </w:pPr>
            <w:r>
              <w:rPr>
                <w:rFonts w:hint="eastAsia"/>
                <w:b w:val="0"/>
                <w:bCs w:val="0"/>
                <w:color w:val="auto"/>
                <w:sz w:val="20"/>
                <w:szCs w:val="21"/>
                <w:lang w:val="en-US" w:eastAsia="zh-CN"/>
              </w:rPr>
              <w:t>1.</w:t>
            </w:r>
            <w:r>
              <w:rPr>
                <w:rFonts w:hint="eastAsia"/>
                <w:b w:val="0"/>
                <w:bCs w:val="0"/>
                <w:color w:val="auto"/>
                <w:sz w:val="20"/>
                <w:szCs w:val="21"/>
              </w:rPr>
              <w:t>施工期应特别注意对长江珍稀水生野生动物的保护，一旦发现施工区域出现珍稀水生野生动物，应立即采取保护措施，确保珍稀水生野生动物安全。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653" w:type="dxa"/>
            <w:noWrap w:val="0"/>
            <w:vAlign w:val="center"/>
          </w:tcPr>
          <w:p>
            <w:pPr>
              <w:widowControl w:val="0"/>
              <w:jc w:val="center"/>
              <w:rPr>
                <w:rFonts w:hint="eastAsia" w:eastAsia="宋体"/>
                <w:b w:val="0"/>
                <w:bCs w:val="0"/>
                <w:color w:val="auto"/>
                <w:sz w:val="20"/>
                <w:lang w:val="en-US" w:eastAsia="zh-CN"/>
              </w:rPr>
            </w:pPr>
            <w:r>
              <w:rPr>
                <w:rFonts w:hint="eastAsia"/>
                <w:b w:val="0"/>
                <w:bCs w:val="0"/>
                <w:color w:val="auto"/>
                <w:sz w:val="20"/>
                <w:lang w:val="en-US" w:eastAsia="zh-CN"/>
              </w:rPr>
              <w:t>6</w:t>
            </w:r>
          </w:p>
        </w:tc>
        <w:tc>
          <w:tcPr>
            <w:tcW w:w="1095" w:type="dxa"/>
            <w:noWrap w:val="0"/>
            <w:vAlign w:val="center"/>
          </w:tcPr>
          <w:p>
            <w:pPr>
              <w:widowControl w:val="0"/>
              <w:jc w:val="center"/>
              <w:rPr>
                <w:rFonts w:hint="default" w:eastAsia="宋体"/>
                <w:b w:val="0"/>
                <w:bCs w:val="0"/>
                <w:color w:val="auto"/>
                <w:sz w:val="20"/>
                <w:szCs w:val="21"/>
                <w:lang w:val="en-US" w:eastAsia="zh-CN"/>
              </w:rPr>
            </w:pPr>
            <w:r>
              <w:rPr>
                <w:rFonts w:hint="eastAsia"/>
                <w:b w:val="0"/>
                <w:bCs w:val="0"/>
                <w:color w:val="auto"/>
                <w:sz w:val="20"/>
                <w:szCs w:val="21"/>
                <w:lang w:val="en-US" w:eastAsia="zh-CN"/>
              </w:rPr>
              <w:t>事故风险防范措施</w:t>
            </w:r>
          </w:p>
        </w:tc>
        <w:tc>
          <w:tcPr>
            <w:tcW w:w="6785" w:type="dxa"/>
            <w:noWrap w:val="0"/>
            <w:vAlign w:val="center"/>
          </w:tcPr>
          <w:p>
            <w:pPr>
              <w:widowControl w:val="0"/>
              <w:jc w:val="left"/>
              <w:rPr>
                <w:rFonts w:hint="eastAsia" w:eastAsia="宋体"/>
                <w:b w:val="0"/>
                <w:bCs w:val="0"/>
                <w:color w:val="auto"/>
                <w:sz w:val="20"/>
                <w:szCs w:val="21"/>
                <w:lang w:eastAsia="zh-CN"/>
              </w:rPr>
            </w:pPr>
            <w:r>
              <w:rPr>
                <w:rFonts w:hint="eastAsia"/>
                <w:b w:val="0"/>
                <w:bCs w:val="0"/>
                <w:color w:val="auto"/>
                <w:sz w:val="20"/>
                <w:szCs w:val="21"/>
                <w:lang w:val="en-US" w:eastAsia="zh-CN"/>
              </w:rPr>
              <w:t>1.</w:t>
            </w:r>
            <w:r>
              <w:rPr>
                <w:rFonts w:hint="eastAsia"/>
                <w:b w:val="0"/>
                <w:bCs w:val="0"/>
                <w:color w:val="auto"/>
                <w:sz w:val="20"/>
                <w:szCs w:val="21"/>
              </w:rPr>
              <w:t>施工期间对施工人员做好环境保护方面的培训工作，培养大家爱护环境、防止污染的意识，参与调查处理施工期的环境污染事故和环境污染纠纷</w:t>
            </w:r>
            <w:r>
              <w:rPr>
                <w:rFonts w:hint="eastAsia"/>
                <w:b w:val="0"/>
                <w:bCs w:val="0"/>
                <w:color w:val="auto"/>
                <w:sz w:val="20"/>
                <w:szCs w:val="21"/>
                <w:lang w:eastAsia="zh-CN"/>
              </w:rPr>
              <w:t>。</w:t>
            </w:r>
          </w:p>
        </w:tc>
      </w:tr>
    </w:tbl>
    <w:p>
      <w:pPr>
        <w:pStyle w:val="8"/>
        <w:widowControl w:val="0"/>
        <w:spacing w:before="120" w:after="120" w:line="360" w:lineRule="auto"/>
        <w:rPr>
          <w:rFonts w:hint="default" w:ascii="Times New Roman" w:hAnsi="Times New Roman" w:eastAsia="黑体"/>
          <w:b w:val="0"/>
          <w:color w:val="auto"/>
          <w:szCs w:val="32"/>
          <w:lang w:val="en-US" w:eastAsia="zh-CN"/>
        </w:rPr>
      </w:pPr>
      <w:bookmarkStart w:id="558" w:name="_Toc24115"/>
      <w:r>
        <w:rPr>
          <w:rFonts w:ascii="Times New Roman" w:hAnsi="Times New Roman"/>
          <w:b w:val="0"/>
          <w:color w:val="auto"/>
          <w:szCs w:val="32"/>
        </w:rPr>
        <w:t>1</w:t>
      </w:r>
      <w:r>
        <w:rPr>
          <w:rFonts w:hint="eastAsia" w:ascii="Times New Roman" w:hAnsi="Times New Roman"/>
          <w:b w:val="0"/>
          <w:color w:val="auto"/>
          <w:szCs w:val="32"/>
          <w:lang w:val="en-US" w:eastAsia="zh-CN"/>
        </w:rPr>
        <w:t>0</w:t>
      </w:r>
      <w:r>
        <w:rPr>
          <w:rFonts w:ascii="Times New Roman" w:hAnsi="Times New Roman"/>
          <w:b w:val="0"/>
          <w:color w:val="auto"/>
          <w:szCs w:val="32"/>
        </w:rPr>
        <w:t>.</w:t>
      </w:r>
      <w:r>
        <w:rPr>
          <w:rFonts w:hint="eastAsia" w:ascii="Times New Roman" w:hAnsi="Times New Roman"/>
          <w:b w:val="0"/>
          <w:color w:val="auto"/>
          <w:szCs w:val="32"/>
          <w:lang w:val="en-US" w:eastAsia="zh-CN"/>
        </w:rPr>
        <w:t>4环境保护规章制度</w:t>
      </w:r>
      <w:bookmarkEnd w:id="558"/>
    </w:p>
    <w:p>
      <w:pPr>
        <w:pStyle w:val="9"/>
        <w:keepNext w:val="0"/>
        <w:keepLines w:val="0"/>
        <w:widowControl w:val="0"/>
        <w:spacing w:before="120" w:after="120" w:line="360" w:lineRule="auto"/>
        <w:rPr>
          <w:rFonts w:eastAsia="黑体"/>
          <w:b w:val="0"/>
          <w:color w:val="auto"/>
          <w:sz w:val="24"/>
        </w:rPr>
      </w:pPr>
      <w:bookmarkStart w:id="559" w:name="_Toc24278"/>
      <w:r>
        <w:rPr>
          <w:rFonts w:eastAsia="黑体"/>
          <w:b w:val="0"/>
          <w:color w:val="auto"/>
          <w:sz w:val="24"/>
        </w:rPr>
        <w:t>1</w:t>
      </w:r>
      <w:r>
        <w:rPr>
          <w:rFonts w:hint="eastAsia" w:eastAsia="黑体"/>
          <w:b w:val="0"/>
          <w:color w:val="auto"/>
          <w:sz w:val="24"/>
          <w:lang w:val="en-US" w:eastAsia="zh-CN"/>
        </w:rPr>
        <w:t>0</w:t>
      </w:r>
      <w:r>
        <w:rPr>
          <w:rFonts w:eastAsia="黑体"/>
          <w:b w:val="0"/>
          <w:color w:val="auto"/>
          <w:sz w:val="24"/>
        </w:rPr>
        <w:t>.</w:t>
      </w:r>
      <w:r>
        <w:rPr>
          <w:rFonts w:hint="eastAsia" w:eastAsia="黑体"/>
          <w:b w:val="0"/>
          <w:color w:val="auto"/>
          <w:sz w:val="24"/>
          <w:lang w:val="en-US" w:eastAsia="zh-CN"/>
        </w:rPr>
        <w:t>4.1环境管理机构</w:t>
      </w:r>
      <w:bookmarkEnd w:id="559"/>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环境管理同计划管理、生产管理、质量管理、服务管理等各项专业管理一样，是管理的重要组成部分，企业应建立健全内部的环境管理机构和环境管理体系。按照国家有关规定，结合建设单位的实际情况，设置环境管理人员，在总经理统一领导下负责码头区域的安全环保工作。</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（1）设置目的</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贯彻执行有关环境法规，正确处理安全生产与环境保护的关系，实现项目建设的社会、经济和环境效益的统一，及时掌握污染控制措施的效果，了解码头所在地及周围区域的环境质量与社会经济因子的变化，为</w:t>
      </w:r>
      <w:r>
        <w:rPr>
          <w:rFonts w:hint="eastAsia" w:eastAsia="仿宋_GB2312"/>
          <w:color w:val="auto"/>
          <w:kern w:val="0"/>
          <w:sz w:val="24"/>
          <w:szCs w:val="24"/>
          <w:lang w:eastAsia="zh-CN"/>
        </w:rPr>
        <w:t>运营期</w:t>
      </w:r>
      <w:r>
        <w:rPr>
          <w:rFonts w:hint="eastAsia" w:eastAsia="仿宋_GB2312"/>
          <w:color w:val="auto"/>
          <w:kern w:val="0"/>
          <w:sz w:val="24"/>
          <w:szCs w:val="24"/>
        </w:rPr>
        <w:t>环境管理提供依据。</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（2）机构组成</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根据本项目的实际情况，项目投入运营后，设环境管理人员，负责码头的环境保护事宜。环境管理人员肩负公司环境管理和环境监控两大职能，其业务受市、区生态环境局的指导和监督。</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（3）环保机构定员</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施工期在建设工程指挥部设1～2人环境管理人员，运营期定员为1～2人，在码头配备至少</w:t>
      </w:r>
      <w:r>
        <w:rPr>
          <w:rFonts w:hint="eastAsia" w:eastAsia="仿宋_GB2312"/>
          <w:color w:val="auto"/>
          <w:kern w:val="0"/>
          <w:sz w:val="24"/>
          <w:szCs w:val="24"/>
          <w:lang w:val="en-US" w:eastAsia="zh-CN"/>
        </w:rPr>
        <w:t>1</w:t>
      </w:r>
      <w:r>
        <w:rPr>
          <w:rFonts w:hint="eastAsia" w:eastAsia="仿宋_GB2312"/>
          <w:color w:val="auto"/>
          <w:kern w:val="0"/>
          <w:sz w:val="24"/>
          <w:szCs w:val="24"/>
        </w:rPr>
        <w:t>名兼职人员，负责环境管理和环境监测工作。</w:t>
      </w:r>
    </w:p>
    <w:p>
      <w:pPr>
        <w:pStyle w:val="9"/>
        <w:keepNext w:val="0"/>
        <w:keepLines w:val="0"/>
        <w:widowControl w:val="0"/>
        <w:spacing w:before="120" w:after="120" w:line="360" w:lineRule="auto"/>
        <w:rPr>
          <w:rFonts w:eastAsia="黑体"/>
          <w:b w:val="0"/>
          <w:color w:val="auto"/>
          <w:sz w:val="24"/>
        </w:rPr>
      </w:pPr>
      <w:bookmarkStart w:id="560" w:name="_Toc11255"/>
      <w:bookmarkStart w:id="561" w:name="_Toc305859610"/>
      <w:bookmarkStart w:id="562" w:name="_Toc343702961"/>
      <w:bookmarkStart w:id="563" w:name="_Toc241056870"/>
      <w:bookmarkStart w:id="564" w:name="_Toc267576444"/>
      <w:r>
        <w:rPr>
          <w:rFonts w:hint="eastAsia" w:eastAsia="黑体"/>
          <w:b w:val="0"/>
          <w:color w:val="auto"/>
          <w:sz w:val="24"/>
          <w:lang w:val="en-US" w:eastAsia="zh-CN"/>
        </w:rPr>
        <w:t>10</w:t>
      </w:r>
      <w:r>
        <w:rPr>
          <w:rFonts w:eastAsia="黑体"/>
          <w:b w:val="0"/>
          <w:color w:val="auto"/>
          <w:sz w:val="24"/>
        </w:rPr>
        <w:t>.</w:t>
      </w:r>
      <w:r>
        <w:rPr>
          <w:rFonts w:hint="eastAsia" w:eastAsia="黑体"/>
          <w:b w:val="0"/>
          <w:color w:val="auto"/>
          <w:sz w:val="24"/>
          <w:lang w:val="en-US" w:eastAsia="zh-CN"/>
        </w:rPr>
        <w:t>4.2环境管理职责</w:t>
      </w:r>
      <w:bookmarkEnd w:id="560"/>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（1）对码头的环境保护工作实行统一监督管理，贯彻执行国家和地方有关环境保护法规；</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（2）建立各种管理制度，并经常检查督促；</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（3）编制环境保护规划和计划，并组织实施；</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（4）领导和组织项目的环境监测工作，建立监控档案；</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（5）搞好环境教育和技术培训，提高工作人员的素质；</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（6）维护环保设施正常运转，协同市、区环保局解答和处理与码头环境保护有关公众提出的意见和问题；</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（7）与政府环境保护机构密切配合，接受各级政府环境保护机构的检查和指导；</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（8）监督建设单位执行“三同时”规定的情况，使环保工程措施与主体工程同时设计、同时施工、同时投产，以有效控制污染。</w:t>
      </w:r>
    </w:p>
    <w:p>
      <w:pPr>
        <w:pStyle w:val="9"/>
        <w:keepNext w:val="0"/>
        <w:keepLines w:val="0"/>
        <w:widowControl w:val="0"/>
        <w:spacing w:before="120" w:after="120" w:line="360" w:lineRule="auto"/>
        <w:rPr>
          <w:rFonts w:hint="default" w:eastAsia="黑体"/>
          <w:b w:val="0"/>
          <w:color w:val="auto"/>
          <w:sz w:val="24"/>
          <w:lang w:val="en-US"/>
        </w:rPr>
      </w:pPr>
      <w:bookmarkStart w:id="565" w:name="_Toc27299"/>
      <w:r>
        <w:rPr>
          <w:rFonts w:eastAsia="黑体"/>
          <w:b w:val="0"/>
          <w:color w:val="auto"/>
          <w:sz w:val="24"/>
        </w:rPr>
        <w:t>1</w:t>
      </w:r>
      <w:r>
        <w:rPr>
          <w:rFonts w:hint="eastAsia" w:eastAsia="黑体"/>
          <w:b w:val="0"/>
          <w:color w:val="auto"/>
          <w:sz w:val="24"/>
          <w:lang w:val="en-US" w:eastAsia="zh-CN"/>
        </w:rPr>
        <w:t>0.4.3环境管理措施</w:t>
      </w:r>
      <w:bookmarkEnd w:id="565"/>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项目环保工作要纳入公司全面工作之中，在工程管理的每个环节都要注重环境保护。公司环境管理机构要对环境保护工作统一管理、定期检查，并接受政府环境保护部门的监督和指导。</w:t>
      </w:r>
    </w:p>
    <w:p>
      <w:pPr>
        <w:pStyle w:val="2"/>
        <w:rPr>
          <w:color w:val="auto"/>
        </w:rPr>
      </w:pPr>
    </w:p>
    <w:p>
      <w:pPr>
        <w:pStyle w:val="8"/>
        <w:widowControl w:val="0"/>
        <w:spacing w:before="120" w:after="120" w:line="360" w:lineRule="auto"/>
        <w:rPr>
          <w:rFonts w:hint="eastAsia" w:ascii="Times New Roman" w:hAnsi="Times New Roman"/>
          <w:b w:val="0"/>
          <w:color w:val="auto"/>
          <w:szCs w:val="32"/>
        </w:rPr>
      </w:pPr>
      <w:bookmarkStart w:id="566" w:name="_Toc17124"/>
      <w:r>
        <w:rPr>
          <w:rFonts w:hint="eastAsia" w:ascii="Times New Roman" w:hAnsi="Times New Roman"/>
          <w:b w:val="0"/>
          <w:color w:val="auto"/>
          <w:szCs w:val="32"/>
          <w:lang w:val="en-US" w:eastAsia="zh-CN"/>
        </w:rPr>
        <w:t>10.5</w:t>
      </w:r>
      <w:r>
        <w:rPr>
          <w:rFonts w:hint="eastAsia" w:ascii="Times New Roman" w:hAnsi="Times New Roman"/>
          <w:b w:val="0"/>
          <w:color w:val="auto"/>
          <w:szCs w:val="32"/>
        </w:rPr>
        <w:t>排污许可及污染物排放清单</w:t>
      </w:r>
      <w:bookmarkEnd w:id="566"/>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根据《关于做好环境影响评价制度与排污许可衔接相关工作的通知》（环办环评[2017]84号）的相关要求：</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1）环境影响评价制度是建设项目的环境准入门槛，是申请排污许可证的前提和重要依据。排污许可制是企事业单位生产运营期排污的法律依据，是确保环境影响评价提出的污染防治设施和措施落实落地的重要保障。各级环保部门要切实做好两项制度的衔接，在环境影响评价管理中，不断完善管理内容，推动环境影响评价更加科学，严格污染物排放要求；在排污许可管理中，严格按照环境影响报告书（表）以及审批文件要求核发排污许可证，维护环境影响评价的有效性。</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2）做好《建设项目环境影响评价分类管理名录》和《固定污染源排污许可分类管理名录》的衔接，按照建设项目对环境的影响程度、污染物产生量和排放量，实行统一分类管理。纳入排污许可管理的建设项目，可能造成重大环境影响、应当编制环境影响报告书的，原则上实行排污许可重点管理；可能造成轻度环境影响、应当编制环境影响报告表的，原则上实行排污许可简化管理。</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3）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widowControl w:val="0"/>
        <w:autoSpaceDE w:val="0"/>
        <w:autoSpaceDN w:val="0"/>
        <w:spacing w:line="360" w:lineRule="auto"/>
        <w:ind w:firstLine="480" w:firstLineChars="200"/>
        <w:rPr>
          <w:rFonts w:hint="eastAsia" w:eastAsia="仿宋_GB2312"/>
          <w:color w:val="auto"/>
          <w:kern w:val="0"/>
          <w:sz w:val="24"/>
          <w:szCs w:val="24"/>
        </w:rPr>
      </w:pPr>
      <w:r>
        <w:rPr>
          <w:rFonts w:hint="eastAsia" w:eastAsia="仿宋_GB2312"/>
          <w:color w:val="auto"/>
          <w:kern w:val="0"/>
          <w:sz w:val="24"/>
          <w:szCs w:val="24"/>
        </w:rPr>
        <w:t>本次</w:t>
      </w:r>
      <w:r>
        <w:rPr>
          <w:rFonts w:hint="eastAsia" w:eastAsia="仿宋_GB2312"/>
          <w:color w:val="auto"/>
          <w:kern w:val="0"/>
          <w:sz w:val="24"/>
          <w:szCs w:val="24"/>
          <w:lang w:val="en-US" w:eastAsia="zh-CN"/>
        </w:rPr>
        <w:t>技改</w:t>
      </w:r>
      <w:r>
        <w:rPr>
          <w:rFonts w:hint="eastAsia" w:eastAsia="仿宋_GB2312"/>
          <w:color w:val="auto"/>
          <w:kern w:val="0"/>
          <w:sz w:val="24"/>
          <w:szCs w:val="24"/>
        </w:rPr>
        <w:t>项目完成后</w:t>
      </w:r>
      <w:r>
        <w:rPr>
          <w:rFonts w:hint="eastAsia" w:eastAsia="仿宋_GB2312"/>
          <w:color w:val="auto"/>
          <w:kern w:val="0"/>
          <w:sz w:val="24"/>
          <w:szCs w:val="24"/>
          <w:lang w:eastAsia="zh-CN"/>
        </w:rPr>
        <w:t>，</w:t>
      </w:r>
      <w:r>
        <w:rPr>
          <w:rFonts w:hint="eastAsia" w:eastAsia="仿宋_GB2312"/>
          <w:color w:val="auto"/>
          <w:kern w:val="0"/>
          <w:sz w:val="24"/>
          <w:szCs w:val="24"/>
        </w:rPr>
        <w:t>运营</w:t>
      </w:r>
      <w:r>
        <w:rPr>
          <w:rFonts w:hint="eastAsia" w:eastAsia="仿宋_GB2312"/>
          <w:color w:val="auto"/>
          <w:kern w:val="0"/>
          <w:sz w:val="24"/>
          <w:szCs w:val="24"/>
          <w:lang w:val="en-US" w:eastAsia="zh-CN"/>
        </w:rPr>
        <w:t>期</w:t>
      </w:r>
      <w:r>
        <w:rPr>
          <w:rFonts w:hint="eastAsia" w:eastAsia="仿宋_GB2312"/>
          <w:color w:val="auto"/>
          <w:kern w:val="0"/>
          <w:sz w:val="24"/>
          <w:szCs w:val="24"/>
        </w:rPr>
        <w:t>污染物排放清单如下：</w:t>
      </w:r>
    </w:p>
    <w:p>
      <w:pPr>
        <w:widowControl w:val="0"/>
        <w:spacing w:line="360" w:lineRule="auto"/>
        <w:ind w:firstLine="422" w:firstLineChars="200"/>
        <w:jc w:val="center"/>
        <w:rPr>
          <w:rFonts w:hint="eastAsia" w:eastAsia="黑体"/>
          <w:b/>
          <w:color w:val="auto"/>
          <w:szCs w:val="21"/>
          <w:lang w:eastAsia="zh-CN"/>
        </w:rPr>
      </w:pPr>
      <w:r>
        <w:rPr>
          <w:rFonts w:hint="default" w:eastAsia="黑体"/>
          <w:b/>
          <w:color w:val="auto"/>
          <w:szCs w:val="21"/>
        </w:rPr>
        <w:t>表</w:t>
      </w:r>
      <w:r>
        <w:rPr>
          <w:rFonts w:hint="eastAsia" w:eastAsia="黑体"/>
          <w:b/>
          <w:color w:val="auto"/>
          <w:szCs w:val="21"/>
          <w:lang w:val="en-US" w:eastAsia="zh-CN"/>
        </w:rPr>
        <w:t>10</w:t>
      </w:r>
      <w:r>
        <w:rPr>
          <w:rFonts w:hint="default" w:eastAsia="黑体"/>
          <w:b/>
          <w:color w:val="auto"/>
          <w:szCs w:val="21"/>
        </w:rPr>
        <w:t>.</w:t>
      </w:r>
      <w:r>
        <w:rPr>
          <w:rFonts w:hint="default" w:eastAsia="黑体"/>
          <w:b/>
          <w:color w:val="auto"/>
          <w:szCs w:val="21"/>
          <w:lang w:val="en-US" w:eastAsia="zh-CN"/>
        </w:rPr>
        <w:t>5</w:t>
      </w:r>
      <w:r>
        <w:rPr>
          <w:rFonts w:hint="default" w:eastAsia="黑体"/>
          <w:b/>
          <w:color w:val="auto"/>
          <w:szCs w:val="21"/>
        </w:rPr>
        <w:t>-</w:t>
      </w:r>
      <w:r>
        <w:rPr>
          <w:rFonts w:hint="default" w:eastAsia="黑体"/>
          <w:b/>
          <w:color w:val="auto"/>
          <w:szCs w:val="21"/>
          <w:lang w:val="en-US" w:eastAsia="zh-CN"/>
        </w:rPr>
        <w:t>1</w:t>
      </w:r>
      <w:r>
        <w:rPr>
          <w:rFonts w:hint="default" w:eastAsia="黑体"/>
          <w:b/>
          <w:color w:val="auto"/>
          <w:szCs w:val="21"/>
        </w:rPr>
        <w:t xml:space="preserve">  项目污染物排放清单一览表</w:t>
      </w:r>
    </w:p>
    <w:tbl>
      <w:tblPr>
        <w:tblStyle w:val="9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1217"/>
        <w:gridCol w:w="903"/>
        <w:gridCol w:w="929"/>
        <w:gridCol w:w="961"/>
        <w:gridCol w:w="661"/>
        <w:gridCol w:w="2409"/>
        <w:gridCol w:w="8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序号</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污染物排放清单</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管理要求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3"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1</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建设内容</w:t>
            </w:r>
          </w:p>
        </w:tc>
        <w:tc>
          <w:tcPr>
            <w:tcW w:w="3923" w:type="pct"/>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contextualSpacing/>
              <w:textAlignment w:val="auto"/>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码头水域由上游向下游依次布置散货泊位2个，均为散货出口泊位，码头结构型式均采用浮式结构。码头前沿线与水流方向、等深线方向大致平行，2个泊位码头前沿线按一字型排列，占用岸线248m，与原占用岸线保持一致。</w:t>
            </w:r>
          </w:p>
          <w:p>
            <w:pPr>
              <w:keepNext w:val="0"/>
              <w:keepLines w:val="0"/>
              <w:pageBreakBefore w:val="0"/>
              <w:kinsoku/>
              <w:wordWrap/>
              <w:overflowPunct/>
              <w:topLinePunct w:val="0"/>
              <w:autoSpaceDE/>
              <w:autoSpaceDN/>
              <w:bidi w:val="0"/>
              <w:adjustRightInd/>
              <w:snapToGrid/>
              <w:spacing w:line="240" w:lineRule="auto"/>
              <w:ind w:left="0" w:leftChars="0" w:firstLine="0" w:firstLineChars="0"/>
              <w:contextualSpacing/>
              <w:textAlignment w:val="auto"/>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0"/>
                <w:szCs w:val="20"/>
                <w:highlight w:val="none"/>
              </w:rPr>
              <w:t>2个泊位各设置1艘85.0×18.0m（长×宽）钢质趸船及钢撑杆消能系统，每艘趸船后方各通过1榀48×4.5m活动钢引桥与转运站墩台连接。</w:t>
            </w:r>
          </w:p>
          <w:p>
            <w:pPr>
              <w:keepNext w:val="0"/>
              <w:keepLines w:val="0"/>
              <w:pageBreakBefore w:val="0"/>
              <w:kinsoku/>
              <w:wordWrap/>
              <w:overflowPunct/>
              <w:topLinePunct w:val="0"/>
              <w:autoSpaceDE/>
              <w:autoSpaceDN/>
              <w:bidi w:val="0"/>
              <w:adjustRightInd/>
              <w:snapToGrid/>
              <w:spacing w:line="240" w:lineRule="auto"/>
              <w:ind w:left="0" w:leftChars="0" w:firstLine="0" w:firstLineChars="0"/>
              <w:contextualSpacing/>
              <w:textAlignment w:val="auto"/>
              <w:rPr>
                <w:rFonts w:hint="default" w:ascii="Times New Roman" w:hAnsi="Times New Roman" w:cs="Times New Roman"/>
                <w:color w:val="auto"/>
                <w:sz w:val="20"/>
                <w:szCs w:val="20"/>
                <w:highlight w:val="none"/>
              </w:rPr>
            </w:pPr>
            <w:r>
              <w:rPr>
                <w:rFonts w:hint="default" w:ascii="Times New Roman" w:hAnsi="Times New Roman" w:eastAsia="宋体" w:cs="Times New Roman"/>
                <w:color w:val="auto"/>
                <w:sz w:val="20"/>
                <w:szCs w:val="20"/>
                <w:highlight w:val="none"/>
              </w:rPr>
              <w:t>1#转运楼墩台平面尺寸为12×13m，2#转运楼墩台平面尺寸为15×14m，变电所紧邻2#转运站墩台，平面尺寸为11×14m，1#、2#转运楼间通过两座54×4.5m固定钢引桥和一座8×6m的3#墩台连接。2#转运楼与堆存区的连接廊道由其他单位进行设计。项目无陆域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2</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原辅料及燃料主要控制物料</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0"/>
                <w:szCs w:val="20"/>
                <w:highlight w:val="none"/>
                <w:lang w:eastAsia="zh-CN"/>
              </w:rPr>
            </w:pPr>
            <w:r>
              <w:rPr>
                <w:rFonts w:hint="eastAsia" w:cs="Times New Roman"/>
                <w:color w:val="auto"/>
                <w:sz w:val="20"/>
                <w:szCs w:val="20"/>
                <w:highlight w:val="none"/>
                <w:lang w:val="en-US" w:eastAsia="zh-CN"/>
              </w:rPr>
              <w:t>机制砂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污染物控制要求</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污染因子及污染防治措施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76" w:type="pct"/>
            <w:gridSpan w:val="2"/>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控制要求</w:t>
            </w:r>
          </w:p>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污染物种类</w:t>
            </w:r>
          </w:p>
        </w:tc>
        <w:tc>
          <w:tcPr>
            <w:tcW w:w="53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污染因子</w:t>
            </w:r>
          </w:p>
        </w:tc>
        <w:tc>
          <w:tcPr>
            <w:tcW w:w="54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污染治理设施</w:t>
            </w:r>
          </w:p>
        </w:tc>
        <w:tc>
          <w:tcPr>
            <w:tcW w:w="56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排放形式及排放去向</w:t>
            </w:r>
          </w:p>
        </w:tc>
        <w:tc>
          <w:tcPr>
            <w:tcW w:w="38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排污口信息</w:t>
            </w:r>
          </w:p>
        </w:tc>
        <w:tc>
          <w:tcPr>
            <w:tcW w:w="14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执行标准</w:t>
            </w:r>
          </w:p>
        </w:tc>
        <w:tc>
          <w:tcPr>
            <w:tcW w:w="48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本项目总量指标（t/a）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3.1</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废气</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3.1.1</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装卸粉尘</w:t>
            </w:r>
          </w:p>
        </w:tc>
        <w:tc>
          <w:tcPr>
            <w:tcW w:w="53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0"/>
                <w:szCs w:val="20"/>
                <w:highlight w:val="none"/>
                <w:lang w:eastAsia="zh-CN"/>
              </w:rPr>
            </w:pPr>
            <w:r>
              <w:rPr>
                <w:rFonts w:hint="eastAsia" w:cs="Times New Roman"/>
                <w:color w:val="auto"/>
                <w:sz w:val="20"/>
                <w:szCs w:val="20"/>
                <w:highlight w:val="none"/>
                <w:lang w:val="en-US" w:eastAsia="zh-CN"/>
              </w:rPr>
              <w:t>颗粒物</w:t>
            </w:r>
          </w:p>
        </w:tc>
        <w:tc>
          <w:tcPr>
            <w:tcW w:w="54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脉冲布袋除尘器处理后无组织排放</w:t>
            </w:r>
          </w:p>
        </w:tc>
        <w:tc>
          <w:tcPr>
            <w:tcW w:w="56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无组织排放</w:t>
            </w:r>
          </w:p>
        </w:tc>
        <w:tc>
          <w:tcPr>
            <w:tcW w:w="38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w:t>
            </w:r>
          </w:p>
        </w:tc>
        <w:tc>
          <w:tcPr>
            <w:tcW w:w="14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《大气污染物综合排放标准》（GB16297-1996）无组织排放监控浓度限值</w:t>
            </w:r>
          </w:p>
        </w:tc>
        <w:tc>
          <w:tcPr>
            <w:tcW w:w="48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0.318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3.1.2</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转运粉尘</w:t>
            </w:r>
          </w:p>
        </w:tc>
        <w:tc>
          <w:tcPr>
            <w:tcW w:w="53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颗粒物</w:t>
            </w:r>
          </w:p>
        </w:tc>
        <w:tc>
          <w:tcPr>
            <w:tcW w:w="54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脉冲布袋除尘器处理后无组织排放</w:t>
            </w:r>
          </w:p>
        </w:tc>
        <w:tc>
          <w:tcPr>
            <w:tcW w:w="56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无组织排放</w:t>
            </w:r>
          </w:p>
        </w:tc>
        <w:tc>
          <w:tcPr>
            <w:tcW w:w="386"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0"/>
                <w:szCs w:val="20"/>
                <w:highlight w:val="none"/>
                <w:lang w:eastAsia="zh-CN"/>
              </w:rPr>
            </w:pPr>
            <w:r>
              <w:rPr>
                <w:rFonts w:hint="eastAsia" w:cs="Times New Roman"/>
                <w:color w:val="auto"/>
                <w:sz w:val="20"/>
                <w:szCs w:val="20"/>
                <w:highlight w:val="none"/>
                <w:lang w:val="en-US" w:eastAsia="zh-CN"/>
              </w:rPr>
              <w:t>/</w:t>
            </w:r>
          </w:p>
        </w:tc>
        <w:tc>
          <w:tcPr>
            <w:tcW w:w="14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《大气污染物综合排放标准》（GB16297-1996）无组织排放监控浓度限值</w:t>
            </w:r>
          </w:p>
        </w:tc>
        <w:tc>
          <w:tcPr>
            <w:tcW w:w="48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0.059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3.2</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废水</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3.2.1</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0"/>
                <w:szCs w:val="20"/>
                <w:highlight w:val="none"/>
                <w:lang w:eastAsia="zh-CN"/>
              </w:rPr>
            </w:pPr>
            <w:r>
              <w:rPr>
                <w:rFonts w:hint="eastAsia" w:cs="Times New Roman"/>
                <w:color w:val="auto"/>
                <w:sz w:val="20"/>
                <w:szCs w:val="20"/>
                <w:highlight w:val="none"/>
                <w:lang w:val="en-US" w:eastAsia="zh-CN"/>
              </w:rPr>
              <w:t>码头面</w:t>
            </w:r>
            <w:r>
              <w:rPr>
                <w:rFonts w:hint="default" w:ascii="Times New Roman" w:hAnsi="Times New Roman" w:cs="Times New Roman"/>
                <w:color w:val="auto"/>
                <w:sz w:val="20"/>
                <w:szCs w:val="20"/>
                <w:highlight w:val="none"/>
              </w:rPr>
              <w:t>生活污水</w:t>
            </w:r>
          </w:p>
        </w:tc>
        <w:tc>
          <w:tcPr>
            <w:tcW w:w="530" w:type="pct"/>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COD、BOD</w:t>
            </w:r>
            <w:r>
              <w:rPr>
                <w:rFonts w:hint="default" w:ascii="Times New Roman" w:hAnsi="Times New Roman" w:cs="Times New Roman"/>
                <w:color w:val="auto"/>
                <w:sz w:val="20"/>
                <w:szCs w:val="20"/>
                <w:highlight w:val="none"/>
                <w:vertAlign w:val="subscript"/>
              </w:rPr>
              <w:t>5</w:t>
            </w:r>
            <w:r>
              <w:rPr>
                <w:rFonts w:hint="default" w:ascii="Times New Roman" w:hAnsi="Times New Roman" w:cs="Times New Roman"/>
                <w:color w:val="auto"/>
                <w:sz w:val="20"/>
                <w:szCs w:val="20"/>
                <w:highlight w:val="none"/>
              </w:rPr>
              <w:t>、氨氮</w:t>
            </w:r>
          </w:p>
        </w:tc>
        <w:tc>
          <w:tcPr>
            <w:tcW w:w="1497"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eastAsia"/>
                <w:bCs/>
                <w:color w:val="auto"/>
                <w:kern w:val="0"/>
                <w:sz w:val="20"/>
                <w:lang w:val="en-US" w:eastAsia="zh-CN"/>
              </w:rPr>
              <w:t>进入各自趸船下方生活污水储存柜储存，委托海事部门认定的船舶污染物接收船定期统一处理</w:t>
            </w:r>
          </w:p>
        </w:tc>
        <w:tc>
          <w:tcPr>
            <w:tcW w:w="1414" w:type="pct"/>
            <w:vMerge w:val="restart"/>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0"/>
                <w:szCs w:val="20"/>
                <w:highlight w:val="none"/>
                <w:lang w:eastAsia="zh-CN"/>
              </w:rPr>
            </w:pPr>
            <w:r>
              <w:rPr>
                <w:rFonts w:hint="eastAsia" w:cs="Times New Roman"/>
                <w:color w:val="auto"/>
                <w:sz w:val="20"/>
                <w:szCs w:val="20"/>
                <w:highlight w:val="none"/>
                <w:lang w:val="en-US" w:eastAsia="zh-CN"/>
              </w:rPr>
              <w:t>不外排</w:t>
            </w:r>
          </w:p>
        </w:tc>
        <w:tc>
          <w:tcPr>
            <w:tcW w:w="480" w:type="pct"/>
            <w:vMerge w:val="restar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3.2.2</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到港船舶生活污水</w:t>
            </w:r>
          </w:p>
        </w:tc>
        <w:tc>
          <w:tcPr>
            <w:tcW w:w="530" w:type="pct"/>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COD、BOD</w:t>
            </w:r>
            <w:r>
              <w:rPr>
                <w:rFonts w:hint="default" w:ascii="Times New Roman" w:hAnsi="Times New Roman" w:cs="Times New Roman"/>
                <w:color w:val="auto"/>
                <w:sz w:val="20"/>
                <w:szCs w:val="20"/>
                <w:highlight w:val="none"/>
                <w:vertAlign w:val="subscript"/>
              </w:rPr>
              <w:t>5</w:t>
            </w:r>
            <w:r>
              <w:rPr>
                <w:rFonts w:hint="default" w:ascii="Times New Roman" w:hAnsi="Times New Roman" w:cs="Times New Roman"/>
                <w:color w:val="auto"/>
                <w:sz w:val="20"/>
                <w:szCs w:val="20"/>
                <w:highlight w:val="none"/>
              </w:rPr>
              <w:t>、氨氮</w:t>
            </w:r>
          </w:p>
        </w:tc>
        <w:tc>
          <w:tcPr>
            <w:tcW w:w="1497"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eastAsia"/>
                <w:bCs/>
                <w:color w:val="auto"/>
                <w:kern w:val="0"/>
                <w:sz w:val="20"/>
                <w:lang w:val="en-US" w:eastAsia="zh-CN"/>
              </w:rPr>
              <w:t>直接交</w:t>
            </w:r>
            <w:r>
              <w:rPr>
                <w:rFonts w:hint="eastAsia"/>
                <w:bCs/>
                <w:color w:val="auto"/>
                <w:kern w:val="0"/>
                <w:sz w:val="20"/>
              </w:rPr>
              <w:t>由海事部门指定的</w:t>
            </w:r>
            <w:r>
              <w:rPr>
                <w:rFonts w:hint="eastAsia"/>
                <w:bCs/>
                <w:color w:val="auto"/>
                <w:kern w:val="0"/>
                <w:sz w:val="20"/>
                <w:lang w:val="en-US" w:eastAsia="zh-CN"/>
              </w:rPr>
              <w:t>接收</w:t>
            </w:r>
            <w:r>
              <w:rPr>
                <w:rFonts w:hint="eastAsia"/>
                <w:bCs/>
                <w:color w:val="auto"/>
                <w:kern w:val="0"/>
                <w:sz w:val="20"/>
              </w:rPr>
              <w:t>船接收</w:t>
            </w:r>
            <w:r>
              <w:rPr>
                <w:rFonts w:hint="eastAsia"/>
                <w:bCs/>
                <w:color w:val="auto"/>
                <w:kern w:val="0"/>
                <w:sz w:val="20"/>
                <w:lang w:val="en-US" w:eastAsia="zh-CN"/>
              </w:rPr>
              <w:t>处理，本项目不接收到港船舶废水</w:t>
            </w:r>
          </w:p>
        </w:tc>
        <w:tc>
          <w:tcPr>
            <w:tcW w:w="1414" w:type="pct"/>
            <w:vMerge w:val="continue"/>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360"/>
              <w:textAlignment w:val="auto"/>
              <w:rPr>
                <w:rFonts w:hint="default" w:ascii="Times New Roman" w:hAnsi="Times New Roman" w:cs="Times New Roman"/>
                <w:color w:val="auto"/>
                <w:sz w:val="20"/>
                <w:szCs w:val="20"/>
                <w:highlight w:val="none"/>
              </w:rPr>
            </w:pPr>
          </w:p>
        </w:tc>
        <w:tc>
          <w:tcPr>
            <w:tcW w:w="480" w:type="pct"/>
            <w:vMerge w:val="continue"/>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3.2.3</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码头面冲洗废水及初期雨水</w:t>
            </w:r>
          </w:p>
        </w:tc>
        <w:tc>
          <w:tcPr>
            <w:tcW w:w="530" w:type="pct"/>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石油类、SS</w:t>
            </w:r>
          </w:p>
        </w:tc>
        <w:tc>
          <w:tcPr>
            <w:tcW w:w="1497"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0"/>
                <w:szCs w:val="20"/>
                <w:highlight w:val="none"/>
              </w:rPr>
            </w:pPr>
            <w:r>
              <w:rPr>
                <w:rFonts w:hint="eastAsia"/>
                <w:bCs/>
                <w:color w:val="auto"/>
                <w:kern w:val="0"/>
                <w:sz w:val="20"/>
              </w:rPr>
              <w:t>通过趸船收集坎收集</w:t>
            </w:r>
            <w:r>
              <w:rPr>
                <w:rFonts w:hint="eastAsia"/>
                <w:bCs/>
                <w:color w:val="auto"/>
                <w:kern w:val="0"/>
                <w:sz w:val="20"/>
                <w:lang w:val="en-US" w:eastAsia="zh-CN"/>
              </w:rPr>
              <w:t>后进入趸船下方</w:t>
            </w:r>
            <w:r>
              <w:rPr>
                <w:rFonts w:hint="eastAsia"/>
                <w:bCs/>
                <w:color w:val="auto"/>
                <w:kern w:val="0"/>
                <w:sz w:val="20"/>
              </w:rPr>
              <w:t>初期雨水收集柜储存，委托海事部门认定的船舶污染物接收船定期统一处理</w:t>
            </w:r>
          </w:p>
        </w:tc>
        <w:tc>
          <w:tcPr>
            <w:tcW w:w="1414" w:type="pct"/>
            <w:vMerge w:val="continue"/>
            <w:tcBorders>
              <w:tl2br w:val="nil"/>
              <w:tr2bl w:val="nil"/>
            </w:tcBorders>
            <w:noWrap w:val="0"/>
            <w:vAlign w:val="center"/>
          </w:tcPr>
          <w:p>
            <w:pPr>
              <w:pStyle w:val="2666"/>
              <w:keepNext w:val="0"/>
              <w:keepLines w:val="0"/>
              <w:pageBreakBefore w:val="0"/>
              <w:kinsoku/>
              <w:wordWrap/>
              <w:overflowPunct/>
              <w:topLinePunct w:val="0"/>
              <w:autoSpaceDE/>
              <w:autoSpaceDN/>
              <w:bidi w:val="0"/>
              <w:adjustRightInd/>
              <w:snapToGrid/>
              <w:spacing w:line="240" w:lineRule="auto"/>
              <w:ind w:firstLine="360"/>
              <w:textAlignment w:val="auto"/>
              <w:rPr>
                <w:rFonts w:hint="default" w:ascii="Times New Roman" w:hAnsi="Times New Roman" w:cs="Times New Roman"/>
                <w:color w:val="auto"/>
                <w:sz w:val="20"/>
                <w:szCs w:val="20"/>
                <w:highlight w:val="none"/>
              </w:rPr>
            </w:pPr>
          </w:p>
        </w:tc>
        <w:tc>
          <w:tcPr>
            <w:tcW w:w="48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3.3</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噪声</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p>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3.3.1</w:t>
            </w:r>
          </w:p>
        </w:tc>
        <w:tc>
          <w:tcPr>
            <w:tcW w:w="71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napToGrid w:val="0"/>
                <w:color w:val="auto"/>
                <w:spacing w:val="-4"/>
                <w:kern w:val="0"/>
                <w:sz w:val="20"/>
                <w:szCs w:val="20"/>
                <w:highlight w:val="none"/>
              </w:rPr>
            </w:pPr>
            <w:r>
              <w:rPr>
                <w:rFonts w:hint="default" w:ascii="Times New Roman" w:hAnsi="Times New Roman" w:cs="Times New Roman"/>
                <w:snapToGrid w:val="0"/>
                <w:color w:val="auto"/>
                <w:spacing w:val="-4"/>
                <w:kern w:val="0"/>
                <w:sz w:val="20"/>
                <w:szCs w:val="20"/>
                <w:highlight w:val="none"/>
              </w:rPr>
              <w:t>设备噪声、船舶噪声</w:t>
            </w:r>
          </w:p>
        </w:tc>
        <w:tc>
          <w:tcPr>
            <w:tcW w:w="2028"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spacing w:val="-4"/>
                <w:kern w:val="0"/>
                <w:sz w:val="20"/>
                <w:szCs w:val="20"/>
                <w:highlight w:val="none"/>
              </w:rPr>
            </w:pPr>
            <w:r>
              <w:rPr>
                <w:rFonts w:hint="default" w:ascii="Times New Roman" w:hAnsi="Times New Roman" w:cs="Times New Roman"/>
                <w:snapToGrid w:val="0"/>
                <w:color w:val="auto"/>
                <w:spacing w:val="-4"/>
                <w:kern w:val="0"/>
                <w:sz w:val="20"/>
                <w:szCs w:val="20"/>
                <w:highlight w:val="none"/>
              </w:rPr>
              <w:t>基础减振、消声器、隔声等，绿化带</w:t>
            </w:r>
          </w:p>
        </w:tc>
        <w:tc>
          <w:tcPr>
            <w:tcW w:w="14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码头区域临沿江大道侧执行GB12348-2008《工业企业厂界环境噪声排放标准》中4类标准，其余</w:t>
            </w:r>
            <w:r>
              <w:rPr>
                <w:rFonts w:hint="eastAsia" w:cs="Times New Roman"/>
                <w:color w:val="auto"/>
                <w:sz w:val="20"/>
                <w:szCs w:val="20"/>
                <w:highlight w:val="none"/>
                <w:lang w:val="en-US" w:eastAsia="zh-CN"/>
              </w:rPr>
              <w:t>港</w:t>
            </w:r>
            <w:r>
              <w:rPr>
                <w:rFonts w:hint="default" w:ascii="Times New Roman" w:hAnsi="Times New Roman" w:cs="Times New Roman"/>
                <w:color w:val="auto"/>
                <w:sz w:val="20"/>
                <w:szCs w:val="20"/>
                <w:highlight w:val="none"/>
              </w:rPr>
              <w:t>界执行3类标准。</w:t>
            </w:r>
          </w:p>
        </w:tc>
        <w:tc>
          <w:tcPr>
            <w:tcW w:w="480"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3.4</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固废</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3.4.1</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eastAsia"/>
                <w:b w:val="0"/>
                <w:bCs/>
                <w:color w:val="auto"/>
                <w:sz w:val="20"/>
                <w:szCs w:val="20"/>
                <w:lang w:val="en-US" w:eastAsia="zh-CN"/>
              </w:rPr>
              <w:t>码头工作人员生活垃圾</w:t>
            </w:r>
          </w:p>
        </w:tc>
        <w:tc>
          <w:tcPr>
            <w:tcW w:w="2028" w:type="pct"/>
            <w:gridSpan w:val="4"/>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生活垃圾经码头垃圾箱收集后定期交由环卫部门处理</w:t>
            </w:r>
          </w:p>
        </w:tc>
        <w:tc>
          <w:tcPr>
            <w:tcW w:w="1895" w:type="pct"/>
            <w:gridSpan w:val="2"/>
            <w:vMerge w:val="restar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符合《一般工业固体废物贮存和填埋污染控制标准》（GB18599-2020）、《危险废物贮存污染控制标准》（GB18597-20</w:t>
            </w:r>
            <w:r>
              <w:rPr>
                <w:rFonts w:hint="eastAsia" w:cs="Times New Roman"/>
                <w:color w:val="auto"/>
                <w:sz w:val="20"/>
                <w:szCs w:val="20"/>
                <w:highlight w:val="none"/>
                <w:lang w:val="en-US" w:eastAsia="zh-CN"/>
              </w:rPr>
              <w:t>23</w:t>
            </w:r>
            <w:r>
              <w:rPr>
                <w:rFonts w:hint="default" w:ascii="Times New Roman" w:hAnsi="Times New Roman" w:cs="Times New Roman"/>
                <w:color w:val="auto"/>
                <w:sz w:val="20"/>
                <w:szCs w:val="20"/>
                <w:highlight w:val="none"/>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0"/>
                <w:szCs w:val="20"/>
                <w:highlight w:val="none"/>
                <w:lang w:val="en-US" w:eastAsia="zh-CN" w:bidi="ar-SA"/>
              </w:rPr>
            </w:pPr>
            <w:r>
              <w:rPr>
                <w:rFonts w:hint="default" w:ascii="Times New Roman" w:hAnsi="Times New Roman" w:cs="Times New Roman"/>
                <w:color w:val="auto"/>
                <w:sz w:val="20"/>
                <w:szCs w:val="20"/>
                <w:highlight w:val="none"/>
              </w:rPr>
              <w:t>3.4.2</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bidi="ar-SA"/>
              </w:rPr>
            </w:pPr>
            <w:r>
              <w:rPr>
                <w:rFonts w:hint="default" w:ascii="Times New Roman" w:hAnsi="Times New Roman" w:cs="Times New Roman"/>
                <w:color w:val="auto"/>
                <w:sz w:val="20"/>
                <w:szCs w:val="20"/>
                <w:highlight w:val="none"/>
              </w:rPr>
              <w:t>到港船舶生活垃圾</w:t>
            </w:r>
          </w:p>
        </w:tc>
        <w:tc>
          <w:tcPr>
            <w:tcW w:w="2028" w:type="pct"/>
            <w:gridSpan w:val="4"/>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0"/>
                <w:szCs w:val="20"/>
                <w:highlight w:val="none"/>
                <w:lang w:val="en-US" w:eastAsia="zh-CN" w:bidi="ar-SA"/>
              </w:rPr>
            </w:pPr>
            <w:r>
              <w:rPr>
                <w:rFonts w:hint="default" w:eastAsia="宋体"/>
                <w:b w:val="0"/>
                <w:bCs/>
                <w:color w:val="auto"/>
                <w:sz w:val="20"/>
                <w:szCs w:val="20"/>
                <w:lang w:val="en-US" w:eastAsia="zh-CN"/>
              </w:rPr>
              <w:t>集中收集后交由</w:t>
            </w:r>
            <w:r>
              <w:rPr>
                <w:rFonts w:hint="eastAsia"/>
                <w:bCs/>
                <w:color w:val="auto"/>
                <w:kern w:val="0"/>
                <w:sz w:val="20"/>
              </w:rPr>
              <w:t>海事部门指定的工作船</w:t>
            </w:r>
            <w:r>
              <w:rPr>
                <w:rFonts w:hint="default" w:eastAsia="宋体"/>
                <w:b w:val="0"/>
                <w:bCs/>
                <w:color w:val="auto"/>
                <w:sz w:val="20"/>
                <w:szCs w:val="20"/>
                <w:lang w:val="en-US" w:eastAsia="zh-CN"/>
              </w:rPr>
              <w:t>接收转运及处置</w:t>
            </w:r>
          </w:p>
        </w:tc>
        <w:tc>
          <w:tcPr>
            <w:tcW w:w="1895" w:type="pct"/>
            <w:gridSpan w:val="2"/>
            <w:vMerge w:val="continue"/>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0"/>
                <w:szCs w:val="20"/>
                <w:highlight w:val="none"/>
                <w:lang w:val="en-US" w:eastAsia="zh-CN" w:bidi="ar-SA"/>
              </w:rPr>
            </w:pPr>
            <w:r>
              <w:rPr>
                <w:rFonts w:hint="default" w:ascii="Times New Roman" w:hAnsi="Times New Roman" w:cs="Times New Roman"/>
                <w:color w:val="auto"/>
                <w:sz w:val="20"/>
                <w:szCs w:val="20"/>
                <w:highlight w:val="none"/>
              </w:rPr>
              <w:t>3.4.3</w:t>
            </w:r>
          </w:p>
        </w:tc>
        <w:tc>
          <w:tcPr>
            <w:tcW w:w="714" w:type="pct"/>
            <w:tcBorders>
              <w:tl2br w:val="nil"/>
              <w:tr2bl w:val="nil"/>
            </w:tcBorders>
            <w:noWrap w:val="0"/>
            <w:vAlign w:val="center"/>
          </w:tcPr>
          <w:p>
            <w:pPr>
              <w:pStyle w:val="257"/>
              <w:keepNext w:val="0"/>
              <w:keepLines w:val="0"/>
              <w:pageBreakBefore w:val="0"/>
              <w:kinsoku/>
              <w:wordWrap/>
              <w:overflowPunct/>
              <w:topLinePunct w:val="0"/>
              <w:autoSpaceDE/>
              <w:autoSpaceDN/>
              <w:bidi w:val="0"/>
              <w:adjustRightInd/>
              <w:snapToGrid/>
              <w:spacing w:beforeLines="0" w:afterLines="0" w:line="240" w:lineRule="auto"/>
              <w:contextualSpacing/>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危险废物</w:t>
            </w:r>
          </w:p>
        </w:tc>
        <w:tc>
          <w:tcPr>
            <w:tcW w:w="2028" w:type="pct"/>
            <w:gridSpan w:val="4"/>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分类收集存放于现有工程危废暂存间</w:t>
            </w:r>
          </w:p>
        </w:tc>
        <w:tc>
          <w:tcPr>
            <w:tcW w:w="1895" w:type="pct"/>
            <w:gridSpan w:val="2"/>
            <w:vMerge w:val="continue"/>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3.4.4</w:t>
            </w:r>
          </w:p>
        </w:tc>
        <w:tc>
          <w:tcPr>
            <w:tcW w:w="714" w:type="pct"/>
            <w:tcBorders>
              <w:tl2br w:val="nil"/>
              <w:tr2bl w:val="nil"/>
            </w:tcBorders>
            <w:noWrap w:val="0"/>
            <w:vAlign w:val="center"/>
          </w:tcPr>
          <w:p>
            <w:pPr>
              <w:pStyle w:val="257"/>
              <w:keepNext w:val="0"/>
              <w:keepLines w:val="0"/>
              <w:pageBreakBefore w:val="0"/>
              <w:kinsoku/>
              <w:wordWrap/>
              <w:overflowPunct/>
              <w:topLinePunct w:val="0"/>
              <w:autoSpaceDE/>
              <w:autoSpaceDN/>
              <w:bidi w:val="0"/>
              <w:adjustRightInd/>
              <w:snapToGrid/>
              <w:spacing w:beforeLines="0" w:afterLines="0" w:line="240" w:lineRule="auto"/>
              <w:contextualSpacing/>
              <w:jc w:val="center"/>
              <w:textAlignment w:val="auto"/>
              <w:rPr>
                <w:rFonts w:hint="default" w:ascii="Times New Roman" w:hAnsi="Times New Roman" w:eastAsia="宋体" w:cs="Times New Roman"/>
                <w:color w:val="auto"/>
                <w:sz w:val="20"/>
                <w:szCs w:val="20"/>
                <w:highlight w:val="none"/>
                <w:lang w:val="en-US" w:eastAsia="zh-CN"/>
              </w:rPr>
            </w:pPr>
            <w:r>
              <w:rPr>
                <w:rFonts w:hint="eastAsia" w:cs="Times New Roman"/>
                <w:color w:val="auto"/>
                <w:sz w:val="20"/>
                <w:szCs w:val="20"/>
                <w:highlight w:val="none"/>
                <w:lang w:val="en-US" w:eastAsia="zh-CN"/>
              </w:rPr>
              <w:t>除尘器收尘灰</w:t>
            </w:r>
          </w:p>
        </w:tc>
        <w:tc>
          <w:tcPr>
            <w:tcW w:w="2028" w:type="pct"/>
            <w:gridSpan w:val="4"/>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0"/>
                <w:szCs w:val="20"/>
                <w:highlight w:val="none"/>
                <w:lang w:val="en-US"/>
              </w:rPr>
            </w:pPr>
            <w:r>
              <w:rPr>
                <w:rFonts w:hint="eastAsia"/>
                <w:b w:val="0"/>
                <w:bCs/>
                <w:color w:val="auto"/>
                <w:sz w:val="20"/>
                <w:szCs w:val="20"/>
                <w:lang w:val="en-US" w:eastAsia="zh-CN"/>
              </w:rPr>
              <w:t>定期清理后装船外售</w:t>
            </w:r>
          </w:p>
        </w:tc>
        <w:tc>
          <w:tcPr>
            <w:tcW w:w="1895" w:type="pct"/>
            <w:gridSpan w:val="2"/>
            <w:vMerge w:val="continue"/>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1"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4</w:t>
            </w:r>
          </w:p>
        </w:tc>
        <w:tc>
          <w:tcPr>
            <w:tcW w:w="714" w:type="pct"/>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0"/>
                <w:szCs w:val="20"/>
                <w:highlight w:val="none"/>
              </w:rPr>
            </w:pPr>
            <w:r>
              <w:rPr>
                <w:rFonts w:hint="default" w:ascii="Times New Roman" w:hAnsi="Times New Roman" w:cs="Times New Roman"/>
                <w:color w:val="auto"/>
                <w:sz w:val="20"/>
                <w:szCs w:val="20"/>
                <w:highlight w:val="none"/>
              </w:rPr>
              <w:t>风险防范措施</w:t>
            </w:r>
          </w:p>
        </w:tc>
        <w:tc>
          <w:tcPr>
            <w:tcW w:w="3923" w:type="pct"/>
            <w:gridSpan w:val="6"/>
            <w:tcBorders>
              <w:tl2br w:val="nil"/>
              <w:tr2bl w:val="nil"/>
            </w:tcBorders>
            <w:noWrap w:val="0"/>
            <w:vAlign w:val="center"/>
          </w:tcPr>
          <w:p>
            <w:pPr>
              <w:pStyle w:val="2665"/>
              <w:keepNext w:val="0"/>
              <w:keepLines w:val="0"/>
              <w:pageBreakBefore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0"/>
                <w:szCs w:val="20"/>
                <w:highlight w:val="none"/>
              </w:rPr>
            </w:pPr>
            <w:r>
              <w:rPr>
                <w:rFonts w:hint="eastAsia" w:cs="Times New Roman"/>
                <w:color w:val="auto"/>
                <w:sz w:val="20"/>
                <w:szCs w:val="20"/>
                <w:highlight w:val="none"/>
                <w:lang w:val="en-US" w:eastAsia="zh-CN"/>
              </w:rPr>
              <w:t>编制</w:t>
            </w:r>
            <w:r>
              <w:rPr>
                <w:rFonts w:hint="default" w:ascii="Times New Roman" w:hAnsi="Times New Roman" w:cs="Times New Roman"/>
                <w:color w:val="auto"/>
                <w:sz w:val="20"/>
                <w:szCs w:val="20"/>
                <w:highlight w:val="none"/>
              </w:rPr>
              <w:t>应急预案，</w:t>
            </w:r>
            <w:r>
              <w:rPr>
                <w:rFonts w:hint="eastAsia" w:cs="Times New Roman"/>
                <w:color w:val="auto"/>
                <w:sz w:val="20"/>
                <w:szCs w:val="20"/>
                <w:highlight w:val="none"/>
                <w:lang w:val="en-US" w:eastAsia="zh-CN"/>
              </w:rPr>
              <w:t>配备</w:t>
            </w:r>
            <w:r>
              <w:rPr>
                <w:rFonts w:hint="default" w:ascii="Times New Roman" w:hAnsi="Times New Roman" w:cs="Times New Roman"/>
                <w:color w:val="auto"/>
                <w:sz w:val="20"/>
                <w:szCs w:val="20"/>
                <w:highlight w:val="none"/>
              </w:rPr>
              <w:t>围油栏、吸油毡、收油机等物资及设施，</w:t>
            </w:r>
            <w:r>
              <w:rPr>
                <w:rFonts w:hint="default" w:ascii="Times New Roman" w:hAnsi="Times New Roman" w:cs="Times New Roman"/>
                <w:color w:val="auto"/>
                <w:sz w:val="20"/>
                <w:szCs w:val="20"/>
                <w:highlight w:val="none"/>
                <w:lang w:bidi="ar"/>
              </w:rPr>
              <w:t>做好安全风险防范工作，避免溢油事故的发生。</w:t>
            </w:r>
          </w:p>
        </w:tc>
      </w:tr>
    </w:tbl>
    <w:p>
      <w:pPr>
        <w:pStyle w:val="8"/>
        <w:widowControl w:val="0"/>
        <w:spacing w:before="120" w:after="120" w:line="360" w:lineRule="auto"/>
        <w:rPr>
          <w:rFonts w:ascii="Times New Roman" w:hAnsi="Times New Roman"/>
          <w:b w:val="0"/>
          <w:color w:val="auto"/>
          <w:szCs w:val="32"/>
        </w:rPr>
      </w:pPr>
      <w:bookmarkStart w:id="567" w:name="_Toc10759"/>
      <w:r>
        <w:rPr>
          <w:rFonts w:ascii="Times New Roman" w:hAnsi="Times New Roman"/>
          <w:b w:val="0"/>
          <w:color w:val="auto"/>
          <w:szCs w:val="32"/>
        </w:rPr>
        <w:t>1</w:t>
      </w:r>
      <w:r>
        <w:rPr>
          <w:rFonts w:hint="eastAsia" w:ascii="Times New Roman" w:hAnsi="Times New Roman"/>
          <w:b w:val="0"/>
          <w:color w:val="auto"/>
          <w:szCs w:val="32"/>
          <w:lang w:val="en-US" w:eastAsia="zh-CN"/>
        </w:rPr>
        <w:t>0</w:t>
      </w:r>
      <w:r>
        <w:rPr>
          <w:rFonts w:ascii="Times New Roman" w:hAnsi="Times New Roman"/>
          <w:b w:val="0"/>
          <w:color w:val="auto"/>
          <w:szCs w:val="32"/>
        </w:rPr>
        <w:t>.</w:t>
      </w:r>
      <w:r>
        <w:rPr>
          <w:rFonts w:hint="eastAsia" w:ascii="Times New Roman" w:hAnsi="Times New Roman"/>
          <w:b w:val="0"/>
          <w:color w:val="auto"/>
          <w:szCs w:val="32"/>
          <w:lang w:val="en-US" w:eastAsia="zh-CN"/>
        </w:rPr>
        <w:t>6</w:t>
      </w:r>
      <w:r>
        <w:rPr>
          <w:rFonts w:ascii="Times New Roman" w:hAnsi="Times New Roman"/>
          <w:b w:val="0"/>
          <w:color w:val="auto"/>
          <w:szCs w:val="32"/>
        </w:rPr>
        <w:t>环保</w:t>
      </w:r>
      <w:r>
        <w:rPr>
          <w:rFonts w:hint="eastAsia" w:ascii="Times New Roman" w:hAnsi="Times New Roman"/>
          <w:b w:val="0"/>
          <w:color w:val="auto"/>
          <w:szCs w:val="32"/>
          <w:lang w:val="en-US" w:eastAsia="zh-CN"/>
        </w:rPr>
        <w:t>措施及</w:t>
      </w:r>
      <w:r>
        <w:rPr>
          <w:rFonts w:ascii="Times New Roman" w:hAnsi="Times New Roman"/>
          <w:b w:val="0"/>
          <w:color w:val="auto"/>
          <w:szCs w:val="32"/>
        </w:rPr>
        <w:t>验收“三同时”验收清单</w:t>
      </w:r>
      <w:bookmarkEnd w:id="561"/>
      <w:bookmarkEnd w:id="562"/>
      <w:bookmarkEnd w:id="563"/>
      <w:bookmarkEnd w:id="564"/>
      <w:bookmarkEnd w:id="567"/>
    </w:p>
    <w:p>
      <w:pPr>
        <w:widowControl w:val="0"/>
        <w:spacing w:line="360" w:lineRule="auto"/>
        <w:ind w:firstLine="480" w:firstLineChars="200"/>
        <w:rPr>
          <w:rFonts w:eastAsia="仿宋_GB2312"/>
          <w:color w:val="auto"/>
          <w:sz w:val="24"/>
        </w:rPr>
      </w:pPr>
      <w:r>
        <w:rPr>
          <w:rFonts w:eastAsia="仿宋_GB2312"/>
          <w:color w:val="auto"/>
          <w:sz w:val="24"/>
        </w:rPr>
        <w:t>项目建成，根据国家“三同时”的有关规定，环境保护行政主管部门需对工程环境保护设施进行验收检查</w:t>
      </w:r>
      <w:r>
        <w:rPr>
          <w:rFonts w:hint="eastAsia" w:eastAsia="仿宋_GB2312"/>
          <w:color w:val="auto"/>
          <w:sz w:val="24"/>
          <w:lang w:eastAsia="zh-CN"/>
        </w:rPr>
        <w:t>。</w:t>
      </w:r>
      <w:r>
        <w:rPr>
          <w:rFonts w:eastAsia="仿宋_GB2312"/>
          <w:color w:val="auto"/>
          <w:sz w:val="24"/>
        </w:rPr>
        <w:t>根据该项目的污染特征以及本报告书规定的环境保护措施，</w:t>
      </w:r>
      <w:r>
        <w:rPr>
          <w:rFonts w:hint="eastAsia" w:eastAsia="仿宋_GB2312"/>
          <w:color w:val="auto"/>
          <w:sz w:val="24"/>
        </w:rPr>
        <w:t>项目环境保护投资约</w:t>
      </w:r>
      <w:r>
        <w:rPr>
          <w:rFonts w:hint="eastAsia" w:eastAsia="仿宋_GB2312"/>
          <w:color w:val="auto"/>
          <w:sz w:val="24"/>
          <w:lang w:val="en-US" w:eastAsia="zh-CN"/>
        </w:rPr>
        <w:t>186</w:t>
      </w:r>
      <w:r>
        <w:rPr>
          <w:rFonts w:hint="eastAsia" w:eastAsia="仿宋_GB2312"/>
          <w:color w:val="auto"/>
          <w:sz w:val="24"/>
        </w:rPr>
        <w:t>万元，占总投资</w:t>
      </w:r>
      <w:r>
        <w:rPr>
          <w:rFonts w:hint="eastAsia" w:eastAsia="仿宋_GB2312"/>
          <w:color w:val="auto"/>
          <w:sz w:val="24"/>
          <w:lang w:val="en-US" w:eastAsia="zh-CN"/>
        </w:rPr>
        <w:t>11708.16万</w:t>
      </w:r>
      <w:r>
        <w:rPr>
          <w:rFonts w:hint="eastAsia" w:eastAsia="仿宋_GB2312"/>
          <w:color w:val="auto"/>
          <w:sz w:val="24"/>
        </w:rPr>
        <w:t>元的</w:t>
      </w:r>
      <w:r>
        <w:rPr>
          <w:rFonts w:hint="eastAsia" w:eastAsia="仿宋_GB2312"/>
          <w:color w:val="auto"/>
          <w:sz w:val="24"/>
          <w:lang w:val="en-US" w:eastAsia="zh-CN"/>
        </w:rPr>
        <w:t>1.59</w:t>
      </w:r>
      <w:r>
        <w:rPr>
          <w:rFonts w:hint="eastAsia" w:eastAsia="仿宋_GB2312"/>
          <w:color w:val="auto"/>
          <w:sz w:val="24"/>
        </w:rPr>
        <w:t>%，</w:t>
      </w:r>
      <w:r>
        <w:rPr>
          <w:rFonts w:eastAsia="仿宋_GB2312"/>
          <w:color w:val="auto"/>
          <w:sz w:val="24"/>
        </w:rPr>
        <w:t>本项目环境保护设施</w:t>
      </w:r>
      <w:r>
        <w:rPr>
          <w:rFonts w:hint="eastAsia" w:eastAsia="仿宋_GB2312"/>
          <w:color w:val="auto"/>
          <w:sz w:val="24"/>
          <w:lang w:val="en-US" w:eastAsia="zh-CN"/>
        </w:rPr>
        <w:t>及</w:t>
      </w:r>
      <w:r>
        <w:rPr>
          <w:rFonts w:eastAsia="仿宋_GB2312"/>
          <w:color w:val="auto"/>
          <w:sz w:val="24"/>
        </w:rPr>
        <w:t>验收内容见表1</w:t>
      </w:r>
      <w:r>
        <w:rPr>
          <w:rFonts w:hint="eastAsia" w:eastAsia="仿宋_GB2312"/>
          <w:color w:val="auto"/>
          <w:sz w:val="24"/>
          <w:lang w:val="en-US" w:eastAsia="zh-CN"/>
        </w:rPr>
        <w:t>0</w:t>
      </w:r>
      <w:r>
        <w:rPr>
          <w:rFonts w:eastAsia="仿宋_GB2312"/>
          <w:color w:val="auto"/>
          <w:sz w:val="24"/>
        </w:rPr>
        <w:t>.5-1。</w:t>
      </w:r>
    </w:p>
    <w:p>
      <w:pPr>
        <w:widowControl w:val="0"/>
        <w:spacing w:line="360" w:lineRule="auto"/>
        <w:jc w:val="center"/>
        <w:rPr>
          <w:rFonts w:eastAsia="黑体"/>
          <w:b/>
          <w:bCs/>
          <w:color w:val="auto"/>
          <w:szCs w:val="21"/>
        </w:rPr>
        <w:sectPr>
          <w:headerReference r:id="rId27"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9" w:charSpace="0"/>
        </w:sectPr>
      </w:pPr>
    </w:p>
    <w:p>
      <w:pPr>
        <w:widowControl w:val="0"/>
        <w:spacing w:line="360" w:lineRule="auto"/>
        <w:jc w:val="center"/>
        <w:rPr>
          <w:rFonts w:eastAsia="黑体"/>
          <w:b/>
          <w:bCs/>
          <w:color w:val="auto"/>
          <w:szCs w:val="21"/>
        </w:rPr>
      </w:pPr>
      <w:r>
        <w:rPr>
          <w:rFonts w:eastAsia="黑体"/>
          <w:b/>
          <w:bCs/>
          <w:color w:val="auto"/>
          <w:szCs w:val="21"/>
        </w:rPr>
        <w:t>表1</w:t>
      </w:r>
      <w:r>
        <w:rPr>
          <w:rFonts w:hint="eastAsia" w:eastAsia="黑体"/>
          <w:b/>
          <w:bCs/>
          <w:color w:val="auto"/>
          <w:szCs w:val="21"/>
          <w:lang w:val="en-US" w:eastAsia="zh-CN"/>
        </w:rPr>
        <w:t>0</w:t>
      </w:r>
      <w:r>
        <w:rPr>
          <w:rFonts w:eastAsia="黑体"/>
          <w:b/>
          <w:bCs/>
          <w:color w:val="auto"/>
          <w:szCs w:val="21"/>
        </w:rPr>
        <w:t xml:space="preserve">.5-1    </w:t>
      </w:r>
      <w:r>
        <w:rPr>
          <w:rFonts w:hint="eastAsia" w:eastAsia="黑体"/>
          <w:b/>
          <w:bCs/>
          <w:color w:val="auto"/>
          <w:szCs w:val="21"/>
          <w:lang w:val="en-US" w:eastAsia="zh-CN"/>
        </w:rPr>
        <w:t>环保投资及</w:t>
      </w:r>
      <w:r>
        <w:rPr>
          <w:rFonts w:eastAsia="黑体"/>
          <w:b/>
          <w:bCs/>
          <w:color w:val="auto"/>
          <w:szCs w:val="21"/>
        </w:rPr>
        <w:t>“三同时”竣工验收一览表</w:t>
      </w:r>
    </w:p>
    <w:tbl>
      <w:tblPr>
        <w:tblStyle w:val="92"/>
        <w:tblW w:w="1401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582"/>
        <w:gridCol w:w="582"/>
        <w:gridCol w:w="1771"/>
        <w:gridCol w:w="5355"/>
        <w:gridCol w:w="4500"/>
        <w:gridCol w:w="122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1164" w:type="dxa"/>
            <w:gridSpan w:val="2"/>
            <w:tcBorders>
              <w:top w:val="single" w:color="auto" w:sz="12" w:space="0"/>
              <w:bottom w:val="single" w:color="auto" w:sz="12" w:space="0"/>
            </w:tcBorders>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类别</w:t>
            </w:r>
          </w:p>
        </w:tc>
        <w:tc>
          <w:tcPr>
            <w:tcW w:w="1771" w:type="dxa"/>
            <w:tcBorders>
              <w:top w:val="single" w:color="auto" w:sz="12" w:space="0"/>
              <w:bottom w:val="single" w:color="auto" w:sz="12" w:space="0"/>
            </w:tcBorders>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处理对象</w:t>
            </w:r>
          </w:p>
        </w:tc>
        <w:tc>
          <w:tcPr>
            <w:tcW w:w="5355" w:type="dxa"/>
            <w:tcBorders>
              <w:top w:val="single" w:color="auto" w:sz="12" w:space="0"/>
              <w:bottom w:val="single" w:color="auto" w:sz="12" w:space="0"/>
            </w:tcBorders>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验收内容及规模</w:t>
            </w:r>
          </w:p>
        </w:tc>
        <w:tc>
          <w:tcPr>
            <w:tcW w:w="4500" w:type="dxa"/>
            <w:tcBorders>
              <w:top w:val="single" w:color="auto" w:sz="12" w:space="0"/>
              <w:bottom w:val="single" w:color="auto" w:sz="12" w:space="0"/>
            </w:tcBorders>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处理效果及验收因子</w:t>
            </w:r>
          </w:p>
        </w:tc>
        <w:tc>
          <w:tcPr>
            <w:tcW w:w="1224" w:type="dxa"/>
            <w:tcBorders>
              <w:top w:val="single" w:color="auto" w:sz="12" w:space="0"/>
              <w:bottom w:val="single" w:color="auto" w:sz="12" w:space="0"/>
            </w:tcBorders>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投资（万元）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restart"/>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施工期</w:t>
            </w:r>
          </w:p>
        </w:tc>
        <w:tc>
          <w:tcPr>
            <w:tcW w:w="582" w:type="dxa"/>
            <w:vMerge w:val="restart"/>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废气</w:t>
            </w: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施工扬尘</w:t>
            </w:r>
          </w:p>
        </w:tc>
        <w:tc>
          <w:tcPr>
            <w:tcW w:w="5355" w:type="dxa"/>
            <w:noWrap w:val="0"/>
            <w:tcMar>
              <w:left w:w="113" w:type="dxa"/>
              <w:right w:w="113"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eastAsia="zh-CN"/>
              </w:rPr>
            </w:pPr>
            <w:r>
              <w:rPr>
                <w:rFonts w:hint="eastAsia" w:ascii="Times New Roman" w:hAnsi="Times New Roman" w:eastAsia="宋体"/>
                <w:color w:val="auto"/>
                <w:sz w:val="20"/>
                <w:szCs w:val="21"/>
                <w:lang w:eastAsia="zh-CN"/>
              </w:rPr>
              <w:t>施工现场四周设置场界围墙或简易围屏；施工运行车辆行驶道路定时洒水</w:t>
            </w:r>
          </w:p>
        </w:tc>
        <w:tc>
          <w:tcPr>
            <w:tcW w:w="4500" w:type="dxa"/>
            <w:vMerge w:val="restart"/>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达到</w:t>
            </w:r>
            <w:r>
              <w:rPr>
                <w:rFonts w:hint="eastAsia"/>
                <w:color w:val="auto"/>
                <w:sz w:val="20"/>
              </w:rPr>
              <w:t>《</w:t>
            </w:r>
            <w:r>
              <w:rPr>
                <w:rFonts w:hint="eastAsia"/>
                <w:color w:val="auto"/>
                <w:sz w:val="20"/>
                <w:lang w:val="en-US" w:eastAsia="zh-CN"/>
              </w:rPr>
              <w:t>大气污染物综合</w:t>
            </w:r>
            <w:r>
              <w:rPr>
                <w:rFonts w:hint="eastAsia"/>
                <w:color w:val="auto"/>
                <w:sz w:val="20"/>
              </w:rPr>
              <w:t>排放标准》</w:t>
            </w:r>
            <w:r>
              <w:rPr>
                <w:rFonts w:hint="eastAsia" w:ascii="Times New Roman" w:hAnsi="Times New Roman"/>
                <w:color w:val="auto"/>
                <w:sz w:val="20"/>
                <w:szCs w:val="21"/>
              </w:rPr>
              <w:t>（GB</w:t>
            </w:r>
            <w:r>
              <w:rPr>
                <w:rFonts w:hint="eastAsia" w:ascii="Times New Roman" w:hAnsi="Times New Roman"/>
                <w:color w:val="auto"/>
                <w:sz w:val="20"/>
                <w:szCs w:val="21"/>
                <w:lang w:val="en-US" w:eastAsia="zh-CN"/>
              </w:rPr>
              <w:t>16297-1996</w:t>
            </w:r>
            <w:r>
              <w:rPr>
                <w:rFonts w:hint="eastAsia" w:ascii="Times New Roman" w:hAnsi="Times New Roman"/>
                <w:color w:val="auto"/>
                <w:sz w:val="20"/>
                <w:szCs w:val="21"/>
              </w:rPr>
              <w:t>）</w:t>
            </w:r>
            <w:r>
              <w:rPr>
                <w:rFonts w:hint="eastAsia" w:ascii="Times New Roman" w:hAnsi="Times New Roman"/>
                <w:color w:val="auto"/>
                <w:sz w:val="20"/>
                <w:szCs w:val="21"/>
                <w:lang w:val="en-US" w:eastAsia="zh-CN"/>
              </w:rPr>
              <w:t>中无组织排放</w:t>
            </w:r>
            <w:r>
              <w:rPr>
                <w:rFonts w:ascii="Times New Roman" w:hAnsi="Times New Roman"/>
                <w:color w:val="auto"/>
                <w:sz w:val="20"/>
                <w:szCs w:val="21"/>
              </w:rPr>
              <w:t>标准：</w:t>
            </w:r>
            <w:r>
              <w:rPr>
                <w:rFonts w:hint="eastAsia" w:ascii="Times New Roman" w:hAnsi="Times New Roman"/>
                <w:color w:val="auto"/>
                <w:sz w:val="20"/>
                <w:szCs w:val="21"/>
                <w:lang w:val="en-US" w:eastAsia="zh-CN"/>
              </w:rPr>
              <w:t>颗粒物 1.0</w:t>
            </w:r>
            <w:r>
              <w:rPr>
                <w:rFonts w:ascii="Times New Roman" w:hAnsi="Times New Roman"/>
                <w:color w:val="auto"/>
                <w:sz w:val="20"/>
                <w:szCs w:val="21"/>
              </w:rPr>
              <w:t>mg/m</w:t>
            </w:r>
            <w:r>
              <w:rPr>
                <w:rFonts w:ascii="Times New Roman" w:hAnsi="Times New Roman"/>
                <w:color w:val="auto"/>
                <w:sz w:val="20"/>
                <w:szCs w:val="21"/>
                <w:vertAlign w:val="superscript"/>
              </w:rPr>
              <w:t>3</w:t>
            </w:r>
            <w:r>
              <w:rPr>
                <w:rFonts w:ascii="Times New Roman" w:hAnsi="Times New Roman"/>
                <w:color w:val="auto"/>
                <w:sz w:val="20"/>
                <w:szCs w:val="21"/>
              </w:rPr>
              <w:t>；</w:t>
            </w:r>
            <w:r>
              <w:rPr>
                <w:rFonts w:hint="eastAsia" w:ascii="Times New Roman" w:hAnsi="Times New Roman"/>
                <w:color w:val="auto"/>
                <w:sz w:val="20"/>
                <w:szCs w:val="21"/>
                <w:lang w:val="en-US" w:eastAsia="zh-CN"/>
              </w:rPr>
              <w:t>SO</w:t>
            </w:r>
            <w:r>
              <w:rPr>
                <w:rFonts w:hint="eastAsia" w:ascii="Times New Roman" w:hAnsi="Times New Roman"/>
                <w:color w:val="auto"/>
                <w:sz w:val="20"/>
                <w:szCs w:val="21"/>
                <w:vertAlign w:val="subscript"/>
                <w:lang w:val="en-US" w:eastAsia="zh-CN"/>
              </w:rPr>
              <w:t>2</w:t>
            </w:r>
            <w:r>
              <w:rPr>
                <w:rFonts w:hint="eastAsia" w:ascii="Times New Roman" w:hAnsi="Times New Roman"/>
                <w:color w:val="auto"/>
                <w:sz w:val="20"/>
                <w:szCs w:val="21"/>
                <w:lang w:val="en-US" w:eastAsia="zh-CN"/>
              </w:rPr>
              <w:t xml:space="preserve"> 0.40</w:t>
            </w:r>
            <w:r>
              <w:rPr>
                <w:rFonts w:ascii="Times New Roman" w:hAnsi="Times New Roman"/>
                <w:color w:val="auto"/>
                <w:sz w:val="20"/>
                <w:szCs w:val="21"/>
              </w:rPr>
              <w:t>mg/m</w:t>
            </w:r>
            <w:r>
              <w:rPr>
                <w:rFonts w:ascii="Times New Roman" w:hAnsi="Times New Roman"/>
                <w:color w:val="auto"/>
                <w:sz w:val="20"/>
                <w:szCs w:val="21"/>
                <w:vertAlign w:val="superscript"/>
              </w:rPr>
              <w:t>3</w:t>
            </w:r>
            <w:r>
              <w:rPr>
                <w:rFonts w:hint="eastAsia" w:ascii="Times New Roman" w:hAnsi="Times New Roman"/>
                <w:color w:val="auto"/>
                <w:sz w:val="20"/>
                <w:szCs w:val="21"/>
              </w:rPr>
              <w:t>；</w:t>
            </w:r>
            <w:r>
              <w:rPr>
                <w:rFonts w:hint="eastAsia" w:ascii="Times New Roman" w:hAnsi="Times New Roman"/>
                <w:color w:val="auto"/>
                <w:sz w:val="20"/>
                <w:szCs w:val="21"/>
                <w:lang w:val="en-US" w:eastAsia="zh-CN"/>
              </w:rPr>
              <w:t>NO</w:t>
            </w:r>
            <w:r>
              <w:rPr>
                <w:rFonts w:hint="eastAsia" w:ascii="Times New Roman" w:hAnsi="Times New Roman"/>
                <w:color w:val="auto"/>
                <w:sz w:val="20"/>
                <w:szCs w:val="21"/>
                <w:vertAlign w:val="subscript"/>
                <w:lang w:val="en-US" w:eastAsia="zh-CN"/>
              </w:rPr>
              <w:t>x</w:t>
            </w:r>
            <w:r>
              <w:rPr>
                <w:rFonts w:hint="eastAsia" w:ascii="Times New Roman" w:hAnsi="Times New Roman"/>
                <w:color w:val="auto"/>
                <w:sz w:val="20"/>
                <w:szCs w:val="21"/>
                <w:lang w:val="en-US" w:eastAsia="zh-CN"/>
              </w:rPr>
              <w:t xml:space="preserve"> 0.12</w:t>
            </w:r>
            <w:r>
              <w:rPr>
                <w:rFonts w:ascii="Times New Roman" w:hAnsi="Times New Roman"/>
                <w:color w:val="auto"/>
                <w:sz w:val="20"/>
                <w:szCs w:val="21"/>
              </w:rPr>
              <w:t>mg/m</w:t>
            </w:r>
            <w:r>
              <w:rPr>
                <w:rFonts w:ascii="Times New Roman" w:hAnsi="Times New Roman"/>
                <w:color w:val="auto"/>
                <w:sz w:val="20"/>
                <w:szCs w:val="21"/>
                <w:vertAlign w:val="superscript"/>
              </w:rPr>
              <w:t>3</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施工船舶、车辆、机械运行废气</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选择优质燃料，定期对车辆、机械设备进行保养和维护，加强管理</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restart"/>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废水</w:t>
            </w: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船舶废水</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交由海事部门指定单位收集并负责处理</w:t>
            </w:r>
          </w:p>
        </w:tc>
        <w:tc>
          <w:tcPr>
            <w:tcW w:w="4500" w:type="dxa"/>
            <w:vMerge w:val="restart"/>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不外排</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施工生活污水</w:t>
            </w:r>
          </w:p>
        </w:tc>
        <w:tc>
          <w:tcPr>
            <w:tcW w:w="5355"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依托租用民房现有化粪池处理</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泥浆废水</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钻孔灌注桩设置泥浆净化分离设备，泥浆循环使用</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噪声</w:t>
            </w: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施工机械、车辆</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lang w:val="en-US" w:eastAsia="zh-CN"/>
              </w:rPr>
              <w:t>选</w:t>
            </w:r>
            <w:r>
              <w:rPr>
                <w:rFonts w:hint="eastAsia" w:ascii="Times New Roman" w:hAnsi="Times New Roman"/>
                <w:color w:val="auto"/>
                <w:sz w:val="20"/>
                <w:szCs w:val="21"/>
              </w:rPr>
              <w:t>用低噪声设备、减震隔声、消音等</w:t>
            </w:r>
          </w:p>
        </w:tc>
        <w:tc>
          <w:tcPr>
            <w:tcW w:w="4500"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rPr>
              <w:t>《建筑施工场界环境噪声排放标准》</w:t>
            </w:r>
          </w:p>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rPr>
              <w:t>（GB12523-2011）中标准</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restart"/>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固废</w:t>
            </w: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生活垃圾</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生活垃圾环卫清运</w:t>
            </w:r>
          </w:p>
        </w:tc>
        <w:tc>
          <w:tcPr>
            <w:tcW w:w="4500" w:type="dxa"/>
            <w:vMerge w:val="restart"/>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lang w:val="en-US" w:eastAsia="zh-CN"/>
              </w:rPr>
              <w:t>不外排</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p>
        </w:tc>
        <w:tc>
          <w:tcPr>
            <w:tcW w:w="1771"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r>
              <w:rPr>
                <w:rFonts w:hint="eastAsia" w:ascii="Times New Roman" w:hAnsi="Times New Roman"/>
                <w:color w:val="auto"/>
                <w:sz w:val="20"/>
                <w:szCs w:val="21"/>
                <w:lang w:val="en-US" w:eastAsia="zh-CN"/>
              </w:rPr>
              <w:t>船舶生活垃圾</w:t>
            </w:r>
          </w:p>
        </w:tc>
        <w:tc>
          <w:tcPr>
            <w:tcW w:w="5355"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rPr>
              <w:t>由海事部门认可的单位接收处理</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lang w:val="en-US" w:eastAsia="zh-CN"/>
              </w:rPr>
              <w:t>建筑垃圾</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rPr>
              <w:t>施工期建筑垃圾综合利用</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default" w:ascii="Times New Roman" w:hAnsi="Times New Roman" w:eastAsia="宋体"/>
                <w:color w:val="auto"/>
                <w:sz w:val="20"/>
                <w:szCs w:val="21"/>
                <w:lang w:val="en-US" w:eastAsia="zh-CN"/>
              </w:rPr>
              <w:t>拆除的现有码头，趸船、皮带机及其配套的接料漏斗</w:t>
            </w:r>
          </w:p>
        </w:tc>
        <w:tc>
          <w:tcPr>
            <w:tcW w:w="5355"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外售给物资回收单位回收处置</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restart"/>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lang w:val="en-US" w:eastAsia="zh-CN"/>
              </w:rPr>
              <w:t>运营期</w:t>
            </w:r>
          </w:p>
        </w:tc>
        <w:tc>
          <w:tcPr>
            <w:tcW w:w="582" w:type="dxa"/>
            <w:vMerge w:val="restart"/>
            <w:noWrap w:val="0"/>
            <w:vAlign w:val="center"/>
          </w:tcPr>
          <w:p>
            <w:pPr>
              <w:pStyle w:val="312"/>
              <w:widowControl w:val="0"/>
              <w:kinsoku w:val="0"/>
              <w:overflowPunct w:val="0"/>
              <w:autoSpaceDE w:val="0"/>
              <w:autoSpaceDN w:val="0"/>
              <w:spacing w:line="240" w:lineRule="auto"/>
              <w:ind w:left="0" w:leftChars="0" w:right="0" w:rightChars="0"/>
              <w:rPr>
                <w:rFonts w:ascii="Times New Roman" w:hAnsi="Times New Roman" w:eastAsia="宋体" w:cs="Times New Roman"/>
                <w:color w:val="auto"/>
                <w:kern w:val="2"/>
                <w:sz w:val="20"/>
                <w:szCs w:val="21"/>
                <w:lang w:val="en-US" w:eastAsia="zh-CN" w:bidi="ar-SA"/>
              </w:rPr>
            </w:pPr>
            <w:r>
              <w:rPr>
                <w:rFonts w:ascii="Times New Roman" w:hAnsi="Times New Roman"/>
                <w:color w:val="auto"/>
                <w:sz w:val="20"/>
                <w:szCs w:val="21"/>
              </w:rPr>
              <w:t>废气</w:t>
            </w: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lang w:val="en-US" w:eastAsia="zh-CN"/>
              </w:rPr>
              <w:t>码头装船粉尘</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脉冲布袋除尘器处理后无组织排放</w:t>
            </w:r>
          </w:p>
        </w:tc>
        <w:tc>
          <w:tcPr>
            <w:tcW w:w="4500" w:type="dxa"/>
            <w:vMerge w:val="restart"/>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r>
              <w:rPr>
                <w:rFonts w:ascii="Times New Roman" w:hAnsi="Times New Roman"/>
                <w:color w:val="auto"/>
                <w:sz w:val="20"/>
                <w:szCs w:val="21"/>
              </w:rPr>
              <w:t>达到</w:t>
            </w:r>
            <w:r>
              <w:rPr>
                <w:rFonts w:hint="eastAsia"/>
                <w:color w:val="auto"/>
                <w:sz w:val="20"/>
              </w:rPr>
              <w:t>《</w:t>
            </w:r>
            <w:r>
              <w:rPr>
                <w:rFonts w:hint="eastAsia"/>
                <w:color w:val="auto"/>
                <w:sz w:val="20"/>
                <w:lang w:val="en-US" w:eastAsia="zh-CN"/>
              </w:rPr>
              <w:t>大气污染物综合</w:t>
            </w:r>
            <w:r>
              <w:rPr>
                <w:rFonts w:hint="eastAsia"/>
                <w:color w:val="auto"/>
                <w:sz w:val="20"/>
              </w:rPr>
              <w:t>排放标准》</w:t>
            </w:r>
            <w:r>
              <w:rPr>
                <w:rFonts w:hint="eastAsia" w:ascii="Times New Roman" w:hAnsi="Times New Roman"/>
                <w:color w:val="auto"/>
                <w:sz w:val="20"/>
                <w:szCs w:val="21"/>
              </w:rPr>
              <w:t>（GB</w:t>
            </w:r>
            <w:r>
              <w:rPr>
                <w:rFonts w:hint="eastAsia" w:ascii="Times New Roman" w:hAnsi="Times New Roman"/>
                <w:color w:val="auto"/>
                <w:sz w:val="20"/>
                <w:szCs w:val="21"/>
                <w:lang w:val="en-US" w:eastAsia="zh-CN"/>
              </w:rPr>
              <w:t>16297-1996</w:t>
            </w:r>
            <w:r>
              <w:rPr>
                <w:rFonts w:hint="eastAsia" w:ascii="Times New Roman" w:hAnsi="Times New Roman"/>
                <w:color w:val="auto"/>
                <w:sz w:val="20"/>
                <w:szCs w:val="21"/>
              </w:rPr>
              <w:t>）</w:t>
            </w:r>
            <w:r>
              <w:rPr>
                <w:rFonts w:hint="eastAsia" w:ascii="Times New Roman" w:hAnsi="Times New Roman"/>
                <w:color w:val="auto"/>
                <w:sz w:val="20"/>
                <w:szCs w:val="21"/>
                <w:lang w:val="en-US" w:eastAsia="zh-CN"/>
              </w:rPr>
              <w:t>中无组织排放</w:t>
            </w:r>
            <w:r>
              <w:rPr>
                <w:rFonts w:ascii="Times New Roman" w:hAnsi="Times New Roman"/>
                <w:color w:val="auto"/>
                <w:sz w:val="20"/>
                <w:szCs w:val="21"/>
              </w:rPr>
              <w:t>标准：</w:t>
            </w:r>
            <w:r>
              <w:rPr>
                <w:rFonts w:hint="eastAsia" w:ascii="Times New Roman" w:hAnsi="Times New Roman"/>
                <w:color w:val="auto"/>
                <w:sz w:val="20"/>
                <w:szCs w:val="21"/>
                <w:lang w:val="en-US" w:eastAsia="zh-CN"/>
              </w:rPr>
              <w:t>颗粒物 1.0</w:t>
            </w:r>
            <w:r>
              <w:rPr>
                <w:rFonts w:ascii="Times New Roman" w:hAnsi="Times New Roman"/>
                <w:color w:val="auto"/>
                <w:sz w:val="20"/>
                <w:szCs w:val="21"/>
              </w:rPr>
              <w:t>mg/m</w:t>
            </w:r>
            <w:r>
              <w:rPr>
                <w:rFonts w:ascii="Times New Roman" w:hAnsi="Times New Roman"/>
                <w:color w:val="auto"/>
                <w:sz w:val="20"/>
                <w:szCs w:val="21"/>
                <w:vertAlign w:val="superscript"/>
              </w:rPr>
              <w:t>3</w:t>
            </w:r>
            <w:r>
              <w:rPr>
                <w:rFonts w:ascii="Times New Roman" w:hAnsi="Times New Roman"/>
                <w:color w:val="auto"/>
                <w:sz w:val="20"/>
                <w:szCs w:val="21"/>
              </w:rPr>
              <w:t>；</w:t>
            </w:r>
            <w:r>
              <w:rPr>
                <w:rFonts w:hint="eastAsia" w:ascii="Times New Roman" w:hAnsi="Times New Roman"/>
                <w:color w:val="auto"/>
                <w:sz w:val="20"/>
                <w:szCs w:val="21"/>
                <w:lang w:val="en-US" w:eastAsia="zh-CN"/>
              </w:rPr>
              <w:t>SO</w:t>
            </w:r>
            <w:r>
              <w:rPr>
                <w:rFonts w:hint="eastAsia" w:ascii="Times New Roman" w:hAnsi="Times New Roman"/>
                <w:color w:val="auto"/>
                <w:sz w:val="20"/>
                <w:szCs w:val="21"/>
                <w:vertAlign w:val="subscript"/>
                <w:lang w:val="en-US" w:eastAsia="zh-CN"/>
              </w:rPr>
              <w:t>2</w:t>
            </w:r>
            <w:r>
              <w:rPr>
                <w:rFonts w:hint="eastAsia" w:ascii="Times New Roman" w:hAnsi="Times New Roman"/>
                <w:color w:val="auto"/>
                <w:sz w:val="20"/>
                <w:szCs w:val="21"/>
                <w:lang w:val="en-US" w:eastAsia="zh-CN"/>
              </w:rPr>
              <w:t xml:space="preserve"> 0.40</w:t>
            </w:r>
            <w:r>
              <w:rPr>
                <w:rFonts w:ascii="Times New Roman" w:hAnsi="Times New Roman"/>
                <w:color w:val="auto"/>
                <w:sz w:val="20"/>
                <w:szCs w:val="21"/>
              </w:rPr>
              <w:t>mg/m</w:t>
            </w:r>
            <w:r>
              <w:rPr>
                <w:rFonts w:ascii="Times New Roman" w:hAnsi="Times New Roman"/>
                <w:color w:val="auto"/>
                <w:sz w:val="20"/>
                <w:szCs w:val="21"/>
                <w:vertAlign w:val="superscript"/>
              </w:rPr>
              <w:t>3</w:t>
            </w:r>
            <w:r>
              <w:rPr>
                <w:rFonts w:hint="eastAsia" w:ascii="Times New Roman" w:hAnsi="Times New Roman"/>
                <w:color w:val="auto"/>
                <w:sz w:val="20"/>
                <w:szCs w:val="21"/>
              </w:rPr>
              <w:t>；</w:t>
            </w:r>
            <w:r>
              <w:rPr>
                <w:rFonts w:hint="eastAsia" w:ascii="Times New Roman" w:hAnsi="Times New Roman"/>
                <w:color w:val="auto"/>
                <w:sz w:val="20"/>
                <w:szCs w:val="21"/>
                <w:lang w:val="en-US" w:eastAsia="zh-CN"/>
              </w:rPr>
              <w:t>NO</w:t>
            </w:r>
            <w:r>
              <w:rPr>
                <w:rFonts w:hint="eastAsia" w:ascii="Times New Roman" w:hAnsi="Times New Roman"/>
                <w:color w:val="auto"/>
                <w:sz w:val="20"/>
                <w:szCs w:val="21"/>
                <w:vertAlign w:val="subscript"/>
                <w:lang w:val="en-US" w:eastAsia="zh-CN"/>
              </w:rPr>
              <w:t>x</w:t>
            </w:r>
            <w:r>
              <w:rPr>
                <w:rFonts w:hint="eastAsia" w:ascii="Times New Roman" w:hAnsi="Times New Roman"/>
                <w:color w:val="auto"/>
                <w:sz w:val="20"/>
                <w:szCs w:val="21"/>
                <w:lang w:val="en-US" w:eastAsia="zh-CN"/>
              </w:rPr>
              <w:t xml:space="preserve"> 0.12</w:t>
            </w:r>
            <w:r>
              <w:rPr>
                <w:rFonts w:ascii="Times New Roman" w:hAnsi="Times New Roman"/>
                <w:color w:val="auto"/>
                <w:sz w:val="20"/>
                <w:szCs w:val="21"/>
              </w:rPr>
              <w:t>mg/m</w:t>
            </w:r>
            <w:r>
              <w:rPr>
                <w:rFonts w:ascii="Times New Roman" w:hAnsi="Times New Roman"/>
                <w:color w:val="auto"/>
                <w:sz w:val="20"/>
                <w:szCs w:val="21"/>
                <w:vertAlign w:val="superscript"/>
              </w:rPr>
              <w:t>3</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leftChars="0" w:right="0" w:rightChars="0"/>
              <w:rPr>
                <w:rFonts w:ascii="Times New Roman" w:hAnsi="Times New Roman" w:eastAsia="宋体" w:cs="Times New Roman"/>
                <w:color w:val="auto"/>
                <w:kern w:val="2"/>
                <w:sz w:val="20"/>
                <w:szCs w:val="21"/>
                <w:lang w:val="en-US" w:eastAsia="zh-CN" w:bidi="ar-SA"/>
              </w:rPr>
            </w:pP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color w:val="auto"/>
                <w:sz w:val="20"/>
                <w:szCs w:val="21"/>
                <w:lang w:val="en-US" w:eastAsia="zh-CN"/>
              </w:rPr>
              <w:t>转运楼及趸船转运平台粉尘</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封闭廊道+脉冲布袋除尘器处理后无组织排放</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65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leftChars="0" w:right="0" w:rightChars="0"/>
              <w:rPr>
                <w:rFonts w:ascii="Times New Roman" w:hAnsi="Times New Roman" w:eastAsia="宋体" w:cs="Times New Roman"/>
                <w:color w:val="auto"/>
                <w:kern w:val="2"/>
                <w:sz w:val="20"/>
                <w:szCs w:val="21"/>
                <w:lang w:val="en-US" w:eastAsia="zh-CN" w:bidi="ar-SA"/>
              </w:rPr>
            </w:pP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kern w:val="2"/>
                <w:sz w:val="20"/>
                <w:szCs w:val="20"/>
                <w:lang w:val="en-US" w:eastAsia="zh-CN" w:bidi="ar-SA"/>
              </w:rPr>
              <w:t>到港船舶废气</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cs="Times New Roman"/>
                <w:b w:val="0"/>
                <w:bCs/>
                <w:color w:val="auto"/>
                <w:sz w:val="20"/>
                <w:szCs w:val="20"/>
                <w:lang w:val="en-US" w:eastAsia="zh-CN"/>
              </w:rPr>
              <w:t>无组织排放</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restart"/>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废水</w:t>
            </w:r>
          </w:p>
        </w:tc>
        <w:tc>
          <w:tcPr>
            <w:tcW w:w="1771"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rPr>
              <w:t>生活污水</w:t>
            </w:r>
          </w:p>
        </w:tc>
        <w:tc>
          <w:tcPr>
            <w:tcW w:w="5355"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rPr>
              <w:t>生活污水通过各自趸船下方生活污水储存柜</w:t>
            </w:r>
            <w:r>
              <w:rPr>
                <w:rFonts w:hint="eastAsia" w:ascii="Times New Roman" w:hAnsi="Times New Roman"/>
                <w:color w:val="auto"/>
                <w:sz w:val="20"/>
                <w:szCs w:val="21"/>
                <w:lang w:eastAsia="zh-CN"/>
              </w:rPr>
              <w:t>（</w:t>
            </w:r>
            <w:r>
              <w:rPr>
                <w:rFonts w:hint="eastAsia" w:ascii="Times New Roman" w:hAnsi="Times New Roman"/>
                <w:color w:val="auto"/>
                <w:sz w:val="20"/>
                <w:szCs w:val="21"/>
                <w:lang w:val="en-US" w:eastAsia="zh-CN"/>
              </w:rPr>
              <w:t>5m</w:t>
            </w:r>
            <w:r>
              <w:rPr>
                <w:rFonts w:hint="eastAsia" w:ascii="Times New Roman" w:hAnsi="Times New Roman"/>
                <w:color w:val="auto"/>
                <w:sz w:val="20"/>
                <w:szCs w:val="21"/>
                <w:vertAlign w:val="superscript"/>
                <w:lang w:val="en-US" w:eastAsia="zh-CN"/>
              </w:rPr>
              <w:t>3</w:t>
            </w:r>
            <w:r>
              <w:rPr>
                <w:rFonts w:hint="eastAsia" w:ascii="Times New Roman" w:hAnsi="Times New Roman"/>
                <w:color w:val="auto"/>
                <w:sz w:val="20"/>
                <w:szCs w:val="21"/>
                <w:lang w:eastAsia="zh-CN"/>
              </w:rPr>
              <w:t>）</w:t>
            </w:r>
            <w:r>
              <w:rPr>
                <w:rFonts w:hint="eastAsia" w:ascii="Times New Roman" w:hAnsi="Times New Roman"/>
                <w:color w:val="auto"/>
                <w:sz w:val="20"/>
                <w:szCs w:val="21"/>
              </w:rPr>
              <w:t>储存，委托海事部门认定的船舶污染物接收船定期统一处理</w:t>
            </w:r>
          </w:p>
        </w:tc>
        <w:tc>
          <w:tcPr>
            <w:tcW w:w="4500" w:type="dxa"/>
            <w:vMerge w:val="restart"/>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hint="eastAsia" w:ascii="Times New Roman" w:hAnsi="Times New Roman"/>
                <w:color w:val="auto"/>
                <w:sz w:val="20"/>
                <w:szCs w:val="21"/>
                <w:lang w:val="en-US" w:eastAsia="zh-CN"/>
              </w:rPr>
              <w:t>不外排</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码头冲洗废水</w:t>
            </w:r>
          </w:p>
        </w:tc>
        <w:tc>
          <w:tcPr>
            <w:tcW w:w="5355" w:type="dxa"/>
            <w:vMerge w:val="restart"/>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lang w:eastAsia="zh-CN"/>
              </w:rPr>
              <w:t>经趸船收集坎收集后进入初期雨水收集柜（</w:t>
            </w:r>
            <w:r>
              <w:rPr>
                <w:rFonts w:hint="eastAsia" w:ascii="Times New Roman" w:hAnsi="Times New Roman"/>
                <w:color w:val="auto"/>
                <w:sz w:val="20"/>
                <w:szCs w:val="21"/>
                <w:lang w:val="en-US" w:eastAsia="zh-CN"/>
              </w:rPr>
              <w:t>30m</w:t>
            </w:r>
            <w:r>
              <w:rPr>
                <w:rFonts w:hint="eastAsia" w:ascii="Times New Roman" w:hAnsi="Times New Roman"/>
                <w:color w:val="auto"/>
                <w:sz w:val="20"/>
                <w:szCs w:val="21"/>
                <w:vertAlign w:val="superscript"/>
                <w:lang w:val="en-US" w:eastAsia="zh-CN"/>
              </w:rPr>
              <w:t>3</w:t>
            </w:r>
            <w:r>
              <w:rPr>
                <w:rFonts w:hint="eastAsia" w:ascii="Times New Roman" w:hAnsi="Times New Roman"/>
                <w:color w:val="auto"/>
                <w:sz w:val="20"/>
                <w:szCs w:val="21"/>
                <w:lang w:eastAsia="zh-CN"/>
              </w:rPr>
              <w:t>）储存，委托海事部门认定的船舶污染物接收船定期统一处理</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码头面初期雨水</w:t>
            </w:r>
          </w:p>
        </w:tc>
        <w:tc>
          <w:tcPr>
            <w:tcW w:w="5355" w:type="dxa"/>
            <w:vMerge w:val="continue"/>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r>
              <w:rPr>
                <w:rFonts w:hint="eastAsia" w:ascii="Times New Roman" w:hAnsi="Times New Roman"/>
                <w:color w:val="auto"/>
                <w:sz w:val="20"/>
                <w:szCs w:val="21"/>
                <w:lang w:val="en-US" w:eastAsia="zh-CN"/>
              </w:rPr>
              <w:t>到港船舶生活污水及舱底油污水</w:t>
            </w:r>
          </w:p>
        </w:tc>
        <w:tc>
          <w:tcPr>
            <w:tcW w:w="5355"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rPr>
              <w:t>由设在码头的智能化船舶污水收集装置接收暂存，定期由海事部门指定的工作船接收</w:t>
            </w:r>
            <w:r>
              <w:rPr>
                <w:rFonts w:hint="eastAsia" w:ascii="Times New Roman" w:hAnsi="Times New Roman"/>
                <w:color w:val="auto"/>
                <w:sz w:val="20"/>
                <w:szCs w:val="21"/>
                <w:lang w:eastAsia="zh-CN"/>
              </w:rPr>
              <w:t>，</w:t>
            </w:r>
            <w:r>
              <w:rPr>
                <w:rFonts w:hint="eastAsia" w:ascii="Times New Roman" w:hAnsi="Times New Roman"/>
                <w:color w:val="auto"/>
                <w:sz w:val="20"/>
                <w:szCs w:val="21"/>
                <w:lang w:val="en-US" w:eastAsia="zh-CN"/>
              </w:rPr>
              <w:t>本项目不接收到港船舶生活污水及舱底油污水</w:t>
            </w:r>
          </w:p>
        </w:tc>
        <w:tc>
          <w:tcPr>
            <w:tcW w:w="4500" w:type="dxa"/>
            <w:vMerge w:val="continue"/>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val="en-US" w:eastAsia="zh-CN"/>
              </w:rPr>
            </w:pP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噪声</w:t>
            </w:r>
          </w:p>
        </w:tc>
        <w:tc>
          <w:tcPr>
            <w:tcW w:w="1771"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rPr>
              <w:t>生产设备、泵、风机</w:t>
            </w:r>
          </w:p>
        </w:tc>
        <w:tc>
          <w:tcPr>
            <w:tcW w:w="5355" w:type="dxa"/>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rPr>
              <w:t>封闭围护；安装消声、减振装置；厂房四周种植隔离带。</w:t>
            </w:r>
          </w:p>
        </w:tc>
        <w:tc>
          <w:tcPr>
            <w:tcW w:w="4500"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厂界噪声满足《工业企业厂界环境噪声排放标准》（GB12348-2008）</w:t>
            </w:r>
            <w:r>
              <w:rPr>
                <w:rFonts w:hint="eastAsia" w:ascii="Times New Roman" w:hAnsi="Times New Roman"/>
                <w:color w:val="auto"/>
                <w:sz w:val="20"/>
                <w:szCs w:val="21"/>
                <w:lang w:val="en-US" w:eastAsia="zh-CN"/>
              </w:rPr>
              <w:t>3/4</w:t>
            </w:r>
            <w:r>
              <w:rPr>
                <w:rFonts w:ascii="Times New Roman" w:hAnsi="Times New Roman"/>
                <w:color w:val="auto"/>
                <w:sz w:val="20"/>
                <w:szCs w:val="21"/>
              </w:rPr>
              <w:t>类标准</w:t>
            </w:r>
          </w:p>
        </w:tc>
        <w:tc>
          <w:tcPr>
            <w:tcW w:w="1224" w:type="dxa"/>
            <w:noWrap w:val="0"/>
            <w:tcMar>
              <w:left w:w="57" w:type="dxa"/>
              <w:right w:w="57"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restart"/>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固体废物</w:t>
            </w:r>
          </w:p>
        </w:tc>
        <w:tc>
          <w:tcPr>
            <w:tcW w:w="1771"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危险废物</w:t>
            </w:r>
          </w:p>
        </w:tc>
        <w:tc>
          <w:tcPr>
            <w:tcW w:w="5355" w:type="dxa"/>
            <w:noWrap w:val="0"/>
            <w:tcMar>
              <w:left w:w="113" w:type="dxa"/>
              <w:right w:w="113"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lang w:eastAsia="zh-CN"/>
              </w:rPr>
            </w:pPr>
            <w:r>
              <w:rPr>
                <w:rFonts w:hint="eastAsia" w:ascii="Times New Roman" w:hAnsi="Times New Roman"/>
                <w:color w:val="auto"/>
                <w:sz w:val="20"/>
                <w:szCs w:val="21"/>
              </w:rPr>
              <w:t>危险废物委托有资质单位处置</w:t>
            </w:r>
          </w:p>
          <w:p>
            <w:pPr>
              <w:pStyle w:val="312"/>
              <w:widowControl w:val="0"/>
              <w:kinsoku w:val="0"/>
              <w:overflowPunct w:val="0"/>
              <w:autoSpaceDE w:val="0"/>
              <w:autoSpaceDN w:val="0"/>
              <w:spacing w:line="240" w:lineRule="auto"/>
              <w:ind w:left="0" w:right="0"/>
              <w:rPr>
                <w:rFonts w:hint="eastAsia" w:ascii="Times New Roman" w:hAnsi="Times New Roman"/>
                <w:color w:val="auto"/>
                <w:sz w:val="20"/>
                <w:szCs w:val="21"/>
              </w:rPr>
            </w:pPr>
            <w:r>
              <w:rPr>
                <w:rFonts w:hint="eastAsia" w:ascii="Times New Roman" w:hAnsi="Times New Roman"/>
                <w:color w:val="auto"/>
                <w:sz w:val="20"/>
                <w:szCs w:val="21"/>
                <w:lang w:val="en-US" w:eastAsia="zh-CN"/>
              </w:rPr>
              <w:t>趸船</w:t>
            </w:r>
            <w:r>
              <w:rPr>
                <w:rFonts w:hint="eastAsia" w:ascii="Times New Roman" w:hAnsi="Times New Roman"/>
                <w:color w:val="auto"/>
                <w:sz w:val="20"/>
                <w:szCs w:val="21"/>
              </w:rPr>
              <w:t>设置</w:t>
            </w:r>
            <w:r>
              <w:rPr>
                <w:rFonts w:hint="eastAsia" w:ascii="Times New Roman" w:hAnsi="Times New Roman"/>
                <w:color w:val="auto"/>
                <w:sz w:val="20"/>
                <w:szCs w:val="21"/>
                <w:lang w:val="en-US" w:eastAsia="zh-CN"/>
              </w:rPr>
              <w:t>5</w:t>
            </w:r>
            <w:r>
              <w:rPr>
                <w:rFonts w:hint="eastAsia" w:ascii="Times New Roman" w:hAnsi="Times New Roman"/>
                <w:color w:val="auto"/>
                <w:sz w:val="20"/>
                <w:szCs w:val="21"/>
              </w:rPr>
              <w:t>m</w:t>
            </w:r>
            <w:r>
              <w:rPr>
                <w:rFonts w:hint="eastAsia" w:ascii="Times New Roman" w:hAnsi="Times New Roman"/>
                <w:color w:val="auto"/>
                <w:sz w:val="20"/>
                <w:szCs w:val="21"/>
                <w:vertAlign w:val="superscript"/>
              </w:rPr>
              <w:t>2</w:t>
            </w:r>
            <w:r>
              <w:rPr>
                <w:rFonts w:hint="eastAsia" w:ascii="Times New Roman" w:hAnsi="Times New Roman"/>
                <w:color w:val="auto"/>
                <w:sz w:val="20"/>
                <w:szCs w:val="21"/>
              </w:rPr>
              <w:t>危险废物暂存间。</w:t>
            </w:r>
          </w:p>
        </w:tc>
        <w:tc>
          <w:tcPr>
            <w:tcW w:w="4500" w:type="dxa"/>
            <w:vMerge w:val="restart"/>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固体废物零排放</w:t>
            </w:r>
          </w:p>
        </w:tc>
        <w:tc>
          <w:tcPr>
            <w:tcW w:w="1224"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lang w:val="en-US" w:eastAsia="zh-CN"/>
              </w:rPr>
              <w:t>码头人员</w:t>
            </w:r>
            <w:r>
              <w:rPr>
                <w:rFonts w:hint="eastAsia" w:ascii="Times New Roman" w:hAnsi="Times New Roman"/>
                <w:color w:val="auto"/>
                <w:sz w:val="20"/>
                <w:szCs w:val="21"/>
              </w:rPr>
              <w:t>生活垃圾</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rPr>
              <w:t>环卫部门处置，设置若干垃圾桶</w:t>
            </w:r>
          </w:p>
        </w:tc>
        <w:tc>
          <w:tcPr>
            <w:tcW w:w="4500" w:type="dxa"/>
            <w:vMerge w:val="continue"/>
            <w:noWrap w:val="0"/>
            <w:vAlign w:val="center"/>
          </w:tcPr>
          <w:p>
            <w:pPr>
              <w:pStyle w:val="312"/>
              <w:widowControl w:val="0"/>
              <w:kinsoku w:val="0"/>
              <w:overflowPunct w:val="0"/>
              <w:autoSpaceDE w:val="0"/>
              <w:autoSpaceDN w:val="0"/>
              <w:spacing w:line="240" w:lineRule="auto"/>
              <w:ind w:left="0" w:leftChars="0" w:right="0" w:rightChars="0"/>
              <w:rPr>
                <w:rFonts w:ascii="Times New Roman" w:hAnsi="Times New Roman" w:eastAsia="宋体" w:cs="Times New Roman"/>
                <w:color w:val="auto"/>
                <w:kern w:val="2"/>
                <w:sz w:val="20"/>
                <w:szCs w:val="21"/>
                <w:lang w:val="en-US" w:eastAsia="zh-CN" w:bidi="ar-SA"/>
              </w:rPr>
            </w:pPr>
          </w:p>
        </w:tc>
        <w:tc>
          <w:tcPr>
            <w:tcW w:w="1224"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63" w:leftChars="-30" w:right="-63" w:rightChars="-30"/>
              <w:jc w:val="center"/>
              <w:textAlignment w:val="auto"/>
              <w:rPr>
                <w:rFonts w:hint="default" w:ascii="Times New Roman" w:hAnsi="Times New Roman" w:eastAsia="宋体" w:cs="Times New Roman"/>
                <w:b w:val="0"/>
                <w:bCs/>
                <w:color w:val="auto"/>
                <w:kern w:val="2"/>
                <w:sz w:val="20"/>
                <w:szCs w:val="20"/>
                <w:lang w:val="en-US" w:eastAsia="zh-CN" w:bidi="ar-SA"/>
              </w:rPr>
            </w:pPr>
            <w:r>
              <w:rPr>
                <w:rFonts w:hint="eastAsia"/>
                <w:b w:val="0"/>
                <w:bCs/>
                <w:color w:val="auto"/>
                <w:sz w:val="20"/>
                <w:szCs w:val="20"/>
                <w:lang w:val="en-US" w:eastAsia="zh-CN"/>
              </w:rPr>
              <w:t>除尘器收尘灰</w:t>
            </w:r>
          </w:p>
        </w:tc>
        <w:tc>
          <w:tcPr>
            <w:tcW w:w="5355"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rPr>
            </w:pPr>
            <w:r>
              <w:rPr>
                <w:rFonts w:hint="eastAsia"/>
                <w:b w:val="0"/>
                <w:bCs/>
                <w:color w:val="auto"/>
                <w:sz w:val="20"/>
                <w:szCs w:val="20"/>
                <w:lang w:val="en-US" w:eastAsia="zh-CN"/>
              </w:rPr>
              <w:t>定期清理后装船外售</w:t>
            </w:r>
          </w:p>
        </w:tc>
        <w:tc>
          <w:tcPr>
            <w:tcW w:w="4500"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224"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color w:val="auto"/>
                <w:sz w:val="20"/>
                <w:szCs w:val="21"/>
                <w:lang w:val="en-US" w:eastAsia="zh-CN"/>
              </w:rPr>
            </w:pPr>
            <w:r>
              <w:rPr>
                <w:rFonts w:hint="eastAsia" w:ascii="Times New Roman" w:hAnsi="Times New Roman"/>
                <w:color w:val="auto"/>
                <w:sz w:val="2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771" w:type="dxa"/>
            <w:noWrap w:val="0"/>
            <w:vAlign w:val="center"/>
          </w:tcPr>
          <w:p>
            <w:pPr>
              <w:pStyle w:val="312"/>
              <w:widowControl w:val="0"/>
              <w:kinsoku w:val="0"/>
              <w:overflowPunct w:val="0"/>
              <w:autoSpaceDE w:val="0"/>
              <w:autoSpaceDN w:val="0"/>
              <w:spacing w:line="240" w:lineRule="auto"/>
              <w:ind w:left="0" w:leftChars="0" w:right="0" w:rightChars="0"/>
              <w:rPr>
                <w:rFonts w:hint="eastAsia" w:ascii="Times New Roman" w:hAnsi="Times New Roman" w:eastAsia="宋体" w:cs="Times New Roman"/>
                <w:color w:val="auto"/>
                <w:kern w:val="2"/>
                <w:sz w:val="20"/>
                <w:szCs w:val="21"/>
                <w:lang w:val="en-US" w:eastAsia="zh-CN" w:bidi="ar-SA"/>
              </w:rPr>
            </w:pPr>
            <w:r>
              <w:rPr>
                <w:rFonts w:hint="eastAsia" w:ascii="Times New Roman" w:hAnsi="Times New Roman"/>
                <w:color w:val="auto"/>
                <w:sz w:val="20"/>
                <w:szCs w:val="21"/>
                <w:lang w:val="en-US" w:eastAsia="zh-CN"/>
              </w:rPr>
              <w:t>到港船舶生活垃圾</w:t>
            </w:r>
          </w:p>
        </w:tc>
        <w:tc>
          <w:tcPr>
            <w:tcW w:w="5355" w:type="dxa"/>
            <w:noWrap w:val="0"/>
            <w:vAlign w:val="center"/>
          </w:tcPr>
          <w:p>
            <w:pPr>
              <w:pStyle w:val="312"/>
              <w:widowControl w:val="0"/>
              <w:kinsoku w:val="0"/>
              <w:overflowPunct w:val="0"/>
              <w:autoSpaceDE w:val="0"/>
              <w:autoSpaceDN w:val="0"/>
              <w:spacing w:line="240" w:lineRule="auto"/>
              <w:ind w:left="0" w:leftChars="0" w:right="0" w:rightChars="0"/>
              <w:rPr>
                <w:rFonts w:hint="default" w:ascii="Times New Roman" w:hAnsi="Times New Roman" w:eastAsia="宋体" w:cs="Times New Roman"/>
                <w:color w:val="auto"/>
                <w:kern w:val="2"/>
                <w:sz w:val="20"/>
                <w:szCs w:val="21"/>
                <w:lang w:val="en-US" w:eastAsia="zh-CN" w:bidi="ar-SA"/>
              </w:rPr>
            </w:pPr>
            <w:r>
              <w:rPr>
                <w:rFonts w:hint="default" w:eastAsia="宋体"/>
                <w:b w:val="0"/>
                <w:bCs/>
                <w:color w:val="auto"/>
                <w:sz w:val="20"/>
                <w:szCs w:val="20"/>
                <w:lang w:val="en-US" w:eastAsia="zh-CN"/>
              </w:rPr>
              <w:t>集中收集后交由</w:t>
            </w:r>
            <w:r>
              <w:rPr>
                <w:rFonts w:hint="eastAsia"/>
                <w:bCs/>
                <w:color w:val="auto"/>
                <w:kern w:val="0"/>
                <w:sz w:val="20"/>
              </w:rPr>
              <w:t>海事部门指定的工作船</w:t>
            </w:r>
            <w:r>
              <w:rPr>
                <w:rFonts w:hint="default" w:eastAsia="宋体"/>
                <w:b w:val="0"/>
                <w:bCs/>
                <w:color w:val="auto"/>
                <w:sz w:val="20"/>
                <w:szCs w:val="20"/>
                <w:lang w:val="en-US" w:eastAsia="zh-CN"/>
              </w:rPr>
              <w:t>接收转运及处置</w:t>
            </w:r>
            <w:r>
              <w:rPr>
                <w:rFonts w:hint="eastAsia" w:eastAsia="宋体"/>
                <w:b w:val="0"/>
                <w:bCs/>
                <w:color w:val="auto"/>
                <w:sz w:val="20"/>
                <w:szCs w:val="20"/>
                <w:lang w:val="en-US" w:eastAsia="zh-CN"/>
              </w:rPr>
              <w:t>，本项目不接收</w:t>
            </w:r>
            <w:r>
              <w:rPr>
                <w:rFonts w:hint="eastAsia" w:ascii="Times New Roman" w:hAnsi="Times New Roman"/>
                <w:color w:val="auto"/>
                <w:sz w:val="20"/>
                <w:szCs w:val="21"/>
                <w:lang w:val="en-US" w:eastAsia="zh-CN"/>
              </w:rPr>
              <w:t>到港船舶生活垃圾</w:t>
            </w:r>
          </w:p>
        </w:tc>
        <w:tc>
          <w:tcPr>
            <w:tcW w:w="4500"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1224"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582" w:type="dxa"/>
            <w:vMerge w:val="continue"/>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p>
        </w:tc>
        <w:tc>
          <w:tcPr>
            <w:tcW w:w="582"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环境风险</w:t>
            </w:r>
          </w:p>
        </w:tc>
        <w:tc>
          <w:tcPr>
            <w:tcW w:w="7126" w:type="dxa"/>
            <w:gridSpan w:val="2"/>
            <w:noWrap w:val="0"/>
            <w:tcMar>
              <w:left w:w="113" w:type="dxa"/>
              <w:right w:w="113" w:type="dxa"/>
            </w:tcMar>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rPr>
              <w:t>事故应急人员培训，围油设备、收油设备及其他防护设备，制定污染应急计划，预留事故水质监测，通讯报警设备、设施</w:t>
            </w:r>
            <w:r>
              <w:rPr>
                <w:rFonts w:hint="eastAsia" w:ascii="Times New Roman" w:hAnsi="Times New Roman"/>
                <w:color w:val="auto"/>
                <w:sz w:val="20"/>
                <w:szCs w:val="21"/>
                <w:lang w:val="en-US" w:eastAsia="zh-CN"/>
              </w:rPr>
              <w:t>等</w:t>
            </w:r>
          </w:p>
        </w:tc>
        <w:tc>
          <w:tcPr>
            <w:tcW w:w="4500" w:type="dxa"/>
            <w:noWrap w:val="0"/>
            <w:vAlign w:val="center"/>
          </w:tcPr>
          <w:p>
            <w:pPr>
              <w:pStyle w:val="312"/>
              <w:widowControl w:val="0"/>
              <w:kinsoku w:val="0"/>
              <w:overflowPunct w:val="0"/>
              <w:autoSpaceDE w:val="0"/>
              <w:autoSpaceDN w:val="0"/>
              <w:spacing w:line="240" w:lineRule="auto"/>
              <w:ind w:left="0" w:right="0"/>
              <w:rPr>
                <w:rFonts w:ascii="Times New Roman" w:hAnsi="Times New Roman"/>
                <w:color w:val="auto"/>
                <w:sz w:val="20"/>
                <w:szCs w:val="21"/>
              </w:rPr>
            </w:pPr>
            <w:r>
              <w:rPr>
                <w:rFonts w:ascii="Times New Roman" w:hAnsi="Times New Roman"/>
                <w:color w:val="auto"/>
                <w:sz w:val="20"/>
                <w:szCs w:val="21"/>
              </w:rPr>
              <w:t>严防各种事故风险，发生事故及时处置</w:t>
            </w:r>
          </w:p>
        </w:tc>
        <w:tc>
          <w:tcPr>
            <w:tcW w:w="1224"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7" w:hRule="atLeast"/>
          <w:jc w:val="center"/>
        </w:trPr>
        <w:tc>
          <w:tcPr>
            <w:tcW w:w="12790" w:type="dxa"/>
            <w:gridSpan w:val="5"/>
            <w:noWrap w:val="0"/>
            <w:vAlign w:val="center"/>
          </w:tcPr>
          <w:p>
            <w:pPr>
              <w:pStyle w:val="312"/>
              <w:widowControl w:val="0"/>
              <w:kinsoku w:val="0"/>
              <w:overflowPunct w:val="0"/>
              <w:autoSpaceDE w:val="0"/>
              <w:autoSpaceDN w:val="0"/>
              <w:spacing w:line="240" w:lineRule="auto"/>
              <w:ind w:left="0" w:right="0"/>
              <w:rPr>
                <w:rFonts w:hint="eastAsia"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合计</w:t>
            </w:r>
          </w:p>
        </w:tc>
        <w:tc>
          <w:tcPr>
            <w:tcW w:w="1224" w:type="dxa"/>
            <w:noWrap w:val="0"/>
            <w:vAlign w:val="center"/>
          </w:tcPr>
          <w:p>
            <w:pPr>
              <w:pStyle w:val="312"/>
              <w:widowControl w:val="0"/>
              <w:kinsoku w:val="0"/>
              <w:overflowPunct w:val="0"/>
              <w:autoSpaceDE w:val="0"/>
              <w:autoSpaceDN w:val="0"/>
              <w:spacing w:line="240" w:lineRule="auto"/>
              <w:ind w:left="0" w:right="0"/>
              <w:rPr>
                <w:rFonts w:hint="default" w:ascii="Times New Roman" w:hAnsi="Times New Roman" w:eastAsia="宋体"/>
                <w:color w:val="auto"/>
                <w:sz w:val="20"/>
                <w:szCs w:val="21"/>
                <w:lang w:val="en-US" w:eastAsia="zh-CN"/>
              </w:rPr>
            </w:pPr>
            <w:r>
              <w:rPr>
                <w:rFonts w:hint="eastAsia" w:ascii="Times New Roman" w:hAnsi="Times New Roman"/>
                <w:color w:val="auto"/>
                <w:sz w:val="20"/>
                <w:szCs w:val="21"/>
                <w:lang w:val="en-US" w:eastAsia="zh-CN"/>
              </w:rPr>
              <w:t>186</w:t>
            </w:r>
          </w:p>
        </w:tc>
      </w:tr>
    </w:tbl>
    <w:p>
      <w:pPr>
        <w:widowControl w:val="0"/>
        <w:rPr>
          <w:color w:val="auto"/>
        </w:rPr>
        <w:sectPr>
          <w:headerReference r:id="rId28" w:type="default"/>
          <w:pgSz w:w="16838" w:h="11905" w:orient="landscape"/>
          <w:pgMar w:top="1803" w:right="1440" w:bottom="1803" w:left="1440" w:header="851" w:footer="964" w:gutter="0"/>
          <w:pgBorders>
            <w:top w:val="none" w:sz="0" w:space="0"/>
            <w:left w:val="none" w:sz="0" w:space="0"/>
            <w:bottom w:val="none" w:sz="0" w:space="0"/>
            <w:right w:val="none" w:sz="0" w:space="0"/>
          </w:pgBorders>
          <w:pgNumType w:fmt="decimal"/>
          <w:cols w:space="0" w:num="1"/>
          <w:rtlGutter w:val="0"/>
          <w:docGrid w:linePitch="319" w:charSpace="0"/>
        </w:sectPr>
      </w:pPr>
    </w:p>
    <w:p>
      <w:pPr>
        <w:widowControl w:val="0"/>
        <w:spacing w:before="240" w:after="240" w:line="360" w:lineRule="auto"/>
        <w:jc w:val="center"/>
        <w:outlineLvl w:val="0"/>
        <w:rPr>
          <w:rFonts w:eastAsia="黑体"/>
          <w:color w:val="auto"/>
          <w:sz w:val="44"/>
          <w:szCs w:val="44"/>
        </w:rPr>
      </w:pPr>
      <w:bookmarkStart w:id="568" w:name="_Toc305859624"/>
      <w:bookmarkStart w:id="569" w:name="_Toc24284"/>
      <w:bookmarkStart w:id="570" w:name="_Toc343702975"/>
      <w:r>
        <w:rPr>
          <w:rFonts w:hint="eastAsia" w:eastAsia="黑体"/>
          <w:color w:val="auto"/>
          <w:sz w:val="44"/>
          <w:szCs w:val="44"/>
          <w:lang w:val="en-US" w:eastAsia="zh-CN"/>
        </w:rPr>
        <w:t>11环境影响评价</w:t>
      </w:r>
      <w:r>
        <w:rPr>
          <w:rFonts w:eastAsia="黑体"/>
          <w:color w:val="auto"/>
          <w:sz w:val="44"/>
          <w:szCs w:val="44"/>
        </w:rPr>
        <w:t>结论</w:t>
      </w:r>
      <w:bookmarkEnd w:id="568"/>
      <w:bookmarkEnd w:id="569"/>
      <w:bookmarkEnd w:id="570"/>
    </w:p>
    <w:p>
      <w:pPr>
        <w:pStyle w:val="8"/>
        <w:widowControl w:val="0"/>
        <w:spacing w:before="120" w:after="120" w:line="360" w:lineRule="auto"/>
        <w:rPr>
          <w:rFonts w:ascii="Times New Roman" w:hAnsi="Times New Roman"/>
          <w:b w:val="0"/>
          <w:color w:val="auto"/>
          <w:szCs w:val="32"/>
        </w:rPr>
      </w:pPr>
      <w:bookmarkStart w:id="571" w:name="_Toc343702976"/>
      <w:bookmarkStart w:id="572" w:name="_Toc305859625"/>
      <w:bookmarkStart w:id="573" w:name="_Toc5071"/>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.1基本情况</w:t>
      </w:r>
      <w:bookmarkEnd w:id="571"/>
      <w:bookmarkEnd w:id="572"/>
      <w:bookmarkEnd w:id="573"/>
    </w:p>
    <w:p>
      <w:pPr>
        <w:widowControl w:val="0"/>
        <w:spacing w:line="360" w:lineRule="auto"/>
        <w:ind w:firstLine="480" w:firstLineChars="200"/>
        <w:rPr>
          <w:rFonts w:hint="eastAsia" w:eastAsia="仿宋_GB2312"/>
          <w:color w:val="auto"/>
          <w:sz w:val="24"/>
          <w:lang w:eastAsia="zh-CN"/>
        </w:rPr>
      </w:pPr>
      <w:bookmarkStart w:id="574" w:name="_Toc343702977"/>
      <w:bookmarkStart w:id="575" w:name="_Toc305859626"/>
      <w:r>
        <w:rPr>
          <w:rFonts w:hint="eastAsia" w:ascii="Times New Roman" w:hAnsi="Times New Roman" w:eastAsia="仿宋_GB2312" w:cs="Times New Roman"/>
          <w:b w:val="0"/>
          <w:bCs/>
          <w:color w:val="auto"/>
          <w:sz w:val="24"/>
        </w:rPr>
        <w:t>拟建工程位于宜都市枝城镇洋溪村</w:t>
      </w:r>
      <w:r>
        <w:rPr>
          <w:rFonts w:hint="eastAsia" w:ascii="Times New Roman" w:hAnsi="Times New Roman" w:eastAsia="仿宋_GB2312" w:cs="Times New Roman"/>
          <w:b w:val="0"/>
          <w:bCs/>
          <w:color w:val="auto"/>
          <w:sz w:val="24"/>
          <w:lang w:val="en-US" w:eastAsia="zh-CN"/>
        </w:rPr>
        <w:t>附近</w:t>
      </w:r>
      <w:r>
        <w:rPr>
          <w:rFonts w:hint="eastAsia" w:ascii="Times New Roman" w:hAnsi="Times New Roman" w:eastAsia="仿宋_GB2312" w:cs="Times New Roman"/>
          <w:b w:val="0"/>
          <w:bCs/>
          <w:color w:val="auto"/>
          <w:sz w:val="24"/>
        </w:rPr>
        <w:t>，</w:t>
      </w:r>
      <w:r>
        <w:rPr>
          <w:rFonts w:hint="eastAsia" w:eastAsia="仿宋_GB2312"/>
          <w:color w:val="auto"/>
          <w:sz w:val="24"/>
          <w:lang w:eastAsia="zh-CN"/>
        </w:rPr>
        <w:t>位于</w:t>
      </w:r>
      <w:r>
        <w:rPr>
          <w:rFonts w:hint="eastAsia" w:eastAsia="仿宋_GB2312"/>
          <w:color w:val="auto"/>
          <w:sz w:val="24"/>
          <w:lang w:val="en-US" w:eastAsia="zh-CN"/>
        </w:rPr>
        <w:t>长江</w:t>
      </w:r>
      <w:r>
        <w:rPr>
          <w:rFonts w:hint="eastAsia" w:eastAsia="仿宋_GB2312"/>
          <w:color w:val="auto"/>
          <w:sz w:val="24"/>
          <w:lang w:eastAsia="zh-CN"/>
        </w:rPr>
        <w:t>右岸，</w:t>
      </w:r>
      <w:r>
        <w:rPr>
          <w:rFonts w:hint="eastAsia" w:ascii="Times New Roman" w:hAnsi="Times New Roman" w:eastAsia="仿宋_GB2312" w:cs="Times New Roman"/>
          <w:b w:val="0"/>
          <w:bCs/>
          <w:color w:val="auto"/>
          <w:sz w:val="24"/>
          <w:lang w:val="en-US" w:eastAsia="zh-CN"/>
        </w:rPr>
        <w:t>距离</w:t>
      </w:r>
      <w:r>
        <w:rPr>
          <w:rFonts w:hint="eastAsia" w:ascii="Times New Roman" w:hAnsi="Times New Roman" w:eastAsia="仿宋_GB2312" w:cs="Times New Roman"/>
          <w:b w:val="0"/>
          <w:bCs/>
          <w:color w:val="auto"/>
          <w:sz w:val="24"/>
        </w:rPr>
        <w:t>枝城长江大桥下游约</w:t>
      </w:r>
      <w:r>
        <w:rPr>
          <w:rFonts w:hint="eastAsia" w:ascii="Times New Roman" w:hAnsi="Times New Roman" w:eastAsia="仿宋_GB2312" w:cs="Times New Roman"/>
          <w:b w:val="0"/>
          <w:bCs/>
          <w:color w:val="auto"/>
          <w:sz w:val="24"/>
          <w:lang w:val="en-US" w:eastAsia="zh-CN"/>
        </w:rPr>
        <w:t>5</w:t>
      </w:r>
      <w:r>
        <w:rPr>
          <w:rFonts w:hint="eastAsia" w:ascii="Times New Roman" w:hAnsi="Times New Roman" w:eastAsia="仿宋_GB2312" w:cs="Times New Roman"/>
          <w:b w:val="0"/>
          <w:bCs/>
          <w:color w:val="auto"/>
          <w:sz w:val="24"/>
        </w:rPr>
        <w:t>km，</w:t>
      </w:r>
      <w:r>
        <w:rPr>
          <w:rFonts w:hint="eastAsia" w:ascii="Times New Roman" w:hAnsi="Times New Roman" w:eastAsia="仿宋_GB2312" w:cs="Times New Roman"/>
          <w:b w:val="0"/>
          <w:bCs/>
          <w:color w:val="auto"/>
          <w:sz w:val="24"/>
          <w:lang w:val="en-US" w:eastAsia="zh-CN"/>
        </w:rPr>
        <w:t>宜都城区上游约15km，</w:t>
      </w:r>
      <w:r>
        <w:rPr>
          <w:rFonts w:hint="eastAsia" w:ascii="Times New Roman" w:hAnsi="Times New Roman" w:eastAsia="仿宋_GB2312" w:cs="Times New Roman"/>
          <w:b w:val="0"/>
          <w:bCs/>
          <w:color w:val="auto"/>
          <w:sz w:val="24"/>
        </w:rPr>
        <w:t>码头中心位于长江中游航道里程约</w:t>
      </w:r>
      <w:r>
        <w:rPr>
          <w:rFonts w:hint="eastAsia" w:ascii="Times New Roman" w:hAnsi="Times New Roman" w:eastAsia="仿宋_GB2312" w:cs="Times New Roman"/>
          <w:b w:val="0"/>
          <w:bCs/>
          <w:color w:val="auto"/>
          <w:sz w:val="24"/>
          <w:lang w:val="en-US" w:eastAsia="zh-CN"/>
        </w:rPr>
        <w:t>562.9</w:t>
      </w:r>
      <w:r>
        <w:rPr>
          <w:rFonts w:hint="eastAsia" w:ascii="Times New Roman" w:hAnsi="Times New Roman" w:eastAsia="仿宋_GB2312" w:cs="Times New Roman"/>
          <w:b w:val="0"/>
          <w:bCs/>
          <w:color w:val="auto"/>
          <w:sz w:val="24"/>
        </w:rPr>
        <w:t>km处。</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eastAsia="zh-CN"/>
        </w:rPr>
        <w:t>现有工程布置</w:t>
      </w:r>
      <w:r>
        <w:rPr>
          <w:rFonts w:hint="eastAsia" w:eastAsia="仿宋_GB2312"/>
          <w:color w:val="auto"/>
          <w:sz w:val="24"/>
          <w:lang w:val="en-US" w:eastAsia="zh-CN"/>
        </w:rPr>
        <w:t>3000</w:t>
      </w:r>
      <w:r>
        <w:rPr>
          <w:rFonts w:hint="eastAsia" w:eastAsia="仿宋_GB2312"/>
          <w:color w:val="auto"/>
          <w:sz w:val="24"/>
          <w:lang w:eastAsia="zh-CN"/>
        </w:rPr>
        <w:t>吨级件杂货泊位</w:t>
      </w:r>
      <w:r>
        <w:rPr>
          <w:rFonts w:hint="eastAsia" w:eastAsia="仿宋_GB2312"/>
          <w:color w:val="auto"/>
          <w:sz w:val="24"/>
          <w:lang w:val="en-US" w:eastAsia="zh-CN"/>
        </w:rPr>
        <w:t>2</w:t>
      </w:r>
      <w:r>
        <w:rPr>
          <w:rFonts w:hint="eastAsia" w:eastAsia="仿宋_GB2312"/>
          <w:color w:val="auto"/>
          <w:sz w:val="24"/>
          <w:lang w:eastAsia="zh-CN"/>
        </w:rPr>
        <w:t>个，设计吞吐量</w:t>
      </w:r>
      <w:r>
        <w:rPr>
          <w:rFonts w:hint="eastAsia" w:eastAsia="仿宋_GB2312"/>
          <w:color w:val="auto"/>
          <w:sz w:val="24"/>
          <w:lang w:val="en-US" w:eastAsia="zh-CN"/>
        </w:rPr>
        <w:t>10</w:t>
      </w:r>
      <w:r>
        <w:rPr>
          <w:rFonts w:hint="eastAsia" w:eastAsia="仿宋_GB2312"/>
          <w:color w:val="auto"/>
          <w:sz w:val="24"/>
          <w:lang w:eastAsia="zh-CN"/>
        </w:rPr>
        <w:t>万吨/年，</w:t>
      </w:r>
      <w:r>
        <w:rPr>
          <w:rFonts w:hint="eastAsia" w:eastAsia="仿宋_GB2312"/>
          <w:color w:val="auto"/>
          <w:sz w:val="24"/>
          <w:lang w:val="en-US" w:eastAsia="zh-CN"/>
        </w:rPr>
        <w:t>1#泊位</w:t>
      </w:r>
      <w:r>
        <w:rPr>
          <w:rFonts w:hint="eastAsia" w:eastAsia="仿宋_GB2312"/>
          <w:color w:val="auto"/>
          <w:sz w:val="24"/>
          <w:lang w:eastAsia="zh-CN"/>
        </w:rPr>
        <w:t>采用斜坡码头结构，</w:t>
      </w:r>
      <w:r>
        <w:rPr>
          <w:rFonts w:hint="eastAsia" w:eastAsia="仿宋_GB2312"/>
          <w:color w:val="auto"/>
          <w:sz w:val="24"/>
          <w:lang w:val="en-US" w:eastAsia="zh-CN"/>
        </w:rPr>
        <w:t>2#泊位采用浮</w:t>
      </w:r>
      <w:r>
        <w:rPr>
          <w:rFonts w:hint="eastAsia" w:eastAsia="仿宋_GB2312"/>
          <w:color w:val="auto"/>
          <w:sz w:val="24"/>
          <w:lang w:eastAsia="zh-CN"/>
        </w:rPr>
        <w:t>码头结构</w:t>
      </w:r>
      <w:r>
        <w:rPr>
          <w:rFonts w:hint="eastAsia" w:eastAsia="仿宋_GB2312"/>
          <w:color w:val="auto"/>
          <w:sz w:val="24"/>
          <w:lang w:val="en-US" w:eastAsia="zh-CN"/>
        </w:rPr>
        <w:t>，</w:t>
      </w:r>
      <w:r>
        <w:rPr>
          <w:rFonts w:hint="eastAsia" w:eastAsia="仿宋_GB2312"/>
          <w:color w:val="auto"/>
          <w:sz w:val="24"/>
          <w:lang w:eastAsia="zh-CN"/>
        </w:rPr>
        <w:t>占用岸线长度</w:t>
      </w:r>
      <w:r>
        <w:rPr>
          <w:rFonts w:hint="eastAsia" w:eastAsia="仿宋_GB2312"/>
          <w:color w:val="auto"/>
          <w:sz w:val="24"/>
          <w:lang w:val="en-US" w:eastAsia="zh-CN"/>
        </w:rPr>
        <w:t>248</w:t>
      </w:r>
      <w:r>
        <w:rPr>
          <w:rFonts w:hint="eastAsia" w:eastAsia="仿宋_GB2312"/>
          <w:color w:val="auto"/>
          <w:sz w:val="24"/>
          <w:lang w:eastAsia="zh-CN"/>
        </w:rPr>
        <w:t>米，主要运输货种为</w:t>
      </w:r>
      <w:r>
        <w:rPr>
          <w:rFonts w:hint="eastAsia" w:eastAsia="仿宋_GB2312"/>
          <w:color w:val="auto"/>
          <w:sz w:val="24"/>
          <w:lang w:val="en-US" w:eastAsia="zh-CN"/>
        </w:rPr>
        <w:t>砂石散货</w:t>
      </w:r>
      <w:r>
        <w:rPr>
          <w:rFonts w:hint="eastAsia" w:eastAsia="仿宋_GB2312"/>
          <w:color w:val="auto"/>
          <w:sz w:val="24"/>
          <w:lang w:eastAsia="zh-CN"/>
        </w:rPr>
        <w:t>，设计通过能力</w:t>
      </w:r>
      <w:r>
        <w:rPr>
          <w:rFonts w:hint="eastAsia" w:eastAsia="仿宋_GB2312"/>
          <w:color w:val="auto"/>
          <w:sz w:val="24"/>
          <w:lang w:val="en-US" w:eastAsia="zh-CN"/>
        </w:rPr>
        <w:t>10</w:t>
      </w:r>
      <w:r>
        <w:rPr>
          <w:rFonts w:hint="eastAsia" w:eastAsia="仿宋_GB2312"/>
          <w:color w:val="auto"/>
          <w:sz w:val="24"/>
          <w:lang w:eastAsia="zh-CN"/>
        </w:rPr>
        <w:t>万吨/年。码头主体结构由钢质趸船、</w:t>
      </w:r>
      <w:r>
        <w:rPr>
          <w:rFonts w:hint="eastAsia" w:eastAsia="仿宋_GB2312"/>
          <w:color w:val="auto"/>
          <w:sz w:val="24"/>
          <w:lang w:val="en-US" w:eastAsia="zh-CN"/>
        </w:rPr>
        <w:tab/>
      </w:r>
      <w:r>
        <w:rPr>
          <w:rFonts w:hint="eastAsia" w:eastAsia="仿宋_GB2312"/>
          <w:color w:val="auto"/>
          <w:sz w:val="24"/>
          <w:lang w:val="en-US" w:eastAsia="zh-CN"/>
        </w:rPr>
        <w:t>起重机、1</w:t>
      </w:r>
      <w:r>
        <w:rPr>
          <w:rFonts w:hint="eastAsia" w:eastAsia="仿宋_GB2312"/>
          <w:color w:val="auto"/>
          <w:sz w:val="24"/>
          <w:lang w:eastAsia="zh-CN"/>
        </w:rPr>
        <w:t>组斜坡道、接卸平台等组成。</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技改</w:t>
      </w:r>
      <w:r>
        <w:rPr>
          <w:rFonts w:hint="eastAsia" w:eastAsia="仿宋_GB2312"/>
          <w:color w:val="auto"/>
          <w:sz w:val="24"/>
          <w:lang w:eastAsia="zh-CN"/>
        </w:rPr>
        <w:t>工程</w:t>
      </w:r>
      <w:r>
        <w:rPr>
          <w:rFonts w:hint="eastAsia" w:eastAsia="仿宋_GB2312"/>
          <w:color w:val="auto"/>
          <w:sz w:val="24"/>
          <w:lang w:val="en-US" w:eastAsia="zh-CN"/>
        </w:rPr>
        <w:t>为</w:t>
      </w:r>
      <w:r>
        <w:rPr>
          <w:rFonts w:hint="eastAsia" w:eastAsia="仿宋_GB2312"/>
          <w:color w:val="auto"/>
          <w:sz w:val="24"/>
          <w:lang w:eastAsia="zh-CN"/>
        </w:rPr>
        <w:t>布置</w:t>
      </w:r>
      <w:r>
        <w:rPr>
          <w:rFonts w:hint="eastAsia" w:eastAsia="仿宋_GB2312"/>
          <w:color w:val="auto"/>
          <w:sz w:val="24"/>
          <w:lang w:val="en-US" w:eastAsia="zh-CN"/>
        </w:rPr>
        <w:t>3</w:t>
      </w:r>
      <w:r>
        <w:rPr>
          <w:rFonts w:hint="eastAsia" w:eastAsia="仿宋_GB2312"/>
          <w:color w:val="auto"/>
          <w:sz w:val="24"/>
          <w:lang w:eastAsia="zh-CN"/>
        </w:rPr>
        <w:t>000吨级</w:t>
      </w:r>
      <w:r>
        <w:rPr>
          <w:rFonts w:hint="eastAsia" w:eastAsia="仿宋_GB2312"/>
          <w:color w:val="auto"/>
          <w:sz w:val="24"/>
          <w:lang w:val="en-US" w:eastAsia="zh-CN"/>
        </w:rPr>
        <w:t>散货</w:t>
      </w:r>
      <w:r>
        <w:rPr>
          <w:rFonts w:hint="eastAsia" w:eastAsia="仿宋_GB2312"/>
          <w:color w:val="auto"/>
          <w:sz w:val="24"/>
          <w:lang w:eastAsia="zh-CN"/>
        </w:rPr>
        <w:t>泊位</w:t>
      </w:r>
      <w:r>
        <w:rPr>
          <w:rFonts w:hint="eastAsia" w:eastAsia="仿宋_GB2312"/>
          <w:color w:val="auto"/>
          <w:sz w:val="24"/>
          <w:lang w:val="en-US" w:eastAsia="zh-CN"/>
        </w:rPr>
        <w:t>2</w:t>
      </w:r>
      <w:r>
        <w:rPr>
          <w:rFonts w:hint="eastAsia" w:eastAsia="仿宋_GB2312"/>
          <w:color w:val="auto"/>
          <w:sz w:val="24"/>
          <w:lang w:eastAsia="zh-CN"/>
        </w:rPr>
        <w:t>个。码头</w:t>
      </w:r>
      <w:r>
        <w:rPr>
          <w:rFonts w:hint="eastAsia" w:eastAsia="仿宋_GB2312"/>
          <w:color w:val="auto"/>
          <w:sz w:val="24"/>
          <w:lang w:val="en-US" w:eastAsia="zh-CN"/>
        </w:rPr>
        <w:t>结构为浮码头结构</w:t>
      </w:r>
      <w:r>
        <w:rPr>
          <w:rFonts w:hint="eastAsia" w:eastAsia="仿宋_GB2312"/>
          <w:color w:val="auto"/>
          <w:sz w:val="24"/>
          <w:lang w:eastAsia="zh-CN"/>
        </w:rPr>
        <w:t>形式，主体结构由三座靠船墩台和两座固定引桥组成。码头占用岸线长度</w:t>
      </w:r>
      <w:r>
        <w:rPr>
          <w:rFonts w:hint="eastAsia" w:eastAsia="仿宋_GB2312"/>
          <w:color w:val="auto"/>
          <w:sz w:val="24"/>
          <w:lang w:val="en-US" w:eastAsia="zh-CN"/>
        </w:rPr>
        <w:t>248</w:t>
      </w:r>
      <w:r>
        <w:rPr>
          <w:rFonts w:hint="eastAsia" w:eastAsia="仿宋_GB2312"/>
          <w:color w:val="auto"/>
          <w:sz w:val="24"/>
          <w:lang w:eastAsia="zh-CN"/>
        </w:rPr>
        <w:t>米，</w:t>
      </w:r>
      <w:r>
        <w:rPr>
          <w:rFonts w:hint="eastAsia" w:eastAsia="仿宋_GB2312"/>
          <w:color w:val="auto"/>
          <w:sz w:val="24"/>
          <w:lang w:val="en-US" w:eastAsia="zh-CN"/>
        </w:rPr>
        <w:t>不新增占用岸线，</w:t>
      </w:r>
      <w:r>
        <w:rPr>
          <w:rFonts w:hint="eastAsia" w:eastAsia="仿宋_GB2312"/>
          <w:color w:val="auto"/>
          <w:sz w:val="24"/>
          <w:lang w:eastAsia="zh-CN"/>
        </w:rPr>
        <w:t>主要运输货种为</w:t>
      </w:r>
      <w:r>
        <w:rPr>
          <w:rFonts w:hint="eastAsia" w:eastAsia="仿宋_GB2312"/>
          <w:color w:val="auto"/>
          <w:sz w:val="24"/>
          <w:lang w:val="en-US" w:eastAsia="zh-CN"/>
        </w:rPr>
        <w:t>砂石散货</w:t>
      </w:r>
      <w:r>
        <w:rPr>
          <w:rFonts w:hint="eastAsia" w:eastAsia="仿宋_GB2312"/>
          <w:color w:val="auto"/>
          <w:sz w:val="24"/>
          <w:lang w:eastAsia="zh-CN"/>
        </w:rPr>
        <w:t>，设计通过能力</w:t>
      </w:r>
      <w:r>
        <w:rPr>
          <w:rFonts w:hint="eastAsia" w:eastAsia="仿宋_GB2312"/>
          <w:color w:val="auto"/>
          <w:sz w:val="24"/>
          <w:lang w:val="en-US" w:eastAsia="zh-CN"/>
        </w:rPr>
        <w:t>400</w:t>
      </w:r>
      <w:r>
        <w:rPr>
          <w:rFonts w:hint="eastAsia" w:eastAsia="仿宋_GB2312"/>
          <w:color w:val="auto"/>
          <w:sz w:val="24"/>
          <w:lang w:eastAsia="zh-CN"/>
        </w:rPr>
        <w:t>万吨/年。</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本工程总投资约11708.16万元，施工期约12个月。</w:t>
      </w:r>
    </w:p>
    <w:p>
      <w:pPr>
        <w:pStyle w:val="8"/>
        <w:widowControl w:val="0"/>
        <w:spacing w:before="120" w:after="120" w:line="360" w:lineRule="auto"/>
        <w:rPr>
          <w:rFonts w:ascii="Times New Roman" w:hAnsi="Times New Roman"/>
          <w:b w:val="0"/>
          <w:color w:val="auto"/>
          <w:szCs w:val="32"/>
        </w:rPr>
      </w:pPr>
      <w:bookmarkStart w:id="576" w:name="_Toc1037"/>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.2项目建设环境可行性</w:t>
      </w:r>
      <w:bookmarkEnd w:id="574"/>
      <w:bookmarkEnd w:id="575"/>
      <w:bookmarkEnd w:id="576"/>
    </w:p>
    <w:p>
      <w:pPr>
        <w:pStyle w:val="9"/>
        <w:keepNext w:val="0"/>
        <w:keepLines w:val="0"/>
        <w:widowControl w:val="0"/>
        <w:spacing w:before="120" w:after="120" w:line="360" w:lineRule="auto"/>
        <w:rPr>
          <w:rFonts w:eastAsia="黑体"/>
          <w:b w:val="0"/>
          <w:color w:val="auto"/>
          <w:sz w:val="24"/>
        </w:rPr>
      </w:pPr>
      <w:bookmarkStart w:id="577" w:name="_Toc10692"/>
      <w:bookmarkStart w:id="578" w:name="_Toc343702978"/>
      <w:bookmarkStart w:id="579" w:name="_Toc305859627"/>
      <w:r>
        <w:rPr>
          <w:rFonts w:eastAsia="黑体"/>
          <w:b w:val="0"/>
          <w:color w:val="auto"/>
          <w:sz w:val="24"/>
        </w:rPr>
        <w:t>1</w:t>
      </w:r>
      <w:r>
        <w:rPr>
          <w:rFonts w:hint="eastAsia" w:eastAsia="黑体"/>
          <w:b w:val="0"/>
          <w:color w:val="auto"/>
          <w:sz w:val="24"/>
          <w:lang w:val="en-US" w:eastAsia="zh-CN"/>
        </w:rPr>
        <w:t>1</w:t>
      </w:r>
      <w:r>
        <w:rPr>
          <w:rFonts w:eastAsia="黑体"/>
          <w:b w:val="0"/>
          <w:color w:val="auto"/>
          <w:sz w:val="24"/>
        </w:rPr>
        <w:t>.2.1建设项目产业政策相符性</w:t>
      </w:r>
      <w:bookmarkEnd w:id="577"/>
      <w:bookmarkEnd w:id="578"/>
      <w:bookmarkEnd w:id="579"/>
    </w:p>
    <w:p>
      <w:pPr>
        <w:widowControl w:val="0"/>
        <w:spacing w:line="360" w:lineRule="auto"/>
        <w:ind w:firstLine="480" w:firstLineChars="200"/>
        <w:rPr>
          <w:rFonts w:eastAsia="仿宋_GB2312"/>
          <w:color w:val="auto"/>
          <w:sz w:val="24"/>
        </w:rPr>
      </w:pPr>
      <w:bookmarkStart w:id="580" w:name="_Toc225674276"/>
      <w:bookmarkStart w:id="581" w:name="_Toc225673926"/>
      <w:bookmarkStart w:id="582" w:name="_Toc231093456"/>
      <w:bookmarkStart w:id="583" w:name="_Toc227463639"/>
      <w:r>
        <w:rPr>
          <w:rFonts w:hint="eastAsia" w:eastAsia="仿宋_GB2312"/>
          <w:color w:val="auto"/>
          <w:kern w:val="0"/>
          <w:sz w:val="24"/>
          <w:szCs w:val="24"/>
        </w:rPr>
        <w:t>本工程建设符合《国家发展改革委关于修改&lt;产业结构调整指导目录（2011年本）&gt;有关条款的决定》（2013年2月16日发布）国家发改委第一类鼓励类中“二十五、水运”分类第1条“深水泊位（沿海万吨级，内河千吨级）工程建设”，工程的建设符合国家产业政策</w:t>
      </w:r>
      <w:r>
        <w:rPr>
          <w:rFonts w:eastAsia="仿宋_GB2312"/>
          <w:color w:val="auto"/>
          <w:kern w:val="0"/>
          <w:sz w:val="24"/>
          <w:szCs w:val="24"/>
        </w:rPr>
        <w:t>。</w:t>
      </w:r>
    </w:p>
    <w:bookmarkEnd w:id="580"/>
    <w:bookmarkEnd w:id="581"/>
    <w:bookmarkEnd w:id="582"/>
    <w:bookmarkEnd w:id="583"/>
    <w:p>
      <w:pPr>
        <w:pStyle w:val="9"/>
        <w:widowControl w:val="0"/>
        <w:spacing w:before="120" w:after="120" w:line="360" w:lineRule="auto"/>
        <w:rPr>
          <w:rFonts w:eastAsia="黑体"/>
          <w:b w:val="0"/>
          <w:color w:val="auto"/>
          <w:sz w:val="24"/>
        </w:rPr>
      </w:pPr>
      <w:bookmarkStart w:id="584" w:name="_Toc343702979"/>
      <w:bookmarkStart w:id="585" w:name="_Toc10811"/>
      <w:bookmarkStart w:id="586" w:name="_Toc305859628"/>
      <w:r>
        <w:rPr>
          <w:rFonts w:eastAsia="黑体"/>
          <w:b w:val="0"/>
          <w:color w:val="auto"/>
          <w:sz w:val="24"/>
        </w:rPr>
        <w:t>1</w:t>
      </w:r>
      <w:r>
        <w:rPr>
          <w:rFonts w:hint="eastAsia" w:eastAsia="黑体"/>
          <w:b w:val="0"/>
          <w:color w:val="auto"/>
          <w:sz w:val="24"/>
          <w:lang w:val="en-US" w:eastAsia="zh-CN"/>
        </w:rPr>
        <w:t>1</w:t>
      </w:r>
      <w:r>
        <w:rPr>
          <w:rFonts w:eastAsia="黑体"/>
          <w:b w:val="0"/>
          <w:color w:val="auto"/>
          <w:sz w:val="24"/>
        </w:rPr>
        <w:t>.2.2建设地点规划相符性</w:t>
      </w:r>
      <w:bookmarkEnd w:id="584"/>
      <w:bookmarkEnd w:id="585"/>
      <w:bookmarkEnd w:id="586"/>
    </w:p>
    <w:p>
      <w:pPr>
        <w:widowControl w:val="0"/>
        <w:spacing w:line="360" w:lineRule="auto"/>
        <w:ind w:firstLine="480" w:firstLineChars="200"/>
        <w:rPr>
          <w:rFonts w:eastAsia="仿宋_GB2312"/>
          <w:bCs/>
          <w:color w:val="auto"/>
          <w:kern w:val="0"/>
          <w:sz w:val="24"/>
          <w:szCs w:val="24"/>
        </w:rPr>
      </w:pPr>
      <w:bookmarkStart w:id="587" w:name="_Toc305859629"/>
      <w:r>
        <w:rPr>
          <w:rFonts w:hint="eastAsia" w:eastAsia="仿宋_GB2312"/>
          <w:color w:val="auto"/>
          <w:kern w:val="0"/>
          <w:sz w:val="24"/>
          <w:szCs w:val="24"/>
        </w:rPr>
        <w:t>本工程符合《宜昌港总体规划修订（2018-2035年）》、《宜都市城乡总体规划（2012-2030年）》、《长江岸线保护和开发利用总体规划（2015.9）》等相关规划，基本落实了《宜昌港总体规划修订（2018-2035年）》环境影响报告书及其审查意见中的相关总体要求</w:t>
      </w:r>
      <w:r>
        <w:rPr>
          <w:rFonts w:eastAsia="仿宋_GB2312"/>
          <w:color w:val="auto"/>
          <w:sz w:val="24"/>
        </w:rPr>
        <w:t>。</w:t>
      </w:r>
    </w:p>
    <w:p>
      <w:pPr>
        <w:pStyle w:val="8"/>
        <w:widowControl w:val="0"/>
        <w:spacing w:before="120" w:after="120" w:line="360" w:lineRule="auto"/>
        <w:rPr>
          <w:rFonts w:ascii="Times New Roman" w:hAnsi="Times New Roman"/>
          <w:b w:val="0"/>
          <w:color w:val="auto"/>
          <w:szCs w:val="32"/>
        </w:rPr>
      </w:pPr>
      <w:bookmarkStart w:id="588" w:name="_Toc343702980"/>
      <w:bookmarkStart w:id="589" w:name="_Toc5419"/>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.3环境质量现状</w:t>
      </w:r>
      <w:bookmarkEnd w:id="587"/>
      <w:bookmarkEnd w:id="588"/>
      <w:bookmarkEnd w:id="589"/>
    </w:p>
    <w:p>
      <w:pPr>
        <w:pStyle w:val="9"/>
        <w:widowControl w:val="0"/>
        <w:spacing w:before="120" w:after="120" w:line="360" w:lineRule="auto"/>
        <w:rPr>
          <w:rFonts w:hint="eastAsia" w:eastAsia="黑体"/>
          <w:b w:val="0"/>
          <w:color w:val="auto"/>
          <w:sz w:val="24"/>
          <w:lang w:val="en-US" w:eastAsia="zh-CN"/>
        </w:rPr>
      </w:pPr>
      <w:bookmarkStart w:id="590" w:name="_Toc3023"/>
      <w:r>
        <w:rPr>
          <w:rFonts w:hint="eastAsia" w:eastAsia="黑体"/>
          <w:b w:val="0"/>
          <w:color w:val="auto"/>
          <w:sz w:val="24"/>
          <w:lang w:val="en-US" w:eastAsia="zh-CN"/>
        </w:rPr>
        <w:t>11.3.1大气环境质量现状</w:t>
      </w:r>
      <w:bookmarkEnd w:id="590"/>
    </w:p>
    <w:p>
      <w:pPr>
        <w:widowControl w:val="0"/>
        <w:spacing w:line="360" w:lineRule="auto"/>
        <w:ind w:firstLine="480" w:firstLineChars="200"/>
        <w:jc w:val="both"/>
        <w:rPr>
          <w:rFonts w:eastAsia="仿宋_GB2312"/>
          <w:color w:val="auto"/>
          <w:sz w:val="24"/>
        </w:rPr>
      </w:pPr>
      <w:r>
        <w:rPr>
          <w:rFonts w:hint="eastAsia" w:eastAsia="仿宋_GB2312"/>
          <w:color w:val="auto"/>
          <w:sz w:val="24"/>
        </w:rPr>
        <w:t>2</w:t>
      </w:r>
      <w:r>
        <w:rPr>
          <w:rFonts w:eastAsia="仿宋_GB2312"/>
          <w:color w:val="auto"/>
          <w:sz w:val="24"/>
        </w:rPr>
        <w:t>20</w:t>
      </w:r>
      <w:r>
        <w:rPr>
          <w:rFonts w:hint="eastAsia" w:eastAsia="仿宋_GB2312"/>
          <w:color w:val="auto"/>
          <w:sz w:val="24"/>
          <w:lang w:val="en-US" w:eastAsia="zh-CN"/>
        </w:rPr>
        <w:t>22</w:t>
      </w:r>
      <w:r>
        <w:rPr>
          <w:rFonts w:eastAsia="仿宋_GB2312"/>
          <w:color w:val="auto"/>
          <w:sz w:val="24"/>
        </w:rPr>
        <w:t>年长期监测数据表明</w:t>
      </w:r>
      <w:r>
        <w:rPr>
          <w:rFonts w:hint="eastAsia" w:eastAsia="仿宋_GB2312"/>
          <w:color w:val="auto"/>
          <w:sz w:val="24"/>
        </w:rPr>
        <w:t>：</w:t>
      </w:r>
      <w:r>
        <w:rPr>
          <w:rFonts w:eastAsia="仿宋_GB2312"/>
          <w:color w:val="auto"/>
          <w:sz w:val="24"/>
        </w:rPr>
        <w:t>PM</w:t>
      </w:r>
      <w:r>
        <w:rPr>
          <w:rFonts w:eastAsia="仿宋_GB2312"/>
          <w:color w:val="auto"/>
          <w:sz w:val="24"/>
          <w:vertAlign w:val="subscript"/>
        </w:rPr>
        <w:t>10</w:t>
      </w:r>
      <w:r>
        <w:rPr>
          <w:rFonts w:eastAsia="仿宋_GB2312"/>
          <w:color w:val="auto"/>
          <w:sz w:val="24"/>
        </w:rPr>
        <w:t>年均浓度、SO</w:t>
      </w:r>
      <w:r>
        <w:rPr>
          <w:rFonts w:eastAsia="仿宋_GB2312"/>
          <w:color w:val="auto"/>
          <w:sz w:val="24"/>
          <w:vertAlign w:val="subscript"/>
        </w:rPr>
        <w:t>2</w:t>
      </w:r>
      <w:r>
        <w:rPr>
          <w:rFonts w:eastAsia="仿宋_GB2312"/>
          <w:color w:val="auto"/>
          <w:sz w:val="24"/>
        </w:rPr>
        <w:t>年均浓度、NO</w:t>
      </w:r>
      <w:r>
        <w:rPr>
          <w:rFonts w:eastAsia="仿宋_GB2312"/>
          <w:color w:val="auto"/>
          <w:sz w:val="24"/>
          <w:vertAlign w:val="subscript"/>
        </w:rPr>
        <w:t>2</w:t>
      </w:r>
      <w:r>
        <w:rPr>
          <w:rFonts w:eastAsia="仿宋_GB2312"/>
          <w:color w:val="auto"/>
          <w:sz w:val="24"/>
        </w:rPr>
        <w:t>年均浓度、CO 24小时平均第95百分位数浓度、O</w:t>
      </w:r>
      <w:r>
        <w:rPr>
          <w:rFonts w:eastAsia="仿宋_GB2312"/>
          <w:color w:val="auto"/>
          <w:sz w:val="24"/>
          <w:vertAlign w:val="subscript"/>
        </w:rPr>
        <w:t>3</w:t>
      </w:r>
      <w:r>
        <w:rPr>
          <w:rFonts w:eastAsia="仿宋_GB2312"/>
          <w:color w:val="auto"/>
          <w:sz w:val="24"/>
        </w:rPr>
        <w:t>日最大8小时平均值第90百分位浓度能满足《环境空气质量标准》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w:t>
      </w:r>
      <w:r>
        <w:rPr>
          <w:rFonts w:hint="eastAsia" w:eastAsia="仿宋_GB2312"/>
          <w:color w:val="auto"/>
          <w:sz w:val="24"/>
          <w:lang w:eastAsia="zh-CN"/>
        </w:rPr>
        <w:t>；</w:t>
      </w:r>
      <w:r>
        <w:rPr>
          <w:rFonts w:eastAsia="仿宋_GB2312"/>
          <w:color w:val="auto"/>
          <w:sz w:val="24"/>
        </w:rPr>
        <w:t>PM</w:t>
      </w:r>
      <w:r>
        <w:rPr>
          <w:rFonts w:eastAsia="仿宋_GB2312"/>
          <w:color w:val="auto"/>
          <w:sz w:val="24"/>
          <w:vertAlign w:val="subscript"/>
        </w:rPr>
        <w:t>2.5</w:t>
      </w:r>
      <w:r>
        <w:rPr>
          <w:rFonts w:eastAsia="仿宋_GB2312"/>
          <w:color w:val="auto"/>
          <w:sz w:val="24"/>
        </w:rPr>
        <w:t>年均浓度</w:t>
      </w:r>
      <w:r>
        <w:rPr>
          <w:rFonts w:hint="eastAsia" w:eastAsia="仿宋_GB2312"/>
          <w:color w:val="auto"/>
          <w:sz w:val="24"/>
          <w:lang w:val="en-US" w:eastAsia="zh-CN"/>
        </w:rPr>
        <w:t>不</w:t>
      </w:r>
      <w:r>
        <w:rPr>
          <w:rFonts w:eastAsia="仿宋_GB2312"/>
          <w:color w:val="auto"/>
          <w:sz w:val="24"/>
        </w:rPr>
        <w:t>能满足《环境空气质量标准》</w:t>
      </w:r>
      <w:r>
        <w:rPr>
          <w:rFonts w:hint="eastAsia" w:eastAsia="仿宋_GB2312"/>
          <w:color w:val="auto"/>
          <w:sz w:val="24"/>
        </w:rPr>
        <w:t>（</w:t>
      </w:r>
      <w:r>
        <w:rPr>
          <w:rFonts w:eastAsia="仿宋_GB2312"/>
          <w:color w:val="auto"/>
          <w:sz w:val="24"/>
        </w:rPr>
        <w:t>GB3095-2012</w:t>
      </w:r>
      <w:r>
        <w:rPr>
          <w:rFonts w:hint="eastAsia" w:eastAsia="仿宋_GB2312"/>
          <w:color w:val="auto"/>
          <w:sz w:val="24"/>
        </w:rPr>
        <w:t>）</w:t>
      </w:r>
      <w:r>
        <w:rPr>
          <w:rFonts w:eastAsia="仿宋_GB2312"/>
          <w:color w:val="auto"/>
          <w:sz w:val="24"/>
        </w:rPr>
        <w:t>二级标准。经判定，项目所在区为环境空气质量</w:t>
      </w:r>
      <w:r>
        <w:rPr>
          <w:rFonts w:hint="eastAsia" w:eastAsia="仿宋_GB2312"/>
          <w:color w:val="auto"/>
          <w:sz w:val="24"/>
          <w:lang w:val="en-US" w:eastAsia="zh-CN"/>
        </w:rPr>
        <w:t>不</w:t>
      </w:r>
      <w:r>
        <w:rPr>
          <w:rFonts w:eastAsia="仿宋_GB2312"/>
          <w:color w:val="auto"/>
          <w:sz w:val="24"/>
        </w:rPr>
        <w:t>达标区域。</w:t>
      </w:r>
    </w:p>
    <w:p>
      <w:pPr>
        <w:widowControl w:val="0"/>
        <w:spacing w:line="360" w:lineRule="auto"/>
        <w:ind w:firstLine="482" w:firstLineChars="200"/>
        <w:jc w:val="both"/>
        <w:rPr>
          <w:rFonts w:hint="eastAsia" w:eastAsia="仿宋_GB2312"/>
          <w:b/>
          <w:bCs/>
          <w:color w:val="auto"/>
          <w:sz w:val="24"/>
        </w:rPr>
      </w:pPr>
      <w:r>
        <w:rPr>
          <w:rFonts w:hint="eastAsia" w:eastAsia="仿宋_GB2312"/>
          <w:b/>
          <w:bCs/>
          <w:color w:val="auto"/>
          <w:sz w:val="24"/>
        </w:rPr>
        <w:t>区域大气环境综合治理规划：</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为改善宜昌市环境空气质量，宜昌市人民代表大会常务委员会根据《中华人民共和国环境保护法》、《中华人民共和国大气污染防治法》、《湖北省大气污染防治条例》等法律法规，结合本市实际制定了《宜昌市扬尘污染防治条例》，通过制定9条防治措施有效防治扬尘污染，改善大气环境质量，主要城区环境空气质量重污染天气大幅减少。2023年3月10日，宜昌市生态环境保护委员会办公室发布了《宜昌市2023年大气污染防治及应对气候变化工作实施方案》，深入推进面源污染治理，制定空气质量改善目标，各县市环境空气持续改善</w:t>
      </w:r>
      <w:r>
        <w:rPr>
          <w:rFonts w:eastAsia="仿宋_GB2312"/>
          <w:color w:val="auto"/>
          <w:sz w:val="24"/>
        </w:rPr>
        <w:t>。</w:t>
      </w:r>
    </w:p>
    <w:p>
      <w:pPr>
        <w:widowControl w:val="0"/>
        <w:spacing w:line="360" w:lineRule="auto"/>
        <w:ind w:firstLine="480" w:firstLineChars="200"/>
        <w:rPr>
          <w:rFonts w:eastAsia="仿宋_GB2312"/>
          <w:color w:val="auto"/>
          <w:sz w:val="24"/>
        </w:rPr>
      </w:pPr>
      <w:r>
        <w:rPr>
          <w:rFonts w:eastAsia="仿宋_GB2312"/>
          <w:color w:val="auto"/>
          <w:sz w:val="24"/>
        </w:rPr>
        <w:t>补充监测数据表明环境空气中</w:t>
      </w:r>
      <w:r>
        <w:rPr>
          <w:rFonts w:hint="eastAsia" w:eastAsia="仿宋_GB2312"/>
          <w:color w:val="auto"/>
          <w:sz w:val="24"/>
          <w:lang w:val="en-US" w:eastAsia="zh-CN"/>
        </w:rPr>
        <w:t>TSP日均值</w:t>
      </w:r>
      <w:r>
        <w:rPr>
          <w:rFonts w:hint="eastAsia" w:eastAsia="仿宋_GB2312"/>
          <w:color w:val="auto"/>
          <w:sz w:val="24"/>
        </w:rPr>
        <w:t>均值</w:t>
      </w:r>
      <w:r>
        <w:rPr>
          <w:rFonts w:eastAsia="仿宋_GB2312"/>
          <w:color w:val="auto"/>
          <w:sz w:val="24"/>
        </w:rPr>
        <w:t>满足</w:t>
      </w:r>
      <w:r>
        <w:rPr>
          <w:rFonts w:hint="eastAsia" w:eastAsia="仿宋_GB2312"/>
          <w:color w:val="auto"/>
          <w:sz w:val="24"/>
        </w:rPr>
        <w:t>《环境空气质量标准》（GB3095-2012）二级标准</w:t>
      </w:r>
      <w:r>
        <w:rPr>
          <w:rFonts w:eastAsia="仿宋_GB2312"/>
          <w:color w:val="auto"/>
          <w:sz w:val="24"/>
        </w:rPr>
        <w:t>。</w:t>
      </w:r>
    </w:p>
    <w:p>
      <w:pPr>
        <w:pStyle w:val="9"/>
        <w:widowControl w:val="0"/>
        <w:spacing w:before="120" w:after="120" w:line="360" w:lineRule="auto"/>
        <w:rPr>
          <w:rFonts w:hint="eastAsia" w:eastAsia="黑体"/>
          <w:b w:val="0"/>
          <w:color w:val="auto"/>
          <w:sz w:val="24"/>
          <w:lang w:val="en-US" w:eastAsia="zh-CN"/>
        </w:rPr>
      </w:pPr>
      <w:bookmarkStart w:id="591" w:name="_Toc19513"/>
      <w:r>
        <w:rPr>
          <w:rFonts w:hint="eastAsia" w:eastAsia="黑体"/>
          <w:b w:val="0"/>
          <w:color w:val="auto"/>
          <w:sz w:val="24"/>
          <w:lang w:val="en-US" w:eastAsia="zh-CN"/>
        </w:rPr>
        <w:t>11.3.2地表水环境质量现状</w:t>
      </w:r>
      <w:bookmarkEnd w:id="591"/>
    </w:p>
    <w:p>
      <w:pPr>
        <w:widowControl w:val="0"/>
        <w:spacing w:line="360" w:lineRule="auto"/>
        <w:ind w:firstLine="480" w:firstLineChars="200"/>
        <w:jc w:val="left"/>
        <w:rPr>
          <w:rFonts w:hint="eastAsia" w:eastAsia="仿宋_GB2312"/>
          <w:color w:val="auto"/>
          <w:sz w:val="24"/>
        </w:rPr>
      </w:pPr>
      <w:r>
        <w:rPr>
          <w:rFonts w:hint="eastAsia" w:eastAsia="仿宋_GB2312"/>
          <w:color w:val="auto"/>
          <w:sz w:val="24"/>
        </w:rPr>
        <w:t>根据地表水环境质量现状评价结果，长江评价江段各监测断面各污染物监测值均满足《地表水环境质量标准》</w:t>
      </w:r>
      <w:r>
        <w:rPr>
          <w:rFonts w:hint="eastAsia" w:eastAsia="仿宋_GB2312"/>
          <w:color w:val="auto"/>
          <w:sz w:val="24"/>
          <w:lang w:eastAsia="zh-CN"/>
        </w:rPr>
        <w:t>（</w:t>
      </w:r>
      <w:r>
        <w:rPr>
          <w:rFonts w:hint="eastAsia" w:eastAsia="仿宋_GB2312"/>
          <w:color w:val="auto"/>
          <w:sz w:val="24"/>
        </w:rPr>
        <w:t>GB3838-2002</w:t>
      </w:r>
      <w:r>
        <w:rPr>
          <w:rFonts w:hint="eastAsia" w:eastAsia="仿宋_GB2312"/>
          <w:color w:val="auto"/>
          <w:sz w:val="24"/>
          <w:lang w:eastAsia="zh-CN"/>
        </w:rPr>
        <w:t>）</w:t>
      </w:r>
      <w:r>
        <w:rPr>
          <w:rFonts w:hint="eastAsia" w:eastAsia="仿宋_GB2312"/>
          <w:color w:val="auto"/>
          <w:sz w:val="24"/>
        </w:rPr>
        <w:t>中Ⅱ类标准。</w:t>
      </w:r>
    </w:p>
    <w:p>
      <w:pPr>
        <w:pStyle w:val="9"/>
        <w:widowControl w:val="0"/>
        <w:spacing w:before="120" w:after="120" w:line="360" w:lineRule="auto"/>
        <w:rPr>
          <w:rFonts w:hint="eastAsia" w:eastAsia="黑体"/>
          <w:b w:val="0"/>
          <w:color w:val="auto"/>
          <w:sz w:val="24"/>
          <w:lang w:val="en-US" w:eastAsia="zh-CN"/>
        </w:rPr>
      </w:pPr>
      <w:bookmarkStart w:id="592" w:name="_Toc32229"/>
      <w:r>
        <w:rPr>
          <w:rFonts w:hint="eastAsia" w:eastAsia="黑体"/>
          <w:b w:val="0"/>
          <w:color w:val="auto"/>
          <w:sz w:val="24"/>
          <w:lang w:val="en-US" w:eastAsia="zh-CN"/>
        </w:rPr>
        <w:t>11.3.3声环境质量现状</w:t>
      </w:r>
      <w:bookmarkEnd w:id="592"/>
    </w:p>
    <w:p>
      <w:pPr>
        <w:widowControl w:val="0"/>
        <w:spacing w:line="360" w:lineRule="auto"/>
        <w:ind w:firstLine="480" w:firstLineChars="200"/>
        <w:jc w:val="both"/>
        <w:rPr>
          <w:rFonts w:eastAsia="仿宋_GB2312"/>
          <w:color w:val="auto"/>
          <w:sz w:val="24"/>
        </w:rPr>
      </w:pPr>
      <w:bookmarkStart w:id="593" w:name="_Toc305859630"/>
      <w:r>
        <w:rPr>
          <w:rFonts w:hint="eastAsia" w:eastAsia="仿宋_GB2312"/>
          <w:color w:val="auto"/>
          <w:sz w:val="24"/>
        </w:rPr>
        <w:t>根据声环境现状监测结果，</w:t>
      </w:r>
      <w:r>
        <w:rPr>
          <w:rFonts w:hint="eastAsia" w:eastAsia="仿宋_GB2312"/>
          <w:color w:val="auto"/>
          <w:sz w:val="24"/>
          <w:lang w:val="en-US" w:eastAsia="zh-CN"/>
        </w:rPr>
        <w:t>港界四周噪声</w:t>
      </w:r>
      <w:r>
        <w:rPr>
          <w:rFonts w:eastAsia="仿宋_GB2312"/>
          <w:color w:val="auto"/>
          <w:sz w:val="24"/>
        </w:rPr>
        <w:t>监测值均满足《声环境质量标准》（GB3096-2008）</w:t>
      </w:r>
      <w:r>
        <w:rPr>
          <w:rFonts w:hint="eastAsia" w:eastAsia="仿宋_GB2312"/>
          <w:color w:val="auto"/>
          <w:sz w:val="24"/>
          <w:lang w:val="en-US" w:eastAsia="zh-CN"/>
        </w:rPr>
        <w:t>中的3类</w:t>
      </w:r>
      <w:r>
        <w:rPr>
          <w:rFonts w:eastAsia="仿宋_GB2312"/>
          <w:color w:val="auto"/>
          <w:sz w:val="24"/>
        </w:rPr>
        <w:t>标准</w:t>
      </w:r>
      <w:r>
        <w:rPr>
          <w:rFonts w:hint="eastAsia" w:eastAsia="仿宋_GB2312"/>
          <w:color w:val="auto"/>
          <w:sz w:val="24"/>
          <w:lang w:eastAsia="zh-CN"/>
        </w:rPr>
        <w:t>；</w:t>
      </w:r>
      <w:r>
        <w:rPr>
          <w:rFonts w:hint="eastAsia" w:eastAsia="仿宋_GB2312"/>
          <w:color w:val="auto"/>
          <w:sz w:val="24"/>
        </w:rPr>
        <w:t>洋溪村临路第一排、后排</w:t>
      </w:r>
      <w:r>
        <w:rPr>
          <w:rFonts w:hint="eastAsia" w:eastAsia="仿宋_GB2312"/>
          <w:color w:val="auto"/>
          <w:sz w:val="24"/>
          <w:lang w:val="en-US" w:eastAsia="zh-CN"/>
        </w:rPr>
        <w:t>噪声</w:t>
      </w:r>
      <w:r>
        <w:rPr>
          <w:rFonts w:eastAsia="仿宋_GB2312"/>
          <w:color w:val="auto"/>
          <w:sz w:val="24"/>
        </w:rPr>
        <w:t>监测值均满足《声环境质量标准》（GB3096-2008）</w:t>
      </w:r>
      <w:r>
        <w:rPr>
          <w:rFonts w:hint="eastAsia" w:eastAsia="仿宋_GB2312"/>
          <w:color w:val="auto"/>
          <w:sz w:val="24"/>
          <w:lang w:val="en-US" w:eastAsia="zh-CN"/>
        </w:rPr>
        <w:t>2</w:t>
      </w:r>
      <w:r>
        <w:rPr>
          <w:rFonts w:eastAsia="仿宋_GB2312"/>
          <w:color w:val="auto"/>
          <w:sz w:val="24"/>
        </w:rPr>
        <w:t>类</w:t>
      </w:r>
      <w:r>
        <w:rPr>
          <w:rFonts w:hint="eastAsia" w:eastAsia="仿宋_GB2312"/>
          <w:color w:val="auto"/>
          <w:sz w:val="24"/>
          <w:lang w:val="en-US" w:eastAsia="zh-CN"/>
        </w:rPr>
        <w:t>及4类</w:t>
      </w:r>
      <w:r>
        <w:rPr>
          <w:rFonts w:eastAsia="仿宋_GB2312"/>
          <w:color w:val="auto"/>
          <w:sz w:val="24"/>
        </w:rPr>
        <w:t>标准。</w:t>
      </w:r>
    </w:p>
    <w:p>
      <w:pPr>
        <w:pStyle w:val="9"/>
        <w:widowControl w:val="0"/>
        <w:spacing w:before="120" w:after="120" w:line="360" w:lineRule="auto"/>
        <w:rPr>
          <w:rFonts w:hint="eastAsia" w:eastAsia="黑体"/>
          <w:b w:val="0"/>
          <w:color w:val="auto"/>
          <w:sz w:val="24"/>
          <w:lang w:val="en-US" w:eastAsia="zh-CN"/>
        </w:rPr>
      </w:pPr>
      <w:bookmarkStart w:id="594" w:name="_Toc12371"/>
      <w:bookmarkStart w:id="595" w:name="_Toc343702981"/>
      <w:r>
        <w:rPr>
          <w:rFonts w:hint="eastAsia" w:eastAsia="黑体"/>
          <w:b w:val="0"/>
          <w:color w:val="auto"/>
          <w:sz w:val="24"/>
          <w:lang w:val="en-US" w:eastAsia="zh-CN"/>
        </w:rPr>
        <w:t>11.3.4生态环境境质量现状</w:t>
      </w:r>
      <w:bookmarkEnd w:id="594"/>
    </w:p>
    <w:p>
      <w:pPr>
        <w:widowControl w:val="0"/>
        <w:spacing w:line="360" w:lineRule="auto"/>
        <w:ind w:firstLine="480" w:firstLineChars="200"/>
        <w:rPr>
          <w:rFonts w:hint="eastAsia" w:eastAsia="仿宋_GB2312"/>
          <w:color w:val="auto"/>
          <w:sz w:val="24"/>
        </w:rPr>
      </w:pPr>
      <w:r>
        <w:rPr>
          <w:rFonts w:hint="eastAsia" w:eastAsia="仿宋_GB2312"/>
          <w:color w:val="auto"/>
          <w:sz w:val="24"/>
        </w:rPr>
        <w:t>本次调查共采集到浮游植物7门108种。其中绿藻门最多43种，占总数39.81%；其次为硅藻门28种，占总数25.93%；蓝藻门25种，占总数的23.15%；金藻门最少，仅1种，占总数的1.85%。</w:t>
      </w:r>
    </w:p>
    <w:p>
      <w:pPr>
        <w:widowControl w:val="0"/>
        <w:spacing w:line="360" w:lineRule="auto"/>
        <w:ind w:firstLine="480" w:firstLineChars="200"/>
        <w:rPr>
          <w:rFonts w:hint="eastAsia" w:eastAsia="仿宋_GB2312"/>
          <w:color w:val="auto"/>
          <w:sz w:val="24"/>
          <w:lang w:eastAsia="zh-CN"/>
        </w:rPr>
      </w:pPr>
      <w:r>
        <w:rPr>
          <w:rFonts w:hint="eastAsia" w:ascii="Times New Roman" w:hAnsi="Times New Roman" w:eastAsia="仿宋_GB2312" w:cs="Times New Roman"/>
          <w:color w:val="auto"/>
          <w:sz w:val="24"/>
          <w:lang w:eastAsia="zh-CN"/>
        </w:rPr>
        <w:t>共采集到浮游动物65种，其中轮虫种类数最多为22种，占总数的33.84%；其次原生动物和枝角类16种，占总数的24.62%；桡足类各11种，占总数的16.92%</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共采集到底栖动物11种。其中环节动物2种，占总数的15.38%；软体动物7种，占总数的53.85%；节肢动物4种，占总数的30.77%。</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rPr>
        <w:t>工程江段不涉及</w:t>
      </w:r>
      <w:r>
        <w:rPr>
          <w:rFonts w:hint="eastAsia" w:eastAsia="仿宋_GB2312"/>
          <w:color w:val="auto"/>
          <w:sz w:val="24"/>
          <w:lang w:val="en-US" w:eastAsia="zh-CN"/>
        </w:rPr>
        <w:t>鱼类产卵场，距本工程最近的漂流性卵产卵场在松滋河口，位于工程下游约7.7km处；工程下游8.5km为松滋河口粘沉性产卵场；工程所处江段是中华鲟、胭脂鱼、四大家鱼等鱼类的洄游通道。</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根据鄂环函[2018]3号文，拟建工程位于湖北宜昌中华鲟自然保护区</w:t>
      </w:r>
      <w:r>
        <w:rPr>
          <w:rFonts w:hint="eastAsia" w:eastAsia="仿宋_GB2312"/>
          <w:b/>
          <w:bCs/>
          <w:color w:val="auto"/>
          <w:sz w:val="24"/>
        </w:rPr>
        <w:t>外围保护地带</w:t>
      </w:r>
      <w:r>
        <w:rPr>
          <w:rFonts w:hint="eastAsia" w:eastAsia="仿宋_GB2312"/>
          <w:color w:val="auto"/>
          <w:sz w:val="24"/>
        </w:rPr>
        <w:t>内，距离上游实验区边界约</w:t>
      </w:r>
      <w:r>
        <w:rPr>
          <w:rFonts w:hint="eastAsia" w:eastAsia="仿宋_GB2312"/>
          <w:color w:val="auto"/>
          <w:sz w:val="24"/>
          <w:lang w:val="en-US" w:eastAsia="zh-CN"/>
        </w:rPr>
        <w:t>6.25</w:t>
      </w:r>
      <w:r>
        <w:rPr>
          <w:rFonts w:hint="eastAsia" w:eastAsia="仿宋_GB2312"/>
          <w:color w:val="auto"/>
          <w:sz w:val="24"/>
        </w:rPr>
        <w:t>km。</w:t>
      </w:r>
    </w:p>
    <w:p>
      <w:pPr>
        <w:widowControl w:val="0"/>
        <w:spacing w:line="360" w:lineRule="auto"/>
        <w:ind w:firstLine="480" w:firstLineChars="200"/>
        <w:rPr>
          <w:rFonts w:eastAsia="仿宋_GB2312"/>
          <w:color w:val="auto"/>
          <w:sz w:val="24"/>
        </w:rPr>
      </w:pPr>
      <w:r>
        <w:rPr>
          <w:rFonts w:hint="eastAsia" w:eastAsia="仿宋_GB2312"/>
          <w:color w:val="auto"/>
          <w:sz w:val="24"/>
        </w:rPr>
        <w:t>项目所在地区为丘陵地带，地带性植被为落叶阔叶—常绿阔叶和针叶混交林，受人类干扰影响，评价范围植被没有原始植被，没有国家重点保护野生植物和古树分布。项目评价范围受人为干扰严重，野生动物种类稀少，多为与人类关系密切两栖、没有国家和湖北省重点保护野生动物分布</w:t>
      </w:r>
      <w:r>
        <w:rPr>
          <w:rFonts w:eastAsia="仿宋_GB2312"/>
          <w:color w:val="auto"/>
          <w:sz w:val="24"/>
        </w:rPr>
        <w:t>。</w:t>
      </w:r>
    </w:p>
    <w:p>
      <w:pPr>
        <w:pStyle w:val="8"/>
        <w:widowControl w:val="0"/>
        <w:spacing w:before="120" w:after="120" w:line="360" w:lineRule="auto"/>
        <w:rPr>
          <w:rFonts w:hint="default" w:ascii="Times New Roman" w:hAnsi="Times New Roman"/>
          <w:b w:val="0"/>
          <w:color w:val="auto"/>
          <w:szCs w:val="32"/>
          <w:lang w:val="en-US" w:eastAsia="zh-CN"/>
        </w:rPr>
      </w:pPr>
      <w:bookmarkStart w:id="596" w:name="_Toc8741"/>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.4</w:t>
      </w:r>
      <w:bookmarkEnd w:id="593"/>
      <w:bookmarkEnd w:id="595"/>
      <w:r>
        <w:rPr>
          <w:rFonts w:hint="eastAsia" w:ascii="Times New Roman" w:hAnsi="Times New Roman"/>
          <w:b w:val="0"/>
          <w:color w:val="auto"/>
          <w:szCs w:val="32"/>
          <w:lang w:val="en-US" w:eastAsia="zh-CN"/>
        </w:rPr>
        <w:t>环境影响评价结论及环保措施</w:t>
      </w:r>
      <w:bookmarkEnd w:id="596"/>
    </w:p>
    <w:p>
      <w:pPr>
        <w:pStyle w:val="9"/>
        <w:widowControl w:val="0"/>
        <w:spacing w:before="120" w:after="120" w:line="360" w:lineRule="auto"/>
        <w:rPr>
          <w:rFonts w:hint="default" w:eastAsia="黑体"/>
          <w:b w:val="0"/>
          <w:color w:val="auto"/>
          <w:sz w:val="24"/>
          <w:lang w:val="en-US" w:eastAsia="zh-CN"/>
        </w:rPr>
      </w:pPr>
      <w:bookmarkStart w:id="597" w:name="_Toc21259"/>
      <w:r>
        <w:rPr>
          <w:rFonts w:hint="eastAsia" w:eastAsia="黑体"/>
          <w:b w:val="0"/>
          <w:color w:val="auto"/>
          <w:sz w:val="24"/>
          <w:lang w:val="en-US" w:eastAsia="zh-CN"/>
        </w:rPr>
        <w:t>11.4.1地表水环境影响评价及环保措施</w:t>
      </w:r>
      <w:bookmarkEnd w:id="597"/>
    </w:p>
    <w:p>
      <w:pPr>
        <w:widowControl w:val="0"/>
        <w:spacing w:line="360" w:lineRule="auto"/>
        <w:ind w:firstLine="480" w:firstLineChars="200"/>
        <w:rPr>
          <w:rFonts w:hint="default" w:eastAsia="仿宋_GB2312"/>
          <w:color w:val="auto"/>
          <w:sz w:val="24"/>
          <w:lang w:val="en-US" w:eastAsia="zh-CN"/>
        </w:rPr>
      </w:pPr>
      <w:r>
        <w:rPr>
          <w:rFonts w:eastAsia="仿宋_GB2312"/>
          <w:color w:val="auto"/>
          <w:sz w:val="24"/>
        </w:rPr>
        <w:t>（1）</w:t>
      </w:r>
      <w:r>
        <w:rPr>
          <w:rFonts w:hint="eastAsia" w:eastAsia="仿宋_GB2312"/>
          <w:color w:val="auto"/>
          <w:sz w:val="24"/>
          <w:lang w:val="en-US" w:eastAsia="zh-CN"/>
        </w:rPr>
        <w:t>水文情势影响分析</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工程建设后，在防洪设计流量下，工程最大阻水面积占比为0.09%，对长江行洪影响较小；最大壅水高度为0.05cm，水位降低最大值为0.15cm，影响范围仅限于码头附近局部区域内；0.01cm 的影响范围距工程1#泊位上游29.6m，距2#泊位下游104.9m；在平滩流量下，工程最大阻水面积占比为0.09%，对长江行洪影响较小；最大壅水高度为0.035cm，水位降低最大值为0.015cm，影响范围仅限于码头附近局部区域内；0.01cm 的影响范围距工程1#泊位上游45.5m，距2#泊位下游49.7m。因此该码头工程对水位影响较小。</w:t>
      </w:r>
    </w:p>
    <w:p>
      <w:pPr>
        <w:widowControl w:val="0"/>
        <w:spacing w:line="360" w:lineRule="auto"/>
        <w:ind w:firstLine="480" w:firstLineChars="200"/>
        <w:jc w:val="both"/>
        <w:rPr>
          <w:rFonts w:hint="eastAsia" w:eastAsia="仿宋_GB2312"/>
          <w:color w:val="auto"/>
          <w:sz w:val="24"/>
          <w:szCs w:val="24"/>
          <w:lang w:eastAsia="zh-CN"/>
        </w:rPr>
      </w:pPr>
      <w:r>
        <w:rPr>
          <w:rFonts w:hint="eastAsia" w:eastAsia="仿宋_GB2312"/>
          <w:color w:val="auto"/>
          <w:sz w:val="24"/>
          <w:szCs w:val="24"/>
          <w:lang w:eastAsia="zh-CN"/>
        </w:rPr>
        <w:t>工程建设后，在防洪设计流量下，流速增加最大值为0.001m/s，增幅大于0.0001m/s的范围工程外侧102.3m内；流速减小最大值为0.02m/s，降幅大于0.0001m/s范围位于工程1#泊位上游84.8m及其2#泊位下游736.3m内；在平滩流量下，流速增加最大值为0.0005m/s，增幅大于0.0001m/s的范围工程外侧620.9m内；流速减小最大值为0.0043m/s，降幅大于0.0001m/s范围位于工程1#泊位上游268.2m及其2#泊位下游763.1m内。变化幅度及影响范围有限，故拟建码头工程对长江防洪、行洪安全不会产生影响。</w:t>
      </w:r>
    </w:p>
    <w:p>
      <w:pPr>
        <w:pStyle w:val="288"/>
        <w:widowControl w:val="0"/>
        <w:spacing w:line="360" w:lineRule="auto"/>
        <w:rPr>
          <w:rFonts w:eastAsia="仿宋_GB2312"/>
          <w:color w:val="auto"/>
        </w:rPr>
      </w:pPr>
      <w:r>
        <w:rPr>
          <w:rFonts w:hint="eastAsia" w:eastAsia="仿宋_GB2312"/>
          <w:color w:val="auto"/>
          <w:sz w:val="24"/>
          <w:szCs w:val="24"/>
          <w:lang w:eastAsia="zh-CN"/>
        </w:rPr>
        <w:t>本工程所处河段河床组成主要为沙质河床，洪水期床沙普遍运动，洪水期时码头附近基本可以达到冲淤平衡，枯水期主航道呈现小幅度刷深，码头近岸略微有点淤积，基本不会对码头附近河势产生较大影响。</w:t>
      </w:r>
    </w:p>
    <w:p>
      <w:pPr>
        <w:widowControl w:val="0"/>
        <w:spacing w:line="360" w:lineRule="auto"/>
        <w:ind w:firstLine="480" w:firstLineChars="200"/>
        <w:rPr>
          <w:rFonts w:hint="default" w:eastAsia="仿宋_GB2312"/>
          <w:color w:val="auto"/>
          <w:sz w:val="24"/>
          <w:lang w:val="en-US" w:eastAsia="zh-CN"/>
        </w:rPr>
      </w:pPr>
      <w:r>
        <w:rPr>
          <w:rFonts w:eastAsia="仿宋_GB2312"/>
          <w:color w:val="auto"/>
          <w:sz w:val="24"/>
        </w:rPr>
        <w:t>（2）</w:t>
      </w:r>
      <w:r>
        <w:rPr>
          <w:rFonts w:hint="eastAsia" w:eastAsia="仿宋_GB2312"/>
          <w:color w:val="auto"/>
          <w:sz w:val="24"/>
          <w:lang w:val="en-US" w:eastAsia="zh-CN"/>
        </w:rPr>
        <w:t>水环境影响保护目标</w:t>
      </w:r>
    </w:p>
    <w:p>
      <w:pPr>
        <w:pStyle w:val="336"/>
        <w:widowControl w:val="0"/>
        <w:ind w:firstLine="480" w:firstLineChars="200"/>
        <w:jc w:val="both"/>
        <w:rPr>
          <w:rFonts w:eastAsia="仿宋_GB2312"/>
          <w:color w:val="auto"/>
        </w:rPr>
      </w:pPr>
      <w:r>
        <w:rPr>
          <w:rFonts w:hint="eastAsia" w:eastAsia="仿宋_GB2312"/>
          <w:color w:val="auto"/>
        </w:rPr>
        <w:t>下游最近的饮用水取水口为</w:t>
      </w:r>
      <w:r>
        <w:rPr>
          <w:rFonts w:hint="eastAsia" w:eastAsia="仿宋_GB2312"/>
          <w:color w:val="auto"/>
          <w:lang w:val="en-US" w:eastAsia="zh-CN"/>
        </w:rPr>
        <w:t>同岸的</w:t>
      </w:r>
      <w:r>
        <w:rPr>
          <w:rFonts w:hint="eastAsia" w:eastAsia="仿宋_GB2312"/>
          <w:color w:val="auto"/>
        </w:rPr>
        <w:t>枝江市百里洲水厂新建取水口（在建），位于工程下游约</w:t>
      </w:r>
      <w:r>
        <w:rPr>
          <w:rFonts w:hint="eastAsia" w:eastAsia="仿宋_GB2312"/>
          <w:color w:val="auto"/>
          <w:lang w:val="en-US" w:eastAsia="zh-CN"/>
        </w:rPr>
        <w:t>22</w:t>
      </w:r>
      <w:r>
        <w:rPr>
          <w:rFonts w:hint="eastAsia" w:eastAsia="仿宋_GB2312"/>
          <w:color w:val="auto"/>
        </w:rPr>
        <w:t>km。工程不涉及其饮用水源保护区，基本不会对下游取水口造成影响</w:t>
      </w:r>
      <w:r>
        <w:rPr>
          <w:rFonts w:eastAsia="仿宋_GB2312"/>
          <w:color w:val="auto"/>
        </w:rPr>
        <w:t>。</w:t>
      </w:r>
    </w:p>
    <w:p>
      <w:pPr>
        <w:widowControl w:val="0"/>
        <w:spacing w:line="360" w:lineRule="auto"/>
        <w:ind w:firstLine="480" w:firstLineChars="200"/>
        <w:rPr>
          <w:rFonts w:eastAsia="仿宋_GB2312"/>
          <w:color w:val="auto"/>
          <w:sz w:val="24"/>
        </w:rPr>
      </w:pPr>
      <w:r>
        <w:rPr>
          <w:rFonts w:eastAsia="仿宋_GB2312"/>
          <w:color w:val="auto"/>
          <w:sz w:val="24"/>
        </w:rPr>
        <w:t>（3）</w:t>
      </w:r>
      <w:r>
        <w:rPr>
          <w:rFonts w:hint="eastAsia" w:eastAsia="仿宋_GB2312"/>
          <w:color w:val="auto"/>
          <w:sz w:val="24"/>
        </w:rPr>
        <w:t>施工期水环境影响评价及环保措施</w:t>
      </w:r>
    </w:p>
    <w:p>
      <w:pPr>
        <w:pStyle w:val="1025"/>
        <w:widowControl w:val="0"/>
        <w:adjustRightInd/>
        <w:spacing w:line="360" w:lineRule="auto"/>
        <w:ind w:firstLine="480" w:firstLineChars="200"/>
        <w:jc w:val="both"/>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本码头采用浮码头结构形式，钢管桩拟在固定预制厂预制，打桩施工造成悬浮物浓度增加值超过10mg/L的范围为沿水流方向长约100～250m，垂直岸边宽约50～100m。</w:t>
      </w:r>
    </w:p>
    <w:p>
      <w:pPr>
        <w:pStyle w:val="1025"/>
        <w:widowControl w:val="0"/>
        <w:adjustRightInd/>
        <w:spacing w:line="360" w:lineRule="auto"/>
        <w:ind w:firstLine="480" w:firstLineChars="200"/>
        <w:jc w:val="both"/>
        <w:rPr>
          <w:rFonts w:hint="eastAsia" w:ascii="Times New Roman" w:hAnsi="Times New Roman" w:eastAsia="仿宋_GB2312" w:cs="Times New Roman"/>
          <w:color w:val="auto"/>
          <w:kern w:val="2"/>
          <w:sz w:val="24"/>
          <w:lang w:val="en-US" w:eastAsia="zh-CN" w:bidi="ar-SA"/>
        </w:rPr>
      </w:pPr>
      <w:r>
        <w:rPr>
          <w:rFonts w:hint="eastAsia" w:ascii="Times New Roman" w:hAnsi="Times New Roman" w:eastAsia="仿宋_GB2312" w:cs="Times New Roman"/>
          <w:color w:val="auto"/>
          <w:kern w:val="2"/>
          <w:sz w:val="24"/>
          <w:lang w:val="en-US" w:eastAsia="zh-CN" w:bidi="ar-SA"/>
        </w:rPr>
        <w:t>桩基钻孔作业时，在泥浆池的四周采取土堤围护，并设置遮盖装置，且在溢流口加铺土工布的措施后，对周围水体影响不明显。</w:t>
      </w:r>
    </w:p>
    <w:p>
      <w:pPr>
        <w:pStyle w:val="1025"/>
        <w:widowControl w:val="0"/>
        <w:adjustRightInd/>
        <w:spacing w:line="360" w:lineRule="auto"/>
        <w:ind w:firstLine="482" w:firstLineChars="200"/>
        <w:jc w:val="both"/>
        <w:rPr>
          <w:rFonts w:hint="eastAsia" w:eastAsia="仿宋_GB2312"/>
          <w:color w:val="auto"/>
        </w:rPr>
      </w:pPr>
      <w:r>
        <w:rPr>
          <w:rFonts w:hint="eastAsia" w:ascii="Times New Roman" w:hAnsi="Times New Roman" w:eastAsia="仿宋_GB2312" w:cs="Times New Roman"/>
          <w:b/>
          <w:bCs/>
          <w:color w:val="auto"/>
          <w:kern w:val="2"/>
          <w:sz w:val="24"/>
          <w:lang w:val="en-US" w:eastAsia="zh-CN" w:bidi="ar-SA"/>
        </w:rPr>
        <w:t>拟采取的措施：</w:t>
      </w:r>
      <w:r>
        <w:rPr>
          <w:rFonts w:hint="eastAsia" w:ascii="Times New Roman" w:hAnsi="Times New Roman" w:eastAsia="仿宋_GB2312" w:cs="Times New Roman"/>
          <w:color w:val="auto"/>
          <w:kern w:val="2"/>
          <w:sz w:val="24"/>
          <w:lang w:val="en-US" w:eastAsia="zh-CN" w:bidi="ar-SA"/>
        </w:rPr>
        <w:t>施工单位在制定施工计划、安排进度时，应充分注意到附近</w:t>
      </w:r>
      <w:r>
        <w:rPr>
          <w:rFonts w:hint="eastAsia" w:eastAsia="仿宋_GB2312"/>
          <w:color w:val="auto"/>
        </w:rPr>
        <w:t>水域的环境保护问题，合理安排施工船舶的数量、位置，减少对底泥的扰动强度和范围。在钻孔灌注桩桩基钻孔施工作业时，需要在岸边滩地设置泥浆池，钻孔作业完成时，泥浆池内的泥浆经自然风干后用于后方陆域形成，施工产生的钻渣经沉淀、固化后运至岸上回填。施工现场应设置临时化粪池和临时垃圾收集站，生活污水经化粪池</w:t>
      </w:r>
      <w:r>
        <w:rPr>
          <w:rFonts w:hint="eastAsia" w:eastAsia="仿宋_GB2312"/>
          <w:color w:val="auto"/>
          <w:lang w:val="en-US" w:eastAsia="zh-CN"/>
        </w:rPr>
        <w:t>处理</w:t>
      </w:r>
      <w:r>
        <w:rPr>
          <w:rFonts w:hint="eastAsia" w:eastAsia="仿宋_GB2312"/>
          <w:color w:val="auto"/>
        </w:rPr>
        <w:t>后用作</w:t>
      </w:r>
      <w:r>
        <w:rPr>
          <w:rFonts w:hint="eastAsia" w:eastAsia="仿宋_GB2312"/>
          <w:color w:val="auto"/>
          <w:lang w:val="en-US" w:eastAsia="zh-CN"/>
        </w:rPr>
        <w:t>农肥</w:t>
      </w:r>
      <w:r>
        <w:rPr>
          <w:rFonts w:hint="eastAsia" w:eastAsia="仿宋_GB2312"/>
          <w:color w:val="auto"/>
        </w:rPr>
        <w:t>，垃圾收集后运至宜都市城市垃圾场处理。施工现场应建立临时排水体系，废水经过沉淀处理后用于施工现场洒水。</w:t>
      </w:r>
    </w:p>
    <w:p>
      <w:pPr>
        <w:pStyle w:val="1025"/>
        <w:widowControl w:val="0"/>
        <w:adjustRightInd/>
        <w:spacing w:line="360" w:lineRule="auto"/>
        <w:ind w:firstLine="480" w:firstLineChars="200"/>
        <w:jc w:val="both"/>
        <w:rPr>
          <w:rFonts w:eastAsia="仿宋_GB2312"/>
          <w:color w:val="auto"/>
        </w:rPr>
      </w:pPr>
      <w:r>
        <w:rPr>
          <w:rFonts w:hint="eastAsia" w:eastAsia="仿宋_GB2312"/>
          <w:color w:val="auto"/>
        </w:rPr>
        <w:t>打桩船等施工船舶的船舶舱底油污水发生量为518.4t，船舶生活污水发生量为614.4t。施工船舶舱底油污水、生活污水利用船载收集装置收集，由海事部门认可的接收船接收处理。</w:t>
      </w:r>
    </w:p>
    <w:p>
      <w:pPr>
        <w:widowControl w:val="0"/>
        <w:spacing w:line="360" w:lineRule="auto"/>
        <w:ind w:firstLine="480" w:firstLineChars="200"/>
        <w:rPr>
          <w:rFonts w:eastAsia="仿宋_GB2312"/>
          <w:color w:val="auto"/>
          <w:sz w:val="24"/>
        </w:rPr>
      </w:pPr>
      <w:r>
        <w:rPr>
          <w:rFonts w:eastAsia="仿宋_GB2312"/>
          <w:color w:val="auto"/>
          <w:sz w:val="24"/>
        </w:rPr>
        <w:t>（</w:t>
      </w:r>
      <w:r>
        <w:rPr>
          <w:rFonts w:hint="eastAsia" w:eastAsia="仿宋_GB2312"/>
          <w:color w:val="auto"/>
          <w:sz w:val="24"/>
          <w:lang w:val="en-US" w:eastAsia="zh-CN"/>
        </w:rPr>
        <w:t>4</w:t>
      </w:r>
      <w:r>
        <w:rPr>
          <w:rFonts w:eastAsia="仿宋_GB2312"/>
          <w:color w:val="auto"/>
          <w:sz w:val="24"/>
        </w:rPr>
        <w:t>）</w:t>
      </w:r>
      <w:r>
        <w:rPr>
          <w:rFonts w:hint="eastAsia" w:eastAsia="仿宋_GB2312"/>
          <w:color w:val="auto"/>
          <w:sz w:val="24"/>
          <w:lang w:val="en-US" w:eastAsia="zh-CN"/>
        </w:rPr>
        <w:t>运营期</w:t>
      </w:r>
      <w:r>
        <w:rPr>
          <w:rFonts w:hint="eastAsia" w:eastAsia="仿宋_GB2312"/>
          <w:color w:val="auto"/>
          <w:sz w:val="24"/>
        </w:rPr>
        <w:t>水环境影响评价及环保措施</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lang w:eastAsia="zh-CN"/>
        </w:rPr>
        <w:t>运营期</w:t>
      </w:r>
      <w:r>
        <w:rPr>
          <w:rFonts w:hint="eastAsia" w:eastAsia="仿宋_GB2312"/>
          <w:color w:val="auto"/>
          <w:lang w:val="en-US" w:eastAsia="zh-CN"/>
        </w:rPr>
        <w:t>码头面</w:t>
      </w:r>
      <w:r>
        <w:rPr>
          <w:rFonts w:hint="eastAsia" w:eastAsia="仿宋_GB2312"/>
          <w:color w:val="auto"/>
        </w:rPr>
        <w:t>产生的废</w:t>
      </w:r>
      <w:r>
        <w:rPr>
          <w:rFonts w:hint="eastAsia" w:eastAsia="仿宋_GB2312"/>
          <w:color w:val="auto"/>
          <w:lang w:eastAsia="zh-CN"/>
        </w:rPr>
        <w:t>（</w:t>
      </w:r>
      <w:r>
        <w:rPr>
          <w:rFonts w:hint="eastAsia" w:eastAsia="仿宋_GB2312"/>
          <w:color w:val="auto"/>
        </w:rPr>
        <w:t>污</w:t>
      </w:r>
      <w:r>
        <w:rPr>
          <w:rFonts w:hint="eastAsia" w:eastAsia="仿宋_GB2312"/>
          <w:color w:val="auto"/>
          <w:lang w:eastAsia="zh-CN"/>
        </w:rPr>
        <w:t>）</w:t>
      </w:r>
      <w:r>
        <w:rPr>
          <w:rFonts w:hint="eastAsia" w:eastAsia="仿宋_GB2312"/>
          <w:color w:val="auto"/>
        </w:rPr>
        <w:t>水主要</w:t>
      </w:r>
      <w:r>
        <w:rPr>
          <w:rFonts w:hint="eastAsia" w:eastAsia="仿宋_GB2312"/>
          <w:color w:val="auto"/>
          <w:lang w:val="en-US" w:eastAsia="zh-CN"/>
        </w:rPr>
        <w:t>为</w:t>
      </w:r>
      <w:r>
        <w:rPr>
          <w:rFonts w:hint="eastAsia" w:eastAsia="仿宋_GB2312"/>
          <w:color w:val="auto"/>
        </w:rPr>
        <w:t>：生活污水、码头面冲洗水</w:t>
      </w:r>
      <w:r>
        <w:rPr>
          <w:rFonts w:hint="eastAsia" w:eastAsia="仿宋_GB2312"/>
          <w:color w:val="auto"/>
          <w:lang w:val="en-US" w:eastAsia="zh-CN"/>
        </w:rPr>
        <w:t>及</w:t>
      </w:r>
      <w:r>
        <w:rPr>
          <w:rFonts w:hint="eastAsia" w:eastAsia="仿宋_GB2312"/>
          <w:color w:val="auto"/>
        </w:rPr>
        <w:t>码头</w:t>
      </w:r>
      <w:r>
        <w:rPr>
          <w:rFonts w:hint="eastAsia" w:eastAsia="仿宋_GB2312"/>
          <w:color w:val="auto"/>
          <w:lang w:val="en-US" w:eastAsia="zh-CN"/>
        </w:rPr>
        <w:t>面</w:t>
      </w:r>
      <w:r>
        <w:rPr>
          <w:rFonts w:hint="eastAsia" w:eastAsia="仿宋_GB2312"/>
          <w:color w:val="auto"/>
        </w:rPr>
        <w:t>初期雨水；到港船舶产生的污水主要有：船舶生活污水和船舶机舱含油污水。</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sz w:val="24"/>
          <w:lang w:val="en-US" w:eastAsia="zh-CN"/>
        </w:rPr>
        <w:t>码头人员生活污水通过</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趸船收集坎收集后进入初期雨水收集柜储存，委托海事部门认定的船舶污染物接收船定期统一处理；</w:t>
      </w: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r>
        <w:rPr>
          <w:rFonts w:hint="eastAsia" w:eastAsia="仿宋_GB2312"/>
          <w:color w:val="auto"/>
          <w:sz w:val="24"/>
          <w:lang w:val="en-US" w:eastAsia="zh-CN"/>
        </w:rPr>
        <w:t>本项目不接收</w:t>
      </w:r>
      <w:r>
        <w:rPr>
          <w:rFonts w:hint="eastAsia" w:eastAsia="仿宋_GB2312"/>
          <w:color w:val="auto"/>
        </w:rPr>
        <w:t>。</w:t>
      </w:r>
    </w:p>
    <w:p>
      <w:pPr>
        <w:pStyle w:val="1025"/>
        <w:widowControl w:val="0"/>
        <w:spacing w:line="360" w:lineRule="auto"/>
        <w:ind w:firstLine="480" w:firstLineChars="200"/>
        <w:jc w:val="both"/>
        <w:rPr>
          <w:rFonts w:hint="eastAsia" w:eastAsia="仿宋_GB2312"/>
          <w:color w:val="auto"/>
        </w:rPr>
      </w:pPr>
      <w:r>
        <w:rPr>
          <w:rFonts w:hint="eastAsia" w:eastAsia="仿宋_GB2312"/>
          <w:color w:val="auto"/>
        </w:rPr>
        <w:t>本工程</w:t>
      </w:r>
      <w:r>
        <w:rPr>
          <w:rFonts w:hint="eastAsia" w:eastAsia="仿宋_GB2312"/>
          <w:color w:val="auto"/>
          <w:lang w:eastAsia="zh-CN"/>
        </w:rPr>
        <w:t>运营期</w:t>
      </w:r>
      <w:r>
        <w:rPr>
          <w:rFonts w:hint="eastAsia" w:eastAsia="仿宋_GB2312"/>
          <w:color w:val="auto"/>
        </w:rPr>
        <w:t>污水不外排，不会对长江水环境造成影响。</w:t>
      </w:r>
    </w:p>
    <w:p>
      <w:pPr>
        <w:pStyle w:val="9"/>
        <w:widowControl w:val="0"/>
        <w:spacing w:before="120" w:after="120" w:line="360" w:lineRule="auto"/>
        <w:rPr>
          <w:rFonts w:hint="default" w:eastAsia="黑体"/>
          <w:b w:val="0"/>
          <w:color w:val="auto"/>
          <w:sz w:val="24"/>
          <w:lang w:val="en-US" w:eastAsia="zh-CN"/>
        </w:rPr>
      </w:pPr>
      <w:bookmarkStart w:id="598" w:name="_Toc2108"/>
      <w:r>
        <w:rPr>
          <w:rFonts w:hint="eastAsia" w:eastAsia="黑体"/>
          <w:b w:val="0"/>
          <w:color w:val="auto"/>
          <w:sz w:val="24"/>
          <w:lang w:val="en-US" w:eastAsia="zh-CN"/>
        </w:rPr>
        <w:t>11.4.2大气环境影响评价及环保措施</w:t>
      </w:r>
      <w:bookmarkEnd w:id="598"/>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rPr>
        <w:t>大气环境影响保护目标</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大气保护目标主要为以码头为中心，半径为2.5km的圆形区域内的5个居民点及2个学校。</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施工期环境空气影响预测及环保措施</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施工期</w:t>
      </w:r>
      <w:r>
        <w:rPr>
          <w:rFonts w:hint="eastAsia" w:eastAsia="仿宋_GB2312"/>
          <w:color w:val="auto"/>
          <w:sz w:val="24"/>
          <w:lang w:val="en-US" w:eastAsia="zh-CN"/>
        </w:rPr>
        <w:t>现有趸船拆除、</w:t>
      </w:r>
      <w:r>
        <w:rPr>
          <w:rFonts w:hint="eastAsia" w:eastAsia="仿宋_GB2312"/>
          <w:color w:val="auto"/>
          <w:sz w:val="24"/>
        </w:rPr>
        <w:t>混货物堆存、卡车卸料、场地扬尘、施工机械废气等环节将对局部环境空气造成的影响是暂时的，随着施工的结束，污染也随之结束。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拟采取的措施：在采取场地洒水等环保措施的前提下，施工堆土场应远离敏感点，同时用无纺布苫盖，施工车辆运输砂土、水泥、碎石等易起尘的物料要加盖蓬布、控制车速，防止物料洒落和产生扬尘；卸车时应尽量减小落差，减少扬尘；进出施工现场车辆将导致地面扬尘，对陆域施工现场及运输道路应定期清扫洒水，保持车辆出入口路面清洁、润湿，以减少施工车辆引起的地面扬尘污染，并尽量要求运输车辆减缓行车速度。</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施工区域平整后应尽快硬化或播撒草籽进行绿化。</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）运营期</w:t>
      </w:r>
      <w:r>
        <w:rPr>
          <w:rFonts w:hint="eastAsia" w:eastAsia="仿宋_GB2312"/>
          <w:color w:val="auto"/>
          <w:sz w:val="24"/>
        </w:rPr>
        <w:t>环境空气影响预测及环保措施</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运营期</w:t>
      </w:r>
      <w:r>
        <w:rPr>
          <w:rFonts w:hint="eastAsia" w:eastAsia="仿宋_GB2312"/>
          <w:color w:val="auto"/>
          <w:sz w:val="24"/>
        </w:rPr>
        <w:t>的粉尘主要来自</w:t>
      </w:r>
      <w:r>
        <w:rPr>
          <w:rFonts w:hint="eastAsia" w:eastAsia="仿宋_GB2312"/>
          <w:color w:val="auto"/>
          <w:sz w:val="24"/>
          <w:lang w:val="en-US" w:eastAsia="zh-CN"/>
        </w:rPr>
        <w:t>砂石料</w:t>
      </w:r>
      <w:r>
        <w:rPr>
          <w:rFonts w:hint="eastAsia" w:eastAsia="仿宋_GB2312"/>
          <w:color w:val="auto"/>
          <w:sz w:val="24"/>
        </w:rPr>
        <w:t>装卸和转运过程产生的粉尘。采用估算模式计算结果，在正常运行年平均风速下，装卸和转运产生的粉尘对周围敏感目标影响较小，贡献值均可以达到《环境空气质量标准》(GB3095-2012)二级标准要求。在采取</w:t>
      </w:r>
      <w:r>
        <w:rPr>
          <w:rFonts w:hint="eastAsia" w:eastAsia="仿宋_GB2312"/>
          <w:color w:val="auto"/>
          <w:sz w:val="24"/>
          <w:lang w:val="en-US" w:eastAsia="zh-CN"/>
        </w:rPr>
        <w:t>密闭引桥</w:t>
      </w:r>
      <w:r>
        <w:rPr>
          <w:rFonts w:hint="eastAsia" w:eastAsia="仿宋_GB2312"/>
          <w:color w:val="auto"/>
          <w:sz w:val="24"/>
        </w:rPr>
        <w:t>和</w:t>
      </w:r>
      <w:r>
        <w:rPr>
          <w:rFonts w:hint="eastAsia" w:eastAsia="仿宋_GB2312"/>
          <w:color w:val="auto"/>
          <w:sz w:val="24"/>
          <w:lang w:val="en-US" w:eastAsia="zh-CN"/>
        </w:rPr>
        <w:t>干式除尘器等</w:t>
      </w:r>
      <w:r>
        <w:rPr>
          <w:rFonts w:hint="eastAsia" w:eastAsia="仿宋_GB2312"/>
          <w:color w:val="auto"/>
          <w:sz w:val="24"/>
        </w:rPr>
        <w:t>措施后，装卸和转运粉尘对港界的影响满足《大气污染物综合排放标准》中无组织排放监控浓度限值1.0mg/m</w:t>
      </w:r>
      <w:r>
        <w:rPr>
          <w:rFonts w:hint="eastAsia" w:eastAsia="仿宋_GB2312"/>
          <w:color w:val="auto"/>
          <w:sz w:val="24"/>
          <w:vertAlign w:val="superscript"/>
        </w:rPr>
        <w:t>3</w:t>
      </w:r>
      <w:r>
        <w:rPr>
          <w:rFonts w:hint="eastAsia" w:eastAsia="仿宋_GB2312"/>
          <w:color w:val="auto"/>
          <w:sz w:val="24"/>
        </w:rPr>
        <w:t>的评价标准要求。</w:t>
      </w:r>
    </w:p>
    <w:p>
      <w:pPr>
        <w:widowControl w:val="0"/>
        <w:spacing w:line="360" w:lineRule="auto"/>
        <w:ind w:firstLine="482" w:firstLineChars="200"/>
        <w:jc w:val="both"/>
        <w:rPr>
          <w:rFonts w:hint="eastAsia" w:eastAsia="仿宋_GB2312"/>
          <w:color w:val="auto"/>
          <w:sz w:val="24"/>
        </w:rPr>
      </w:pPr>
      <w:r>
        <w:rPr>
          <w:rFonts w:hint="eastAsia" w:eastAsia="仿宋_GB2312"/>
          <w:b/>
          <w:bCs/>
          <w:color w:val="auto"/>
          <w:sz w:val="24"/>
        </w:rPr>
        <w:t>拟采取的措施：</w:t>
      </w:r>
      <w:r>
        <w:rPr>
          <w:rFonts w:hint="eastAsia" w:eastAsia="仿宋_GB2312"/>
          <w:color w:val="auto"/>
          <w:sz w:val="24"/>
        </w:rPr>
        <w:t>码头</w:t>
      </w:r>
      <w:r>
        <w:rPr>
          <w:rFonts w:hint="eastAsia" w:eastAsia="仿宋_GB2312"/>
          <w:color w:val="auto"/>
          <w:sz w:val="24"/>
          <w:lang w:val="en-US" w:eastAsia="zh-CN"/>
        </w:rPr>
        <w:t>装船机采用脉冲布袋除尘器</w:t>
      </w:r>
      <w:r>
        <w:rPr>
          <w:rFonts w:hint="eastAsia" w:eastAsia="仿宋_GB2312"/>
          <w:color w:val="auto"/>
          <w:sz w:val="24"/>
        </w:rPr>
        <w:t>装置</w:t>
      </w:r>
      <w:r>
        <w:rPr>
          <w:rFonts w:hint="eastAsia" w:eastAsia="仿宋_GB2312"/>
          <w:color w:val="auto"/>
          <w:sz w:val="24"/>
          <w:lang w:val="en-US" w:eastAsia="zh-CN"/>
        </w:rPr>
        <w:t>处理减少起尘</w:t>
      </w:r>
      <w:r>
        <w:rPr>
          <w:rFonts w:hint="eastAsia" w:eastAsia="仿宋_GB2312"/>
          <w:color w:val="auto"/>
          <w:sz w:val="24"/>
        </w:rPr>
        <w:t>；皮带机和</w:t>
      </w:r>
      <w:r>
        <w:rPr>
          <w:rFonts w:hint="eastAsia" w:eastAsia="仿宋_GB2312"/>
          <w:color w:val="auto"/>
          <w:sz w:val="24"/>
          <w:lang w:val="en-US" w:eastAsia="zh-CN"/>
        </w:rPr>
        <w:t>转运平台密闭设置，同时设置</w:t>
      </w:r>
      <w:r>
        <w:rPr>
          <w:rFonts w:hint="eastAsia" w:eastAsia="仿宋_GB2312"/>
          <w:color w:val="auto"/>
          <w:sz w:val="24"/>
        </w:rPr>
        <w:t>挡尘板</w:t>
      </w:r>
      <w:r>
        <w:rPr>
          <w:rFonts w:hint="eastAsia" w:eastAsia="仿宋_GB2312"/>
          <w:color w:val="auto"/>
          <w:sz w:val="24"/>
          <w:lang w:val="en-US" w:eastAsia="zh-CN"/>
        </w:rPr>
        <w:t>及脉冲布袋除尘器</w:t>
      </w:r>
      <w:r>
        <w:rPr>
          <w:rFonts w:hint="eastAsia" w:eastAsia="仿宋_GB2312"/>
          <w:color w:val="auto"/>
          <w:sz w:val="24"/>
        </w:rPr>
        <w:t>装置</w:t>
      </w:r>
      <w:r>
        <w:rPr>
          <w:rFonts w:hint="eastAsia" w:eastAsia="仿宋_GB2312"/>
          <w:color w:val="auto"/>
          <w:sz w:val="24"/>
          <w:lang w:val="en-US" w:eastAsia="zh-CN"/>
        </w:rPr>
        <w:t>处理</w:t>
      </w:r>
      <w:r>
        <w:rPr>
          <w:rFonts w:hint="eastAsia" w:eastAsia="仿宋_GB2312"/>
          <w:color w:val="auto"/>
          <w:sz w:val="24"/>
          <w:lang w:eastAsia="zh-CN"/>
        </w:rPr>
        <w:t>；</w:t>
      </w:r>
      <w:r>
        <w:rPr>
          <w:rFonts w:hint="eastAsia" w:eastAsia="仿宋_GB2312"/>
          <w:color w:val="auto"/>
          <w:sz w:val="24"/>
        </w:rPr>
        <w:t>在港界合理营造防尘绿化林带等措施。</w:t>
      </w:r>
    </w:p>
    <w:p>
      <w:pPr>
        <w:widowControl w:val="0"/>
        <w:spacing w:line="360" w:lineRule="auto"/>
        <w:ind w:firstLine="480" w:firstLineChars="200"/>
        <w:jc w:val="both"/>
        <w:rPr>
          <w:rFonts w:hint="eastAsia" w:eastAsia="仿宋_GB2312"/>
          <w:color w:val="auto"/>
          <w:sz w:val="24"/>
          <w:lang w:eastAsia="zh-CN"/>
        </w:rPr>
      </w:pPr>
      <w:r>
        <w:rPr>
          <w:rFonts w:hint="eastAsia" w:eastAsia="仿宋_GB2312"/>
          <w:color w:val="auto"/>
          <w:sz w:val="24"/>
          <w:szCs w:val="24"/>
          <w:lang w:eastAsia="zh-CN"/>
        </w:rPr>
        <w:t>船舶靠岸和驶离码头时产生少量的船舶尾气，船舶尾气属流动污染物，船舶航行时时速可达20km，扩散距离远，</w:t>
      </w:r>
      <w:r>
        <w:rPr>
          <w:rFonts w:hint="eastAsia" w:eastAsia="仿宋_GB2312"/>
          <w:color w:val="auto"/>
          <w:sz w:val="24"/>
          <w:szCs w:val="24"/>
          <w:lang w:val="en-US" w:eastAsia="zh-CN"/>
        </w:rPr>
        <w:t>且在港区内种植绿化带来吸收船舶尾气带来的空气污染，对周边环境影响很小</w:t>
      </w:r>
      <w:r>
        <w:rPr>
          <w:rFonts w:hint="eastAsia" w:eastAsia="仿宋_GB2312"/>
          <w:color w:val="auto"/>
          <w:sz w:val="24"/>
          <w:lang w:eastAsia="zh-CN"/>
        </w:rPr>
        <w:t>。</w:t>
      </w:r>
    </w:p>
    <w:p>
      <w:pPr>
        <w:widowControl w:val="0"/>
        <w:spacing w:line="360" w:lineRule="auto"/>
        <w:ind w:firstLine="480" w:firstLineChars="200"/>
        <w:jc w:val="both"/>
        <w:rPr>
          <w:rFonts w:eastAsia="仿宋_GB2312"/>
          <w:color w:val="auto"/>
          <w:sz w:val="24"/>
        </w:rPr>
      </w:pPr>
      <w:r>
        <w:rPr>
          <w:rFonts w:hint="eastAsia" w:eastAsia="仿宋_GB2312"/>
          <w:color w:val="auto"/>
          <w:sz w:val="24"/>
        </w:rPr>
        <w:t>项目卫生防护距离内不得规划新建居住区、学校、医院等环境敏感建筑物。</w:t>
      </w:r>
    </w:p>
    <w:p>
      <w:pPr>
        <w:pStyle w:val="9"/>
        <w:widowControl w:val="0"/>
        <w:spacing w:before="120" w:after="120" w:line="360" w:lineRule="auto"/>
        <w:rPr>
          <w:rFonts w:hint="default" w:eastAsia="黑体"/>
          <w:b w:val="0"/>
          <w:color w:val="auto"/>
          <w:sz w:val="24"/>
          <w:lang w:val="en-US" w:eastAsia="zh-CN"/>
        </w:rPr>
      </w:pPr>
      <w:bookmarkStart w:id="599" w:name="_Toc16434"/>
      <w:r>
        <w:rPr>
          <w:rFonts w:hint="eastAsia" w:eastAsia="黑体"/>
          <w:b w:val="0"/>
          <w:color w:val="auto"/>
          <w:sz w:val="24"/>
          <w:lang w:val="en-US" w:eastAsia="zh-CN"/>
        </w:rPr>
        <w:t>11.4.3声环境影响评价及环保措施</w:t>
      </w:r>
      <w:bookmarkEnd w:id="599"/>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rPr>
        <w:t>声环境影响保护目标</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声环境保护目标为洋溪</w:t>
      </w:r>
      <w:r>
        <w:rPr>
          <w:rFonts w:hint="eastAsia" w:eastAsia="仿宋_GB2312"/>
          <w:color w:val="auto"/>
          <w:sz w:val="24"/>
          <w:lang w:val="en-US" w:eastAsia="zh-CN"/>
        </w:rPr>
        <w:t>社区</w:t>
      </w:r>
      <w:r>
        <w:rPr>
          <w:rFonts w:hint="eastAsia" w:eastAsia="仿宋_GB2312"/>
          <w:color w:val="auto"/>
          <w:sz w:val="24"/>
        </w:rPr>
        <w:t>，50m</w:t>
      </w:r>
      <w:r>
        <w:rPr>
          <w:rFonts w:hint="eastAsia" w:eastAsia="仿宋_GB2312"/>
          <w:color w:val="auto"/>
          <w:sz w:val="24"/>
          <w:lang w:val="en-US" w:eastAsia="zh-CN"/>
        </w:rPr>
        <w:t>声环境保护范围内无居民</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施工期声环境影响预测及环保措施</w:t>
      </w:r>
    </w:p>
    <w:p>
      <w:pPr>
        <w:widowControl w:val="0"/>
        <w:spacing w:line="360" w:lineRule="auto"/>
        <w:ind w:firstLine="480" w:firstLineChars="200"/>
        <w:jc w:val="both"/>
        <w:rPr>
          <w:rFonts w:hint="eastAsia" w:eastAsia="仿宋_GB2312"/>
          <w:color w:val="auto"/>
          <w:sz w:val="24"/>
          <w:szCs w:val="24"/>
        </w:rPr>
      </w:pPr>
      <w:r>
        <w:rPr>
          <w:rFonts w:hint="eastAsia" w:eastAsia="仿宋_GB2312"/>
          <w:color w:val="auto"/>
          <w:sz w:val="24"/>
          <w:szCs w:val="24"/>
        </w:rPr>
        <w:t>单机噪声最大在昼间</w:t>
      </w:r>
      <w:r>
        <w:rPr>
          <w:rFonts w:hint="eastAsia" w:eastAsia="仿宋_GB2312"/>
          <w:color w:val="auto"/>
          <w:sz w:val="24"/>
          <w:szCs w:val="24"/>
          <w:lang w:val="en-US" w:eastAsia="zh-CN"/>
        </w:rPr>
        <w:t>100</w:t>
      </w:r>
      <w:r>
        <w:rPr>
          <w:rFonts w:hint="eastAsia" w:eastAsia="仿宋_GB2312"/>
          <w:color w:val="auto"/>
          <w:sz w:val="24"/>
          <w:szCs w:val="24"/>
        </w:rPr>
        <w:t>m、夜间</w:t>
      </w:r>
      <w:r>
        <w:rPr>
          <w:rFonts w:hint="eastAsia" w:eastAsia="仿宋_GB2312"/>
          <w:color w:val="auto"/>
          <w:sz w:val="24"/>
          <w:szCs w:val="24"/>
          <w:lang w:val="en-US" w:eastAsia="zh-CN"/>
        </w:rPr>
        <w:t>563</w:t>
      </w:r>
      <w:r>
        <w:rPr>
          <w:rFonts w:hint="eastAsia" w:eastAsia="仿宋_GB2312"/>
          <w:color w:val="auto"/>
          <w:sz w:val="24"/>
          <w:szCs w:val="24"/>
        </w:rPr>
        <w:t>m以外可满足《建筑施工场界环境噪声排放标准》中昼间70dB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、夜间dB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要求。</w:t>
      </w:r>
    </w:p>
    <w:p>
      <w:pPr>
        <w:widowControl w:val="0"/>
        <w:spacing w:line="360" w:lineRule="auto"/>
        <w:ind w:firstLine="480" w:firstLineChars="200"/>
        <w:rPr>
          <w:rFonts w:hint="eastAsia" w:eastAsia="仿宋_GB2312"/>
          <w:color w:val="auto"/>
          <w:sz w:val="24"/>
        </w:rPr>
      </w:pPr>
      <w:r>
        <w:rPr>
          <w:rFonts w:hint="eastAsia" w:eastAsia="仿宋_GB2312"/>
          <w:color w:val="auto"/>
          <w:sz w:val="24"/>
          <w:szCs w:val="24"/>
        </w:rPr>
        <w:t>多种施工机械同时作业时，在昼间</w:t>
      </w:r>
      <w:r>
        <w:rPr>
          <w:rFonts w:hint="eastAsia" w:eastAsia="仿宋_GB2312"/>
          <w:color w:val="auto"/>
          <w:sz w:val="24"/>
          <w:szCs w:val="24"/>
          <w:lang w:val="en-US" w:eastAsia="zh-CN"/>
        </w:rPr>
        <w:t>178</w:t>
      </w:r>
      <w:r>
        <w:rPr>
          <w:rFonts w:hint="eastAsia" w:eastAsia="仿宋_GB2312"/>
          <w:color w:val="auto"/>
          <w:sz w:val="24"/>
          <w:szCs w:val="24"/>
        </w:rPr>
        <w:t>m、夜间</w:t>
      </w:r>
      <w:r>
        <w:rPr>
          <w:rFonts w:hint="eastAsia" w:eastAsia="仿宋_GB2312"/>
          <w:color w:val="auto"/>
          <w:sz w:val="24"/>
          <w:szCs w:val="24"/>
          <w:lang w:val="en-US" w:eastAsia="zh-CN"/>
        </w:rPr>
        <w:t>1000</w:t>
      </w:r>
      <w:r>
        <w:rPr>
          <w:rFonts w:hint="eastAsia" w:eastAsia="仿宋_GB2312"/>
          <w:color w:val="auto"/>
          <w:sz w:val="24"/>
          <w:szCs w:val="24"/>
        </w:rPr>
        <w:t>m以外可满足《建筑施工场界环境噪声排放标准》中昼间70dB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、夜间55dB</w:t>
      </w:r>
      <w:r>
        <w:rPr>
          <w:rFonts w:hint="eastAsia" w:eastAsia="仿宋_GB2312"/>
          <w:color w:val="auto"/>
          <w:sz w:val="24"/>
          <w:szCs w:val="24"/>
          <w:lang w:eastAsia="zh-CN"/>
        </w:rPr>
        <w:t>（</w:t>
      </w:r>
      <w:r>
        <w:rPr>
          <w:rFonts w:hint="eastAsia" w:eastAsia="仿宋_GB2312"/>
          <w:color w:val="auto"/>
          <w:sz w:val="24"/>
          <w:szCs w:val="24"/>
        </w:rPr>
        <w:t>A</w:t>
      </w:r>
      <w:r>
        <w:rPr>
          <w:rFonts w:hint="eastAsia" w:eastAsia="仿宋_GB2312"/>
          <w:color w:val="auto"/>
          <w:sz w:val="24"/>
          <w:szCs w:val="24"/>
          <w:lang w:eastAsia="zh-CN"/>
        </w:rPr>
        <w:t>）</w:t>
      </w:r>
      <w:r>
        <w:rPr>
          <w:rFonts w:hint="eastAsia" w:eastAsia="仿宋_GB2312"/>
          <w:color w:val="auto"/>
          <w:sz w:val="24"/>
          <w:szCs w:val="24"/>
        </w:rPr>
        <w:t>要求</w:t>
      </w:r>
      <w:r>
        <w:rPr>
          <w:rFonts w:hint="eastAsia"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洋溪</w:t>
      </w:r>
      <w:r>
        <w:rPr>
          <w:rFonts w:hint="eastAsia" w:eastAsia="仿宋_GB2312"/>
          <w:color w:val="auto"/>
          <w:sz w:val="24"/>
          <w:lang w:val="en-US" w:eastAsia="zh-CN"/>
        </w:rPr>
        <w:t>社区</w:t>
      </w:r>
      <w:r>
        <w:rPr>
          <w:rFonts w:hint="eastAsia" w:eastAsia="仿宋_GB2312"/>
          <w:color w:val="auto"/>
          <w:sz w:val="24"/>
        </w:rPr>
        <w:t>（红东公路以南临路第一排）距离</w:t>
      </w:r>
      <w:r>
        <w:rPr>
          <w:rFonts w:hint="eastAsia" w:eastAsia="仿宋_GB2312"/>
          <w:color w:val="auto"/>
          <w:sz w:val="24"/>
          <w:lang w:val="en-US" w:eastAsia="zh-CN"/>
        </w:rPr>
        <w:t>码头前沿边界</w:t>
      </w:r>
      <w:r>
        <w:rPr>
          <w:rFonts w:hint="eastAsia" w:eastAsia="仿宋_GB2312"/>
          <w:color w:val="auto"/>
          <w:sz w:val="24"/>
        </w:rPr>
        <w:t>约6</w:t>
      </w:r>
      <w:r>
        <w:rPr>
          <w:rFonts w:hint="eastAsia" w:eastAsia="仿宋_GB2312"/>
          <w:color w:val="auto"/>
          <w:sz w:val="24"/>
          <w:lang w:val="en-US" w:eastAsia="zh-CN"/>
        </w:rPr>
        <w:t>9</w:t>
      </w:r>
      <w:r>
        <w:rPr>
          <w:rFonts w:hint="eastAsia" w:eastAsia="仿宋_GB2312"/>
          <w:color w:val="auto"/>
          <w:sz w:val="24"/>
        </w:rPr>
        <w:t>m，施工机械噪声昼间、夜间对其</w:t>
      </w:r>
      <w:r>
        <w:rPr>
          <w:rFonts w:hint="eastAsia" w:eastAsia="仿宋_GB2312"/>
          <w:color w:val="auto"/>
          <w:sz w:val="24"/>
          <w:lang w:val="en-US" w:eastAsia="zh-CN"/>
        </w:rPr>
        <w:t>造成的</w:t>
      </w:r>
      <w:r>
        <w:rPr>
          <w:rFonts w:hint="eastAsia" w:eastAsia="仿宋_GB2312"/>
          <w:color w:val="auto"/>
          <w:sz w:val="24"/>
        </w:rPr>
        <w:t>影响</w:t>
      </w:r>
      <w:r>
        <w:rPr>
          <w:rFonts w:hint="eastAsia" w:eastAsia="仿宋_GB2312"/>
          <w:color w:val="auto"/>
          <w:sz w:val="24"/>
          <w:lang w:eastAsia="zh-CN"/>
        </w:rPr>
        <w:t>，</w:t>
      </w:r>
      <w:r>
        <w:rPr>
          <w:rFonts w:hint="eastAsia" w:eastAsia="仿宋_GB2312"/>
          <w:color w:val="auto"/>
          <w:sz w:val="24"/>
        </w:rPr>
        <w:t>都</w:t>
      </w:r>
      <w:r>
        <w:rPr>
          <w:rFonts w:hint="eastAsia" w:eastAsia="仿宋_GB2312"/>
          <w:color w:val="auto"/>
          <w:sz w:val="24"/>
          <w:lang w:val="en-US" w:eastAsia="zh-CN"/>
        </w:rPr>
        <w:t>不能满足</w:t>
      </w:r>
      <w:r>
        <w:rPr>
          <w:rFonts w:hint="eastAsia" w:eastAsia="仿宋_GB2312"/>
          <w:color w:val="auto"/>
          <w:sz w:val="24"/>
        </w:rPr>
        <w:t>《建筑施工场界环境噪声排放标准》</w:t>
      </w:r>
      <w:r>
        <w:rPr>
          <w:rFonts w:hint="eastAsia" w:eastAsia="仿宋_GB2312"/>
          <w:color w:val="auto"/>
          <w:sz w:val="24"/>
          <w:lang w:eastAsia="zh-CN"/>
        </w:rPr>
        <w:t>（</w:t>
      </w:r>
      <w:r>
        <w:rPr>
          <w:rFonts w:hint="eastAsia" w:eastAsia="仿宋_GB2312"/>
          <w:color w:val="auto"/>
          <w:sz w:val="24"/>
        </w:rPr>
        <w:t>GB12523-2011</w:t>
      </w:r>
      <w:r>
        <w:rPr>
          <w:rFonts w:hint="eastAsia" w:eastAsia="仿宋_GB2312"/>
          <w:color w:val="auto"/>
          <w:sz w:val="24"/>
          <w:lang w:eastAsia="zh-CN"/>
        </w:rPr>
        <w:t>）</w:t>
      </w:r>
      <w:r>
        <w:rPr>
          <w:rFonts w:hint="eastAsia" w:eastAsia="仿宋_GB2312"/>
          <w:color w:val="auto"/>
          <w:sz w:val="24"/>
          <w:lang w:val="en-US" w:eastAsia="zh-CN"/>
        </w:rPr>
        <w:t>中的</w:t>
      </w:r>
      <w:r>
        <w:rPr>
          <w:rFonts w:hint="eastAsia" w:eastAsia="仿宋_GB2312"/>
          <w:color w:val="auto"/>
          <w:sz w:val="24"/>
        </w:rPr>
        <w:t>要求。</w:t>
      </w:r>
    </w:p>
    <w:p>
      <w:pPr>
        <w:widowControl w:val="0"/>
        <w:spacing w:line="360" w:lineRule="auto"/>
        <w:ind w:firstLine="482" w:firstLineChars="200"/>
        <w:rPr>
          <w:rFonts w:eastAsia="仿宋_GB2312"/>
          <w:color w:val="auto"/>
          <w:sz w:val="24"/>
        </w:rPr>
      </w:pPr>
      <w:r>
        <w:rPr>
          <w:rFonts w:hint="eastAsia" w:eastAsia="仿宋_GB2312"/>
          <w:b/>
          <w:bCs/>
          <w:color w:val="auto"/>
          <w:sz w:val="24"/>
        </w:rPr>
        <w:t>拟采取的措施：</w:t>
      </w:r>
      <w:r>
        <w:rPr>
          <w:rFonts w:hint="eastAsia" w:eastAsia="仿宋_GB2312"/>
          <w:color w:val="auto"/>
          <w:sz w:val="24"/>
        </w:rPr>
        <w:t>尽量选取低噪声、低振动的施工机械和运输车辆，加强机械、车辆的日常维修保养，使其保持良好状态，避免超过正常噪声运转。在打桩机、挖掘机等高噪声源的施工人员佩戴防噪耳罩。对高噪声设备，应在其附近加设可移动的简单围障，以降低其噪音影响；合理安排高噪声施工作业的时间，施工时在夜间（22</w:t>
      </w:r>
      <w:r>
        <w:rPr>
          <w:rFonts w:hint="eastAsia" w:eastAsia="仿宋_GB2312"/>
          <w:color w:val="auto"/>
          <w:sz w:val="24"/>
          <w:lang w:eastAsia="zh-CN"/>
        </w:rPr>
        <w:t>：</w:t>
      </w:r>
      <w:r>
        <w:rPr>
          <w:rFonts w:hint="eastAsia" w:eastAsia="仿宋_GB2312"/>
          <w:color w:val="auto"/>
          <w:sz w:val="24"/>
        </w:rPr>
        <w:t>00-06</w:t>
      </w:r>
      <w:r>
        <w:rPr>
          <w:rFonts w:hint="eastAsia" w:eastAsia="仿宋_GB2312"/>
          <w:color w:val="auto"/>
          <w:sz w:val="24"/>
          <w:lang w:eastAsia="zh-CN"/>
        </w:rPr>
        <w:t>：</w:t>
      </w:r>
      <w:r>
        <w:rPr>
          <w:rFonts w:hint="eastAsia" w:eastAsia="仿宋_GB2312"/>
          <w:color w:val="auto"/>
          <w:sz w:val="24"/>
        </w:rPr>
        <w:t>00）应禁止施工，尽可能减少对周围环境的影响。特殊情况需连续施工的，做好周围群众的工作，并报工地所在区或市生态环境局批准后方可在指定日期内施工；应注意合理安排施工物料的运输时间。夜间22</w:t>
      </w:r>
      <w:r>
        <w:rPr>
          <w:rFonts w:hint="eastAsia" w:eastAsia="仿宋_GB2312"/>
          <w:color w:val="auto"/>
          <w:sz w:val="24"/>
          <w:lang w:eastAsia="zh-CN"/>
        </w:rPr>
        <w:t>：</w:t>
      </w:r>
      <w:r>
        <w:rPr>
          <w:rFonts w:hint="eastAsia" w:eastAsia="仿宋_GB2312"/>
          <w:color w:val="auto"/>
          <w:sz w:val="24"/>
        </w:rPr>
        <w:t>00以后禁止施工车辆穿越居民区，减少对周边居民区的影响；做好施工机械和运输车辆的调度和交通疏导工作，禁止车辆鸣笛，降低交通噪声，加强港区绿化</w:t>
      </w:r>
      <w:r>
        <w:rPr>
          <w:rFonts w:eastAsia="仿宋_GB2312"/>
          <w:color w:val="auto"/>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）运营期</w:t>
      </w:r>
      <w:r>
        <w:rPr>
          <w:rFonts w:hint="eastAsia" w:eastAsia="仿宋_GB2312"/>
          <w:color w:val="auto"/>
          <w:sz w:val="24"/>
        </w:rPr>
        <w:t>声环境影响预测及环保措施</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eastAsia="zh-CN"/>
        </w:rPr>
        <w:t>最不利组合时，</w:t>
      </w:r>
      <w:r>
        <w:rPr>
          <w:rFonts w:hint="eastAsia" w:ascii="Times New Roman" w:hAnsi="Times New Roman" w:eastAsia="仿宋_GB2312" w:cs="Times New Roman"/>
          <w:color w:val="auto"/>
          <w:lang w:val="en-US" w:eastAsia="zh-CN"/>
        </w:rPr>
        <w:t>东西侧港</w:t>
      </w:r>
      <w:r>
        <w:rPr>
          <w:rFonts w:hint="default" w:ascii="Times New Roman" w:hAnsi="Times New Roman" w:eastAsia="仿宋_GB2312" w:cs="Times New Roman"/>
          <w:color w:val="auto"/>
          <w:lang w:eastAsia="zh-CN"/>
        </w:rPr>
        <w:t>界</w:t>
      </w:r>
      <w:r>
        <w:rPr>
          <w:rFonts w:hint="eastAsia" w:ascii="Times New Roman" w:hAnsi="Times New Roman" w:eastAsia="仿宋_GB2312" w:cs="Times New Roman"/>
          <w:color w:val="auto"/>
          <w:lang w:val="en-US" w:eastAsia="zh-CN"/>
        </w:rPr>
        <w:t>昼间噪声</w:t>
      </w:r>
      <w:r>
        <w:rPr>
          <w:rFonts w:hint="default" w:ascii="Times New Roman" w:hAnsi="Times New Roman" w:eastAsia="仿宋_GB2312" w:cs="Times New Roman"/>
          <w:color w:val="auto"/>
          <w:lang w:eastAsia="zh-CN"/>
        </w:rPr>
        <w:t>满足《工业企业厂界环境噪声排放标准》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lang w:eastAsia="zh-CN"/>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中3类</w:t>
      </w:r>
      <w:r>
        <w:rPr>
          <w:rFonts w:hint="default" w:ascii="Times New Roman" w:hAnsi="Times New Roman" w:eastAsia="仿宋_GB2312" w:cs="Times New Roman"/>
          <w:color w:val="auto"/>
          <w:lang w:eastAsia="zh-CN"/>
        </w:rPr>
        <w:t>标准</w:t>
      </w:r>
      <w:r>
        <w:rPr>
          <w:rFonts w:hint="eastAsia" w:ascii="Times New Roman" w:hAnsi="Times New Roman" w:eastAsia="仿宋_GB2312" w:cs="Times New Roman"/>
          <w:color w:val="auto"/>
          <w:lang w:val="en-US" w:eastAsia="zh-CN"/>
        </w:rPr>
        <w:t>要求，南、北侧港</w:t>
      </w:r>
      <w:r>
        <w:rPr>
          <w:rFonts w:hint="default" w:ascii="Times New Roman" w:hAnsi="Times New Roman" w:eastAsia="仿宋_GB2312" w:cs="Times New Roman"/>
          <w:color w:val="auto"/>
          <w:lang w:eastAsia="zh-CN"/>
        </w:rPr>
        <w:t>界</w:t>
      </w:r>
      <w:r>
        <w:rPr>
          <w:rFonts w:hint="eastAsia" w:ascii="Times New Roman" w:hAnsi="Times New Roman" w:eastAsia="仿宋_GB2312" w:cs="Times New Roman"/>
          <w:color w:val="auto"/>
          <w:lang w:val="en-US" w:eastAsia="zh-CN"/>
        </w:rPr>
        <w:t>昼间噪声</w:t>
      </w:r>
      <w:r>
        <w:rPr>
          <w:rFonts w:hint="default" w:ascii="Times New Roman" w:hAnsi="Times New Roman" w:eastAsia="仿宋_GB2312" w:cs="Times New Roman"/>
          <w:color w:val="auto"/>
          <w:lang w:eastAsia="zh-CN"/>
        </w:rPr>
        <w:t>满足《工业企业厂界环境噪声排放标准》</w:t>
      </w:r>
      <w:r>
        <w:rPr>
          <w:rFonts w:hint="eastAsia" w:ascii="Times New Roman" w:hAnsi="Times New Roman" w:eastAsia="仿宋_GB2312" w:cs="Times New Roman"/>
          <w:color w:val="auto"/>
          <w:lang w:eastAsia="zh-CN"/>
        </w:rPr>
        <w:t>（</w:t>
      </w:r>
      <w:r>
        <w:rPr>
          <w:rFonts w:hint="default" w:ascii="Times New Roman" w:hAnsi="Times New Roman" w:eastAsia="仿宋_GB2312" w:cs="Times New Roman"/>
          <w:color w:val="auto"/>
          <w:lang w:eastAsia="zh-CN"/>
        </w:rPr>
        <w:t>GB12348-2008</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中4类</w:t>
      </w:r>
      <w:r>
        <w:rPr>
          <w:rFonts w:hint="default" w:ascii="Times New Roman" w:hAnsi="Times New Roman" w:eastAsia="仿宋_GB2312" w:cs="Times New Roman"/>
          <w:color w:val="auto"/>
          <w:lang w:eastAsia="zh-CN"/>
        </w:rPr>
        <w:t>标准</w:t>
      </w:r>
      <w:r>
        <w:rPr>
          <w:rFonts w:hint="eastAsia" w:ascii="Times New Roman" w:hAnsi="Times New Roman" w:eastAsia="仿宋_GB2312" w:cs="Times New Roman"/>
          <w:color w:val="auto"/>
          <w:lang w:val="en-US" w:eastAsia="zh-CN"/>
        </w:rPr>
        <w:t>要求；各港界夜间噪声值均有不同程度的超标。</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t>最不利组合时，迭加噪声现状值后，码头昼</w:t>
      </w:r>
      <w:r>
        <w:rPr>
          <w:rFonts w:hint="eastAsia" w:ascii="Times New Roman" w:hAnsi="Times New Roman" w:eastAsia="仿宋_GB2312" w:cs="Times New Roman"/>
          <w:color w:val="auto"/>
          <w:lang w:val="en-US" w:eastAsia="zh-CN"/>
        </w:rPr>
        <w:t>夜</w:t>
      </w:r>
      <w:r>
        <w:rPr>
          <w:rFonts w:hint="default" w:ascii="Times New Roman" w:hAnsi="Times New Roman" w:eastAsia="仿宋_GB2312" w:cs="Times New Roman"/>
          <w:color w:val="auto"/>
          <w:lang w:eastAsia="zh-CN"/>
        </w:rPr>
        <w:t>间作业机械噪声对</w:t>
      </w:r>
      <w:r>
        <w:rPr>
          <w:rFonts w:hint="eastAsia" w:ascii="Times New Roman" w:hAnsi="Times New Roman" w:eastAsia="仿宋_GB2312" w:cs="Times New Roman"/>
          <w:color w:val="auto"/>
          <w:lang w:val="en-US" w:eastAsia="zh-CN"/>
        </w:rPr>
        <w:t>洋溪社区</w:t>
      </w:r>
      <w:r>
        <w:rPr>
          <w:rFonts w:hint="default" w:ascii="Times New Roman" w:hAnsi="Times New Roman" w:eastAsia="仿宋_GB2312" w:cs="Times New Roman"/>
          <w:color w:val="auto"/>
          <w:lang w:eastAsia="zh-CN"/>
        </w:rPr>
        <w:t>的影响</w:t>
      </w:r>
      <w:r>
        <w:rPr>
          <w:rFonts w:hint="eastAsia" w:ascii="Times New Roman" w:hAnsi="Times New Roman" w:eastAsia="仿宋_GB2312" w:cs="Times New Roman"/>
          <w:color w:val="auto"/>
          <w:lang w:val="en-US" w:eastAsia="zh-CN"/>
        </w:rPr>
        <w:t>可</w:t>
      </w:r>
      <w:r>
        <w:rPr>
          <w:rFonts w:hint="default" w:ascii="Times New Roman" w:hAnsi="Times New Roman" w:eastAsia="仿宋_GB2312" w:cs="Times New Roman"/>
          <w:color w:val="auto"/>
          <w:lang w:eastAsia="zh-CN"/>
        </w:rPr>
        <w:t>满足《声环境质量标准》（GB3096-2008）</w:t>
      </w: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eastAsia="zh-CN"/>
        </w:rPr>
        <w:t>类标准要求。</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t>鉴于装卸作业机械噪声对环境敏感目标的影响主要表现在夜间，在东</w:t>
      </w:r>
      <w:r>
        <w:rPr>
          <w:rFonts w:hint="eastAsia" w:ascii="Times New Roman" w:hAnsi="Times New Roman" w:eastAsia="仿宋_GB2312" w:cs="Times New Roman"/>
          <w:color w:val="auto"/>
          <w:lang w:eastAsia="zh-CN"/>
        </w:rPr>
        <w:t>、</w:t>
      </w:r>
      <w:r>
        <w:rPr>
          <w:rFonts w:hint="eastAsia" w:ascii="Times New Roman" w:hAnsi="Times New Roman" w:eastAsia="仿宋_GB2312" w:cs="Times New Roman"/>
          <w:color w:val="auto"/>
          <w:lang w:val="en-US" w:eastAsia="zh-CN"/>
        </w:rPr>
        <w:t>西、南</w:t>
      </w:r>
      <w:r>
        <w:rPr>
          <w:rFonts w:hint="default" w:ascii="Times New Roman" w:hAnsi="Times New Roman" w:eastAsia="仿宋_GB2312" w:cs="Times New Roman"/>
          <w:color w:val="auto"/>
          <w:lang w:eastAsia="zh-CN"/>
        </w:rPr>
        <w:t>侧</w:t>
      </w:r>
      <w:r>
        <w:rPr>
          <w:rFonts w:hint="eastAsia" w:ascii="Times New Roman" w:hAnsi="Times New Roman" w:eastAsia="仿宋_GB2312" w:cs="Times New Roman"/>
          <w:color w:val="auto"/>
          <w:lang w:val="en-US" w:eastAsia="zh-CN"/>
        </w:rPr>
        <w:t>港</w:t>
      </w:r>
      <w:r>
        <w:rPr>
          <w:rFonts w:hint="default" w:ascii="Times New Roman" w:hAnsi="Times New Roman" w:eastAsia="仿宋_GB2312" w:cs="Times New Roman"/>
          <w:color w:val="auto"/>
          <w:lang w:eastAsia="zh-CN"/>
        </w:rPr>
        <w:t>界修建围墙并设置绿化带，且皮带机采用封闭廊道密闭，可大幅度降低皮带机启动的运输噪声。装卸机械设备应选择符合声环境标准的低噪声设备，并加强保养和维修，使其保持低噪声运行状态。在采取上述措施后，港区作业噪声对环境保护目标的影响可满足标准要求，</w:t>
      </w:r>
      <w:r>
        <w:rPr>
          <w:rFonts w:hint="eastAsia" w:ascii="Times New Roman" w:hAnsi="Times New Roman" w:eastAsia="仿宋_GB2312" w:cs="Times New Roman"/>
          <w:color w:val="auto"/>
          <w:lang w:val="en-US" w:eastAsia="zh-CN"/>
        </w:rPr>
        <w:t>同时</w:t>
      </w:r>
      <w:r>
        <w:rPr>
          <w:rFonts w:hint="default" w:ascii="Times New Roman" w:hAnsi="Times New Roman" w:eastAsia="仿宋_GB2312" w:cs="Times New Roman"/>
          <w:color w:val="auto"/>
          <w:lang w:eastAsia="zh-CN"/>
        </w:rPr>
        <w:t>港区作业噪声对厂界的影响将得到较好的控制。</w:t>
      </w:r>
    </w:p>
    <w:p>
      <w:pPr>
        <w:pStyle w:val="9"/>
        <w:widowControl w:val="0"/>
        <w:spacing w:before="120" w:after="120" w:line="360" w:lineRule="auto"/>
        <w:rPr>
          <w:rFonts w:hint="default" w:eastAsia="黑体"/>
          <w:b w:val="0"/>
          <w:color w:val="auto"/>
          <w:sz w:val="24"/>
          <w:lang w:val="en-US" w:eastAsia="zh-CN"/>
        </w:rPr>
      </w:pPr>
      <w:bookmarkStart w:id="600" w:name="_Toc17442"/>
      <w:r>
        <w:rPr>
          <w:rFonts w:hint="eastAsia" w:eastAsia="黑体"/>
          <w:b w:val="0"/>
          <w:color w:val="auto"/>
          <w:sz w:val="24"/>
          <w:lang w:val="en-US" w:eastAsia="zh-CN"/>
        </w:rPr>
        <w:t>11.2.4生态环境影响评价及环保措施</w:t>
      </w:r>
      <w:bookmarkEnd w:id="600"/>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生态环境影响保护目标</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val="en-US" w:eastAsia="zh-CN"/>
        </w:rPr>
        <w:t>所在水域江段分布有四大家鱼产卵场、珍稀保护物种中华鲟、江豚和胭脂鱼等，但本项目不在产卵场范围内。</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rPr>
        <w:t>施工期</w:t>
      </w:r>
      <w:r>
        <w:rPr>
          <w:rFonts w:hint="eastAsia" w:eastAsia="仿宋_GB2312"/>
          <w:color w:val="auto"/>
          <w:sz w:val="24"/>
          <w:lang w:val="en-US" w:eastAsia="zh-CN"/>
        </w:rPr>
        <w:t>生态</w:t>
      </w:r>
      <w:r>
        <w:rPr>
          <w:rFonts w:hint="eastAsia" w:eastAsia="仿宋_GB2312"/>
          <w:color w:val="auto"/>
          <w:sz w:val="24"/>
        </w:rPr>
        <w:t>环境影响</w:t>
      </w:r>
      <w:r>
        <w:rPr>
          <w:rFonts w:hint="eastAsia" w:eastAsia="仿宋_GB2312"/>
          <w:color w:val="auto"/>
          <w:sz w:val="24"/>
          <w:lang w:val="en-US" w:eastAsia="zh-CN"/>
        </w:rPr>
        <w:t>分析</w:t>
      </w:r>
      <w:r>
        <w:rPr>
          <w:rFonts w:hint="eastAsia" w:eastAsia="仿宋_GB2312"/>
          <w:color w:val="auto"/>
          <w:sz w:val="24"/>
        </w:rPr>
        <w:t>及</w:t>
      </w:r>
      <w:r>
        <w:rPr>
          <w:rFonts w:hint="eastAsia" w:eastAsia="仿宋_GB2312"/>
          <w:color w:val="auto"/>
          <w:sz w:val="24"/>
          <w:lang w:val="en-US" w:eastAsia="zh-CN"/>
        </w:rPr>
        <w:t>保护</w:t>
      </w:r>
      <w:r>
        <w:rPr>
          <w:rFonts w:hint="eastAsia" w:eastAsia="仿宋_GB2312"/>
          <w:color w:val="auto"/>
          <w:sz w:val="24"/>
        </w:rPr>
        <w:t>措施</w:t>
      </w:r>
    </w:p>
    <w:p>
      <w:pPr>
        <w:widowControl w:val="0"/>
        <w:spacing w:line="360" w:lineRule="auto"/>
        <w:ind w:firstLine="480" w:firstLineChars="200"/>
        <w:jc w:val="both"/>
        <w:rPr>
          <w:rFonts w:hint="default" w:eastAsia="仿宋_GB2312"/>
          <w:color w:val="auto"/>
          <w:sz w:val="24"/>
          <w:szCs w:val="24"/>
          <w:lang w:val="en-US" w:eastAsia="zh-CN"/>
        </w:rPr>
      </w:pPr>
      <w:r>
        <w:rPr>
          <w:rFonts w:hint="eastAsia" w:eastAsia="仿宋_GB2312"/>
          <w:color w:val="auto"/>
          <w:sz w:val="24"/>
          <w:szCs w:val="24"/>
          <w:lang w:val="en-US" w:eastAsia="zh-CN"/>
        </w:rPr>
        <w:t>①水生生态</w:t>
      </w:r>
    </w:p>
    <w:p>
      <w:pPr>
        <w:widowControl w:val="0"/>
        <w:spacing w:line="360" w:lineRule="auto"/>
        <w:ind w:firstLine="482" w:firstLineChars="200"/>
        <w:jc w:val="both"/>
        <w:rPr>
          <w:rFonts w:hint="eastAsia" w:eastAsia="仿宋_GB2312"/>
          <w:color w:val="auto"/>
          <w:sz w:val="24"/>
        </w:rPr>
      </w:pPr>
      <w:r>
        <w:rPr>
          <w:rFonts w:hint="eastAsia" w:eastAsia="仿宋_GB2312"/>
          <w:b/>
          <w:bCs/>
          <w:color w:val="auto"/>
          <w:sz w:val="24"/>
          <w:szCs w:val="24"/>
          <w:lang w:val="en-US" w:eastAsia="zh-CN"/>
        </w:rPr>
        <w:t>对水生植物的影响：</w:t>
      </w:r>
      <w:r>
        <w:rPr>
          <w:rFonts w:hint="eastAsia" w:eastAsia="仿宋_GB2312"/>
          <w:color w:val="auto"/>
          <w:sz w:val="24"/>
          <w:szCs w:val="24"/>
          <w:lang w:val="en-US" w:eastAsia="zh-CN"/>
        </w:rPr>
        <w:t>施工期</w:t>
      </w:r>
      <w:r>
        <w:rPr>
          <w:rFonts w:hint="eastAsia" w:eastAsia="仿宋_GB2312"/>
          <w:color w:val="auto"/>
          <w:sz w:val="24"/>
          <w:szCs w:val="24"/>
          <w:lang w:eastAsia="zh-CN"/>
        </w:rPr>
        <w:t>工程建设区面积有限，施工区以外的其它区域并不受工程建设的任何影响，故而工程建设对影响区内水生维管束植物的影响不大。且这些水生植物种类为长江中游广泛分布种类，工程施工不会导致这些物种的消亡。施工结束后，工程以外区域，只要条件合适，水生植物能迅速在这些区域重新分布。</w:t>
      </w:r>
    </w:p>
    <w:p>
      <w:pPr>
        <w:widowControl w:val="0"/>
        <w:spacing w:line="360" w:lineRule="auto"/>
        <w:ind w:firstLine="482" w:firstLineChars="200"/>
        <w:jc w:val="both"/>
        <w:rPr>
          <w:rFonts w:hint="eastAsia" w:eastAsia="仿宋_GB2312"/>
          <w:color w:val="auto"/>
          <w:sz w:val="24"/>
        </w:rPr>
      </w:pPr>
      <w:r>
        <w:rPr>
          <w:rFonts w:hint="eastAsia" w:eastAsia="仿宋_GB2312"/>
          <w:b/>
          <w:bCs/>
          <w:color w:val="auto"/>
          <w:sz w:val="24"/>
          <w:szCs w:val="24"/>
          <w:lang w:val="en-US" w:eastAsia="zh-CN"/>
        </w:rPr>
        <w:t>对浮游生物的影响：</w:t>
      </w:r>
      <w:r>
        <w:rPr>
          <w:rFonts w:hint="eastAsia" w:eastAsia="仿宋_GB2312"/>
          <w:color w:val="auto"/>
          <w:sz w:val="24"/>
        </w:rPr>
        <w:t>打桩施工造成悬浮物浓度增加值超过10mg/L的范围为沿水流方向长约100～250m，垂直岸边宽约50～100m。悬浮物浓度增加，降低水体透光率，造成水体浮游植物生产力下降。同时，悬浮物增加也会打乱一些靠光线强度变化而进行上下垂直迁移的动物的生活规律；悬浮物还会粘附在浮游生物体表，因而使其运动、摄食等活动受到影响，严重时会造成死亡，从而使局部水域内浮游生物的数量减少。</w:t>
      </w:r>
    </w:p>
    <w:p>
      <w:pPr>
        <w:widowControl w:val="0"/>
        <w:spacing w:line="360" w:lineRule="auto"/>
        <w:ind w:firstLine="482" w:firstLineChars="200"/>
        <w:jc w:val="both"/>
        <w:rPr>
          <w:rFonts w:hint="eastAsia" w:eastAsia="仿宋_GB2312"/>
          <w:color w:val="auto"/>
          <w:sz w:val="24"/>
          <w:szCs w:val="24"/>
          <w:lang w:eastAsia="zh-CN"/>
        </w:rPr>
      </w:pPr>
      <w:r>
        <w:rPr>
          <w:rFonts w:hint="eastAsia" w:eastAsia="仿宋_GB2312"/>
          <w:b/>
          <w:bCs/>
          <w:color w:val="auto"/>
          <w:sz w:val="24"/>
          <w:szCs w:val="24"/>
          <w:lang w:val="en-US" w:eastAsia="zh-CN"/>
        </w:rPr>
        <w:t>对底栖生物的影响：</w:t>
      </w:r>
      <w:r>
        <w:rPr>
          <w:rFonts w:hint="eastAsia" w:eastAsia="仿宋_GB2312"/>
          <w:color w:val="auto"/>
          <w:sz w:val="24"/>
          <w:szCs w:val="24"/>
          <w:lang w:eastAsia="zh-CN"/>
        </w:rPr>
        <w:t>工程施工扰动河床面积较小，相对于整个工程所在河段的河床面积几乎可以忽略不计，所以工程建成对河床的扰动或固化造成的底栖生物损失相对较小，而且随着施工结束，底栖生物的分布和数量可得到逐渐恢复。</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szCs w:val="24"/>
          <w:lang w:val="en-US" w:eastAsia="zh-CN"/>
        </w:rPr>
        <w:t>对鱼类、珍稀水生动物及水生生态系统的影响：</w:t>
      </w:r>
      <w:r>
        <w:rPr>
          <w:rFonts w:hint="eastAsia" w:eastAsia="仿宋_GB2312"/>
          <w:color w:val="auto"/>
          <w:sz w:val="24"/>
        </w:rPr>
        <w:t>由于本项目码头采用</w:t>
      </w:r>
      <w:r>
        <w:rPr>
          <w:rFonts w:hint="eastAsia" w:eastAsia="仿宋_GB2312"/>
          <w:color w:val="auto"/>
          <w:sz w:val="24"/>
          <w:lang w:val="en-US" w:eastAsia="zh-CN"/>
        </w:rPr>
        <w:t>浮码头</w:t>
      </w:r>
      <w:r>
        <w:rPr>
          <w:rFonts w:hint="eastAsia" w:eastAsia="仿宋_GB2312"/>
          <w:color w:val="auto"/>
          <w:sz w:val="24"/>
        </w:rPr>
        <w:t>结构</w:t>
      </w:r>
      <w:r>
        <w:rPr>
          <w:rFonts w:hint="eastAsia" w:eastAsia="仿宋_GB2312"/>
          <w:color w:val="auto"/>
          <w:sz w:val="24"/>
          <w:lang w:val="en-US" w:eastAsia="zh-CN"/>
        </w:rPr>
        <w:t>形式</w:t>
      </w:r>
      <w:r>
        <w:rPr>
          <w:rFonts w:hint="eastAsia" w:eastAsia="仿宋_GB2312"/>
          <w:color w:val="auto"/>
          <w:sz w:val="24"/>
        </w:rPr>
        <w:t>，基本不阻挡鱼类的洄游通道。工程施工期的影响主要是码头平台的钢管桩打桩作业对水生生物的驱赶效应，采取施工期避开鱼类产卵季节等措施后，施工对鱼类影响不大，工程施工范围较小，所以基本不会影响鱼类物种资源的保护。工程完成后，原有的鱼类资源及其生息环境不会有太大的变化，评价范围鱼类种类、数量的影响不大。工程施工江段不涉及鱼类产卵场，最近的产卵场为下游约</w:t>
      </w:r>
      <w:r>
        <w:rPr>
          <w:rFonts w:hint="eastAsia" w:eastAsia="仿宋_GB2312"/>
          <w:color w:val="auto"/>
          <w:sz w:val="24"/>
          <w:lang w:val="en-US" w:eastAsia="zh-CN"/>
        </w:rPr>
        <w:t>7</w:t>
      </w:r>
      <w:r>
        <w:rPr>
          <w:rFonts w:hint="eastAsia" w:eastAsia="仿宋_GB2312"/>
          <w:color w:val="auto"/>
          <w:sz w:val="24"/>
        </w:rPr>
        <w:t>.7km处的松滋河口漂流性卵产卵场，水下施工安排在10-2月进行，避开了鱼类主要产卵期（4~7月），基本不会对鱼类产卵造成影响。施工期间码头建设对鱼类索饵场、越冬影响较小。由于工程施工区域有限，且工程河段不是江豚主要活动区域，所以工程施工不会对豚类的正常繁衍产生显著的影响。</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szCs w:val="24"/>
          <w:lang w:val="en-US" w:eastAsia="zh-CN"/>
        </w:rPr>
        <w:t>对中华鲟的影响：</w:t>
      </w:r>
      <w:r>
        <w:rPr>
          <w:rFonts w:hint="eastAsia" w:eastAsia="仿宋_GB2312"/>
          <w:color w:val="auto"/>
          <w:sz w:val="24"/>
        </w:rPr>
        <w:t>根据调查，中华鲟两处产卵场离工程施工水域距离均较远，工程不会对中华鲟产卵场的功能产生明显的影响。中华鲟主要在深水区活动，本工程位于长江岸边，施工活动造成中华鲟成鱼、幼鲟受伤的几率极小。本工程施工导致的洄游通道河床底质的改变对中华鲟洄游的影响不大，亦不会对其受精卵发育和孵化产生影响。施工水域，水中污染物可能会对仔鱼其生长发育造成不利影响，施工期影响随施工结束而随之消失。工程实施不会对中华鲟自然保护区的结构和功能性产生明显的影响。</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②陆生生态</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w:t>
      </w:r>
      <w:r>
        <w:rPr>
          <w:rFonts w:hint="eastAsia" w:eastAsia="仿宋_GB2312"/>
          <w:color w:val="auto"/>
          <w:sz w:val="24"/>
          <w:lang w:val="en-US" w:eastAsia="zh-CN"/>
        </w:rPr>
        <w:t>港区</w:t>
      </w:r>
      <w:r>
        <w:rPr>
          <w:rFonts w:hint="eastAsia" w:eastAsia="仿宋_GB2312"/>
          <w:color w:val="auto"/>
          <w:sz w:val="24"/>
        </w:rPr>
        <w:t>陆域施工，将破坏地表植被，使区域内植被覆盖率降低、植被生物量受损，如遇下雨天气会造成水土流失；施工破坏地表植被，影响了陆生动物生境，使栖息生境受到破坏，从而影响野生动物的分布，但对野生动物繁殖基本无影响，对其种群数量影响较小。受影响的植被类型及野生动物，均属评价区的常见种，在当地区域内分布较广，不会导致植物种群或动物种群消失或灭绝，不会改变区域内原有植被区系及动物区系组成、种群结构，区域内陆生生态系统的类型、结构、组成和功能不会发生变化，故对陆生生物多样性影响较小。随着施工期结束，施工对陆生生态的影响将随之消失。</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同时，工程建成后对施工区周边进行绿化，采用当地易存活草本植物，恢复一定数量的植被覆盖度，使区域生态环境损失将得到最大程度的恢复，陆生生态不会受到大的影响</w:t>
      </w:r>
      <w:r>
        <w:rPr>
          <w:rFonts w:hint="eastAsia" w:eastAsia="仿宋_GB2312"/>
          <w:color w:val="auto"/>
          <w:sz w:val="24"/>
          <w:lang w:eastAsia="zh-CN"/>
        </w:rPr>
        <w:t>。</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拟采取的措施：</w:t>
      </w:r>
      <w:r>
        <w:rPr>
          <w:rFonts w:hint="eastAsia" w:eastAsia="仿宋_GB2312"/>
          <w:color w:val="auto"/>
          <w:sz w:val="24"/>
        </w:rPr>
        <w:t>评价建议合理进行施工组织，工程水下施工应避开鱼类产卵繁殖期及鱼苗摄食育肥期（4月～6月），选择枯水季节进行。</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为避免施工船舶对本江段珍稀水生生物造成伤害，施工单位应优化施工工艺方案，尽量控制和减少污染物排放，尽量缩短水上作业时间。</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加强施工区域通航管理工作，避免船舶溢油事故。加强对施工人员的宣传教育工作，严禁捕捞珍稀水生保护动物，发现水生保护动物受到意外伤害，要及时送到相关部门实施救助。一旦发现珍稀保护动物靠近施工区域，视具体情况采取暂停施工，或敲击船舷的善意驱赶方式，将其驱离施工水域，避免意外伤害事故的发生。</w:t>
      </w:r>
    </w:p>
    <w:p>
      <w:pPr>
        <w:widowControl w:val="0"/>
        <w:spacing w:line="360" w:lineRule="auto"/>
        <w:ind w:firstLine="480" w:firstLineChars="200"/>
        <w:rPr>
          <w:rFonts w:eastAsia="仿宋_GB2312"/>
          <w:color w:val="auto"/>
          <w:kern w:val="0"/>
          <w:sz w:val="24"/>
        </w:rPr>
      </w:pPr>
      <w:r>
        <w:rPr>
          <w:rFonts w:hint="eastAsia" w:eastAsia="仿宋_GB2312"/>
          <w:color w:val="auto"/>
          <w:sz w:val="24"/>
        </w:rPr>
        <w:t>工程岸线位于中华鲟自然保护区</w:t>
      </w:r>
      <w:r>
        <w:rPr>
          <w:rFonts w:hint="eastAsia" w:eastAsia="仿宋_GB2312"/>
          <w:b/>
          <w:bCs/>
          <w:color w:val="auto"/>
          <w:sz w:val="24"/>
        </w:rPr>
        <w:t>外围保护地带</w:t>
      </w:r>
      <w:r>
        <w:rPr>
          <w:rFonts w:hint="eastAsia" w:eastAsia="仿宋_GB2312"/>
          <w:color w:val="auto"/>
          <w:sz w:val="24"/>
        </w:rPr>
        <w:t>，在项目实施前需征求相关主管部门意见</w:t>
      </w:r>
      <w:r>
        <w:rPr>
          <w:rFonts w:eastAsia="仿宋_GB2312"/>
          <w:color w:val="auto"/>
          <w:kern w:val="0"/>
          <w:sz w:val="24"/>
        </w:rPr>
        <w:t>。</w:t>
      </w:r>
    </w:p>
    <w:p>
      <w:pPr>
        <w:widowControl w:val="0"/>
        <w:spacing w:line="360" w:lineRule="auto"/>
        <w:ind w:firstLine="480" w:firstLineChars="200"/>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3</w:t>
      </w:r>
      <w:r>
        <w:rPr>
          <w:rFonts w:hint="eastAsia" w:eastAsia="仿宋_GB2312"/>
          <w:color w:val="auto"/>
          <w:sz w:val="24"/>
          <w:lang w:eastAsia="zh-CN"/>
        </w:rPr>
        <w:t>）</w:t>
      </w:r>
      <w:r>
        <w:rPr>
          <w:rFonts w:hint="eastAsia" w:eastAsia="仿宋_GB2312"/>
          <w:color w:val="auto"/>
          <w:sz w:val="24"/>
          <w:lang w:val="en-US" w:eastAsia="zh-CN"/>
        </w:rPr>
        <w:t>运营</w:t>
      </w:r>
      <w:r>
        <w:rPr>
          <w:rFonts w:hint="eastAsia" w:eastAsia="仿宋_GB2312"/>
          <w:color w:val="auto"/>
          <w:sz w:val="24"/>
        </w:rPr>
        <w:t>期</w:t>
      </w:r>
      <w:r>
        <w:rPr>
          <w:rFonts w:hint="eastAsia" w:eastAsia="仿宋_GB2312"/>
          <w:color w:val="auto"/>
          <w:sz w:val="24"/>
          <w:lang w:val="en-US" w:eastAsia="zh-CN"/>
        </w:rPr>
        <w:t>生态</w:t>
      </w:r>
      <w:r>
        <w:rPr>
          <w:rFonts w:hint="eastAsia" w:eastAsia="仿宋_GB2312"/>
          <w:color w:val="auto"/>
          <w:sz w:val="24"/>
        </w:rPr>
        <w:t>环境影响</w:t>
      </w:r>
      <w:r>
        <w:rPr>
          <w:rFonts w:hint="eastAsia" w:eastAsia="仿宋_GB2312"/>
          <w:color w:val="auto"/>
          <w:sz w:val="24"/>
          <w:lang w:val="en-US" w:eastAsia="zh-CN"/>
        </w:rPr>
        <w:t>分析</w:t>
      </w:r>
      <w:r>
        <w:rPr>
          <w:rFonts w:hint="eastAsia" w:eastAsia="仿宋_GB2312"/>
          <w:color w:val="auto"/>
          <w:sz w:val="24"/>
        </w:rPr>
        <w:t>及</w:t>
      </w:r>
      <w:r>
        <w:rPr>
          <w:rFonts w:hint="eastAsia" w:eastAsia="仿宋_GB2312"/>
          <w:color w:val="auto"/>
          <w:sz w:val="24"/>
          <w:lang w:val="en-US" w:eastAsia="zh-CN"/>
        </w:rPr>
        <w:t>保护</w:t>
      </w:r>
      <w:r>
        <w:rPr>
          <w:rFonts w:hint="eastAsia" w:eastAsia="仿宋_GB2312"/>
          <w:color w:val="auto"/>
          <w:sz w:val="24"/>
        </w:rPr>
        <w:t>措施</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①水生生态</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到港船舶进出对鱼类等水生生物</w:t>
      </w:r>
      <w:r>
        <w:rPr>
          <w:rFonts w:hint="eastAsia" w:eastAsia="仿宋_GB2312"/>
          <w:b/>
          <w:bCs/>
          <w:color w:val="auto"/>
          <w:sz w:val="24"/>
          <w:lang w:eastAsia="zh-CN"/>
        </w:rPr>
        <w:t>的</w:t>
      </w:r>
      <w:r>
        <w:rPr>
          <w:rFonts w:hint="eastAsia" w:eastAsia="仿宋_GB2312"/>
          <w:b/>
          <w:bCs/>
          <w:color w:val="auto"/>
          <w:sz w:val="24"/>
          <w:lang w:val="en-US" w:eastAsia="zh-CN"/>
        </w:rPr>
        <w:t>影响：</w:t>
      </w:r>
      <w:r>
        <w:rPr>
          <w:rFonts w:hint="eastAsia" w:eastAsia="仿宋_GB2312"/>
          <w:color w:val="auto"/>
          <w:sz w:val="24"/>
        </w:rPr>
        <w:t>产生的噪声干扰、螺旋桨误伤，船运增加和港口作业可能发生事故溢油风险。另外，运营期废水若随意排放也将对水生生态系统造成影响。</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对鱼类资源及水生生态系统等影响：</w:t>
      </w:r>
      <w:r>
        <w:rPr>
          <w:rFonts w:hint="eastAsia" w:eastAsia="仿宋_GB2312"/>
          <w:color w:val="auto"/>
          <w:sz w:val="24"/>
        </w:rPr>
        <w:t>航运繁忙使在水域过往的船舶数量增多，噪音将加剧，由于噪音污染源增多、大马力船舶的高噪音等影响对鱼类产生持续刺激作用，其生存空间被压缩，会影响鱼类的分布及组成，但造成鱼类死亡情况比较少，不会对鱼类资源量造成较大影响。同时，船舶数量增多，增加了鱼类尤其大型鱼类被机械损伤的几率，可能对鱼类直接造成伤害。但不会改变原有的水域生态环境，亦不会显著改变水生生物区系、种群结构等，工程运营对水生生态系统功能及水生生物多样性的影响较小。</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对鱼类“三场”及洄游通道影响：</w:t>
      </w:r>
      <w:r>
        <w:rPr>
          <w:rFonts w:hint="eastAsia" w:eastAsia="仿宋_GB2312"/>
          <w:color w:val="auto"/>
          <w:sz w:val="24"/>
        </w:rPr>
        <w:t>项目</w:t>
      </w:r>
      <w:r>
        <w:rPr>
          <w:rFonts w:hint="eastAsia" w:eastAsia="仿宋_GB2312"/>
          <w:color w:val="auto"/>
          <w:sz w:val="24"/>
          <w:lang w:val="en-US" w:eastAsia="zh-CN"/>
        </w:rPr>
        <w:t>技改</w:t>
      </w:r>
      <w:r>
        <w:rPr>
          <w:rFonts w:hint="eastAsia" w:eastAsia="仿宋_GB2312"/>
          <w:color w:val="auto"/>
          <w:sz w:val="24"/>
        </w:rPr>
        <w:t>码头距离产卵场较远，不会对四大家鱼产卵场及产粘砾石卵鱼类产卵场产生影响，故不会对鱼类“三场”产生影响。江段水生动物的洄游通道位于江心深槽区，码头位于近岸区域，不会对长江水生动物的洄游通道造成明显影响。</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对中华鲟的影响：</w:t>
      </w:r>
      <w:r>
        <w:rPr>
          <w:rFonts w:hint="eastAsia" w:eastAsia="仿宋_GB2312"/>
          <w:color w:val="auto"/>
          <w:sz w:val="24"/>
        </w:rPr>
        <w:t>项目运营后，船只螺旋桨可能造成躲避不及的中华鲟的死亡和伤害，误伤一定数量的鱼类，根据长江沿线中华鲟误伤和误捕情况分析，评价江段没有出现中华鲟集群逗留，因此这种误伤的几率极小。中华鲟成鱼洄游喜走深槽沙坝即沿江河道水深且多沙近的地方，王要是长江主航道（一般为江中心)，工程所在码头位于近岸区，不会对其洄游通道产生阻隔影响。中华鲟幼鱼在每年的l-3月份会经过本工程所在江段，工程所在码头对中华鲟幼鱼的影响不显著，主要相对缩小了中华鲟幼鱼降河洄游可利用的水域空间。</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对胭脂鱼影响：</w:t>
      </w:r>
      <w:r>
        <w:rPr>
          <w:rFonts w:hint="eastAsia" w:eastAsia="仿宋_GB2312"/>
          <w:color w:val="auto"/>
          <w:sz w:val="24"/>
        </w:rPr>
        <w:t>根据中国水产科学研究院长江水产研究所对胭脂鱼的听觉能力研究结果，船舶噪声主要集中于中低频10000hz左右，在胭脂鱼的听频范围以外，故本工程运行对其影响较小。</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对江豚影响：</w:t>
      </w:r>
      <w:r>
        <w:rPr>
          <w:rFonts w:hint="eastAsia" w:eastAsia="仿宋_GB2312"/>
          <w:color w:val="auto"/>
          <w:sz w:val="24"/>
        </w:rPr>
        <w:t>本工程建成后将使得江段过往船舶数量增加，由此增加的船舶噪声对江豚的影响将进一步加大，根据江豚的生活习性分析，噪音污染会在一定程度上改变江豚在该江段的游走方向和分布，但不会导致个体死亡，对其资源量不会产生影响。</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工程所在江段中华鲟、胭脂鱼等水生生物对船舶行驶有一定的躲避能力，工程运营后，对水生生物的分布区域和活动空间影响不大。在正常运营情况下，本工程对江豚、中华鲟、胭脂鱼等国家重点保护水生动物的影响不大。综合来看，本项目建设对生态环境的影响是可接受的</w:t>
      </w:r>
      <w:r>
        <w:rPr>
          <w:rFonts w:hint="eastAsia" w:eastAsia="仿宋_GB2312"/>
          <w:color w:val="auto"/>
          <w:sz w:val="24"/>
          <w:lang w:eastAsia="zh-CN"/>
        </w:rPr>
        <w:t>。</w:t>
      </w:r>
    </w:p>
    <w:p>
      <w:pPr>
        <w:widowControl w:val="0"/>
        <w:spacing w:line="360" w:lineRule="auto"/>
        <w:ind w:firstLine="480" w:firstLineChars="200"/>
        <w:rPr>
          <w:rFonts w:hint="default" w:eastAsia="仿宋_GB2312"/>
          <w:color w:val="auto"/>
          <w:sz w:val="24"/>
          <w:lang w:val="en-US" w:eastAsia="zh-CN"/>
        </w:rPr>
      </w:pPr>
      <w:r>
        <w:rPr>
          <w:rFonts w:hint="eastAsia" w:eastAsia="仿宋_GB2312"/>
          <w:color w:val="auto"/>
          <w:sz w:val="24"/>
          <w:lang w:val="en-US" w:eastAsia="zh-CN"/>
        </w:rPr>
        <w:t>②陆生生态</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运营期</w:t>
      </w:r>
      <w:r>
        <w:rPr>
          <w:rFonts w:hint="eastAsia" w:eastAsia="仿宋_GB2312"/>
          <w:color w:val="auto"/>
          <w:sz w:val="24"/>
          <w:lang w:val="en-US" w:eastAsia="zh-CN"/>
        </w:rPr>
        <w:t>港区陆域</w:t>
      </w:r>
      <w:r>
        <w:rPr>
          <w:rFonts w:hint="eastAsia" w:eastAsia="仿宋_GB2312"/>
          <w:color w:val="auto"/>
          <w:sz w:val="24"/>
        </w:rPr>
        <w:t>工程永久占地</w:t>
      </w:r>
      <w:r>
        <w:rPr>
          <w:rFonts w:hint="eastAsia" w:eastAsia="仿宋_GB2312"/>
          <w:color w:val="auto"/>
          <w:sz w:val="24"/>
          <w:lang w:val="en-US" w:eastAsia="zh-CN"/>
        </w:rPr>
        <w:t>较少</w:t>
      </w:r>
      <w:r>
        <w:rPr>
          <w:rFonts w:hint="eastAsia" w:eastAsia="仿宋_GB2312"/>
          <w:color w:val="auto"/>
          <w:sz w:val="24"/>
        </w:rPr>
        <w:t>。工程占地导致区域内植被覆盖面积减少，植被覆盖率降低，植被生物量受到一定损失，从而使得野生动物生境面积有所减少，导致物种迁徙，影响野生动物的分布。评价区域内受人类活动干扰较大，动物资源较为匮乏，都是当地常见种，在当地及评价范围内分布很广，工程占地对其影响有限；且周边区域有可替代的类似生境，受活动干扰的动物可迁徙至周边区域，故本项目陆域工程不会对该物种的生存造成威胁。</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同时，运营期工程用地周边的绿化将恢复一定数量的植被覆盖度，恢复野生动物部分生境，故工程占地对区域植被及野生动物影响有限，不会导致区域生态系统功能退化，对区域生物多样性影响较小</w:t>
      </w:r>
      <w:r>
        <w:rPr>
          <w:rFonts w:hint="eastAsia" w:eastAsia="仿宋_GB2312"/>
          <w:color w:val="auto"/>
          <w:sz w:val="24"/>
          <w:lang w:eastAsia="zh-CN"/>
        </w:rPr>
        <w:t>。</w:t>
      </w:r>
    </w:p>
    <w:p>
      <w:pPr>
        <w:widowControl w:val="0"/>
        <w:spacing w:line="360" w:lineRule="auto"/>
        <w:ind w:firstLine="482" w:firstLineChars="200"/>
        <w:rPr>
          <w:rFonts w:hint="eastAsia" w:eastAsia="仿宋_GB2312"/>
          <w:color w:val="auto"/>
          <w:sz w:val="24"/>
        </w:rPr>
      </w:pPr>
      <w:r>
        <w:rPr>
          <w:rFonts w:hint="eastAsia" w:eastAsia="仿宋_GB2312"/>
          <w:b/>
          <w:bCs/>
          <w:color w:val="auto"/>
          <w:sz w:val="24"/>
        </w:rPr>
        <w:t>拟采取的措施：</w:t>
      </w:r>
      <w:r>
        <w:rPr>
          <w:rFonts w:hint="eastAsia" w:eastAsia="仿宋_GB2312"/>
          <w:color w:val="auto"/>
          <w:sz w:val="24"/>
        </w:rPr>
        <w:t>运营期应加强对进出船舶管理，合理安排进出时间，避免船舶发生碰撞发生溢油事故；加强对卸船作业人员操作技能和环保意识的培训，确保按照规范进行操作；严格控制运输船舶噪声，减少噪声对水生生生物的干扰。定期检查及维护</w:t>
      </w:r>
      <w:r>
        <w:rPr>
          <w:rFonts w:hint="eastAsia" w:eastAsia="仿宋_GB2312"/>
          <w:color w:val="auto"/>
          <w:sz w:val="24"/>
          <w:lang w:val="en-US" w:eastAsia="zh-CN"/>
        </w:rPr>
        <w:t>码头人员生活污水</w:t>
      </w:r>
      <w:r>
        <w:rPr>
          <w:rFonts w:hint="eastAsia" w:eastAsia="仿宋_GB2312"/>
          <w:color w:val="auto"/>
          <w:sz w:val="24"/>
        </w:rPr>
        <w:t>、</w:t>
      </w:r>
      <w:r>
        <w:rPr>
          <w:rFonts w:hint="eastAsia" w:eastAsia="仿宋_GB2312"/>
          <w:color w:val="auto"/>
          <w:sz w:val="24"/>
          <w:lang w:val="en-US" w:eastAsia="zh-CN"/>
        </w:rPr>
        <w:t>码头面冲洗废水及初期雨水</w:t>
      </w:r>
      <w:r>
        <w:rPr>
          <w:rFonts w:hint="eastAsia" w:eastAsia="仿宋_GB2312"/>
          <w:color w:val="auto"/>
          <w:sz w:val="24"/>
        </w:rPr>
        <w:t>等废水收集舱，确保其不破损，并严禁废水随意排入长江等措施</w:t>
      </w:r>
      <w:r>
        <w:rPr>
          <w:rFonts w:hint="eastAsia" w:eastAsia="仿宋_GB2312"/>
          <w:color w:val="auto"/>
          <w:sz w:val="24"/>
          <w:lang w:eastAsia="zh-CN"/>
        </w:rPr>
        <w:t>。</w:t>
      </w:r>
    </w:p>
    <w:p>
      <w:pPr>
        <w:pStyle w:val="9"/>
        <w:widowControl w:val="0"/>
        <w:spacing w:before="120" w:after="120" w:line="360" w:lineRule="auto"/>
        <w:rPr>
          <w:rFonts w:hint="default" w:eastAsia="黑体"/>
          <w:b w:val="0"/>
          <w:color w:val="auto"/>
          <w:sz w:val="24"/>
          <w:lang w:val="en-US" w:eastAsia="zh-CN"/>
        </w:rPr>
      </w:pPr>
      <w:bookmarkStart w:id="601" w:name="_Toc23946"/>
      <w:r>
        <w:rPr>
          <w:rFonts w:hint="eastAsia" w:eastAsia="黑体"/>
          <w:b w:val="0"/>
          <w:color w:val="auto"/>
          <w:sz w:val="24"/>
          <w:lang w:val="en-US" w:eastAsia="zh-CN"/>
        </w:rPr>
        <w:t>11.4.5固体废物影响评价及环保措施</w:t>
      </w:r>
      <w:bookmarkEnd w:id="601"/>
    </w:p>
    <w:p>
      <w:pPr>
        <w:widowControl w:val="0"/>
        <w:spacing w:line="360" w:lineRule="auto"/>
        <w:ind w:firstLine="480" w:firstLineChars="200"/>
        <w:jc w:val="both"/>
        <w:rPr>
          <w:rFonts w:hint="eastAsia" w:eastAsia="仿宋_GB2312"/>
          <w:color w:val="auto"/>
          <w:sz w:val="24"/>
          <w:lang w:val="en-US" w:eastAsia="zh-CN"/>
        </w:rPr>
      </w:pPr>
      <w:r>
        <w:rPr>
          <w:rFonts w:hint="eastAsia" w:eastAsia="仿宋_GB2312"/>
          <w:color w:val="auto"/>
          <w:sz w:val="24"/>
          <w:lang w:val="en-US" w:eastAsia="zh-CN"/>
        </w:rPr>
        <w:t>施工期生活垃圾产生量约为24t，施工期建筑垃圾产生量约为100t；运营期码头工作人员生活垃圾产生量约为14.85t/a，到港船舶生活垃圾产生量约为55.02t/a，除尘器收尘灰约398t/a，港区机械维修废机油约0.5t/a。</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施工期固体废物由各施工单位负责处理，定点集中堆放，尽量回收利用，不能回收的由宜都市环卫部门同意收集处理。港区生活垃圾集中收集后交由环卫部门统一清运，除尘器收尘灰定期清理后装船外售，</w:t>
      </w:r>
      <w:r>
        <w:rPr>
          <w:rFonts w:hint="eastAsia" w:eastAsia="仿宋_GB2312"/>
          <w:color w:val="auto"/>
          <w:sz w:val="24"/>
          <w:szCs w:val="24"/>
        </w:rPr>
        <w:t>到港船舶</w:t>
      </w:r>
      <w:r>
        <w:rPr>
          <w:rFonts w:hint="eastAsia" w:eastAsia="仿宋_GB2312"/>
          <w:color w:val="auto"/>
          <w:sz w:val="24"/>
          <w:szCs w:val="24"/>
          <w:lang w:val="en-US" w:eastAsia="zh-CN"/>
        </w:rPr>
        <w:t>生活垃圾</w:t>
      </w:r>
      <w:r>
        <w:rPr>
          <w:rFonts w:hint="eastAsia" w:eastAsia="仿宋_GB2312"/>
          <w:color w:val="auto"/>
          <w:sz w:val="24"/>
          <w:szCs w:val="24"/>
        </w:rPr>
        <w:t>由海事部门认可的单位接收处理</w:t>
      </w:r>
      <w:r>
        <w:rPr>
          <w:rFonts w:hint="eastAsia" w:eastAsia="仿宋_GB2312"/>
          <w:color w:val="auto"/>
          <w:sz w:val="24"/>
          <w:szCs w:val="24"/>
          <w:lang w:eastAsia="zh-CN"/>
        </w:rPr>
        <w:t>，</w:t>
      </w:r>
      <w:r>
        <w:rPr>
          <w:rFonts w:hint="eastAsia" w:eastAsia="仿宋_GB2312"/>
          <w:color w:val="auto"/>
          <w:sz w:val="24"/>
          <w:lang w:val="en-US" w:eastAsia="zh-CN"/>
        </w:rPr>
        <w:t>废机油等危险固废暂存于趸船上设置的危险废物暂存间，集中收集后交由有资质的单位或公司处置。</w:t>
      </w:r>
    </w:p>
    <w:p>
      <w:pPr>
        <w:pStyle w:val="9"/>
        <w:widowControl w:val="0"/>
        <w:spacing w:before="120" w:after="120" w:line="360" w:lineRule="auto"/>
        <w:rPr>
          <w:rFonts w:hint="default" w:eastAsia="黑体"/>
          <w:b w:val="0"/>
          <w:color w:val="auto"/>
          <w:sz w:val="24"/>
          <w:lang w:val="en-US" w:eastAsia="zh-CN"/>
        </w:rPr>
      </w:pPr>
      <w:bookmarkStart w:id="602" w:name="_Toc26519"/>
      <w:r>
        <w:rPr>
          <w:rFonts w:hint="eastAsia" w:eastAsia="黑体"/>
          <w:b w:val="0"/>
          <w:color w:val="auto"/>
          <w:sz w:val="24"/>
          <w:lang w:val="en-US" w:eastAsia="zh-CN"/>
        </w:rPr>
        <w:t>11.4.6事故风险影响评价</w:t>
      </w:r>
      <w:bookmarkEnd w:id="602"/>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本工程的环境风险主要为运营期船舶作业时发生碰撞导致溢油事故。</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1</w:t>
      </w:r>
      <w:r>
        <w:rPr>
          <w:rFonts w:hint="eastAsia" w:eastAsia="仿宋_GB2312"/>
          <w:color w:val="auto"/>
          <w:sz w:val="24"/>
          <w:lang w:eastAsia="zh-CN"/>
        </w:rPr>
        <w:t>）</w:t>
      </w:r>
      <w:r>
        <w:rPr>
          <w:rFonts w:hint="eastAsia" w:eastAsia="仿宋_GB2312"/>
          <w:color w:val="auto"/>
          <w:sz w:val="24"/>
          <w:lang w:val="en-US" w:eastAsia="zh-CN"/>
        </w:rPr>
        <w:t>丰水期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主导风向ES、平均风速1.0m/s条件下，码头前沿发生溢油事故时，油膜向下游方向飘移。第3.13h油膜到达百里洲水厂取水口二级水源保护区水域，持续污染04h后不再对其产生污染影响；第3.67h油膜到达百里洲水厂取水口一级水源保护区水域，持续污染0.22h后不再对其产生污染影响；第3.47h油膜到达百里洲水厂取水口水域附近，持续污染0.07h后不再对其产生污染影响；第3.5h油膜到达百里洲水厂取水口二级水源保护区水域，持续污染0.1h后不再对其产生污染影响；此后油膜继续向下游漂移直至消散。</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rPr>
        <w:t>在不利风向SW、最大风速10.8m/s条件下，码头前沿发生溢油事故时，油膜向下游方向飘移，第2.93h油膜到达百里洲水厂取水口二级水源保护区水域，持续污染0.28h后不再对其产生污染影响；第3.17h油膜到达百里洲水厂取水口一级水源保护区水域，持续污染0.17h后不再对其产生污染影响；第3.3h油膜到达百里洲水厂取水口水域附近，持续污染0.05h后不再对其产生污染影响；第3.33h油膜到达百里洲水厂取水口二级水源保护区水域，持续污染0.07h后不再对其产生污染影响；此后油膜继续向下游漂移直至消散</w:t>
      </w:r>
      <w:r>
        <w:rPr>
          <w:rFonts w:hint="eastAsia" w:eastAsia="仿宋_GB2312"/>
          <w:color w:val="auto"/>
          <w:sz w:val="24"/>
          <w:lang w:val="en-US" w:eastAsia="zh-CN"/>
        </w:rPr>
        <w:t>。</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lang w:eastAsia="zh-CN"/>
        </w:rPr>
        <w:t>（</w:t>
      </w:r>
      <w:r>
        <w:rPr>
          <w:rFonts w:hint="eastAsia" w:eastAsia="仿宋_GB2312"/>
          <w:color w:val="auto"/>
          <w:sz w:val="24"/>
          <w:lang w:val="en-US" w:eastAsia="zh-CN"/>
        </w:rPr>
        <w:t>2</w:t>
      </w:r>
      <w:r>
        <w:rPr>
          <w:rFonts w:hint="eastAsia" w:eastAsia="仿宋_GB2312"/>
          <w:color w:val="auto"/>
          <w:sz w:val="24"/>
          <w:lang w:eastAsia="zh-CN"/>
        </w:rPr>
        <w:t>）</w:t>
      </w:r>
      <w:r>
        <w:rPr>
          <w:rFonts w:hint="eastAsia" w:eastAsia="仿宋_GB2312"/>
          <w:color w:val="auto"/>
          <w:sz w:val="24"/>
          <w:lang w:val="en-US" w:eastAsia="zh-CN"/>
        </w:rPr>
        <w:t>平水期</w:t>
      </w:r>
    </w:p>
    <w:p>
      <w:pPr>
        <w:widowControl w:val="0"/>
        <w:spacing w:line="360" w:lineRule="auto"/>
        <w:ind w:firstLine="480" w:firstLineChars="200"/>
        <w:jc w:val="both"/>
        <w:rPr>
          <w:rFonts w:hint="eastAsia" w:eastAsia="仿宋_GB2312"/>
          <w:color w:val="auto"/>
          <w:sz w:val="24"/>
        </w:rPr>
      </w:pPr>
      <w:r>
        <w:rPr>
          <w:rFonts w:hint="eastAsia" w:eastAsia="仿宋_GB2312"/>
          <w:color w:val="auto"/>
          <w:sz w:val="24"/>
        </w:rPr>
        <w:t>在主导风向ES、平均风速1.0m/s条件下，第3.87h油膜到达百里洲水厂取水口二级水源保护区水域，持续污染0.62h后不再对其产生污染影响；第4.17h油膜到达百里洲水厂取水口一级水源保护区水域，持续污染0.37h后不再对其产生污染影响；第4.27h油膜到达百里洲水厂取水口水域附近，持续污染0.12h后不再对其产生污染影响；第4.3h油膜到达百里洲水厂取水口二级水源保护区水域，持续污染0.17h后不再对其产生污染影响；此后油膜继续向下游漂移直至消散。</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rPr>
        <w:t>在不利风向SW、最大风速10.8m/s条件下，码头前沿发生溢油事故时，油膜向下游方向飘移，第3.67h油膜到达百里洲水厂取水口二级水源保护区水域，持续污染0.50h后不再对其产生污染影响；第3.93h油膜到达百里洲水厂取水口一级水源保护区水域，持续污染0.28h后不再对其产生污染影响；第4.03h油膜到达百里洲水厂取水口水域附近，持续污染0.08h后不再对其产生污染影响；第4.07h油膜到达百里洲水厂取水口二级水源保护区水域，持续污染0.12h后不再对其产生污染影响；此后油膜继续向下游漂移直至消散</w:t>
      </w:r>
      <w:r>
        <w:rPr>
          <w:rFonts w:hint="eastAsia" w:eastAsia="仿宋_GB2312"/>
          <w:color w:val="auto"/>
          <w:sz w:val="24"/>
          <w:lang w:eastAsia="zh-CN"/>
        </w:rPr>
        <w:t>。</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为保护长江水质，必须通过严格的环境管理，加强监控，杜绝溢油事故的发生。并通过建立有关制度、完善设备，提高人员素质和制定溢油应急计划，采取适当的控制溢油事故措施，以控制溢油事故的污染。</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码头一旦发生风险事故，应立即启动溢油应急计划，采取事故应急措施，降低溢油事故对环境的影响。</w:t>
      </w:r>
    </w:p>
    <w:p>
      <w:pPr>
        <w:widowControl w:val="0"/>
        <w:spacing w:line="360" w:lineRule="auto"/>
        <w:ind w:firstLine="480" w:firstLineChars="200"/>
        <w:rPr>
          <w:rFonts w:hint="eastAsia" w:eastAsia="仿宋_GB2312"/>
          <w:color w:val="auto"/>
          <w:sz w:val="24"/>
          <w:lang w:val="en-US" w:eastAsia="zh-CN"/>
        </w:rPr>
      </w:pPr>
      <w:r>
        <w:rPr>
          <w:rFonts w:hint="eastAsia" w:eastAsia="仿宋_GB2312"/>
          <w:color w:val="auto"/>
          <w:sz w:val="24"/>
          <w:lang w:val="en-US" w:eastAsia="zh-CN"/>
        </w:rPr>
        <w:t>评价建议加强火灾事故预防措施，如安装防静电、防雷设备，报警监控系统等，并完善现场管理制度。配备应急设备及物资，建立火灾应急预案。</w:t>
      </w:r>
    </w:p>
    <w:p>
      <w:pPr>
        <w:pStyle w:val="9"/>
        <w:widowControl w:val="0"/>
        <w:spacing w:before="120" w:after="120" w:line="360" w:lineRule="auto"/>
        <w:rPr>
          <w:rFonts w:hint="eastAsia" w:eastAsia="黑体"/>
          <w:b w:val="0"/>
          <w:color w:val="auto"/>
          <w:sz w:val="24"/>
          <w:lang w:val="en-US" w:eastAsia="zh-CN"/>
        </w:rPr>
      </w:pPr>
      <w:bookmarkStart w:id="603" w:name="_Toc13520"/>
      <w:r>
        <w:rPr>
          <w:rFonts w:hint="eastAsia" w:eastAsia="黑体"/>
          <w:b w:val="0"/>
          <w:color w:val="auto"/>
          <w:sz w:val="24"/>
          <w:lang w:val="en-US" w:eastAsia="zh-CN"/>
        </w:rPr>
        <w:t>11.4.7非正常排放防范措施建议</w:t>
      </w:r>
      <w:bookmarkEnd w:id="603"/>
    </w:p>
    <w:p>
      <w:pPr>
        <w:pStyle w:val="336"/>
        <w:widowControl w:val="0"/>
        <w:ind w:firstLine="480" w:firstLineChars="200"/>
        <w:rPr>
          <w:rFonts w:eastAsia="仿宋_GB2312"/>
          <w:color w:val="auto"/>
          <w:szCs w:val="24"/>
        </w:rPr>
      </w:pPr>
      <w:bookmarkStart w:id="604" w:name="_Toc305859632"/>
      <w:bookmarkStart w:id="605" w:name="_Toc343702982"/>
      <w:r>
        <w:rPr>
          <w:rFonts w:eastAsia="仿宋_GB2312"/>
          <w:color w:val="auto"/>
          <w:szCs w:val="24"/>
        </w:rPr>
        <w:t>污染物非正常排放主要是设备检修时排放的污染物及工艺设备或环保设施达不到设计规定指标运行时的排放。就本项目而言，事故排放往往是由废气处理系统出现运行故障造成的，非正常排放往往造成污染物排放浓度的大幅度超标。当废气处理设备故障时，应暂停生产，进行设备检修，待恢复正常后再进行生产。</w:t>
      </w:r>
    </w:p>
    <w:bookmarkEnd w:id="604"/>
    <w:bookmarkEnd w:id="605"/>
    <w:p>
      <w:pPr>
        <w:pStyle w:val="8"/>
        <w:widowControl w:val="0"/>
        <w:spacing w:before="120" w:after="120" w:line="360" w:lineRule="auto"/>
        <w:rPr>
          <w:rFonts w:ascii="Times New Roman" w:hAnsi="Times New Roman"/>
          <w:b w:val="0"/>
          <w:color w:val="auto"/>
          <w:szCs w:val="32"/>
        </w:rPr>
      </w:pPr>
      <w:bookmarkStart w:id="606" w:name="_Toc343702983"/>
      <w:bookmarkStart w:id="607" w:name="_Toc122"/>
      <w:bookmarkStart w:id="608" w:name="_Toc305859633"/>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w:t>
      </w:r>
      <w:r>
        <w:rPr>
          <w:rFonts w:hint="eastAsia" w:ascii="Times New Roman" w:hAnsi="Times New Roman"/>
          <w:b w:val="0"/>
          <w:color w:val="auto"/>
          <w:szCs w:val="32"/>
          <w:lang w:val="en-US" w:eastAsia="zh-CN"/>
        </w:rPr>
        <w:t>5</w:t>
      </w:r>
      <w:r>
        <w:rPr>
          <w:rFonts w:ascii="Times New Roman" w:hAnsi="Times New Roman"/>
          <w:b w:val="0"/>
          <w:color w:val="auto"/>
          <w:szCs w:val="32"/>
        </w:rPr>
        <w:t>环境风险评价</w:t>
      </w:r>
      <w:bookmarkEnd w:id="606"/>
      <w:bookmarkEnd w:id="607"/>
      <w:bookmarkEnd w:id="608"/>
    </w:p>
    <w:p>
      <w:pPr>
        <w:widowControl w:val="0"/>
        <w:spacing w:line="360" w:lineRule="auto"/>
        <w:ind w:firstLine="480" w:firstLineChars="200"/>
        <w:rPr>
          <w:rFonts w:hint="eastAsia" w:eastAsia="仿宋_GB2312"/>
          <w:color w:val="auto"/>
          <w:sz w:val="24"/>
        </w:rPr>
      </w:pPr>
      <w:bookmarkStart w:id="609" w:name="_Toc305859634"/>
      <w:r>
        <w:rPr>
          <w:rFonts w:eastAsia="仿宋_GB2312"/>
          <w:color w:val="auto"/>
          <w:sz w:val="24"/>
        </w:rPr>
        <w:t>根据《建设项目环境风险评价技术导则》（HJ169-20</w:t>
      </w:r>
      <w:r>
        <w:rPr>
          <w:rFonts w:hint="eastAsia" w:eastAsia="仿宋_GB2312"/>
          <w:color w:val="auto"/>
          <w:sz w:val="24"/>
        </w:rPr>
        <w:t>18</w:t>
      </w:r>
      <w:r>
        <w:rPr>
          <w:rFonts w:eastAsia="仿宋_GB2312"/>
          <w:color w:val="auto"/>
          <w:sz w:val="24"/>
        </w:rPr>
        <w:t>）评价工作级别划分标准的要求，</w:t>
      </w:r>
      <w:r>
        <w:rPr>
          <w:rFonts w:hint="eastAsia" w:eastAsia="仿宋_GB2312"/>
          <w:color w:val="auto"/>
          <w:sz w:val="24"/>
        </w:rPr>
        <w:t>拟建</w:t>
      </w:r>
      <w:r>
        <w:rPr>
          <w:rFonts w:eastAsia="仿宋_GB2312"/>
          <w:color w:val="auto"/>
          <w:sz w:val="24"/>
        </w:rPr>
        <w:t>项目</w:t>
      </w:r>
      <w:r>
        <w:rPr>
          <w:rFonts w:hint="eastAsia" w:eastAsia="仿宋_GB2312"/>
          <w:color w:val="auto"/>
          <w:sz w:val="24"/>
        </w:rPr>
        <w:t>环境风险潜势综合等级确定为Ⅰ级，</w:t>
      </w:r>
      <w:r>
        <w:rPr>
          <w:rFonts w:hint="eastAsia" w:eastAsia="仿宋_GB2312"/>
          <w:bCs/>
          <w:color w:val="auto"/>
          <w:sz w:val="24"/>
        </w:rPr>
        <w:t>仅需进行简单分析</w:t>
      </w:r>
      <w:r>
        <w:rPr>
          <w:rFonts w:eastAsia="仿宋_GB2312"/>
          <w:color w:val="auto"/>
          <w:sz w:val="24"/>
        </w:rPr>
        <w:t>。</w:t>
      </w:r>
    </w:p>
    <w:p>
      <w:pPr>
        <w:widowControl w:val="0"/>
        <w:spacing w:line="360" w:lineRule="auto"/>
        <w:ind w:firstLine="460" w:firstLineChars="192"/>
        <w:rPr>
          <w:rFonts w:eastAsia="仿宋_GB2312"/>
          <w:color w:val="auto"/>
          <w:sz w:val="24"/>
        </w:rPr>
      </w:pPr>
      <w:r>
        <w:rPr>
          <w:rFonts w:hint="eastAsia" w:eastAsia="仿宋_GB2312"/>
          <w:color w:val="auto"/>
          <w:sz w:val="24"/>
        </w:rPr>
        <w:t>拟建项目制定了一系列风险防范措施，在采取有效的风险防范措施后，项目的环境风险水平可以接受。</w:t>
      </w:r>
    </w:p>
    <w:p>
      <w:pPr>
        <w:pStyle w:val="8"/>
        <w:widowControl w:val="0"/>
        <w:spacing w:before="120" w:after="120" w:line="360" w:lineRule="auto"/>
        <w:rPr>
          <w:rFonts w:hint="eastAsia" w:ascii="Times New Roman" w:hAnsi="Times New Roman"/>
          <w:b w:val="0"/>
          <w:color w:val="auto"/>
          <w:szCs w:val="32"/>
          <w:lang w:val="en-US" w:eastAsia="zh-CN"/>
        </w:rPr>
      </w:pPr>
      <w:bookmarkStart w:id="610" w:name="_Toc343702984"/>
      <w:bookmarkStart w:id="611" w:name="_Toc25390"/>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w:t>
      </w:r>
      <w:bookmarkEnd w:id="609"/>
      <w:bookmarkEnd w:id="610"/>
      <w:r>
        <w:rPr>
          <w:rFonts w:hint="eastAsia" w:ascii="Times New Roman" w:hAnsi="Times New Roman"/>
          <w:b w:val="0"/>
          <w:color w:val="auto"/>
          <w:szCs w:val="32"/>
          <w:lang w:val="en-US" w:eastAsia="zh-CN"/>
        </w:rPr>
        <w:t>6公众参与</w:t>
      </w:r>
      <w:bookmarkEnd w:id="611"/>
    </w:p>
    <w:p>
      <w:pPr>
        <w:widowControl w:val="0"/>
        <w:spacing w:line="360" w:lineRule="auto"/>
        <w:ind w:firstLine="460" w:firstLineChars="192"/>
        <w:rPr>
          <w:rFonts w:hint="eastAsia" w:eastAsia="仿宋_GB2312"/>
          <w:color w:val="auto"/>
          <w:sz w:val="24"/>
        </w:rPr>
      </w:pPr>
      <w:bookmarkStart w:id="612" w:name="_Toc305859635"/>
      <w:r>
        <w:rPr>
          <w:rFonts w:hint="eastAsia" w:eastAsia="仿宋_GB2312"/>
          <w:color w:val="auto"/>
          <w:sz w:val="24"/>
        </w:rPr>
        <w:t>建设单位通过网站公示开展了公众参与工作。建设单位于202</w:t>
      </w:r>
      <w:r>
        <w:rPr>
          <w:rFonts w:hint="eastAsia" w:eastAsia="仿宋_GB2312"/>
          <w:color w:val="auto"/>
          <w:sz w:val="24"/>
          <w:lang w:val="en-US" w:eastAsia="zh-CN"/>
        </w:rPr>
        <w:t>3</w:t>
      </w:r>
      <w:r>
        <w:rPr>
          <w:rFonts w:hint="eastAsia" w:eastAsia="仿宋_GB2312"/>
          <w:color w:val="auto"/>
          <w:sz w:val="24"/>
        </w:rPr>
        <w:t>年</w:t>
      </w:r>
      <w:r>
        <w:rPr>
          <w:rFonts w:hint="eastAsia" w:eastAsia="仿宋_GB2312"/>
          <w:color w:val="auto"/>
          <w:sz w:val="24"/>
          <w:lang w:val="en-US" w:eastAsia="zh-CN"/>
        </w:rPr>
        <w:t>3</w:t>
      </w:r>
      <w:r>
        <w:rPr>
          <w:rFonts w:hint="eastAsia" w:eastAsia="仿宋_GB2312"/>
          <w:color w:val="auto"/>
          <w:sz w:val="24"/>
        </w:rPr>
        <w:t>月</w:t>
      </w:r>
      <w:r>
        <w:rPr>
          <w:rFonts w:hint="eastAsia" w:eastAsia="仿宋_GB2312"/>
          <w:color w:val="auto"/>
          <w:sz w:val="24"/>
          <w:lang w:val="en-US" w:eastAsia="zh-CN"/>
        </w:rPr>
        <w:t>15</w:t>
      </w:r>
      <w:r>
        <w:rPr>
          <w:rFonts w:hint="eastAsia" w:eastAsia="仿宋_GB2312"/>
          <w:color w:val="auto"/>
          <w:sz w:val="24"/>
        </w:rPr>
        <w:t>日在</w:t>
      </w:r>
      <w:r>
        <w:rPr>
          <w:rFonts w:hint="eastAsia" w:eastAsia="仿宋_GB2312"/>
          <w:color w:val="auto"/>
          <w:sz w:val="24"/>
          <w:lang w:val="en-US" w:eastAsia="zh-CN"/>
        </w:rPr>
        <w:t>宜昌市生态环境局官</w:t>
      </w:r>
      <w:r>
        <w:rPr>
          <w:rFonts w:hint="eastAsia" w:eastAsia="仿宋_GB2312"/>
          <w:color w:val="auto"/>
          <w:sz w:val="24"/>
        </w:rPr>
        <w:t>网（http://hbj.yichang.gov.cn/content-42531-990998-1.html）进行了项目</w:t>
      </w:r>
      <w:r>
        <w:rPr>
          <w:rFonts w:hint="eastAsia" w:eastAsia="仿宋_GB2312"/>
          <w:color w:val="auto"/>
          <w:sz w:val="24"/>
          <w:lang w:val="en-US" w:eastAsia="zh-CN"/>
        </w:rPr>
        <w:t>环境影响评价第一次</w:t>
      </w:r>
      <w:r>
        <w:rPr>
          <w:rFonts w:hint="eastAsia" w:eastAsia="仿宋_GB2312"/>
          <w:color w:val="auto"/>
          <w:sz w:val="24"/>
        </w:rPr>
        <w:t>公示。</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项目基本信息和征求意见稿公示期间，未收到公民、法人和其他组织反馈的环境影响评价公众意见表</w:t>
      </w:r>
      <w:r>
        <w:rPr>
          <w:rFonts w:eastAsia="仿宋_GB2312"/>
          <w:color w:val="auto"/>
          <w:sz w:val="24"/>
        </w:rPr>
        <w:t>。</w:t>
      </w:r>
    </w:p>
    <w:bookmarkEnd w:id="612"/>
    <w:p>
      <w:pPr>
        <w:pStyle w:val="8"/>
        <w:widowControl w:val="0"/>
        <w:spacing w:before="120" w:after="120" w:line="360" w:lineRule="auto"/>
        <w:rPr>
          <w:rFonts w:ascii="Times New Roman" w:hAnsi="Times New Roman"/>
          <w:b w:val="0"/>
          <w:color w:val="auto"/>
          <w:szCs w:val="32"/>
        </w:rPr>
      </w:pPr>
      <w:bookmarkStart w:id="613" w:name="_Toc2792"/>
      <w:bookmarkStart w:id="614" w:name="_Toc305859637"/>
      <w:bookmarkStart w:id="615" w:name="_Toc343702987"/>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w:t>
      </w:r>
      <w:r>
        <w:rPr>
          <w:rFonts w:hint="eastAsia" w:ascii="Times New Roman" w:hAnsi="Times New Roman"/>
          <w:b w:val="0"/>
          <w:color w:val="auto"/>
          <w:szCs w:val="32"/>
          <w:lang w:val="en-US" w:eastAsia="zh-CN"/>
        </w:rPr>
        <w:t>7</w:t>
      </w:r>
      <w:r>
        <w:rPr>
          <w:rFonts w:hint="eastAsia" w:ascii="Times New Roman" w:hAnsi="Times New Roman"/>
          <w:b w:val="0"/>
          <w:color w:val="auto"/>
          <w:szCs w:val="32"/>
        </w:rPr>
        <w:t>总量控制</w:t>
      </w:r>
      <w:bookmarkEnd w:id="613"/>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建设项目环境保护管理条例》中第三条规定：建设产生污染的建设项目，必须遵守污染物排放的国家标准和地方标准；在实施重点污染物排放总量控制的区域内，还必须符合重点污染物排放总量控制的要求。其原则是以当地环境容量及污染物达标排放为基础，新建项目增加的污染物排放量应不影响当地环境保护目标的实现，不对周围地区环境造成有害影响，即评价区域环境质量应保持在功能区的目标，区域污染物的排放总量控制在上级环境保护主管部门下达的目标之内。</w:t>
      </w:r>
    </w:p>
    <w:p>
      <w:pPr>
        <w:widowControl w:val="0"/>
        <w:spacing w:line="360" w:lineRule="auto"/>
        <w:ind w:firstLine="480" w:firstLineChars="200"/>
        <w:rPr>
          <w:rFonts w:hint="eastAsia" w:eastAsia="仿宋_GB2312"/>
          <w:color w:val="auto"/>
          <w:sz w:val="24"/>
        </w:rPr>
      </w:pPr>
      <w:r>
        <w:rPr>
          <w:rFonts w:hint="eastAsia" w:eastAsia="仿宋_GB2312"/>
          <w:color w:val="auto"/>
          <w:sz w:val="24"/>
        </w:rPr>
        <w:t>根据国家环境保护部对实施污染物排放总量控制的要求，综合考虑工程项目的工艺特点和排污特点、所在区域环境质量现状以及</w:t>
      </w:r>
      <w:r>
        <w:rPr>
          <w:rFonts w:hint="eastAsia" w:eastAsia="仿宋_GB2312"/>
          <w:color w:val="auto"/>
          <w:sz w:val="24"/>
          <w:lang w:val="en-US" w:eastAsia="zh-CN"/>
        </w:rPr>
        <w:t>湖北省</w:t>
      </w:r>
      <w:r>
        <w:rPr>
          <w:rFonts w:hint="eastAsia" w:eastAsia="仿宋_GB2312"/>
          <w:color w:val="auto"/>
          <w:sz w:val="24"/>
        </w:rPr>
        <w:t>环境管理部门的要求，本次评价确定实行总量控制的污染物有：</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rPr>
        <w:t>大气污染物总量控制因子：</w:t>
      </w:r>
      <w:r>
        <w:rPr>
          <w:rFonts w:hint="eastAsia" w:eastAsia="仿宋_GB2312"/>
          <w:color w:val="auto"/>
          <w:sz w:val="24"/>
          <w:lang w:val="en-US" w:eastAsia="zh-CN"/>
        </w:rPr>
        <w:t>颗粒物、二氧化硫、氮氧化物；</w:t>
      </w:r>
      <w:r>
        <w:rPr>
          <w:rFonts w:hint="eastAsia" w:eastAsia="仿宋_GB2312"/>
          <w:color w:val="auto"/>
          <w:sz w:val="24"/>
        </w:rPr>
        <w:t>本工程</w:t>
      </w:r>
      <w:r>
        <w:rPr>
          <w:rFonts w:hint="eastAsia" w:eastAsia="仿宋_GB2312"/>
          <w:color w:val="auto"/>
          <w:sz w:val="24"/>
          <w:lang w:eastAsia="zh-CN"/>
        </w:rPr>
        <w:t>运营期</w:t>
      </w:r>
      <w:r>
        <w:rPr>
          <w:rFonts w:hint="eastAsia" w:eastAsia="仿宋_GB2312"/>
          <w:color w:val="auto"/>
          <w:sz w:val="24"/>
        </w:rPr>
        <w:t>污水不外排。</w:t>
      </w:r>
      <w:r>
        <w:rPr>
          <w:rFonts w:hint="eastAsia" w:eastAsia="仿宋_GB2312"/>
          <w:color w:val="auto"/>
          <w:sz w:val="24"/>
          <w:lang w:val="en-US" w:eastAsia="zh-CN"/>
        </w:rPr>
        <w:t>码头人员生活污水通过</w:t>
      </w:r>
      <w:r>
        <w:rPr>
          <w:rFonts w:hint="eastAsia" w:eastAsia="仿宋_GB2312"/>
          <w:color w:val="auto"/>
          <w:sz w:val="24"/>
        </w:rPr>
        <w:t>各自趸船下方生活污水储存柜储存，委托海事部门认定的船舶污染物接收船定期统一处理</w:t>
      </w:r>
      <w:r>
        <w:rPr>
          <w:rFonts w:hint="eastAsia" w:eastAsia="仿宋_GB2312"/>
          <w:color w:val="auto"/>
          <w:sz w:val="24"/>
          <w:lang w:eastAsia="zh-CN"/>
        </w:rPr>
        <w:t>；</w:t>
      </w:r>
      <w:r>
        <w:rPr>
          <w:rFonts w:hint="eastAsia" w:eastAsia="仿宋_GB2312"/>
          <w:color w:val="auto"/>
          <w:sz w:val="24"/>
          <w:lang w:val="en-US" w:eastAsia="zh-CN"/>
        </w:rPr>
        <w:t>码头面冲洗废水和</w:t>
      </w:r>
      <w:r>
        <w:rPr>
          <w:rFonts w:hint="eastAsia" w:eastAsia="仿宋_GB2312"/>
          <w:color w:val="auto"/>
          <w:sz w:val="24"/>
        </w:rPr>
        <w:t>初期雨水</w:t>
      </w:r>
      <w:r>
        <w:rPr>
          <w:rFonts w:hint="eastAsia" w:eastAsia="仿宋_GB2312"/>
          <w:color w:val="auto"/>
          <w:sz w:val="24"/>
          <w:lang w:val="en-US" w:eastAsia="zh-CN"/>
        </w:rPr>
        <w:t>经</w:t>
      </w:r>
      <w:r>
        <w:rPr>
          <w:rFonts w:hint="eastAsia" w:eastAsia="仿宋_GB2312"/>
          <w:color w:val="auto"/>
          <w:sz w:val="24"/>
          <w:lang w:eastAsia="zh-CN"/>
        </w:rPr>
        <w:t>趸船收集坎收集后进入初期雨水收集柜储存，委托海事部门认定的船舶污染物接收船定期统一处理；</w:t>
      </w:r>
      <w:r>
        <w:rPr>
          <w:rFonts w:hint="eastAsia" w:eastAsia="仿宋_GB2312"/>
          <w:color w:val="auto"/>
          <w:sz w:val="24"/>
        </w:rPr>
        <w:t>到港船舶生活污水及舱底油污水由设在码头的智能化船舶污水收集装置接收暂存，定期由海事部门指定的工作船接收</w:t>
      </w:r>
      <w:r>
        <w:rPr>
          <w:rFonts w:hint="eastAsia" w:eastAsia="仿宋_GB2312"/>
          <w:color w:val="auto"/>
          <w:sz w:val="24"/>
          <w:lang w:eastAsia="zh-CN"/>
        </w:rPr>
        <w:t>，</w:t>
      </w:r>
      <w:r>
        <w:rPr>
          <w:rFonts w:hint="eastAsia" w:eastAsia="仿宋_GB2312"/>
          <w:color w:val="auto"/>
          <w:sz w:val="24"/>
          <w:lang w:val="en-US" w:eastAsia="zh-CN"/>
        </w:rPr>
        <w:t>本项目不接收</w:t>
      </w:r>
      <w:r>
        <w:rPr>
          <w:rFonts w:hint="eastAsia" w:eastAsia="仿宋_GB2312"/>
          <w:color w:val="auto"/>
          <w:sz w:val="24"/>
        </w:rPr>
        <w:t>到港船舶生活污水及舱底油污水。</w:t>
      </w:r>
      <w:r>
        <w:rPr>
          <w:rFonts w:hint="eastAsia" w:eastAsia="仿宋_GB2312"/>
          <w:color w:val="auto"/>
          <w:sz w:val="24"/>
          <w:lang w:val="en-US" w:eastAsia="zh-CN"/>
        </w:rPr>
        <w:t>水</w:t>
      </w:r>
      <w:r>
        <w:rPr>
          <w:rFonts w:hint="eastAsia" w:eastAsia="仿宋_GB2312"/>
          <w:color w:val="auto"/>
          <w:sz w:val="24"/>
        </w:rPr>
        <w:t>环境总量控制指标为零。</w:t>
      </w:r>
    </w:p>
    <w:p>
      <w:pPr>
        <w:widowControl w:val="0"/>
        <w:spacing w:line="360" w:lineRule="auto"/>
        <w:ind w:firstLine="480" w:firstLineChars="200"/>
        <w:rPr>
          <w:rFonts w:hint="eastAsia" w:eastAsia="仿宋_GB2312"/>
          <w:color w:val="auto"/>
          <w:sz w:val="24"/>
          <w:lang w:eastAsia="zh-CN"/>
        </w:rPr>
      </w:pPr>
      <w:r>
        <w:rPr>
          <w:rFonts w:hint="eastAsia" w:eastAsia="仿宋_GB2312"/>
          <w:color w:val="auto"/>
          <w:sz w:val="24"/>
          <w:lang w:val="en-US" w:eastAsia="zh-CN"/>
        </w:rPr>
        <w:t>故</w:t>
      </w:r>
      <w:r>
        <w:rPr>
          <w:rFonts w:hint="eastAsia" w:eastAsia="仿宋_GB2312"/>
          <w:color w:val="auto"/>
          <w:sz w:val="24"/>
        </w:rPr>
        <w:t>工程大气环境总量控制指标为</w:t>
      </w:r>
      <w:r>
        <w:rPr>
          <w:rFonts w:hint="eastAsia" w:eastAsia="仿宋_GB2312"/>
          <w:color w:val="auto"/>
          <w:sz w:val="24"/>
          <w:lang w:val="en-US" w:eastAsia="zh-CN"/>
        </w:rPr>
        <w:t>颗粒物0.377t/a；二氧化硫0.0031t/a；氮氧化物0.378t/a</w:t>
      </w:r>
      <w:r>
        <w:rPr>
          <w:rFonts w:hint="eastAsia" w:eastAsia="仿宋_GB2312"/>
          <w:color w:val="auto"/>
          <w:sz w:val="24"/>
          <w:lang w:eastAsia="zh-CN"/>
        </w:rPr>
        <w:t>。</w:t>
      </w:r>
    </w:p>
    <w:p>
      <w:pPr>
        <w:pStyle w:val="8"/>
        <w:widowControl w:val="0"/>
        <w:spacing w:before="120" w:after="120" w:line="360" w:lineRule="auto"/>
        <w:rPr>
          <w:rFonts w:ascii="Times New Roman" w:hAnsi="Times New Roman"/>
          <w:b w:val="0"/>
          <w:color w:val="auto"/>
          <w:szCs w:val="32"/>
        </w:rPr>
      </w:pPr>
      <w:bookmarkStart w:id="616" w:name="_Toc362"/>
      <w:r>
        <w:rPr>
          <w:rFonts w:ascii="Times New Roman" w:hAnsi="Times New Roman"/>
          <w:b w:val="0"/>
          <w:color w:val="auto"/>
          <w:szCs w:val="32"/>
        </w:rPr>
        <w:t>1</w:t>
      </w:r>
      <w:r>
        <w:rPr>
          <w:rFonts w:hint="eastAsia" w:ascii="Times New Roman" w:hAnsi="Times New Roman"/>
          <w:b w:val="0"/>
          <w:color w:val="auto"/>
          <w:szCs w:val="32"/>
          <w:lang w:val="en-US" w:eastAsia="zh-CN"/>
        </w:rPr>
        <w:t>1</w:t>
      </w:r>
      <w:r>
        <w:rPr>
          <w:rFonts w:ascii="Times New Roman" w:hAnsi="Times New Roman"/>
          <w:b w:val="0"/>
          <w:color w:val="auto"/>
          <w:szCs w:val="32"/>
        </w:rPr>
        <w:t>.</w:t>
      </w:r>
      <w:r>
        <w:rPr>
          <w:rFonts w:hint="eastAsia" w:ascii="Times New Roman" w:hAnsi="Times New Roman"/>
          <w:b w:val="0"/>
          <w:color w:val="auto"/>
          <w:szCs w:val="32"/>
          <w:lang w:val="en-US" w:eastAsia="zh-CN"/>
        </w:rPr>
        <w:t>8</w:t>
      </w:r>
      <w:r>
        <w:rPr>
          <w:rFonts w:ascii="Times New Roman" w:hAnsi="Times New Roman"/>
          <w:b w:val="0"/>
          <w:color w:val="auto"/>
          <w:szCs w:val="32"/>
        </w:rPr>
        <w:t>总结论</w:t>
      </w:r>
      <w:bookmarkEnd w:id="614"/>
      <w:bookmarkEnd w:id="615"/>
      <w:bookmarkEnd w:id="616"/>
    </w:p>
    <w:p>
      <w:pPr>
        <w:widowControl w:val="0"/>
        <w:spacing w:line="360" w:lineRule="auto"/>
        <w:ind w:firstLine="480" w:firstLineChars="200"/>
        <w:rPr>
          <w:rFonts w:eastAsia="仿宋_GB2312"/>
          <w:color w:val="auto"/>
          <w:sz w:val="28"/>
        </w:rPr>
      </w:pPr>
      <w:r>
        <w:rPr>
          <w:rFonts w:eastAsia="仿宋_GB2312"/>
          <w:color w:val="auto"/>
          <w:sz w:val="24"/>
        </w:rPr>
        <w:t>综上所述，</w:t>
      </w:r>
      <w:bookmarkStart w:id="617" w:name="_GoBack"/>
      <w:r>
        <w:rPr>
          <w:rFonts w:hint="eastAsia" w:eastAsia="仿宋_GB2312"/>
          <w:color w:val="auto"/>
          <w:sz w:val="24"/>
          <w:lang w:eastAsia="zh-CN"/>
        </w:rPr>
        <w:t>《湖北楚新矿业有限公司皮带输送廊道及综合物流码头建设项目（综合物流码头部分）》</w:t>
      </w:r>
      <w:r>
        <w:rPr>
          <w:rFonts w:eastAsia="仿宋_GB2312"/>
          <w:color w:val="auto"/>
          <w:sz w:val="24"/>
        </w:rPr>
        <w:t>符合国家产业政策，符合当地有关部门的相关规划要求；该项目采取的生产工艺为国内先进的清洁生产工艺，在采取本评价确定的污染防治对策措施情况下，废气、废水中的污染物排放浓度和排放量均可达到国家排放标准的要求；固废得到利用或合理处置；项目投产后评价区域内的环境空气、地表水体、声环境</w:t>
      </w:r>
      <w:r>
        <w:rPr>
          <w:rFonts w:hint="eastAsia" w:eastAsia="仿宋_GB2312"/>
          <w:color w:val="auto"/>
          <w:sz w:val="24"/>
          <w:lang w:eastAsia="zh-CN"/>
        </w:rPr>
        <w:t>、</w:t>
      </w:r>
      <w:r>
        <w:rPr>
          <w:rFonts w:hint="eastAsia" w:eastAsia="仿宋_GB2312"/>
          <w:color w:val="auto"/>
          <w:sz w:val="24"/>
          <w:lang w:val="en-US" w:eastAsia="zh-CN"/>
        </w:rPr>
        <w:t>生态环境</w:t>
      </w:r>
      <w:r>
        <w:rPr>
          <w:rFonts w:eastAsia="仿宋_GB2312"/>
          <w:color w:val="auto"/>
          <w:sz w:val="24"/>
        </w:rPr>
        <w:t>质量可控制在相应的环境质量标准内。因此，从环境保护角度而言，该项目建设可行</w:t>
      </w:r>
      <w:bookmarkEnd w:id="617"/>
      <w:r>
        <w:rPr>
          <w:rFonts w:eastAsia="仿宋_GB2312"/>
          <w:color w:val="auto"/>
          <w:sz w:val="24"/>
        </w:rPr>
        <w:t>。</w:t>
      </w:r>
      <w:bookmarkEnd w:id="373"/>
    </w:p>
    <w:sectPr>
      <w:headerReference r:id="rId29" w:type="default"/>
      <w:pgSz w:w="11905" w:h="16838"/>
      <w:pgMar w:top="1440" w:right="1803" w:bottom="1440" w:left="1803" w:header="851" w:footer="964" w:gutter="0"/>
      <w:pgBorders>
        <w:top w:val="none" w:sz="0" w:space="0"/>
        <w:left w:val="none" w:sz="0" w:space="0"/>
        <w:bottom w:val="none" w:sz="0" w:space="0"/>
        <w:right w:val="none" w:sz="0" w:space="0"/>
      </w:pgBorders>
      <w:pgNumType w:fmt="decimal"/>
      <w:cols w:space="0" w:num="1"/>
      <w:rtlGutter w:val="0"/>
      <w:docGrid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roman"/>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ms Rmn">
    <w:altName w:val="Segoe Print"/>
    <w:panose1 w:val="02020603040505020304"/>
    <w:charset w:val="00"/>
    <w:family w:val="roman"/>
    <w:pitch w:val="default"/>
    <w:sig w:usb0="00000000" w:usb1="00000000" w:usb2="00000000" w:usb3="00000000" w:csb0="00000001" w:csb1="00000000"/>
  </w:font>
  <w:font w:name="Arial Unicode MS">
    <w:panose1 w:val="020B0604020202020204"/>
    <w:charset w:val="86"/>
    <w:family w:val="swiss"/>
    <w:pitch w:val="default"/>
    <w:sig w:usb0="FFFFFFFF" w:usb1="E9FFFFFF" w:usb2="0000003F" w:usb3="00000000" w:csb0="603F01FF" w:csb1="FFFF0000"/>
  </w:font>
  <w:font w:name="华文行楷">
    <w:panose1 w:val="02010800040101010101"/>
    <w:charset w:val="86"/>
    <w:family w:val="auto"/>
    <w:pitch w:val="default"/>
    <w:sig w:usb0="00000001" w:usb1="080F0000" w:usb2="00000000" w:usb3="00000000" w:csb0="00040000" w:csb1="00000000"/>
  </w:font>
  <w:font w:name="楷体_GB2312">
    <w:altName w:val="楷体"/>
    <w:panose1 w:val="00000000000000000000"/>
    <w:charset w:val="86"/>
    <w:family w:val="auto"/>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仿宋">
    <w:panose1 w:val="02010609060101010101"/>
    <w:charset w:val="86"/>
    <w:family w:val="auto"/>
    <w:pitch w:val="default"/>
    <w:sig w:usb0="800002BF" w:usb1="38CF7CFA" w:usb2="00000016" w:usb3="00000000" w:csb0="00040001" w:csb1="00000000"/>
  </w:font>
  <w:font w:name="_x000B__x000C_">
    <w:altName w:val="Times New Roman"/>
    <w:panose1 w:val="00000000000000000000"/>
    <w:charset w:val="01"/>
    <w:family w:val="roman"/>
    <w:pitch w:val="default"/>
    <w:sig w:usb0="00000000" w:usb1="00000000" w:usb2="00000000" w:usb3="00000000" w:csb0="00040001" w:csb1="00000000"/>
  </w:font>
  <w:font w:name="隶书">
    <w:panose1 w:val="02010509060101010101"/>
    <w:charset w:val="86"/>
    <w:family w:val="modern"/>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宋体-方正超大字符集">
    <w:altName w:val="宋体"/>
    <w:panose1 w:val="00000000000000000000"/>
    <w:charset w:val="86"/>
    <w:family w:val="script"/>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华文中宋">
    <w:panose1 w:val="02010600040101010101"/>
    <w:charset w:val="86"/>
    <w:family w:val="auto"/>
    <w:pitch w:val="default"/>
    <w:sig w:usb0="00000287" w:usb1="080F0000" w:usb2="00000000" w:usb3="00000000" w:csb0="0004009F" w:csb1="DFD70000"/>
  </w:font>
  <w:font w:name="华文细黑">
    <w:panose1 w:val="02010600040101010101"/>
    <w:charset w:val="86"/>
    <w:family w:val="auto"/>
    <w:pitch w:val="default"/>
    <w:sig w:usb0="00000287" w:usb1="080F0000" w:usb2="00000000" w:usb3="00000000" w:csb0="0004009F" w:csb1="DFD70000"/>
  </w:font>
  <w:font w:name="方正宋三简体">
    <w:altName w:val="宋体"/>
    <w:panose1 w:val="00000000000000000000"/>
    <w:charset w:val="86"/>
    <w:family w:val="auto"/>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華康中明體">
    <w:altName w:val="Microsoft JhengHei"/>
    <w:panose1 w:val="00000000000000000000"/>
    <w:charset w:val="88"/>
    <w:family w:val="modern"/>
    <w:pitch w:val="default"/>
    <w:sig w:usb0="00000000" w:usb1="00000000" w:usb2="00000016" w:usb3="00000000" w:csb0="00100000" w:csb1="00000000"/>
  </w:font>
  <w:font w:name="..">
    <w:altName w:val="黑体"/>
    <w:panose1 w:val="00000000000000000000"/>
    <w:charset w:val="86"/>
    <w:family w:val="auto"/>
    <w:pitch w:val="default"/>
    <w:sig w:usb0="00000000" w:usb1="00000000" w:usb2="00000010" w:usb3="00000000" w:csb0="00040000" w:csb1="00000000"/>
  </w:font>
  <w:font w:name="DFKai-SB">
    <w:altName w:val="Microsoft JhengHei Light"/>
    <w:panose1 w:val="03000509000000000000"/>
    <w:charset w:val="88"/>
    <w:family w:val="script"/>
    <w:pitch w:val="default"/>
    <w:sig w:usb0="00000000" w:usb1="00000000" w:usb2="00000016" w:usb3="00000000" w:csb0="00100001" w:csb1="00000000"/>
  </w:font>
  <w:font w:name="宋体繁体">
    <w:altName w:val="宋体"/>
    <w:panose1 w:val="00000000000000000000"/>
    <w:charset w:val="86"/>
    <w:family w:val="roma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0000012" w:usb3="00000000" w:csb0="0002009F" w:csb1="00000000"/>
  </w:font>
  <w:font w:name="”“Times New Roman”“">
    <w:altName w:val="宋体"/>
    <w:panose1 w:val="00000000000000000000"/>
    <w:charset w:val="86"/>
    <w:family w:val="roman"/>
    <w:pitch w:val="default"/>
    <w:sig w:usb0="00000000" w:usb1="00000000" w:usb2="00000010" w:usb3="00000000" w:csb0="00040000" w:csb1="00000000"/>
  </w:font>
  <w:font w:name="華康中黑體">
    <w:altName w:val="Microsoft JhengHei"/>
    <w:panose1 w:val="00000000000000000000"/>
    <w:charset w:val="88"/>
    <w:family w:val="modern"/>
    <w:pitch w:val="default"/>
    <w:sig w:usb0="00000000" w:usb1="00000000" w:usb2="00000016" w:usb3="00000000" w:csb0="00100000" w:csb1="00000000"/>
  </w:font>
  <w:font w:name="Century Gothic">
    <w:panose1 w:val="020B0502020202020204"/>
    <w:charset w:val="00"/>
    <w:family w:val="swiss"/>
    <w:pitch w:val="default"/>
    <w:sig w:usb0="00000287" w:usb1="000000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Comic Sans MS">
    <w:panose1 w:val="030F0702030302020204"/>
    <w:charset w:val="00"/>
    <w:family w:val="script"/>
    <w:pitch w:val="default"/>
    <w:sig w:usb0="00000287" w:usb1="00000013" w:usb2="00000000" w:usb3="00000000" w:csb0="2000009F" w:csb1="00000000"/>
  </w:font>
  <w:font w:name="Mangal">
    <w:altName w:val="Segoe Print"/>
    <w:panose1 w:val="02040503050203030202"/>
    <w:charset w:val="00"/>
    <w:family w:val="roman"/>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汉鼎简书宋">
    <w:altName w:val="宋体"/>
    <w:panose1 w:val="00000000000000000000"/>
    <w:charset w:val="86"/>
    <w:family w:val="modern"/>
    <w:pitch w:val="default"/>
    <w:sig w:usb0="00000000" w:usb1="00000000" w:usb2="00000010" w:usb3="00000000" w:csb0="00040000" w:csb1="00000000"/>
  </w:font>
  <w:font w:name="Times New Roman;Symbol;Arial;婼">
    <w:altName w:val="黑体"/>
    <w:panose1 w:val="00000000000000000000"/>
    <w:charset w:val="86"/>
    <w:family w:val="auto"/>
    <w:pitch w:val="default"/>
    <w:sig w:usb0="00000000" w:usb1="00000000" w:usb2="00000010" w:usb3="00000000" w:csb0="00040000" w:csb1="00000000"/>
  </w:font>
  <w:font w:name="方正大标宋简体">
    <w:altName w:val="微软雅黑"/>
    <w:panose1 w:val="00000000000000000000"/>
    <w:charset w:val="86"/>
    <w:family w:val="auto"/>
    <w:pitch w:val="default"/>
    <w:sig w:usb0="00000000" w:usb1="00000000" w:usb2="00000010" w:usb3="00000000" w:csb0="00040000" w:csb1="00000000"/>
  </w:font>
  <w:font w:name="全真楷書">
    <w:altName w:val="宋体"/>
    <w:panose1 w:val="00000000000000000000"/>
    <w:charset w:val="88"/>
    <w:family w:val="modern"/>
    <w:pitch w:val="default"/>
    <w:sig w:usb0="00000000" w:usb1="00000000" w:usb2="00000010" w:usb3="00000000" w:csb0="00100000" w:csb1="00000000"/>
  </w:font>
  <w:font w:name="Ђˎ̥">
    <w:altName w:val="Times New Roman"/>
    <w:panose1 w:val="00000000000000000000"/>
    <w:charset w:val="00"/>
    <w:family w:val="roman"/>
    <w:pitch w:val="default"/>
    <w:sig w:usb0="00000000" w:usb1="00000000" w:usb2="00000000" w:usb3="00000000" w:csb0="00040001"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华康宋体W12(P)">
    <w:altName w:val="微软雅黑"/>
    <w:panose1 w:val="00000000000000000000"/>
    <w:charset w:val="86"/>
    <w:family w:val="auto"/>
    <w:pitch w:val="default"/>
    <w:sig w:usb0="00000000" w:usb1="00000000" w:usb2="00000012" w:usb3="00000000" w:csb0="00040000" w:csb1="00000000"/>
  </w:font>
  <w:font w:name="PMingLiU">
    <w:altName w:val="PMingLiU-ExtB"/>
    <w:panose1 w:val="02020500000000000000"/>
    <w:charset w:val="88"/>
    <w:family w:val="roman"/>
    <w:pitch w:val="default"/>
    <w:sig w:usb0="00000000" w:usb1="00000000" w:usb2="00000016" w:usb3="00000000" w:csb0="00100001" w:csb1="00000000"/>
  </w:font>
  <w:font w:name="Arial Narrow">
    <w:panose1 w:val="020B0606020202030204"/>
    <w:charset w:val="00"/>
    <w:family w:val="swiss"/>
    <w:pitch w:val="default"/>
    <w:sig w:usb0="00000287" w:usb1="00000800" w:usb2="00000000" w:usb3="00000000" w:csb0="2000009F" w:csb1="DFD70000"/>
  </w:font>
  <w:font w:name="CommercialPi BT">
    <w:panose1 w:val="05020102010206080802"/>
    <w:charset w:val="02"/>
    <w:family w:val="roman"/>
    <w:pitch w:val="default"/>
    <w:sig w:usb0="00000000" w:usb1="00000000" w:usb2="00000000" w:usb3="00000000" w:csb0="00000000" w:csb1="00000000"/>
  </w:font>
  <w:font w:name="華康中楷體">
    <w:altName w:val="Microsoft JhengHei"/>
    <w:panose1 w:val="00000000000000000000"/>
    <w:charset w:val="88"/>
    <w:family w:val="modern"/>
    <w:pitch w:val="default"/>
    <w:sig w:usb0="00000000" w:usb1="00000000" w:usb2="00000010" w:usb3="00000000" w:csb0="00100000" w:csb1="00000000"/>
  </w:font>
  <w:font w:name="TimesNewRoman">
    <w:altName w:val="Times New Roman"/>
    <w:panose1 w:val="00000000000000000000"/>
    <w:charset w:val="00"/>
    <w:family w:val="roman"/>
    <w:pitch w:val="default"/>
    <w:sig w:usb0="00000000" w:usb1="00000000" w:usb2="00000000" w:usb3="00000000" w:csb0="00000001" w:csb1="00000000"/>
  </w:font>
  <w:font w:name="華康粗黑體">
    <w:altName w:val="Microsoft JhengHei"/>
    <w:panose1 w:val="00000000000000000000"/>
    <w:charset w:val="88"/>
    <w:family w:val="modern"/>
    <w:pitch w:val="default"/>
    <w:sig w:usb0="00000000" w:usb1="00000000" w:usb2="00000010" w:usb3="00000000" w:csb0="00100000" w:csb1="00000000"/>
  </w:font>
  <w:font w:name="Cambria Math">
    <w:panose1 w:val="02040503050406030204"/>
    <w:charset w:val="00"/>
    <w:family w:val="roman"/>
    <w:pitch w:val="default"/>
    <w:sig w:usb0="E00006FF" w:usb1="420024FF" w:usb2="02000000" w:usb3="00000000" w:csb0="2000019F" w:csb1="00000000"/>
  </w:font>
  <w:font w:name="CambriaMath">
    <w:altName w:val="宋体"/>
    <w:panose1 w:val="00000000000000000000"/>
    <w:charset w:val="86"/>
    <w:family w:val="auto"/>
    <w:pitch w:val="default"/>
    <w:sig w:usb0="00000000" w:usb1="00000000" w:usb2="0000001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icrosoft JhengHei">
    <w:panose1 w:val="020B0604030504040204"/>
    <w:charset w:val="88"/>
    <w:family w:val="auto"/>
    <w:pitch w:val="default"/>
    <w:sig w:usb0="000002A7" w:usb1="28CF4400" w:usb2="00000016" w:usb3="00000000" w:csb0="00100009" w:csb1="00000000"/>
  </w:font>
  <w:font w:name="Microsoft JhengHei Light">
    <w:panose1 w:val="020B0304030504040204"/>
    <w:charset w:val="88"/>
    <w:family w:val="auto"/>
    <w:pitch w:val="default"/>
    <w:sig w:usb0="800002A7" w:usb1="28CF4400" w:usb2="00000016" w:usb3="00000000" w:csb0="00100009" w:csb1="00000000"/>
  </w:font>
  <w:font w:name="Yu Gothic UI">
    <w:panose1 w:val="020B0500000000000000"/>
    <w:charset w:val="80"/>
    <w:family w:val="auto"/>
    <w:pitch w:val="default"/>
    <w:sig w:usb0="E00002FF" w:usb1="2AC7FDFF" w:usb2="00000016" w:usb3="00000000" w:csb0="2002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top w:val="thinThickSmallGap" w:color="auto" w:sz="24" w:space="1"/>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framePr w:wrap="around" w:vAnchor="text" w:hAnchor="margin" w:xAlign="center" w:y="1"/>
      <w:rPr>
        <w:rStyle w:val="102"/>
      </w:rPr>
    </w:pPr>
    <w:r>
      <w:fldChar w:fldCharType="begin"/>
    </w:r>
    <w:r>
      <w:rPr>
        <w:rStyle w:val="102"/>
      </w:rPr>
      <w:instrText xml:space="preserve">PAGE  </w:instrText>
    </w:r>
    <w:r>
      <w:fldChar w:fldCharType="separate"/>
    </w:r>
    <w:r>
      <w:fldChar w:fldCharType="end"/>
    </w:r>
  </w:p>
  <w:p>
    <w:pPr>
      <w:pStyle w:val="6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top w:val="thinThickSmallGap" w:color="auto" w:sz="24" w:space="1"/>
      </w:pBd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top w:val="thinThickSmallGap" w:color="auto" w:sz="24" w:space="1"/>
      </w:pBd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top w:val="thinThickSmallGap" w:color="auto" w:sz="24" w:space="1"/>
      </w:pBdr>
      <w:jc w:val="both"/>
      <w:rPr>
        <w:rFonts w:hint="default" w:eastAsia="宋体"/>
        <w:lang w:val="en-US" w:eastAsia="zh-CN"/>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2"/>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pPr>
                      <w:pStyle w:val="62"/>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Bdr>
        <w:top w:val="thinThickSmallGap" w:color="auto" w:sz="24" w:space="1"/>
      </w:pBdr>
      <w:jc w:val="center"/>
      <w:rPr>
        <w:rFonts w:hint="eastAsia" w:eastAsia="宋体"/>
        <w:lang w:val="en-US" w:eastAsia="zh-CN"/>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2"/>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pPr>
                      <w:pStyle w:val="62"/>
                    </w:pPr>
                    <w:r>
                      <w:fldChar w:fldCharType="begin"/>
                    </w:r>
                    <w:r>
                      <w:instrText xml:space="preserve"> PAGE  \* MERGEFORMAT </w:instrText>
                    </w:r>
                    <w:r>
                      <w:fldChar w:fldCharType="separate"/>
                    </w:r>
                    <w:r>
                      <w:t>35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eastAsia"/>
        <w:sz w:val="18"/>
        <w:szCs w:val="18"/>
      </w:rPr>
    </w:pPr>
    <w:r>
      <w:rPr>
        <w:rFonts w:hint="eastAsia"/>
        <w:sz w:val="18"/>
        <w:szCs w:val="18"/>
      </w:rPr>
      <w:t>湖北楚新矿业有限公司皮带输送廊道及综合物流码头建设项目（综合物流码头部分）环境影响报告书</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5 环境影响预测与评价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5 环境影响预测与评价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5 环境影响预测与评价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5 环境影响预测与评价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6 工程对长江湖北宜昌中华鲟自然保护区外围保护地带的影响分析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7 环境风险评价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7 环境风险评价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8 环境保护措施及其可行性论证</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10 环境影响经济损益分析</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11 环境管理与监测计划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3"/>
      <w:pBdr>
        <w:bottom w:val="none" w:color="auto" w:sz="0" w:space="0"/>
      </w:pBd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11 环境管理与监测计划</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12 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eastAsia"/>
        <w:sz w:val="18"/>
        <w:szCs w:val="18"/>
      </w:rPr>
    </w:pPr>
    <w:r>
      <w:rPr>
        <w:rFonts w:hint="eastAsia"/>
        <w:sz w:val="18"/>
        <w:szCs w:val="18"/>
      </w:rPr>
      <w:t>湖北楚新矿业有限公司皮带输送廊道及综合物流码头建设项目（综合物流码头部分）环境影响报告书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eastAsia"/>
        <w:sz w:val="18"/>
        <w:szCs w:val="18"/>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概述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eastAsia"/>
        <w:sz w:val="18"/>
        <w:szCs w:val="18"/>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1 总则</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2 工程概况</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3 建设项目工程分析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4 环境现状调查与评价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thickThinSmallGap" w:color="auto" w:sz="24" w:space="1"/>
      </w:pBdr>
      <w:spacing w:after="120"/>
      <w:rPr>
        <w:rFonts w:hint="default"/>
        <w:sz w:val="18"/>
        <w:szCs w:val="18"/>
        <w:lang w:val="en-US"/>
      </w:rPr>
    </w:pPr>
    <w:r>
      <w:rPr>
        <w:rFonts w:hint="eastAsia"/>
        <w:sz w:val="18"/>
        <w:szCs w:val="18"/>
      </w:rPr>
      <w:t>湖北楚新矿业有限公司皮带输送廊道及综合物流码头建设项目（综合物流码头部分）环境影响报告书</w:t>
    </w:r>
    <w:r>
      <w:rPr>
        <w:rFonts w:hint="eastAsia"/>
        <w:sz w:val="18"/>
        <w:szCs w:val="18"/>
        <w:lang w:val="en-US" w:eastAsia="zh-CN"/>
      </w:rPr>
      <w:t xml:space="preserve">                                             4 环境现状调查与评价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631C308"/>
    <w:multiLevelType w:val="singleLevel"/>
    <w:tmpl w:val="F631C308"/>
    <w:lvl w:ilvl="0" w:tentative="0">
      <w:start w:val="8"/>
      <w:numFmt w:val="chineseCounting"/>
      <w:suff w:val="nothing"/>
      <w:lvlText w:val="%1、"/>
      <w:lvlJc w:val="left"/>
      <w:rPr>
        <w:rFonts w:hint="eastAsia"/>
      </w:rPr>
    </w:lvl>
  </w:abstractNum>
  <w:abstractNum w:abstractNumId="1">
    <w:nsid w:val="0000001D"/>
    <w:multiLevelType w:val="multilevel"/>
    <w:tmpl w:val="0000001D"/>
    <w:lvl w:ilvl="0" w:tentative="0">
      <w:start w:val="5"/>
      <w:numFmt w:val="bullet"/>
      <w:lvlText w:val="◆"/>
      <w:lvlJc w:val="left"/>
      <w:pPr>
        <w:tabs>
          <w:tab w:val="left" w:pos="920"/>
        </w:tabs>
        <w:ind w:left="920" w:hanging="360"/>
      </w:pPr>
      <w:rPr>
        <w:rFonts w:hint="eastAsia" w:ascii="宋体" w:hAnsi="宋体" w:eastAsia="宋体"/>
      </w:rPr>
    </w:lvl>
    <w:lvl w:ilvl="1" w:tentative="0">
      <w:start w:val="1"/>
      <w:numFmt w:val="bullet"/>
      <w:lvlText w:val=""/>
      <w:lvlJc w:val="left"/>
      <w:pPr>
        <w:tabs>
          <w:tab w:val="left" w:pos="1400"/>
        </w:tabs>
        <w:ind w:left="1400" w:hanging="420"/>
      </w:pPr>
      <w:rPr>
        <w:rFonts w:hint="default" w:ascii="Wingdings" w:hAnsi="Wingdings"/>
      </w:rPr>
    </w:lvl>
    <w:lvl w:ilvl="2" w:tentative="0">
      <w:start w:val="1"/>
      <w:numFmt w:val="bullet"/>
      <w:lvlText w:val=""/>
      <w:lvlJc w:val="left"/>
      <w:pPr>
        <w:tabs>
          <w:tab w:val="left" w:pos="1820"/>
        </w:tabs>
        <w:ind w:left="1820" w:hanging="420"/>
      </w:pPr>
      <w:rPr>
        <w:rFonts w:hint="default" w:ascii="Wingdings" w:hAnsi="Wingdings"/>
      </w:rPr>
    </w:lvl>
    <w:lvl w:ilvl="3" w:tentative="0">
      <w:start w:val="1"/>
      <w:numFmt w:val="bullet"/>
      <w:lvlText w:val=""/>
      <w:lvlJc w:val="left"/>
      <w:pPr>
        <w:tabs>
          <w:tab w:val="left" w:pos="2240"/>
        </w:tabs>
        <w:ind w:left="2240" w:hanging="420"/>
      </w:pPr>
      <w:rPr>
        <w:rFonts w:hint="default" w:ascii="Wingdings" w:hAnsi="Wingdings"/>
      </w:rPr>
    </w:lvl>
    <w:lvl w:ilvl="4" w:tentative="0">
      <w:start w:val="1"/>
      <w:numFmt w:val="bullet"/>
      <w:lvlText w:val=""/>
      <w:lvlJc w:val="left"/>
      <w:pPr>
        <w:tabs>
          <w:tab w:val="left" w:pos="2660"/>
        </w:tabs>
        <w:ind w:left="2660" w:hanging="420"/>
      </w:pPr>
      <w:rPr>
        <w:rFonts w:hint="default" w:ascii="Wingdings" w:hAnsi="Wingdings"/>
      </w:rPr>
    </w:lvl>
    <w:lvl w:ilvl="5" w:tentative="0">
      <w:start w:val="1"/>
      <w:numFmt w:val="bullet"/>
      <w:lvlText w:val=""/>
      <w:lvlJc w:val="left"/>
      <w:pPr>
        <w:tabs>
          <w:tab w:val="left" w:pos="3080"/>
        </w:tabs>
        <w:ind w:left="3080" w:hanging="420"/>
      </w:pPr>
      <w:rPr>
        <w:rFonts w:hint="default" w:ascii="Wingdings" w:hAnsi="Wingdings"/>
      </w:rPr>
    </w:lvl>
    <w:lvl w:ilvl="6" w:tentative="0">
      <w:start w:val="1"/>
      <w:numFmt w:val="bullet"/>
      <w:lvlText w:val=""/>
      <w:lvlJc w:val="left"/>
      <w:pPr>
        <w:tabs>
          <w:tab w:val="left" w:pos="3500"/>
        </w:tabs>
        <w:ind w:left="3500" w:hanging="420"/>
      </w:pPr>
      <w:rPr>
        <w:rFonts w:hint="default" w:ascii="Wingdings" w:hAnsi="Wingdings"/>
      </w:rPr>
    </w:lvl>
    <w:lvl w:ilvl="7" w:tentative="0">
      <w:start w:val="1"/>
      <w:numFmt w:val="bullet"/>
      <w:lvlText w:val=""/>
      <w:lvlJc w:val="left"/>
      <w:pPr>
        <w:tabs>
          <w:tab w:val="left" w:pos="3920"/>
        </w:tabs>
        <w:ind w:left="3920" w:hanging="420"/>
      </w:pPr>
      <w:rPr>
        <w:rFonts w:hint="default" w:ascii="Wingdings" w:hAnsi="Wingdings"/>
      </w:rPr>
    </w:lvl>
    <w:lvl w:ilvl="8" w:tentative="0">
      <w:start w:val="1"/>
      <w:numFmt w:val="bullet"/>
      <w:lvlText w:val=""/>
      <w:lvlJc w:val="left"/>
      <w:pPr>
        <w:tabs>
          <w:tab w:val="left" w:pos="4340"/>
        </w:tabs>
        <w:ind w:left="4340" w:hanging="420"/>
      </w:pPr>
      <w:rPr>
        <w:rFonts w:hint="default" w:ascii="Wingdings" w:hAnsi="Wingdings"/>
      </w:rPr>
    </w:lvl>
  </w:abstractNum>
  <w:abstractNum w:abstractNumId="2">
    <w:nsid w:val="077538BC"/>
    <w:multiLevelType w:val="multilevel"/>
    <w:tmpl w:val="077538BC"/>
    <w:lvl w:ilvl="0" w:tentative="0">
      <w:start w:val="1"/>
      <w:numFmt w:val="decimal"/>
      <w:lvlText w:val="%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C370EF2"/>
    <w:multiLevelType w:val="multilevel"/>
    <w:tmpl w:val="1C370EF2"/>
    <w:lvl w:ilvl="0" w:tentative="0">
      <w:start w:val="1"/>
      <w:numFmt w:val="decimal"/>
      <w:lvlText w:val="（%1）"/>
      <w:lvlJc w:val="left"/>
      <w:pPr>
        <w:tabs>
          <w:tab w:val="left" w:pos="480"/>
        </w:tabs>
        <w:ind w:left="0" w:firstLine="4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30A4B400"/>
    <w:multiLevelType w:val="multilevel"/>
    <w:tmpl w:val="30A4B400"/>
    <w:lvl w:ilvl="0" w:tentative="0">
      <w:start w:val="1"/>
      <w:numFmt w:val="decimal"/>
      <w:pStyle w:val="2664"/>
      <w:lvlText w:val="表%1 "/>
      <w:lvlJc w:val="left"/>
      <w:pPr>
        <w:tabs>
          <w:tab w:val="left" w:pos="397"/>
        </w:tabs>
        <w:ind w:left="2554" w:hanging="454"/>
      </w:pPr>
      <w:rPr>
        <w:rFonts w:hint="eastAsia" w:ascii="Times New Roman" w:hAnsi="Times New Roman" w:eastAsia="宋体" w:cs="宋体"/>
        <w:b/>
        <w:sz w:val="24"/>
        <w:szCs w:val="24"/>
      </w:rPr>
    </w:lvl>
    <w:lvl w:ilvl="1" w:tentative="0">
      <w:start w:val="1"/>
      <w:numFmt w:val="decimalFullWidth"/>
      <w:lvlText w:val="%2)"/>
      <w:lvlJc w:val="left"/>
      <w:pPr>
        <w:tabs>
          <w:tab w:val="left" w:pos="840"/>
        </w:tabs>
        <w:ind w:left="2940" w:hanging="420"/>
      </w:pPr>
      <w:rPr>
        <w:rFonts w:hint="eastAsia" w:ascii="宋体" w:hAnsi="宋体" w:eastAsia="宋体" w:cs="宋体"/>
      </w:rPr>
    </w:lvl>
    <w:lvl w:ilvl="2" w:tentative="0">
      <w:start w:val="1"/>
      <w:numFmt w:val="lowerRoman"/>
      <w:lvlText w:val="%3."/>
      <w:lvlJc w:val="left"/>
      <w:pPr>
        <w:tabs>
          <w:tab w:val="left" w:pos="1260"/>
        </w:tabs>
        <w:ind w:left="3360" w:hanging="420"/>
      </w:pPr>
      <w:rPr>
        <w:rFonts w:hint="eastAsia"/>
      </w:rPr>
    </w:lvl>
    <w:lvl w:ilvl="3" w:tentative="0">
      <w:start w:val="1"/>
      <w:numFmt w:val="decimal"/>
      <w:lvlText w:val="%4."/>
      <w:lvlJc w:val="left"/>
      <w:pPr>
        <w:tabs>
          <w:tab w:val="left" w:pos="1680"/>
        </w:tabs>
        <w:ind w:left="3780" w:hanging="420"/>
      </w:pPr>
      <w:rPr>
        <w:rFonts w:hint="eastAsia"/>
      </w:rPr>
    </w:lvl>
    <w:lvl w:ilvl="4" w:tentative="0">
      <w:start w:val="1"/>
      <w:numFmt w:val="lowerLetter"/>
      <w:lvlText w:val="%5)"/>
      <w:lvlJc w:val="left"/>
      <w:pPr>
        <w:tabs>
          <w:tab w:val="left" w:pos="2100"/>
        </w:tabs>
        <w:ind w:left="4200" w:hanging="420"/>
      </w:pPr>
      <w:rPr>
        <w:rFonts w:hint="eastAsia"/>
      </w:rPr>
    </w:lvl>
    <w:lvl w:ilvl="5" w:tentative="0">
      <w:start w:val="1"/>
      <w:numFmt w:val="lowerRoman"/>
      <w:lvlText w:val="%6."/>
      <w:lvlJc w:val="left"/>
      <w:pPr>
        <w:tabs>
          <w:tab w:val="left" w:pos="2520"/>
        </w:tabs>
        <w:ind w:left="4620" w:hanging="420"/>
      </w:pPr>
      <w:rPr>
        <w:rFonts w:hint="eastAsia"/>
      </w:rPr>
    </w:lvl>
    <w:lvl w:ilvl="6" w:tentative="0">
      <w:start w:val="1"/>
      <w:numFmt w:val="decimal"/>
      <w:lvlText w:val="%7."/>
      <w:lvlJc w:val="left"/>
      <w:pPr>
        <w:tabs>
          <w:tab w:val="left" w:pos="2940"/>
        </w:tabs>
        <w:ind w:left="5040" w:hanging="420"/>
      </w:pPr>
      <w:rPr>
        <w:rFonts w:hint="eastAsia"/>
      </w:rPr>
    </w:lvl>
    <w:lvl w:ilvl="7" w:tentative="0">
      <w:start w:val="1"/>
      <w:numFmt w:val="lowerLetter"/>
      <w:lvlText w:val="%8)"/>
      <w:lvlJc w:val="left"/>
      <w:pPr>
        <w:tabs>
          <w:tab w:val="left" w:pos="3360"/>
        </w:tabs>
        <w:ind w:left="5460" w:hanging="420"/>
      </w:pPr>
      <w:rPr>
        <w:rFonts w:hint="eastAsia"/>
      </w:rPr>
    </w:lvl>
    <w:lvl w:ilvl="8" w:tentative="0">
      <w:start w:val="1"/>
      <w:numFmt w:val="lowerRoman"/>
      <w:lvlText w:val="%9."/>
      <w:lvlJc w:val="left"/>
      <w:pPr>
        <w:tabs>
          <w:tab w:val="left" w:pos="3780"/>
        </w:tabs>
        <w:ind w:left="5880" w:hanging="420"/>
      </w:pPr>
      <w:rPr>
        <w:rFonts w:hint="eastAsia"/>
      </w:rPr>
    </w:lvl>
  </w:abstractNum>
  <w:abstractNum w:abstractNumId="5">
    <w:nsid w:val="3CFBE492"/>
    <w:multiLevelType w:val="singleLevel"/>
    <w:tmpl w:val="3CFBE492"/>
    <w:lvl w:ilvl="0" w:tentative="0">
      <w:start w:val="1"/>
      <w:numFmt w:val="decimal"/>
      <w:suff w:val="nothing"/>
      <w:lvlText w:val="（%1）"/>
      <w:lvlJc w:val="left"/>
    </w:lvl>
  </w:abstractNum>
  <w:abstractNum w:abstractNumId="6">
    <w:nsid w:val="515D5B05"/>
    <w:multiLevelType w:val="singleLevel"/>
    <w:tmpl w:val="515D5B05"/>
    <w:lvl w:ilvl="0" w:tentative="0">
      <w:start w:val="2"/>
      <w:numFmt w:val="decimal"/>
      <w:suff w:val="nothing"/>
      <w:lvlText w:val="（%1）"/>
      <w:lvlJc w:val="left"/>
    </w:lvl>
  </w:abstractNum>
  <w:abstractNum w:abstractNumId="7">
    <w:nsid w:val="56B10F4F"/>
    <w:multiLevelType w:val="multilevel"/>
    <w:tmpl w:val="56B10F4F"/>
    <w:lvl w:ilvl="0" w:tentative="0">
      <w:start w:val="1"/>
      <w:numFmt w:val="decimal"/>
      <w:lvlText w:val="（%1）"/>
      <w:lvlJc w:val="left"/>
      <w:pPr>
        <w:tabs>
          <w:tab w:val="left" w:pos="480"/>
        </w:tabs>
        <w:ind w:left="0" w:firstLine="4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5DE655D7"/>
    <w:multiLevelType w:val="multilevel"/>
    <w:tmpl w:val="5DE655D7"/>
    <w:lvl w:ilvl="0" w:tentative="0">
      <w:start w:val="1"/>
      <w:numFmt w:val="decimal"/>
      <w:lvlText w:val="（%1）"/>
      <w:lvlJc w:val="left"/>
      <w:pPr>
        <w:tabs>
          <w:tab w:val="left" w:pos="480"/>
        </w:tabs>
        <w:ind w:left="0" w:firstLine="4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689016B8"/>
    <w:multiLevelType w:val="multilevel"/>
    <w:tmpl w:val="689016B8"/>
    <w:lvl w:ilvl="0" w:tentative="0">
      <w:start w:val="1"/>
      <w:numFmt w:val="decimal"/>
      <w:lvlText w:val="（%1）"/>
      <w:lvlJc w:val="left"/>
      <w:pPr>
        <w:tabs>
          <w:tab w:val="left" w:pos="480"/>
        </w:tabs>
        <w:ind w:left="0" w:firstLine="4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0"/>
  </w:num>
  <w:num w:numId="3">
    <w:abstractNumId w:val="9"/>
  </w:num>
  <w:num w:numId="4">
    <w:abstractNumId w:val="7"/>
  </w:num>
  <w:num w:numId="5">
    <w:abstractNumId w:val="3"/>
  </w:num>
  <w:num w:numId="6">
    <w:abstractNumId w:val="8"/>
  </w:num>
  <w:num w:numId="7">
    <w:abstractNumId w:val="6"/>
  </w:num>
  <w:num w:numId="8">
    <w:abstractNumId w:val="2"/>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0"/>
  <w:hyphenationZone w:val="360"/>
  <w:drawingGridHorizontalSpacing w:val="210"/>
  <w:drawingGridVerticalSpacing w:val="99999990"/>
  <w:displayHorizontalDrawingGridEvery w:val="1"/>
  <w:displayVerticalDrawingGridEvery w:val="1"/>
  <w:doNotShadeFormData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M4M2IyODE3MTQwOTViOGZhNjQ2ZWM1NTQ3NjQxNTIifQ=="/>
  </w:docVars>
  <w:rsids>
    <w:rsidRoot w:val="00172A27"/>
    <w:rsid w:val="00000215"/>
    <w:rsid w:val="000018C2"/>
    <w:rsid w:val="00001CE1"/>
    <w:rsid w:val="00001EEB"/>
    <w:rsid w:val="0000219F"/>
    <w:rsid w:val="000023D6"/>
    <w:rsid w:val="0000253E"/>
    <w:rsid w:val="000026A0"/>
    <w:rsid w:val="000027C8"/>
    <w:rsid w:val="00003B8E"/>
    <w:rsid w:val="00003CC3"/>
    <w:rsid w:val="00003E34"/>
    <w:rsid w:val="0000413C"/>
    <w:rsid w:val="0000492D"/>
    <w:rsid w:val="00004B00"/>
    <w:rsid w:val="000051B8"/>
    <w:rsid w:val="00005416"/>
    <w:rsid w:val="00005891"/>
    <w:rsid w:val="00005EFA"/>
    <w:rsid w:val="00005FC5"/>
    <w:rsid w:val="00006607"/>
    <w:rsid w:val="00006664"/>
    <w:rsid w:val="00006A5D"/>
    <w:rsid w:val="00006C0D"/>
    <w:rsid w:val="000070DC"/>
    <w:rsid w:val="00007286"/>
    <w:rsid w:val="00007654"/>
    <w:rsid w:val="00007861"/>
    <w:rsid w:val="0001155E"/>
    <w:rsid w:val="00011850"/>
    <w:rsid w:val="00012569"/>
    <w:rsid w:val="00012A10"/>
    <w:rsid w:val="00012C75"/>
    <w:rsid w:val="00012EA7"/>
    <w:rsid w:val="00013202"/>
    <w:rsid w:val="000132B3"/>
    <w:rsid w:val="00013492"/>
    <w:rsid w:val="0001370D"/>
    <w:rsid w:val="0001428F"/>
    <w:rsid w:val="000142CA"/>
    <w:rsid w:val="0001450D"/>
    <w:rsid w:val="00014613"/>
    <w:rsid w:val="00015630"/>
    <w:rsid w:val="00016110"/>
    <w:rsid w:val="00016234"/>
    <w:rsid w:val="00016266"/>
    <w:rsid w:val="00016391"/>
    <w:rsid w:val="000163D2"/>
    <w:rsid w:val="00017039"/>
    <w:rsid w:val="00017545"/>
    <w:rsid w:val="00017A76"/>
    <w:rsid w:val="00017D07"/>
    <w:rsid w:val="00020391"/>
    <w:rsid w:val="000208F6"/>
    <w:rsid w:val="0002139F"/>
    <w:rsid w:val="000213A1"/>
    <w:rsid w:val="00021D6E"/>
    <w:rsid w:val="00021F08"/>
    <w:rsid w:val="000224AD"/>
    <w:rsid w:val="000226FB"/>
    <w:rsid w:val="00022985"/>
    <w:rsid w:val="00023057"/>
    <w:rsid w:val="00023238"/>
    <w:rsid w:val="000232EA"/>
    <w:rsid w:val="00023541"/>
    <w:rsid w:val="0002362E"/>
    <w:rsid w:val="00023CAC"/>
    <w:rsid w:val="00023CE2"/>
    <w:rsid w:val="00023D53"/>
    <w:rsid w:val="0002456C"/>
    <w:rsid w:val="000246BB"/>
    <w:rsid w:val="00024F2C"/>
    <w:rsid w:val="00025145"/>
    <w:rsid w:val="000253DA"/>
    <w:rsid w:val="000258D7"/>
    <w:rsid w:val="00026049"/>
    <w:rsid w:val="000264C9"/>
    <w:rsid w:val="00026588"/>
    <w:rsid w:val="00026995"/>
    <w:rsid w:val="00026A6E"/>
    <w:rsid w:val="00026BF5"/>
    <w:rsid w:val="000270F9"/>
    <w:rsid w:val="0002711B"/>
    <w:rsid w:val="00027177"/>
    <w:rsid w:val="00027201"/>
    <w:rsid w:val="000275C4"/>
    <w:rsid w:val="00027B8E"/>
    <w:rsid w:val="00027CD1"/>
    <w:rsid w:val="00027F1F"/>
    <w:rsid w:val="00030539"/>
    <w:rsid w:val="00030698"/>
    <w:rsid w:val="00030AA9"/>
    <w:rsid w:val="00030CCB"/>
    <w:rsid w:val="00031214"/>
    <w:rsid w:val="000319DC"/>
    <w:rsid w:val="00031F81"/>
    <w:rsid w:val="00031FDA"/>
    <w:rsid w:val="000326E0"/>
    <w:rsid w:val="00032844"/>
    <w:rsid w:val="000329FA"/>
    <w:rsid w:val="00032B95"/>
    <w:rsid w:val="00032FAA"/>
    <w:rsid w:val="00033339"/>
    <w:rsid w:val="00033ABB"/>
    <w:rsid w:val="00033B3C"/>
    <w:rsid w:val="00033FD5"/>
    <w:rsid w:val="000340D1"/>
    <w:rsid w:val="00034C6E"/>
    <w:rsid w:val="00034E5F"/>
    <w:rsid w:val="00034EDD"/>
    <w:rsid w:val="000350E9"/>
    <w:rsid w:val="00035298"/>
    <w:rsid w:val="000355C0"/>
    <w:rsid w:val="00036B3E"/>
    <w:rsid w:val="0003738E"/>
    <w:rsid w:val="00037A89"/>
    <w:rsid w:val="00037C22"/>
    <w:rsid w:val="00037CF3"/>
    <w:rsid w:val="00040669"/>
    <w:rsid w:val="000406BE"/>
    <w:rsid w:val="00041683"/>
    <w:rsid w:val="00041A89"/>
    <w:rsid w:val="00041C0E"/>
    <w:rsid w:val="0004201A"/>
    <w:rsid w:val="000426B7"/>
    <w:rsid w:val="000427CE"/>
    <w:rsid w:val="00042B5D"/>
    <w:rsid w:val="00042C12"/>
    <w:rsid w:val="00043361"/>
    <w:rsid w:val="000434C7"/>
    <w:rsid w:val="00044400"/>
    <w:rsid w:val="000446AD"/>
    <w:rsid w:val="00044D51"/>
    <w:rsid w:val="00045214"/>
    <w:rsid w:val="00045757"/>
    <w:rsid w:val="00045803"/>
    <w:rsid w:val="00045AFC"/>
    <w:rsid w:val="00045DC7"/>
    <w:rsid w:val="00045F7E"/>
    <w:rsid w:val="00045F92"/>
    <w:rsid w:val="00046D0A"/>
    <w:rsid w:val="00047458"/>
    <w:rsid w:val="000475B4"/>
    <w:rsid w:val="00047B26"/>
    <w:rsid w:val="00047C38"/>
    <w:rsid w:val="00050102"/>
    <w:rsid w:val="0005021A"/>
    <w:rsid w:val="000503B8"/>
    <w:rsid w:val="00050471"/>
    <w:rsid w:val="000509AF"/>
    <w:rsid w:val="00050A43"/>
    <w:rsid w:val="00050B80"/>
    <w:rsid w:val="00050D23"/>
    <w:rsid w:val="00051016"/>
    <w:rsid w:val="000512CD"/>
    <w:rsid w:val="00051744"/>
    <w:rsid w:val="00051AE0"/>
    <w:rsid w:val="00051DA2"/>
    <w:rsid w:val="0005210E"/>
    <w:rsid w:val="00052696"/>
    <w:rsid w:val="00052AB4"/>
    <w:rsid w:val="00052BA8"/>
    <w:rsid w:val="00053717"/>
    <w:rsid w:val="00053B40"/>
    <w:rsid w:val="00053FE1"/>
    <w:rsid w:val="0005400B"/>
    <w:rsid w:val="000541B6"/>
    <w:rsid w:val="00054A02"/>
    <w:rsid w:val="00054FD7"/>
    <w:rsid w:val="00055293"/>
    <w:rsid w:val="00056153"/>
    <w:rsid w:val="0005620C"/>
    <w:rsid w:val="000565EA"/>
    <w:rsid w:val="00056DFA"/>
    <w:rsid w:val="0005738D"/>
    <w:rsid w:val="000575CE"/>
    <w:rsid w:val="00057650"/>
    <w:rsid w:val="0005786A"/>
    <w:rsid w:val="0005790F"/>
    <w:rsid w:val="000579BF"/>
    <w:rsid w:val="00057CE0"/>
    <w:rsid w:val="000600DF"/>
    <w:rsid w:val="0006016E"/>
    <w:rsid w:val="00060311"/>
    <w:rsid w:val="00060582"/>
    <w:rsid w:val="000607D3"/>
    <w:rsid w:val="00060C68"/>
    <w:rsid w:val="00061687"/>
    <w:rsid w:val="0006194B"/>
    <w:rsid w:val="00061C62"/>
    <w:rsid w:val="00061F6A"/>
    <w:rsid w:val="00062B19"/>
    <w:rsid w:val="00062D7E"/>
    <w:rsid w:val="00062FD5"/>
    <w:rsid w:val="00062FDA"/>
    <w:rsid w:val="00063273"/>
    <w:rsid w:val="00063429"/>
    <w:rsid w:val="00063E84"/>
    <w:rsid w:val="00064678"/>
    <w:rsid w:val="000650F6"/>
    <w:rsid w:val="000653B0"/>
    <w:rsid w:val="000655D3"/>
    <w:rsid w:val="00065A06"/>
    <w:rsid w:val="00065BB6"/>
    <w:rsid w:val="0007075A"/>
    <w:rsid w:val="00070C5C"/>
    <w:rsid w:val="00070D22"/>
    <w:rsid w:val="00070D84"/>
    <w:rsid w:val="00070D88"/>
    <w:rsid w:val="000710D2"/>
    <w:rsid w:val="00071D0D"/>
    <w:rsid w:val="00071E03"/>
    <w:rsid w:val="00071FDB"/>
    <w:rsid w:val="00072155"/>
    <w:rsid w:val="000721D1"/>
    <w:rsid w:val="000722AA"/>
    <w:rsid w:val="0007239D"/>
    <w:rsid w:val="00073A7A"/>
    <w:rsid w:val="00073BC1"/>
    <w:rsid w:val="0007413A"/>
    <w:rsid w:val="000745A8"/>
    <w:rsid w:val="00074831"/>
    <w:rsid w:val="00074A3A"/>
    <w:rsid w:val="00074ACF"/>
    <w:rsid w:val="00075441"/>
    <w:rsid w:val="000758F4"/>
    <w:rsid w:val="00075BC4"/>
    <w:rsid w:val="000767AC"/>
    <w:rsid w:val="00076936"/>
    <w:rsid w:val="00076F1C"/>
    <w:rsid w:val="00077675"/>
    <w:rsid w:val="00077E73"/>
    <w:rsid w:val="000801D4"/>
    <w:rsid w:val="000804C6"/>
    <w:rsid w:val="000805B1"/>
    <w:rsid w:val="00080ABD"/>
    <w:rsid w:val="00080CCB"/>
    <w:rsid w:val="0008102B"/>
    <w:rsid w:val="0008165C"/>
    <w:rsid w:val="00081790"/>
    <w:rsid w:val="00081BB6"/>
    <w:rsid w:val="00081C1E"/>
    <w:rsid w:val="00081C79"/>
    <w:rsid w:val="00082172"/>
    <w:rsid w:val="000822BD"/>
    <w:rsid w:val="00082323"/>
    <w:rsid w:val="0008264C"/>
    <w:rsid w:val="00082CB6"/>
    <w:rsid w:val="00082EF7"/>
    <w:rsid w:val="00082F27"/>
    <w:rsid w:val="00083D3A"/>
    <w:rsid w:val="00083E64"/>
    <w:rsid w:val="00084BAE"/>
    <w:rsid w:val="0008512B"/>
    <w:rsid w:val="000852F4"/>
    <w:rsid w:val="00085636"/>
    <w:rsid w:val="00085649"/>
    <w:rsid w:val="00085719"/>
    <w:rsid w:val="00085A99"/>
    <w:rsid w:val="00085B99"/>
    <w:rsid w:val="00085F45"/>
    <w:rsid w:val="00086390"/>
    <w:rsid w:val="00086917"/>
    <w:rsid w:val="00086A44"/>
    <w:rsid w:val="00086C23"/>
    <w:rsid w:val="000870F0"/>
    <w:rsid w:val="0008722F"/>
    <w:rsid w:val="00087AF1"/>
    <w:rsid w:val="00087CE8"/>
    <w:rsid w:val="00087D14"/>
    <w:rsid w:val="00087EFE"/>
    <w:rsid w:val="00087F78"/>
    <w:rsid w:val="0009009C"/>
    <w:rsid w:val="000908C2"/>
    <w:rsid w:val="00090CA2"/>
    <w:rsid w:val="00090E4A"/>
    <w:rsid w:val="00091796"/>
    <w:rsid w:val="000919B1"/>
    <w:rsid w:val="000921A8"/>
    <w:rsid w:val="00092467"/>
    <w:rsid w:val="000927F1"/>
    <w:rsid w:val="00092AAE"/>
    <w:rsid w:val="000937F8"/>
    <w:rsid w:val="000938E3"/>
    <w:rsid w:val="00093CE7"/>
    <w:rsid w:val="00093F79"/>
    <w:rsid w:val="00093FCE"/>
    <w:rsid w:val="000940E0"/>
    <w:rsid w:val="00094198"/>
    <w:rsid w:val="00094EEC"/>
    <w:rsid w:val="0009532F"/>
    <w:rsid w:val="00095D3C"/>
    <w:rsid w:val="00095E4E"/>
    <w:rsid w:val="00096BA3"/>
    <w:rsid w:val="00096BA4"/>
    <w:rsid w:val="00096DD7"/>
    <w:rsid w:val="00097123"/>
    <w:rsid w:val="00097A00"/>
    <w:rsid w:val="00097B97"/>
    <w:rsid w:val="00097E08"/>
    <w:rsid w:val="00097F1E"/>
    <w:rsid w:val="000A0136"/>
    <w:rsid w:val="000A0363"/>
    <w:rsid w:val="000A05F4"/>
    <w:rsid w:val="000A0968"/>
    <w:rsid w:val="000A1406"/>
    <w:rsid w:val="000A155D"/>
    <w:rsid w:val="000A167E"/>
    <w:rsid w:val="000A17D3"/>
    <w:rsid w:val="000A1998"/>
    <w:rsid w:val="000A2049"/>
    <w:rsid w:val="000A2A4B"/>
    <w:rsid w:val="000A2AD7"/>
    <w:rsid w:val="000A2AF3"/>
    <w:rsid w:val="000A2AFF"/>
    <w:rsid w:val="000A2C7D"/>
    <w:rsid w:val="000A2D45"/>
    <w:rsid w:val="000A2DDE"/>
    <w:rsid w:val="000A2F51"/>
    <w:rsid w:val="000A33E1"/>
    <w:rsid w:val="000A343B"/>
    <w:rsid w:val="000A3786"/>
    <w:rsid w:val="000A3ABE"/>
    <w:rsid w:val="000A3AC2"/>
    <w:rsid w:val="000A3ACB"/>
    <w:rsid w:val="000A3AFB"/>
    <w:rsid w:val="000A4270"/>
    <w:rsid w:val="000A4317"/>
    <w:rsid w:val="000A43B6"/>
    <w:rsid w:val="000A49AF"/>
    <w:rsid w:val="000A547D"/>
    <w:rsid w:val="000A5480"/>
    <w:rsid w:val="000A5D3A"/>
    <w:rsid w:val="000A5D67"/>
    <w:rsid w:val="000A5D7B"/>
    <w:rsid w:val="000A5F5E"/>
    <w:rsid w:val="000A6232"/>
    <w:rsid w:val="000A6273"/>
    <w:rsid w:val="000A64B0"/>
    <w:rsid w:val="000A6992"/>
    <w:rsid w:val="000A7291"/>
    <w:rsid w:val="000A7625"/>
    <w:rsid w:val="000A783A"/>
    <w:rsid w:val="000A7A7C"/>
    <w:rsid w:val="000A7C39"/>
    <w:rsid w:val="000A7E0B"/>
    <w:rsid w:val="000B01FF"/>
    <w:rsid w:val="000B04EA"/>
    <w:rsid w:val="000B0604"/>
    <w:rsid w:val="000B06F2"/>
    <w:rsid w:val="000B07CF"/>
    <w:rsid w:val="000B0911"/>
    <w:rsid w:val="000B12CF"/>
    <w:rsid w:val="000B171C"/>
    <w:rsid w:val="000B1771"/>
    <w:rsid w:val="000B1C65"/>
    <w:rsid w:val="000B1EDD"/>
    <w:rsid w:val="000B25FD"/>
    <w:rsid w:val="000B2D0D"/>
    <w:rsid w:val="000B2D99"/>
    <w:rsid w:val="000B2F8E"/>
    <w:rsid w:val="000B3646"/>
    <w:rsid w:val="000B3A8E"/>
    <w:rsid w:val="000B3D77"/>
    <w:rsid w:val="000B3E1B"/>
    <w:rsid w:val="000B3F91"/>
    <w:rsid w:val="000B4F2B"/>
    <w:rsid w:val="000B4F58"/>
    <w:rsid w:val="000B4F97"/>
    <w:rsid w:val="000B51F0"/>
    <w:rsid w:val="000B54EF"/>
    <w:rsid w:val="000B5924"/>
    <w:rsid w:val="000B6475"/>
    <w:rsid w:val="000B6549"/>
    <w:rsid w:val="000B675D"/>
    <w:rsid w:val="000B6D06"/>
    <w:rsid w:val="000B6D6C"/>
    <w:rsid w:val="000B6F84"/>
    <w:rsid w:val="000B7105"/>
    <w:rsid w:val="000C002C"/>
    <w:rsid w:val="000C0103"/>
    <w:rsid w:val="000C0462"/>
    <w:rsid w:val="000C089C"/>
    <w:rsid w:val="000C11C7"/>
    <w:rsid w:val="000C1513"/>
    <w:rsid w:val="000C1666"/>
    <w:rsid w:val="000C1B8A"/>
    <w:rsid w:val="000C1BEC"/>
    <w:rsid w:val="000C1D93"/>
    <w:rsid w:val="000C2DE8"/>
    <w:rsid w:val="000C2E73"/>
    <w:rsid w:val="000C3148"/>
    <w:rsid w:val="000C3586"/>
    <w:rsid w:val="000C4385"/>
    <w:rsid w:val="000C443A"/>
    <w:rsid w:val="000C468E"/>
    <w:rsid w:val="000C4902"/>
    <w:rsid w:val="000C521F"/>
    <w:rsid w:val="000C522A"/>
    <w:rsid w:val="000C5345"/>
    <w:rsid w:val="000C53D4"/>
    <w:rsid w:val="000C5464"/>
    <w:rsid w:val="000C5487"/>
    <w:rsid w:val="000C56F3"/>
    <w:rsid w:val="000C5A1D"/>
    <w:rsid w:val="000C5A81"/>
    <w:rsid w:val="000C5BFD"/>
    <w:rsid w:val="000C5C15"/>
    <w:rsid w:val="000C5D51"/>
    <w:rsid w:val="000C6232"/>
    <w:rsid w:val="000C63A0"/>
    <w:rsid w:val="000C74DD"/>
    <w:rsid w:val="000C76CB"/>
    <w:rsid w:val="000C76E6"/>
    <w:rsid w:val="000C7A4F"/>
    <w:rsid w:val="000C7B0D"/>
    <w:rsid w:val="000C7B13"/>
    <w:rsid w:val="000D0689"/>
    <w:rsid w:val="000D0985"/>
    <w:rsid w:val="000D116F"/>
    <w:rsid w:val="000D140E"/>
    <w:rsid w:val="000D1B1F"/>
    <w:rsid w:val="000D1EB1"/>
    <w:rsid w:val="000D2203"/>
    <w:rsid w:val="000D2F81"/>
    <w:rsid w:val="000D3197"/>
    <w:rsid w:val="000D3452"/>
    <w:rsid w:val="000D3F1F"/>
    <w:rsid w:val="000D48B1"/>
    <w:rsid w:val="000D48B8"/>
    <w:rsid w:val="000D58DF"/>
    <w:rsid w:val="000D5A10"/>
    <w:rsid w:val="000D61F6"/>
    <w:rsid w:val="000D62A4"/>
    <w:rsid w:val="000D66D2"/>
    <w:rsid w:val="000D6B06"/>
    <w:rsid w:val="000D7A3A"/>
    <w:rsid w:val="000E0872"/>
    <w:rsid w:val="000E0A59"/>
    <w:rsid w:val="000E1ADE"/>
    <w:rsid w:val="000E1CE0"/>
    <w:rsid w:val="000E21D8"/>
    <w:rsid w:val="000E2A2E"/>
    <w:rsid w:val="000E2B45"/>
    <w:rsid w:val="000E2CCA"/>
    <w:rsid w:val="000E317E"/>
    <w:rsid w:val="000E3983"/>
    <w:rsid w:val="000E3991"/>
    <w:rsid w:val="000E3A38"/>
    <w:rsid w:val="000E3C25"/>
    <w:rsid w:val="000E4262"/>
    <w:rsid w:val="000E44CB"/>
    <w:rsid w:val="000E45CF"/>
    <w:rsid w:val="000E4EE3"/>
    <w:rsid w:val="000E51CA"/>
    <w:rsid w:val="000E5498"/>
    <w:rsid w:val="000E5977"/>
    <w:rsid w:val="000E5B4E"/>
    <w:rsid w:val="000E5F0C"/>
    <w:rsid w:val="000E6219"/>
    <w:rsid w:val="000E6778"/>
    <w:rsid w:val="000E6C66"/>
    <w:rsid w:val="000E6CE4"/>
    <w:rsid w:val="000E6E9B"/>
    <w:rsid w:val="000E7127"/>
    <w:rsid w:val="000E7358"/>
    <w:rsid w:val="000E7FE4"/>
    <w:rsid w:val="000F01D8"/>
    <w:rsid w:val="000F028B"/>
    <w:rsid w:val="000F0488"/>
    <w:rsid w:val="000F05BA"/>
    <w:rsid w:val="000F09B2"/>
    <w:rsid w:val="000F1C42"/>
    <w:rsid w:val="000F1CB0"/>
    <w:rsid w:val="000F1EF3"/>
    <w:rsid w:val="000F22F0"/>
    <w:rsid w:val="000F26E1"/>
    <w:rsid w:val="000F28DB"/>
    <w:rsid w:val="000F2C8F"/>
    <w:rsid w:val="000F3669"/>
    <w:rsid w:val="000F43DC"/>
    <w:rsid w:val="000F4420"/>
    <w:rsid w:val="000F445F"/>
    <w:rsid w:val="000F468E"/>
    <w:rsid w:val="000F46F8"/>
    <w:rsid w:val="000F4B48"/>
    <w:rsid w:val="000F50E4"/>
    <w:rsid w:val="000F5231"/>
    <w:rsid w:val="000F593E"/>
    <w:rsid w:val="000F5DF3"/>
    <w:rsid w:val="000F5FB4"/>
    <w:rsid w:val="000F61C6"/>
    <w:rsid w:val="000F6514"/>
    <w:rsid w:val="000F7354"/>
    <w:rsid w:val="000F7A96"/>
    <w:rsid w:val="000F7BF2"/>
    <w:rsid w:val="00100208"/>
    <w:rsid w:val="0010080D"/>
    <w:rsid w:val="00100D3A"/>
    <w:rsid w:val="001010C5"/>
    <w:rsid w:val="00101161"/>
    <w:rsid w:val="0010128B"/>
    <w:rsid w:val="0010162E"/>
    <w:rsid w:val="00101747"/>
    <w:rsid w:val="001019B8"/>
    <w:rsid w:val="00101EE7"/>
    <w:rsid w:val="00102360"/>
    <w:rsid w:val="001026BA"/>
    <w:rsid w:val="001029BF"/>
    <w:rsid w:val="001029C0"/>
    <w:rsid w:val="00102C69"/>
    <w:rsid w:val="0010339F"/>
    <w:rsid w:val="001034C5"/>
    <w:rsid w:val="00103643"/>
    <w:rsid w:val="00103FCB"/>
    <w:rsid w:val="001040BF"/>
    <w:rsid w:val="001043D5"/>
    <w:rsid w:val="001043E6"/>
    <w:rsid w:val="00105038"/>
    <w:rsid w:val="00105111"/>
    <w:rsid w:val="001056A2"/>
    <w:rsid w:val="001057C4"/>
    <w:rsid w:val="00105B9E"/>
    <w:rsid w:val="00106B64"/>
    <w:rsid w:val="00107767"/>
    <w:rsid w:val="00107CBE"/>
    <w:rsid w:val="00107DBD"/>
    <w:rsid w:val="0011066A"/>
    <w:rsid w:val="00110A6D"/>
    <w:rsid w:val="00110C18"/>
    <w:rsid w:val="0011151C"/>
    <w:rsid w:val="0011157B"/>
    <w:rsid w:val="00111805"/>
    <w:rsid w:val="00111A07"/>
    <w:rsid w:val="00111AD7"/>
    <w:rsid w:val="00111BB1"/>
    <w:rsid w:val="001125E5"/>
    <w:rsid w:val="00112829"/>
    <w:rsid w:val="00112DCC"/>
    <w:rsid w:val="00112FE5"/>
    <w:rsid w:val="001130CB"/>
    <w:rsid w:val="0011338C"/>
    <w:rsid w:val="001134B0"/>
    <w:rsid w:val="0011371D"/>
    <w:rsid w:val="00113995"/>
    <w:rsid w:val="00113BC3"/>
    <w:rsid w:val="00113EF5"/>
    <w:rsid w:val="001145E4"/>
    <w:rsid w:val="00114832"/>
    <w:rsid w:val="001148FD"/>
    <w:rsid w:val="00114C00"/>
    <w:rsid w:val="001156A9"/>
    <w:rsid w:val="00115AE9"/>
    <w:rsid w:val="00116306"/>
    <w:rsid w:val="0011633B"/>
    <w:rsid w:val="0011676F"/>
    <w:rsid w:val="00116789"/>
    <w:rsid w:val="00116CA0"/>
    <w:rsid w:val="00117606"/>
    <w:rsid w:val="00117BAE"/>
    <w:rsid w:val="001208B8"/>
    <w:rsid w:val="00121290"/>
    <w:rsid w:val="001213AA"/>
    <w:rsid w:val="0012191D"/>
    <w:rsid w:val="00121A72"/>
    <w:rsid w:val="00121D35"/>
    <w:rsid w:val="0012228F"/>
    <w:rsid w:val="00122518"/>
    <w:rsid w:val="00122F8E"/>
    <w:rsid w:val="00123890"/>
    <w:rsid w:val="00123937"/>
    <w:rsid w:val="00123CC0"/>
    <w:rsid w:val="00123EB2"/>
    <w:rsid w:val="0012430C"/>
    <w:rsid w:val="00124679"/>
    <w:rsid w:val="00124979"/>
    <w:rsid w:val="00125007"/>
    <w:rsid w:val="001256CA"/>
    <w:rsid w:val="00125733"/>
    <w:rsid w:val="00125847"/>
    <w:rsid w:val="00126353"/>
    <w:rsid w:val="00126361"/>
    <w:rsid w:val="001263CB"/>
    <w:rsid w:val="00127403"/>
    <w:rsid w:val="001300DA"/>
    <w:rsid w:val="001301FF"/>
    <w:rsid w:val="001302C1"/>
    <w:rsid w:val="00130597"/>
    <w:rsid w:val="001305E0"/>
    <w:rsid w:val="00130AC3"/>
    <w:rsid w:val="00130B35"/>
    <w:rsid w:val="00130F44"/>
    <w:rsid w:val="00132351"/>
    <w:rsid w:val="001324D3"/>
    <w:rsid w:val="001329B1"/>
    <w:rsid w:val="00132ADC"/>
    <w:rsid w:val="00133256"/>
    <w:rsid w:val="0013351C"/>
    <w:rsid w:val="00134259"/>
    <w:rsid w:val="001343A7"/>
    <w:rsid w:val="00134936"/>
    <w:rsid w:val="00134990"/>
    <w:rsid w:val="00134B5A"/>
    <w:rsid w:val="00134D54"/>
    <w:rsid w:val="0013521B"/>
    <w:rsid w:val="00135280"/>
    <w:rsid w:val="00135B36"/>
    <w:rsid w:val="00135BAA"/>
    <w:rsid w:val="00136B09"/>
    <w:rsid w:val="001378E6"/>
    <w:rsid w:val="001378EE"/>
    <w:rsid w:val="00137975"/>
    <w:rsid w:val="00137CDA"/>
    <w:rsid w:val="00140058"/>
    <w:rsid w:val="00140199"/>
    <w:rsid w:val="00140827"/>
    <w:rsid w:val="00140BDD"/>
    <w:rsid w:val="00140E0B"/>
    <w:rsid w:val="0014106A"/>
    <w:rsid w:val="001412A3"/>
    <w:rsid w:val="00141CD9"/>
    <w:rsid w:val="001421A8"/>
    <w:rsid w:val="0014227D"/>
    <w:rsid w:val="00142A43"/>
    <w:rsid w:val="00142CB5"/>
    <w:rsid w:val="001430A7"/>
    <w:rsid w:val="0014357B"/>
    <w:rsid w:val="00143A71"/>
    <w:rsid w:val="00143BA9"/>
    <w:rsid w:val="00143FB3"/>
    <w:rsid w:val="001441D6"/>
    <w:rsid w:val="001447B5"/>
    <w:rsid w:val="00144C13"/>
    <w:rsid w:val="00144E73"/>
    <w:rsid w:val="0014539C"/>
    <w:rsid w:val="0014562F"/>
    <w:rsid w:val="001457F2"/>
    <w:rsid w:val="00145B3C"/>
    <w:rsid w:val="00145DCC"/>
    <w:rsid w:val="0014601B"/>
    <w:rsid w:val="001463A0"/>
    <w:rsid w:val="001471A2"/>
    <w:rsid w:val="00147DE8"/>
    <w:rsid w:val="00150503"/>
    <w:rsid w:val="0015073F"/>
    <w:rsid w:val="00150AD8"/>
    <w:rsid w:val="00151297"/>
    <w:rsid w:val="001512EA"/>
    <w:rsid w:val="00151E07"/>
    <w:rsid w:val="0015203E"/>
    <w:rsid w:val="0015252F"/>
    <w:rsid w:val="0015274D"/>
    <w:rsid w:val="00152889"/>
    <w:rsid w:val="00152A79"/>
    <w:rsid w:val="00153449"/>
    <w:rsid w:val="001534A4"/>
    <w:rsid w:val="001539AB"/>
    <w:rsid w:val="00153BBE"/>
    <w:rsid w:val="00154256"/>
    <w:rsid w:val="00154304"/>
    <w:rsid w:val="00154F69"/>
    <w:rsid w:val="00155BAD"/>
    <w:rsid w:val="00155F53"/>
    <w:rsid w:val="00155F77"/>
    <w:rsid w:val="00156013"/>
    <w:rsid w:val="001564E4"/>
    <w:rsid w:val="00156A02"/>
    <w:rsid w:val="00156C31"/>
    <w:rsid w:val="00156FED"/>
    <w:rsid w:val="001570A6"/>
    <w:rsid w:val="0015768F"/>
    <w:rsid w:val="00157DFC"/>
    <w:rsid w:val="00157E16"/>
    <w:rsid w:val="00160666"/>
    <w:rsid w:val="0016091C"/>
    <w:rsid w:val="00161193"/>
    <w:rsid w:val="00161281"/>
    <w:rsid w:val="00161548"/>
    <w:rsid w:val="00161B16"/>
    <w:rsid w:val="00162335"/>
    <w:rsid w:val="001623ED"/>
    <w:rsid w:val="0016245D"/>
    <w:rsid w:val="00162478"/>
    <w:rsid w:val="00162608"/>
    <w:rsid w:val="00163001"/>
    <w:rsid w:val="00163A1E"/>
    <w:rsid w:val="00163FED"/>
    <w:rsid w:val="00164189"/>
    <w:rsid w:val="0016432B"/>
    <w:rsid w:val="001648C9"/>
    <w:rsid w:val="00164E76"/>
    <w:rsid w:val="00165533"/>
    <w:rsid w:val="001657E1"/>
    <w:rsid w:val="001658CB"/>
    <w:rsid w:val="00165AB4"/>
    <w:rsid w:val="00165EA5"/>
    <w:rsid w:val="00165EC8"/>
    <w:rsid w:val="0016618A"/>
    <w:rsid w:val="00166504"/>
    <w:rsid w:val="0016682F"/>
    <w:rsid w:val="001674BC"/>
    <w:rsid w:val="00167734"/>
    <w:rsid w:val="00167B37"/>
    <w:rsid w:val="00167D43"/>
    <w:rsid w:val="00170084"/>
    <w:rsid w:val="0017041E"/>
    <w:rsid w:val="001710E1"/>
    <w:rsid w:val="001713A0"/>
    <w:rsid w:val="00171832"/>
    <w:rsid w:val="00171935"/>
    <w:rsid w:val="001726A1"/>
    <w:rsid w:val="00172C1C"/>
    <w:rsid w:val="00172C6B"/>
    <w:rsid w:val="00172D35"/>
    <w:rsid w:val="00172E12"/>
    <w:rsid w:val="00172E3A"/>
    <w:rsid w:val="0017318F"/>
    <w:rsid w:val="0017341F"/>
    <w:rsid w:val="001734BF"/>
    <w:rsid w:val="00173645"/>
    <w:rsid w:val="00173783"/>
    <w:rsid w:val="001744B0"/>
    <w:rsid w:val="001747F8"/>
    <w:rsid w:val="00174E0A"/>
    <w:rsid w:val="00175B80"/>
    <w:rsid w:val="00176290"/>
    <w:rsid w:val="001767F0"/>
    <w:rsid w:val="00177198"/>
    <w:rsid w:val="00177246"/>
    <w:rsid w:val="00177C76"/>
    <w:rsid w:val="00177FF4"/>
    <w:rsid w:val="001800E0"/>
    <w:rsid w:val="001801EC"/>
    <w:rsid w:val="001802CD"/>
    <w:rsid w:val="0018032D"/>
    <w:rsid w:val="001804ED"/>
    <w:rsid w:val="00180F5F"/>
    <w:rsid w:val="0018219C"/>
    <w:rsid w:val="0018255F"/>
    <w:rsid w:val="00182C5F"/>
    <w:rsid w:val="00183172"/>
    <w:rsid w:val="001836E3"/>
    <w:rsid w:val="00183957"/>
    <w:rsid w:val="001839A4"/>
    <w:rsid w:val="00183B6E"/>
    <w:rsid w:val="00184A20"/>
    <w:rsid w:val="00185A7B"/>
    <w:rsid w:val="00185B1A"/>
    <w:rsid w:val="0018612A"/>
    <w:rsid w:val="0018633C"/>
    <w:rsid w:val="0018642E"/>
    <w:rsid w:val="00187017"/>
    <w:rsid w:val="0018709B"/>
    <w:rsid w:val="00187D69"/>
    <w:rsid w:val="001901BC"/>
    <w:rsid w:val="001905D7"/>
    <w:rsid w:val="001924E6"/>
    <w:rsid w:val="001930A2"/>
    <w:rsid w:val="001930AE"/>
    <w:rsid w:val="00193597"/>
    <w:rsid w:val="00193B55"/>
    <w:rsid w:val="00193BCF"/>
    <w:rsid w:val="00193CA4"/>
    <w:rsid w:val="00193FC1"/>
    <w:rsid w:val="0019452B"/>
    <w:rsid w:val="00194B21"/>
    <w:rsid w:val="00194E64"/>
    <w:rsid w:val="00194EA2"/>
    <w:rsid w:val="00195315"/>
    <w:rsid w:val="001954F1"/>
    <w:rsid w:val="00195597"/>
    <w:rsid w:val="001965A9"/>
    <w:rsid w:val="001968A3"/>
    <w:rsid w:val="001973DF"/>
    <w:rsid w:val="00197CC7"/>
    <w:rsid w:val="001A025A"/>
    <w:rsid w:val="001A067B"/>
    <w:rsid w:val="001A06AE"/>
    <w:rsid w:val="001A07CB"/>
    <w:rsid w:val="001A0FCD"/>
    <w:rsid w:val="001A1103"/>
    <w:rsid w:val="001A141E"/>
    <w:rsid w:val="001A17B4"/>
    <w:rsid w:val="001A1877"/>
    <w:rsid w:val="001A2801"/>
    <w:rsid w:val="001A2A02"/>
    <w:rsid w:val="001A2E52"/>
    <w:rsid w:val="001A2EF8"/>
    <w:rsid w:val="001A31FD"/>
    <w:rsid w:val="001A3769"/>
    <w:rsid w:val="001A3BE8"/>
    <w:rsid w:val="001A40F2"/>
    <w:rsid w:val="001A426B"/>
    <w:rsid w:val="001A4D23"/>
    <w:rsid w:val="001A4E4A"/>
    <w:rsid w:val="001A52BE"/>
    <w:rsid w:val="001A60E0"/>
    <w:rsid w:val="001A612E"/>
    <w:rsid w:val="001A6262"/>
    <w:rsid w:val="001A649E"/>
    <w:rsid w:val="001A6785"/>
    <w:rsid w:val="001A67A0"/>
    <w:rsid w:val="001A68BE"/>
    <w:rsid w:val="001A6B26"/>
    <w:rsid w:val="001A723C"/>
    <w:rsid w:val="001A73B6"/>
    <w:rsid w:val="001A78BB"/>
    <w:rsid w:val="001A7BCC"/>
    <w:rsid w:val="001A7D37"/>
    <w:rsid w:val="001A7FCB"/>
    <w:rsid w:val="001B00F5"/>
    <w:rsid w:val="001B0FD1"/>
    <w:rsid w:val="001B147D"/>
    <w:rsid w:val="001B1692"/>
    <w:rsid w:val="001B1F1B"/>
    <w:rsid w:val="001B2832"/>
    <w:rsid w:val="001B2CDE"/>
    <w:rsid w:val="001B2EA7"/>
    <w:rsid w:val="001B3282"/>
    <w:rsid w:val="001B3301"/>
    <w:rsid w:val="001B3407"/>
    <w:rsid w:val="001B3425"/>
    <w:rsid w:val="001B356D"/>
    <w:rsid w:val="001B3C00"/>
    <w:rsid w:val="001B3D28"/>
    <w:rsid w:val="001B4573"/>
    <w:rsid w:val="001B5256"/>
    <w:rsid w:val="001B6ABE"/>
    <w:rsid w:val="001B6FAB"/>
    <w:rsid w:val="001B710D"/>
    <w:rsid w:val="001B7451"/>
    <w:rsid w:val="001B7A91"/>
    <w:rsid w:val="001B7E10"/>
    <w:rsid w:val="001B7FA4"/>
    <w:rsid w:val="001C0306"/>
    <w:rsid w:val="001C057F"/>
    <w:rsid w:val="001C0604"/>
    <w:rsid w:val="001C0691"/>
    <w:rsid w:val="001C07D7"/>
    <w:rsid w:val="001C0AC9"/>
    <w:rsid w:val="001C0B34"/>
    <w:rsid w:val="001C13E5"/>
    <w:rsid w:val="001C1815"/>
    <w:rsid w:val="001C2211"/>
    <w:rsid w:val="001C2260"/>
    <w:rsid w:val="001C23CB"/>
    <w:rsid w:val="001C296C"/>
    <w:rsid w:val="001C2F9D"/>
    <w:rsid w:val="001C333F"/>
    <w:rsid w:val="001C34CC"/>
    <w:rsid w:val="001C37CE"/>
    <w:rsid w:val="001C443F"/>
    <w:rsid w:val="001C4506"/>
    <w:rsid w:val="001C4610"/>
    <w:rsid w:val="001C4837"/>
    <w:rsid w:val="001C4FA5"/>
    <w:rsid w:val="001C552D"/>
    <w:rsid w:val="001C5B54"/>
    <w:rsid w:val="001C6215"/>
    <w:rsid w:val="001C6280"/>
    <w:rsid w:val="001C631D"/>
    <w:rsid w:val="001C6394"/>
    <w:rsid w:val="001C6D02"/>
    <w:rsid w:val="001C6E10"/>
    <w:rsid w:val="001C6EF7"/>
    <w:rsid w:val="001C6F5C"/>
    <w:rsid w:val="001C7811"/>
    <w:rsid w:val="001C789E"/>
    <w:rsid w:val="001C7927"/>
    <w:rsid w:val="001C7FB0"/>
    <w:rsid w:val="001D011C"/>
    <w:rsid w:val="001D047B"/>
    <w:rsid w:val="001D0C3E"/>
    <w:rsid w:val="001D0D89"/>
    <w:rsid w:val="001D0FA8"/>
    <w:rsid w:val="001D13EA"/>
    <w:rsid w:val="001D1663"/>
    <w:rsid w:val="001D167A"/>
    <w:rsid w:val="001D1740"/>
    <w:rsid w:val="001D1A36"/>
    <w:rsid w:val="001D23FB"/>
    <w:rsid w:val="001D2C02"/>
    <w:rsid w:val="001D2CB2"/>
    <w:rsid w:val="001D2EEF"/>
    <w:rsid w:val="001D33EB"/>
    <w:rsid w:val="001D3810"/>
    <w:rsid w:val="001D3A50"/>
    <w:rsid w:val="001D3D5C"/>
    <w:rsid w:val="001D4076"/>
    <w:rsid w:val="001D43A4"/>
    <w:rsid w:val="001D55B4"/>
    <w:rsid w:val="001D5801"/>
    <w:rsid w:val="001D585D"/>
    <w:rsid w:val="001D6162"/>
    <w:rsid w:val="001D632A"/>
    <w:rsid w:val="001D675E"/>
    <w:rsid w:val="001D718D"/>
    <w:rsid w:val="001D7364"/>
    <w:rsid w:val="001D75EA"/>
    <w:rsid w:val="001D7943"/>
    <w:rsid w:val="001D7EB4"/>
    <w:rsid w:val="001E04FE"/>
    <w:rsid w:val="001E1342"/>
    <w:rsid w:val="001E2103"/>
    <w:rsid w:val="001E242C"/>
    <w:rsid w:val="001E2511"/>
    <w:rsid w:val="001E27EE"/>
    <w:rsid w:val="001E2AE9"/>
    <w:rsid w:val="001E2B5F"/>
    <w:rsid w:val="001E2F6B"/>
    <w:rsid w:val="001E348D"/>
    <w:rsid w:val="001E3886"/>
    <w:rsid w:val="001E389F"/>
    <w:rsid w:val="001E3B22"/>
    <w:rsid w:val="001E3C98"/>
    <w:rsid w:val="001E3FC6"/>
    <w:rsid w:val="001E43AD"/>
    <w:rsid w:val="001E4DA6"/>
    <w:rsid w:val="001E57D2"/>
    <w:rsid w:val="001E5D7F"/>
    <w:rsid w:val="001E6074"/>
    <w:rsid w:val="001E674E"/>
    <w:rsid w:val="001E70F2"/>
    <w:rsid w:val="001E7C09"/>
    <w:rsid w:val="001E7F9D"/>
    <w:rsid w:val="001F014D"/>
    <w:rsid w:val="001F036C"/>
    <w:rsid w:val="001F0A02"/>
    <w:rsid w:val="001F0B94"/>
    <w:rsid w:val="001F1286"/>
    <w:rsid w:val="001F20F6"/>
    <w:rsid w:val="001F2260"/>
    <w:rsid w:val="001F2348"/>
    <w:rsid w:val="001F2593"/>
    <w:rsid w:val="001F25FE"/>
    <w:rsid w:val="001F2670"/>
    <w:rsid w:val="001F2698"/>
    <w:rsid w:val="001F2A2D"/>
    <w:rsid w:val="001F2EBF"/>
    <w:rsid w:val="001F3441"/>
    <w:rsid w:val="001F34A6"/>
    <w:rsid w:val="001F37B7"/>
    <w:rsid w:val="001F3BA9"/>
    <w:rsid w:val="001F3D9B"/>
    <w:rsid w:val="001F4C79"/>
    <w:rsid w:val="001F4EAD"/>
    <w:rsid w:val="001F4FA1"/>
    <w:rsid w:val="001F528F"/>
    <w:rsid w:val="001F535E"/>
    <w:rsid w:val="001F5C77"/>
    <w:rsid w:val="001F5CBE"/>
    <w:rsid w:val="001F6C68"/>
    <w:rsid w:val="001F6CC0"/>
    <w:rsid w:val="001F6EF6"/>
    <w:rsid w:val="001F6FCC"/>
    <w:rsid w:val="001F6FFC"/>
    <w:rsid w:val="00200783"/>
    <w:rsid w:val="0020096F"/>
    <w:rsid w:val="00201B01"/>
    <w:rsid w:val="0020295E"/>
    <w:rsid w:val="002029BA"/>
    <w:rsid w:val="00202B05"/>
    <w:rsid w:val="00202E86"/>
    <w:rsid w:val="00203091"/>
    <w:rsid w:val="002031B1"/>
    <w:rsid w:val="00203274"/>
    <w:rsid w:val="00203F6F"/>
    <w:rsid w:val="00204538"/>
    <w:rsid w:val="0020459A"/>
    <w:rsid w:val="00204699"/>
    <w:rsid w:val="0020494D"/>
    <w:rsid w:val="00204B42"/>
    <w:rsid w:val="00205209"/>
    <w:rsid w:val="00205535"/>
    <w:rsid w:val="00205B9C"/>
    <w:rsid w:val="002062DB"/>
    <w:rsid w:val="002064BB"/>
    <w:rsid w:val="00207026"/>
    <w:rsid w:val="0020708A"/>
    <w:rsid w:val="0021028C"/>
    <w:rsid w:val="00210534"/>
    <w:rsid w:val="002107D9"/>
    <w:rsid w:val="002110D2"/>
    <w:rsid w:val="00211102"/>
    <w:rsid w:val="00211370"/>
    <w:rsid w:val="0021144A"/>
    <w:rsid w:val="0021151C"/>
    <w:rsid w:val="00211B72"/>
    <w:rsid w:val="00211D90"/>
    <w:rsid w:val="0021201F"/>
    <w:rsid w:val="002124E2"/>
    <w:rsid w:val="00212C04"/>
    <w:rsid w:val="00212D5F"/>
    <w:rsid w:val="00214022"/>
    <w:rsid w:val="002140D0"/>
    <w:rsid w:val="0021438E"/>
    <w:rsid w:val="0021441F"/>
    <w:rsid w:val="0021448B"/>
    <w:rsid w:val="00214DC1"/>
    <w:rsid w:val="0021517A"/>
    <w:rsid w:val="00215F6B"/>
    <w:rsid w:val="00216CF4"/>
    <w:rsid w:val="002173CC"/>
    <w:rsid w:val="00217D87"/>
    <w:rsid w:val="00217DB7"/>
    <w:rsid w:val="00220D35"/>
    <w:rsid w:val="00221069"/>
    <w:rsid w:val="00221339"/>
    <w:rsid w:val="002221D6"/>
    <w:rsid w:val="0022225C"/>
    <w:rsid w:val="00222A42"/>
    <w:rsid w:val="00222B68"/>
    <w:rsid w:val="00222CE0"/>
    <w:rsid w:val="0022396D"/>
    <w:rsid w:val="00223CD3"/>
    <w:rsid w:val="00224217"/>
    <w:rsid w:val="00224643"/>
    <w:rsid w:val="0022478B"/>
    <w:rsid w:val="00224E7E"/>
    <w:rsid w:val="0022507D"/>
    <w:rsid w:val="00225309"/>
    <w:rsid w:val="00225BFB"/>
    <w:rsid w:val="00225C24"/>
    <w:rsid w:val="00225DB5"/>
    <w:rsid w:val="00225E2C"/>
    <w:rsid w:val="00225FD2"/>
    <w:rsid w:val="00226155"/>
    <w:rsid w:val="0022636A"/>
    <w:rsid w:val="002268C4"/>
    <w:rsid w:val="00226B6D"/>
    <w:rsid w:val="00226DF3"/>
    <w:rsid w:val="00227842"/>
    <w:rsid w:val="00227AEE"/>
    <w:rsid w:val="002300C5"/>
    <w:rsid w:val="00230A5E"/>
    <w:rsid w:val="00230D8D"/>
    <w:rsid w:val="00230F02"/>
    <w:rsid w:val="002310E3"/>
    <w:rsid w:val="00231751"/>
    <w:rsid w:val="00231766"/>
    <w:rsid w:val="00231819"/>
    <w:rsid w:val="00231DDE"/>
    <w:rsid w:val="002329C9"/>
    <w:rsid w:val="00232B8C"/>
    <w:rsid w:val="00232EDE"/>
    <w:rsid w:val="002332CD"/>
    <w:rsid w:val="002333FE"/>
    <w:rsid w:val="00233806"/>
    <w:rsid w:val="00233897"/>
    <w:rsid w:val="00233D85"/>
    <w:rsid w:val="00234420"/>
    <w:rsid w:val="002345D5"/>
    <w:rsid w:val="00234BC4"/>
    <w:rsid w:val="00234FCB"/>
    <w:rsid w:val="002350E1"/>
    <w:rsid w:val="002359B5"/>
    <w:rsid w:val="0023614E"/>
    <w:rsid w:val="00236174"/>
    <w:rsid w:val="00236445"/>
    <w:rsid w:val="0023648D"/>
    <w:rsid w:val="00236F20"/>
    <w:rsid w:val="00236FCA"/>
    <w:rsid w:val="00237397"/>
    <w:rsid w:val="0023760C"/>
    <w:rsid w:val="002377DC"/>
    <w:rsid w:val="0023791B"/>
    <w:rsid w:val="00240439"/>
    <w:rsid w:val="00240519"/>
    <w:rsid w:val="00240808"/>
    <w:rsid w:val="00240CCE"/>
    <w:rsid w:val="00240CEC"/>
    <w:rsid w:val="00240EA8"/>
    <w:rsid w:val="00241493"/>
    <w:rsid w:val="00241767"/>
    <w:rsid w:val="00241D46"/>
    <w:rsid w:val="0024256F"/>
    <w:rsid w:val="00242639"/>
    <w:rsid w:val="002426EB"/>
    <w:rsid w:val="002430F3"/>
    <w:rsid w:val="0024348D"/>
    <w:rsid w:val="00243529"/>
    <w:rsid w:val="00243A90"/>
    <w:rsid w:val="00243B2B"/>
    <w:rsid w:val="002445F4"/>
    <w:rsid w:val="00244788"/>
    <w:rsid w:val="0024486C"/>
    <w:rsid w:val="00244DF3"/>
    <w:rsid w:val="00245450"/>
    <w:rsid w:val="0024553D"/>
    <w:rsid w:val="00245733"/>
    <w:rsid w:val="00245A9C"/>
    <w:rsid w:val="00245AFC"/>
    <w:rsid w:val="00245F1A"/>
    <w:rsid w:val="00246168"/>
    <w:rsid w:val="002466A0"/>
    <w:rsid w:val="002466C8"/>
    <w:rsid w:val="00246AF6"/>
    <w:rsid w:val="00247067"/>
    <w:rsid w:val="0024767C"/>
    <w:rsid w:val="0024770C"/>
    <w:rsid w:val="002477B4"/>
    <w:rsid w:val="0024795B"/>
    <w:rsid w:val="00247BC3"/>
    <w:rsid w:val="00250053"/>
    <w:rsid w:val="00250087"/>
    <w:rsid w:val="002501EB"/>
    <w:rsid w:val="002504E9"/>
    <w:rsid w:val="00250C76"/>
    <w:rsid w:val="002511AB"/>
    <w:rsid w:val="00251404"/>
    <w:rsid w:val="00251456"/>
    <w:rsid w:val="002517B0"/>
    <w:rsid w:val="002517F4"/>
    <w:rsid w:val="00251867"/>
    <w:rsid w:val="00251AFD"/>
    <w:rsid w:val="0025225C"/>
    <w:rsid w:val="002523E2"/>
    <w:rsid w:val="0025265C"/>
    <w:rsid w:val="00252997"/>
    <w:rsid w:val="00252CE1"/>
    <w:rsid w:val="00252FDA"/>
    <w:rsid w:val="00253144"/>
    <w:rsid w:val="002536DE"/>
    <w:rsid w:val="00253A33"/>
    <w:rsid w:val="00253DB9"/>
    <w:rsid w:val="002544ED"/>
    <w:rsid w:val="00254563"/>
    <w:rsid w:val="00254C37"/>
    <w:rsid w:val="00254CB7"/>
    <w:rsid w:val="00254F93"/>
    <w:rsid w:val="002554A0"/>
    <w:rsid w:val="00255A16"/>
    <w:rsid w:val="002563BC"/>
    <w:rsid w:val="00256513"/>
    <w:rsid w:val="00256B9E"/>
    <w:rsid w:val="00256CE4"/>
    <w:rsid w:val="00256F49"/>
    <w:rsid w:val="00257086"/>
    <w:rsid w:val="00257741"/>
    <w:rsid w:val="00257F9F"/>
    <w:rsid w:val="002605CF"/>
    <w:rsid w:val="00260864"/>
    <w:rsid w:val="00260B2D"/>
    <w:rsid w:val="0026102F"/>
    <w:rsid w:val="00261E9D"/>
    <w:rsid w:val="0026327F"/>
    <w:rsid w:val="00263553"/>
    <w:rsid w:val="00263B66"/>
    <w:rsid w:val="00263BA1"/>
    <w:rsid w:val="00263F91"/>
    <w:rsid w:val="002640C8"/>
    <w:rsid w:val="0026445D"/>
    <w:rsid w:val="00265335"/>
    <w:rsid w:val="0026592F"/>
    <w:rsid w:val="002659EE"/>
    <w:rsid w:val="00265FED"/>
    <w:rsid w:val="002667EE"/>
    <w:rsid w:val="00266A4A"/>
    <w:rsid w:val="00266A4B"/>
    <w:rsid w:val="00266E8E"/>
    <w:rsid w:val="00266EAF"/>
    <w:rsid w:val="002673FF"/>
    <w:rsid w:val="00267D58"/>
    <w:rsid w:val="00267DCD"/>
    <w:rsid w:val="00270131"/>
    <w:rsid w:val="00270364"/>
    <w:rsid w:val="002704CE"/>
    <w:rsid w:val="0027060C"/>
    <w:rsid w:val="00270883"/>
    <w:rsid w:val="00270BCB"/>
    <w:rsid w:val="0027138A"/>
    <w:rsid w:val="0027173B"/>
    <w:rsid w:val="00271C3F"/>
    <w:rsid w:val="00271D71"/>
    <w:rsid w:val="002720B7"/>
    <w:rsid w:val="002723AD"/>
    <w:rsid w:val="002723D8"/>
    <w:rsid w:val="002729C4"/>
    <w:rsid w:val="002729D3"/>
    <w:rsid w:val="00272CAD"/>
    <w:rsid w:val="002731EB"/>
    <w:rsid w:val="00273822"/>
    <w:rsid w:val="002740F6"/>
    <w:rsid w:val="0027411D"/>
    <w:rsid w:val="00274698"/>
    <w:rsid w:val="00274D5C"/>
    <w:rsid w:val="00274E8F"/>
    <w:rsid w:val="00274EE3"/>
    <w:rsid w:val="00275DDD"/>
    <w:rsid w:val="00275EF8"/>
    <w:rsid w:val="00275F17"/>
    <w:rsid w:val="0027603B"/>
    <w:rsid w:val="002764FF"/>
    <w:rsid w:val="00276F49"/>
    <w:rsid w:val="00276F93"/>
    <w:rsid w:val="0027748E"/>
    <w:rsid w:val="00277878"/>
    <w:rsid w:val="00277B37"/>
    <w:rsid w:val="002812F9"/>
    <w:rsid w:val="0028158C"/>
    <w:rsid w:val="00281732"/>
    <w:rsid w:val="00281D3A"/>
    <w:rsid w:val="002823A6"/>
    <w:rsid w:val="002825AD"/>
    <w:rsid w:val="002826EA"/>
    <w:rsid w:val="00282A97"/>
    <w:rsid w:val="00282AAD"/>
    <w:rsid w:val="00282E30"/>
    <w:rsid w:val="00282EC4"/>
    <w:rsid w:val="0028304D"/>
    <w:rsid w:val="00283214"/>
    <w:rsid w:val="002839CA"/>
    <w:rsid w:val="00283FA9"/>
    <w:rsid w:val="00283FB6"/>
    <w:rsid w:val="002847D8"/>
    <w:rsid w:val="002851FA"/>
    <w:rsid w:val="00285E62"/>
    <w:rsid w:val="00286A6C"/>
    <w:rsid w:val="00290194"/>
    <w:rsid w:val="002904BC"/>
    <w:rsid w:val="00291121"/>
    <w:rsid w:val="002911C1"/>
    <w:rsid w:val="002911DE"/>
    <w:rsid w:val="002915DC"/>
    <w:rsid w:val="00291BB3"/>
    <w:rsid w:val="0029218E"/>
    <w:rsid w:val="002921F0"/>
    <w:rsid w:val="00292405"/>
    <w:rsid w:val="00292673"/>
    <w:rsid w:val="00293254"/>
    <w:rsid w:val="002932F5"/>
    <w:rsid w:val="00293403"/>
    <w:rsid w:val="0029357E"/>
    <w:rsid w:val="00293994"/>
    <w:rsid w:val="00293AA7"/>
    <w:rsid w:val="00293B5C"/>
    <w:rsid w:val="0029435A"/>
    <w:rsid w:val="0029439A"/>
    <w:rsid w:val="00294551"/>
    <w:rsid w:val="002949F0"/>
    <w:rsid w:val="00294A7C"/>
    <w:rsid w:val="00294D8D"/>
    <w:rsid w:val="00294F1A"/>
    <w:rsid w:val="0029598F"/>
    <w:rsid w:val="00295C49"/>
    <w:rsid w:val="00295DC7"/>
    <w:rsid w:val="00296384"/>
    <w:rsid w:val="002964FD"/>
    <w:rsid w:val="00296FA0"/>
    <w:rsid w:val="00297C4E"/>
    <w:rsid w:val="002A070E"/>
    <w:rsid w:val="002A085E"/>
    <w:rsid w:val="002A089E"/>
    <w:rsid w:val="002A121F"/>
    <w:rsid w:val="002A1282"/>
    <w:rsid w:val="002A1289"/>
    <w:rsid w:val="002A275F"/>
    <w:rsid w:val="002A2AEF"/>
    <w:rsid w:val="002A2E1F"/>
    <w:rsid w:val="002A2F09"/>
    <w:rsid w:val="002A33FA"/>
    <w:rsid w:val="002A365A"/>
    <w:rsid w:val="002A3ADF"/>
    <w:rsid w:val="002A3E7F"/>
    <w:rsid w:val="002A4410"/>
    <w:rsid w:val="002A4431"/>
    <w:rsid w:val="002A44E1"/>
    <w:rsid w:val="002A4700"/>
    <w:rsid w:val="002A495D"/>
    <w:rsid w:val="002A510B"/>
    <w:rsid w:val="002A5353"/>
    <w:rsid w:val="002A5A91"/>
    <w:rsid w:val="002A61CF"/>
    <w:rsid w:val="002A630E"/>
    <w:rsid w:val="002A6F89"/>
    <w:rsid w:val="002A6FEC"/>
    <w:rsid w:val="002A70D3"/>
    <w:rsid w:val="002A7165"/>
    <w:rsid w:val="002A73B3"/>
    <w:rsid w:val="002A74A6"/>
    <w:rsid w:val="002A7650"/>
    <w:rsid w:val="002A7680"/>
    <w:rsid w:val="002A7885"/>
    <w:rsid w:val="002A7BB5"/>
    <w:rsid w:val="002B009F"/>
    <w:rsid w:val="002B0B6A"/>
    <w:rsid w:val="002B152E"/>
    <w:rsid w:val="002B1A2F"/>
    <w:rsid w:val="002B263B"/>
    <w:rsid w:val="002B2668"/>
    <w:rsid w:val="002B3866"/>
    <w:rsid w:val="002B3A24"/>
    <w:rsid w:val="002B488C"/>
    <w:rsid w:val="002B4ACB"/>
    <w:rsid w:val="002B50F1"/>
    <w:rsid w:val="002B5307"/>
    <w:rsid w:val="002B53BE"/>
    <w:rsid w:val="002B6019"/>
    <w:rsid w:val="002B626F"/>
    <w:rsid w:val="002B676C"/>
    <w:rsid w:val="002B677A"/>
    <w:rsid w:val="002B6831"/>
    <w:rsid w:val="002B6A03"/>
    <w:rsid w:val="002B71FC"/>
    <w:rsid w:val="002B7355"/>
    <w:rsid w:val="002B7362"/>
    <w:rsid w:val="002B7382"/>
    <w:rsid w:val="002C032C"/>
    <w:rsid w:val="002C0720"/>
    <w:rsid w:val="002C0D2C"/>
    <w:rsid w:val="002C0D93"/>
    <w:rsid w:val="002C1F0A"/>
    <w:rsid w:val="002C22B8"/>
    <w:rsid w:val="002C2548"/>
    <w:rsid w:val="002C2992"/>
    <w:rsid w:val="002C2994"/>
    <w:rsid w:val="002C37F4"/>
    <w:rsid w:val="002C3B52"/>
    <w:rsid w:val="002C3FA5"/>
    <w:rsid w:val="002C4331"/>
    <w:rsid w:val="002C4725"/>
    <w:rsid w:val="002C52EF"/>
    <w:rsid w:val="002C58DC"/>
    <w:rsid w:val="002C5B44"/>
    <w:rsid w:val="002C5E79"/>
    <w:rsid w:val="002C6218"/>
    <w:rsid w:val="002C6AA8"/>
    <w:rsid w:val="002C6E24"/>
    <w:rsid w:val="002C7737"/>
    <w:rsid w:val="002C7830"/>
    <w:rsid w:val="002D02A6"/>
    <w:rsid w:val="002D0957"/>
    <w:rsid w:val="002D0DDE"/>
    <w:rsid w:val="002D1179"/>
    <w:rsid w:val="002D1A02"/>
    <w:rsid w:val="002D1B70"/>
    <w:rsid w:val="002D1BAC"/>
    <w:rsid w:val="002D2202"/>
    <w:rsid w:val="002D2436"/>
    <w:rsid w:val="002D2449"/>
    <w:rsid w:val="002D267F"/>
    <w:rsid w:val="002D2E17"/>
    <w:rsid w:val="002D2FBE"/>
    <w:rsid w:val="002D32ED"/>
    <w:rsid w:val="002D35C9"/>
    <w:rsid w:val="002D36B3"/>
    <w:rsid w:val="002D370F"/>
    <w:rsid w:val="002D3796"/>
    <w:rsid w:val="002D3D37"/>
    <w:rsid w:val="002D4170"/>
    <w:rsid w:val="002D423A"/>
    <w:rsid w:val="002D42CD"/>
    <w:rsid w:val="002D4CE6"/>
    <w:rsid w:val="002D59EB"/>
    <w:rsid w:val="002D5A14"/>
    <w:rsid w:val="002D5F2F"/>
    <w:rsid w:val="002D5FD4"/>
    <w:rsid w:val="002D60D8"/>
    <w:rsid w:val="002D68D9"/>
    <w:rsid w:val="002D6CD4"/>
    <w:rsid w:val="002D6E09"/>
    <w:rsid w:val="002D6F49"/>
    <w:rsid w:val="002D7130"/>
    <w:rsid w:val="002D7B9F"/>
    <w:rsid w:val="002E0A4C"/>
    <w:rsid w:val="002E10C8"/>
    <w:rsid w:val="002E14D8"/>
    <w:rsid w:val="002E164B"/>
    <w:rsid w:val="002E1677"/>
    <w:rsid w:val="002E1731"/>
    <w:rsid w:val="002E19F8"/>
    <w:rsid w:val="002E1DB2"/>
    <w:rsid w:val="002E2715"/>
    <w:rsid w:val="002E2EE9"/>
    <w:rsid w:val="002E2EFD"/>
    <w:rsid w:val="002E2F70"/>
    <w:rsid w:val="002E304D"/>
    <w:rsid w:val="002E33A8"/>
    <w:rsid w:val="002E37C8"/>
    <w:rsid w:val="002E39A2"/>
    <w:rsid w:val="002E3B63"/>
    <w:rsid w:val="002E3F24"/>
    <w:rsid w:val="002E42F0"/>
    <w:rsid w:val="002E497C"/>
    <w:rsid w:val="002E5AF4"/>
    <w:rsid w:val="002E6454"/>
    <w:rsid w:val="002E6641"/>
    <w:rsid w:val="002E67AD"/>
    <w:rsid w:val="002E6823"/>
    <w:rsid w:val="002E7122"/>
    <w:rsid w:val="002E7133"/>
    <w:rsid w:val="002E7443"/>
    <w:rsid w:val="002E76F4"/>
    <w:rsid w:val="002F019A"/>
    <w:rsid w:val="002F0309"/>
    <w:rsid w:val="002F04A5"/>
    <w:rsid w:val="002F070C"/>
    <w:rsid w:val="002F09E5"/>
    <w:rsid w:val="002F09ED"/>
    <w:rsid w:val="002F0DE0"/>
    <w:rsid w:val="002F1123"/>
    <w:rsid w:val="002F11EF"/>
    <w:rsid w:val="002F19C3"/>
    <w:rsid w:val="002F1EFC"/>
    <w:rsid w:val="002F22A7"/>
    <w:rsid w:val="002F22B9"/>
    <w:rsid w:val="002F230E"/>
    <w:rsid w:val="002F2484"/>
    <w:rsid w:val="002F2941"/>
    <w:rsid w:val="002F3166"/>
    <w:rsid w:val="002F3384"/>
    <w:rsid w:val="002F362F"/>
    <w:rsid w:val="002F381A"/>
    <w:rsid w:val="002F3978"/>
    <w:rsid w:val="002F3A27"/>
    <w:rsid w:val="002F3BFF"/>
    <w:rsid w:val="002F534C"/>
    <w:rsid w:val="002F58D1"/>
    <w:rsid w:val="002F5DA9"/>
    <w:rsid w:val="002F64F4"/>
    <w:rsid w:val="002F68C3"/>
    <w:rsid w:val="002F68E7"/>
    <w:rsid w:val="002F6CDA"/>
    <w:rsid w:val="002F6D98"/>
    <w:rsid w:val="002F7307"/>
    <w:rsid w:val="002F7383"/>
    <w:rsid w:val="002F74B3"/>
    <w:rsid w:val="002F7B70"/>
    <w:rsid w:val="00300849"/>
    <w:rsid w:val="00300BD4"/>
    <w:rsid w:val="00301111"/>
    <w:rsid w:val="00301230"/>
    <w:rsid w:val="00301845"/>
    <w:rsid w:val="00301DB3"/>
    <w:rsid w:val="00301EB4"/>
    <w:rsid w:val="00302245"/>
    <w:rsid w:val="00302476"/>
    <w:rsid w:val="00302B7D"/>
    <w:rsid w:val="0030307A"/>
    <w:rsid w:val="003032E7"/>
    <w:rsid w:val="003036C0"/>
    <w:rsid w:val="003037BB"/>
    <w:rsid w:val="00303804"/>
    <w:rsid w:val="00303BD1"/>
    <w:rsid w:val="00303E14"/>
    <w:rsid w:val="0030403D"/>
    <w:rsid w:val="00304568"/>
    <w:rsid w:val="00304865"/>
    <w:rsid w:val="00304A8C"/>
    <w:rsid w:val="00304F41"/>
    <w:rsid w:val="00304F87"/>
    <w:rsid w:val="0030523B"/>
    <w:rsid w:val="00305409"/>
    <w:rsid w:val="00305C7F"/>
    <w:rsid w:val="00305D32"/>
    <w:rsid w:val="00305F13"/>
    <w:rsid w:val="00306139"/>
    <w:rsid w:val="003061F1"/>
    <w:rsid w:val="00306E63"/>
    <w:rsid w:val="0030708F"/>
    <w:rsid w:val="00307C79"/>
    <w:rsid w:val="00307F8C"/>
    <w:rsid w:val="00310407"/>
    <w:rsid w:val="0031059D"/>
    <w:rsid w:val="00310B0A"/>
    <w:rsid w:val="00310DD4"/>
    <w:rsid w:val="00311103"/>
    <w:rsid w:val="003114B3"/>
    <w:rsid w:val="00311533"/>
    <w:rsid w:val="003115FD"/>
    <w:rsid w:val="00312179"/>
    <w:rsid w:val="00312FDA"/>
    <w:rsid w:val="003130CC"/>
    <w:rsid w:val="003134A8"/>
    <w:rsid w:val="00314189"/>
    <w:rsid w:val="003142F2"/>
    <w:rsid w:val="00314C91"/>
    <w:rsid w:val="00315655"/>
    <w:rsid w:val="00315A7C"/>
    <w:rsid w:val="0031673C"/>
    <w:rsid w:val="0031697A"/>
    <w:rsid w:val="00316A69"/>
    <w:rsid w:val="00316FB9"/>
    <w:rsid w:val="0031716E"/>
    <w:rsid w:val="00317661"/>
    <w:rsid w:val="00320143"/>
    <w:rsid w:val="003203D5"/>
    <w:rsid w:val="003206C3"/>
    <w:rsid w:val="0032095B"/>
    <w:rsid w:val="00320DB2"/>
    <w:rsid w:val="0032131B"/>
    <w:rsid w:val="00321D21"/>
    <w:rsid w:val="00321F08"/>
    <w:rsid w:val="00321FFD"/>
    <w:rsid w:val="003222D8"/>
    <w:rsid w:val="0032255C"/>
    <w:rsid w:val="00322B8F"/>
    <w:rsid w:val="00322E86"/>
    <w:rsid w:val="00322E88"/>
    <w:rsid w:val="00323980"/>
    <w:rsid w:val="00323A71"/>
    <w:rsid w:val="00323B0D"/>
    <w:rsid w:val="00323C83"/>
    <w:rsid w:val="00323F9D"/>
    <w:rsid w:val="00324401"/>
    <w:rsid w:val="00324442"/>
    <w:rsid w:val="00324A24"/>
    <w:rsid w:val="00325154"/>
    <w:rsid w:val="00325316"/>
    <w:rsid w:val="0032569B"/>
    <w:rsid w:val="00325DD9"/>
    <w:rsid w:val="00326A0F"/>
    <w:rsid w:val="00326B50"/>
    <w:rsid w:val="00326C23"/>
    <w:rsid w:val="0032760A"/>
    <w:rsid w:val="00327D89"/>
    <w:rsid w:val="00327EF4"/>
    <w:rsid w:val="00330543"/>
    <w:rsid w:val="00330656"/>
    <w:rsid w:val="00330A4C"/>
    <w:rsid w:val="003316A0"/>
    <w:rsid w:val="00331BA5"/>
    <w:rsid w:val="00332DDE"/>
    <w:rsid w:val="00332EA5"/>
    <w:rsid w:val="00332FB9"/>
    <w:rsid w:val="00332FDC"/>
    <w:rsid w:val="00333BA9"/>
    <w:rsid w:val="003341D2"/>
    <w:rsid w:val="00335A8C"/>
    <w:rsid w:val="00336101"/>
    <w:rsid w:val="00336383"/>
    <w:rsid w:val="003365D2"/>
    <w:rsid w:val="00336620"/>
    <w:rsid w:val="00336980"/>
    <w:rsid w:val="00336B3D"/>
    <w:rsid w:val="00337511"/>
    <w:rsid w:val="00340364"/>
    <w:rsid w:val="00340D11"/>
    <w:rsid w:val="00341EFD"/>
    <w:rsid w:val="003436BE"/>
    <w:rsid w:val="00343855"/>
    <w:rsid w:val="0034420A"/>
    <w:rsid w:val="0034448C"/>
    <w:rsid w:val="003446A8"/>
    <w:rsid w:val="00344D7B"/>
    <w:rsid w:val="00345217"/>
    <w:rsid w:val="00345331"/>
    <w:rsid w:val="003458B1"/>
    <w:rsid w:val="00345A13"/>
    <w:rsid w:val="00345F01"/>
    <w:rsid w:val="00346104"/>
    <w:rsid w:val="00346462"/>
    <w:rsid w:val="003465C6"/>
    <w:rsid w:val="0034677F"/>
    <w:rsid w:val="003469F4"/>
    <w:rsid w:val="00346C90"/>
    <w:rsid w:val="00346DAC"/>
    <w:rsid w:val="00347823"/>
    <w:rsid w:val="00347B72"/>
    <w:rsid w:val="0035050E"/>
    <w:rsid w:val="00350EE8"/>
    <w:rsid w:val="0035148C"/>
    <w:rsid w:val="003518E7"/>
    <w:rsid w:val="00351CEB"/>
    <w:rsid w:val="00351FD3"/>
    <w:rsid w:val="00352229"/>
    <w:rsid w:val="003527C7"/>
    <w:rsid w:val="003527D0"/>
    <w:rsid w:val="003527E2"/>
    <w:rsid w:val="00352A2B"/>
    <w:rsid w:val="003534F7"/>
    <w:rsid w:val="003536E3"/>
    <w:rsid w:val="00353BCD"/>
    <w:rsid w:val="00353E7F"/>
    <w:rsid w:val="0035457B"/>
    <w:rsid w:val="00354835"/>
    <w:rsid w:val="00354A49"/>
    <w:rsid w:val="00354CFE"/>
    <w:rsid w:val="003553BA"/>
    <w:rsid w:val="00355BE3"/>
    <w:rsid w:val="00355CD5"/>
    <w:rsid w:val="00356039"/>
    <w:rsid w:val="00356735"/>
    <w:rsid w:val="0035681C"/>
    <w:rsid w:val="003568FE"/>
    <w:rsid w:val="00356B71"/>
    <w:rsid w:val="00356F91"/>
    <w:rsid w:val="0035746D"/>
    <w:rsid w:val="00357553"/>
    <w:rsid w:val="00357626"/>
    <w:rsid w:val="0035786F"/>
    <w:rsid w:val="00357D5D"/>
    <w:rsid w:val="00357D6A"/>
    <w:rsid w:val="0036016A"/>
    <w:rsid w:val="0036024F"/>
    <w:rsid w:val="00360401"/>
    <w:rsid w:val="003607E8"/>
    <w:rsid w:val="00360FC9"/>
    <w:rsid w:val="00361157"/>
    <w:rsid w:val="0036120E"/>
    <w:rsid w:val="003612AD"/>
    <w:rsid w:val="003613B9"/>
    <w:rsid w:val="00361822"/>
    <w:rsid w:val="003619C0"/>
    <w:rsid w:val="00361D5F"/>
    <w:rsid w:val="003624F1"/>
    <w:rsid w:val="003628ED"/>
    <w:rsid w:val="00362925"/>
    <w:rsid w:val="00362A05"/>
    <w:rsid w:val="00362AB8"/>
    <w:rsid w:val="003635D4"/>
    <w:rsid w:val="0036380B"/>
    <w:rsid w:val="00363A5D"/>
    <w:rsid w:val="00363A8A"/>
    <w:rsid w:val="0036418B"/>
    <w:rsid w:val="00364358"/>
    <w:rsid w:val="00364658"/>
    <w:rsid w:val="0036478C"/>
    <w:rsid w:val="00364E8D"/>
    <w:rsid w:val="003654AA"/>
    <w:rsid w:val="00365705"/>
    <w:rsid w:val="003658EF"/>
    <w:rsid w:val="00365A22"/>
    <w:rsid w:val="00366003"/>
    <w:rsid w:val="00366789"/>
    <w:rsid w:val="00366D0C"/>
    <w:rsid w:val="00367EEC"/>
    <w:rsid w:val="00367F10"/>
    <w:rsid w:val="003703D2"/>
    <w:rsid w:val="00370AE4"/>
    <w:rsid w:val="00371064"/>
    <w:rsid w:val="003710D7"/>
    <w:rsid w:val="0037162A"/>
    <w:rsid w:val="00371D62"/>
    <w:rsid w:val="003728A1"/>
    <w:rsid w:val="00373667"/>
    <w:rsid w:val="00373C6B"/>
    <w:rsid w:val="00373E1B"/>
    <w:rsid w:val="00373F36"/>
    <w:rsid w:val="00374725"/>
    <w:rsid w:val="00374AA2"/>
    <w:rsid w:val="00374BBE"/>
    <w:rsid w:val="00374DA2"/>
    <w:rsid w:val="0037501E"/>
    <w:rsid w:val="00375463"/>
    <w:rsid w:val="00375C7C"/>
    <w:rsid w:val="0037620F"/>
    <w:rsid w:val="00376309"/>
    <w:rsid w:val="0037633D"/>
    <w:rsid w:val="0037676E"/>
    <w:rsid w:val="00376937"/>
    <w:rsid w:val="0037699D"/>
    <w:rsid w:val="00376CEF"/>
    <w:rsid w:val="0037756C"/>
    <w:rsid w:val="00377958"/>
    <w:rsid w:val="00377B95"/>
    <w:rsid w:val="00377BC5"/>
    <w:rsid w:val="003805B1"/>
    <w:rsid w:val="003805BD"/>
    <w:rsid w:val="0038089A"/>
    <w:rsid w:val="00380920"/>
    <w:rsid w:val="00380976"/>
    <w:rsid w:val="00380C5D"/>
    <w:rsid w:val="003812C5"/>
    <w:rsid w:val="003814F7"/>
    <w:rsid w:val="0038196E"/>
    <w:rsid w:val="00381C4B"/>
    <w:rsid w:val="00381DD4"/>
    <w:rsid w:val="003820A9"/>
    <w:rsid w:val="003824B1"/>
    <w:rsid w:val="00382A67"/>
    <w:rsid w:val="00382C94"/>
    <w:rsid w:val="00382D9C"/>
    <w:rsid w:val="00383314"/>
    <w:rsid w:val="0038389A"/>
    <w:rsid w:val="00383945"/>
    <w:rsid w:val="00383B95"/>
    <w:rsid w:val="003840AD"/>
    <w:rsid w:val="003843F0"/>
    <w:rsid w:val="0038446A"/>
    <w:rsid w:val="00385797"/>
    <w:rsid w:val="003857C9"/>
    <w:rsid w:val="00385BEE"/>
    <w:rsid w:val="00387A2D"/>
    <w:rsid w:val="00387A4B"/>
    <w:rsid w:val="00387E5A"/>
    <w:rsid w:val="00390C12"/>
    <w:rsid w:val="00390ED9"/>
    <w:rsid w:val="003915CB"/>
    <w:rsid w:val="0039170F"/>
    <w:rsid w:val="0039174C"/>
    <w:rsid w:val="00391BDE"/>
    <w:rsid w:val="0039220F"/>
    <w:rsid w:val="00392307"/>
    <w:rsid w:val="00392A3A"/>
    <w:rsid w:val="00392AEF"/>
    <w:rsid w:val="00392CB8"/>
    <w:rsid w:val="00393247"/>
    <w:rsid w:val="0039346C"/>
    <w:rsid w:val="003934D6"/>
    <w:rsid w:val="003935EB"/>
    <w:rsid w:val="003936BA"/>
    <w:rsid w:val="00394245"/>
    <w:rsid w:val="0039473D"/>
    <w:rsid w:val="00394B78"/>
    <w:rsid w:val="00394CC3"/>
    <w:rsid w:val="00394F35"/>
    <w:rsid w:val="00394F84"/>
    <w:rsid w:val="00395234"/>
    <w:rsid w:val="003956FE"/>
    <w:rsid w:val="00395BF0"/>
    <w:rsid w:val="00395DD6"/>
    <w:rsid w:val="00396246"/>
    <w:rsid w:val="003962FA"/>
    <w:rsid w:val="003963A9"/>
    <w:rsid w:val="003963EC"/>
    <w:rsid w:val="00396D43"/>
    <w:rsid w:val="00397A81"/>
    <w:rsid w:val="003A026B"/>
    <w:rsid w:val="003A07BA"/>
    <w:rsid w:val="003A0811"/>
    <w:rsid w:val="003A0864"/>
    <w:rsid w:val="003A1399"/>
    <w:rsid w:val="003A1429"/>
    <w:rsid w:val="003A1500"/>
    <w:rsid w:val="003A173D"/>
    <w:rsid w:val="003A248C"/>
    <w:rsid w:val="003A2B16"/>
    <w:rsid w:val="003A3B86"/>
    <w:rsid w:val="003A4065"/>
    <w:rsid w:val="003A44F2"/>
    <w:rsid w:val="003A473E"/>
    <w:rsid w:val="003A4B50"/>
    <w:rsid w:val="003A4B7A"/>
    <w:rsid w:val="003A4C22"/>
    <w:rsid w:val="003A513E"/>
    <w:rsid w:val="003A514D"/>
    <w:rsid w:val="003A52DE"/>
    <w:rsid w:val="003A5E31"/>
    <w:rsid w:val="003A5E38"/>
    <w:rsid w:val="003A5ED5"/>
    <w:rsid w:val="003A60E8"/>
    <w:rsid w:val="003A650A"/>
    <w:rsid w:val="003A65BA"/>
    <w:rsid w:val="003A6999"/>
    <w:rsid w:val="003A6F0D"/>
    <w:rsid w:val="003A776A"/>
    <w:rsid w:val="003A7FEE"/>
    <w:rsid w:val="003B0671"/>
    <w:rsid w:val="003B07A6"/>
    <w:rsid w:val="003B0CDE"/>
    <w:rsid w:val="003B1210"/>
    <w:rsid w:val="003B1531"/>
    <w:rsid w:val="003B166A"/>
    <w:rsid w:val="003B1984"/>
    <w:rsid w:val="003B1DF3"/>
    <w:rsid w:val="003B1FD6"/>
    <w:rsid w:val="003B24FE"/>
    <w:rsid w:val="003B25F6"/>
    <w:rsid w:val="003B2D1B"/>
    <w:rsid w:val="003B3195"/>
    <w:rsid w:val="003B3A5A"/>
    <w:rsid w:val="003B4566"/>
    <w:rsid w:val="003B483F"/>
    <w:rsid w:val="003B4962"/>
    <w:rsid w:val="003B4B07"/>
    <w:rsid w:val="003B501B"/>
    <w:rsid w:val="003B5098"/>
    <w:rsid w:val="003B527A"/>
    <w:rsid w:val="003B574C"/>
    <w:rsid w:val="003B5A90"/>
    <w:rsid w:val="003B5C0A"/>
    <w:rsid w:val="003B5C5B"/>
    <w:rsid w:val="003B63A2"/>
    <w:rsid w:val="003B6A9C"/>
    <w:rsid w:val="003B6CFF"/>
    <w:rsid w:val="003B6E95"/>
    <w:rsid w:val="003B7409"/>
    <w:rsid w:val="003C0FF6"/>
    <w:rsid w:val="003C170F"/>
    <w:rsid w:val="003C1E67"/>
    <w:rsid w:val="003C1EFB"/>
    <w:rsid w:val="003C23AE"/>
    <w:rsid w:val="003C26C6"/>
    <w:rsid w:val="003C2C9A"/>
    <w:rsid w:val="003C2D3B"/>
    <w:rsid w:val="003C2E19"/>
    <w:rsid w:val="003C2F9F"/>
    <w:rsid w:val="003C35AC"/>
    <w:rsid w:val="003C3807"/>
    <w:rsid w:val="003C3BB1"/>
    <w:rsid w:val="003C416E"/>
    <w:rsid w:val="003C4478"/>
    <w:rsid w:val="003C4792"/>
    <w:rsid w:val="003C4827"/>
    <w:rsid w:val="003C4FC9"/>
    <w:rsid w:val="003C520B"/>
    <w:rsid w:val="003C5C4A"/>
    <w:rsid w:val="003C5C96"/>
    <w:rsid w:val="003C6406"/>
    <w:rsid w:val="003C647C"/>
    <w:rsid w:val="003C787A"/>
    <w:rsid w:val="003C79DA"/>
    <w:rsid w:val="003C7F2D"/>
    <w:rsid w:val="003D0177"/>
    <w:rsid w:val="003D03CB"/>
    <w:rsid w:val="003D03CF"/>
    <w:rsid w:val="003D0577"/>
    <w:rsid w:val="003D05F0"/>
    <w:rsid w:val="003D14C0"/>
    <w:rsid w:val="003D1C01"/>
    <w:rsid w:val="003D1DB9"/>
    <w:rsid w:val="003D1DCF"/>
    <w:rsid w:val="003D232D"/>
    <w:rsid w:val="003D29A9"/>
    <w:rsid w:val="003D31E9"/>
    <w:rsid w:val="003D3D87"/>
    <w:rsid w:val="003D3F63"/>
    <w:rsid w:val="003D419E"/>
    <w:rsid w:val="003D4241"/>
    <w:rsid w:val="003D43EF"/>
    <w:rsid w:val="003D45C1"/>
    <w:rsid w:val="003D4798"/>
    <w:rsid w:val="003D52C4"/>
    <w:rsid w:val="003D553B"/>
    <w:rsid w:val="003D5871"/>
    <w:rsid w:val="003D6FC3"/>
    <w:rsid w:val="003D736C"/>
    <w:rsid w:val="003D746E"/>
    <w:rsid w:val="003D793B"/>
    <w:rsid w:val="003D79B1"/>
    <w:rsid w:val="003D7F88"/>
    <w:rsid w:val="003E0150"/>
    <w:rsid w:val="003E02A9"/>
    <w:rsid w:val="003E0C77"/>
    <w:rsid w:val="003E0DA1"/>
    <w:rsid w:val="003E0E07"/>
    <w:rsid w:val="003E112A"/>
    <w:rsid w:val="003E14C6"/>
    <w:rsid w:val="003E19BF"/>
    <w:rsid w:val="003E1EE1"/>
    <w:rsid w:val="003E233B"/>
    <w:rsid w:val="003E281C"/>
    <w:rsid w:val="003E2836"/>
    <w:rsid w:val="003E2D7A"/>
    <w:rsid w:val="003E3A6C"/>
    <w:rsid w:val="003E3DB0"/>
    <w:rsid w:val="003E3FA8"/>
    <w:rsid w:val="003E4DED"/>
    <w:rsid w:val="003E502B"/>
    <w:rsid w:val="003E58C1"/>
    <w:rsid w:val="003E72AB"/>
    <w:rsid w:val="003E74AA"/>
    <w:rsid w:val="003E7879"/>
    <w:rsid w:val="003E78D6"/>
    <w:rsid w:val="003E7DF5"/>
    <w:rsid w:val="003F01EC"/>
    <w:rsid w:val="003F0403"/>
    <w:rsid w:val="003F05CA"/>
    <w:rsid w:val="003F08AA"/>
    <w:rsid w:val="003F0D2D"/>
    <w:rsid w:val="003F192D"/>
    <w:rsid w:val="003F1B4D"/>
    <w:rsid w:val="003F1EA7"/>
    <w:rsid w:val="003F2087"/>
    <w:rsid w:val="003F21FF"/>
    <w:rsid w:val="003F2623"/>
    <w:rsid w:val="003F262E"/>
    <w:rsid w:val="003F2945"/>
    <w:rsid w:val="003F295F"/>
    <w:rsid w:val="003F2E0E"/>
    <w:rsid w:val="003F3105"/>
    <w:rsid w:val="003F331A"/>
    <w:rsid w:val="003F38A3"/>
    <w:rsid w:val="003F38E1"/>
    <w:rsid w:val="003F4066"/>
    <w:rsid w:val="003F4073"/>
    <w:rsid w:val="003F43AE"/>
    <w:rsid w:val="003F46E4"/>
    <w:rsid w:val="003F56CC"/>
    <w:rsid w:val="003F5802"/>
    <w:rsid w:val="003F5A19"/>
    <w:rsid w:val="003F6051"/>
    <w:rsid w:val="003F6130"/>
    <w:rsid w:val="003F61C2"/>
    <w:rsid w:val="003F632D"/>
    <w:rsid w:val="003F67A1"/>
    <w:rsid w:val="003F6D2C"/>
    <w:rsid w:val="003F7390"/>
    <w:rsid w:val="003F74EE"/>
    <w:rsid w:val="003F7950"/>
    <w:rsid w:val="003F7A3D"/>
    <w:rsid w:val="003F7D26"/>
    <w:rsid w:val="004004DB"/>
    <w:rsid w:val="0040061B"/>
    <w:rsid w:val="004009C1"/>
    <w:rsid w:val="00400F27"/>
    <w:rsid w:val="0040119A"/>
    <w:rsid w:val="00401ABF"/>
    <w:rsid w:val="004021C2"/>
    <w:rsid w:val="0040227C"/>
    <w:rsid w:val="00402329"/>
    <w:rsid w:val="00402B5F"/>
    <w:rsid w:val="00402C91"/>
    <w:rsid w:val="00402E1F"/>
    <w:rsid w:val="004031D4"/>
    <w:rsid w:val="004033DA"/>
    <w:rsid w:val="004035F0"/>
    <w:rsid w:val="00403850"/>
    <w:rsid w:val="0040393A"/>
    <w:rsid w:val="00403B11"/>
    <w:rsid w:val="004041EF"/>
    <w:rsid w:val="0040441A"/>
    <w:rsid w:val="0040477F"/>
    <w:rsid w:val="00404EA4"/>
    <w:rsid w:val="004055D1"/>
    <w:rsid w:val="00405708"/>
    <w:rsid w:val="00405CD9"/>
    <w:rsid w:val="0040624F"/>
    <w:rsid w:val="00406DD8"/>
    <w:rsid w:val="00407612"/>
    <w:rsid w:val="00407798"/>
    <w:rsid w:val="004078AB"/>
    <w:rsid w:val="004100FE"/>
    <w:rsid w:val="004111BA"/>
    <w:rsid w:val="0041129E"/>
    <w:rsid w:val="00411A8B"/>
    <w:rsid w:val="00411BD1"/>
    <w:rsid w:val="00411CFE"/>
    <w:rsid w:val="0041240C"/>
    <w:rsid w:val="00413558"/>
    <w:rsid w:val="00413618"/>
    <w:rsid w:val="0041363F"/>
    <w:rsid w:val="00414328"/>
    <w:rsid w:val="00414544"/>
    <w:rsid w:val="00414D0C"/>
    <w:rsid w:val="004151EC"/>
    <w:rsid w:val="0041581D"/>
    <w:rsid w:val="00415B7A"/>
    <w:rsid w:val="00415F09"/>
    <w:rsid w:val="00416569"/>
    <w:rsid w:val="004167BF"/>
    <w:rsid w:val="00416C5A"/>
    <w:rsid w:val="00416CBB"/>
    <w:rsid w:val="004171DB"/>
    <w:rsid w:val="004207D4"/>
    <w:rsid w:val="00420C87"/>
    <w:rsid w:val="00420C90"/>
    <w:rsid w:val="00420C9F"/>
    <w:rsid w:val="00420FC5"/>
    <w:rsid w:val="00421038"/>
    <w:rsid w:val="004211BF"/>
    <w:rsid w:val="004214AA"/>
    <w:rsid w:val="00421855"/>
    <w:rsid w:val="004218D9"/>
    <w:rsid w:val="00421BBE"/>
    <w:rsid w:val="00422529"/>
    <w:rsid w:val="00422ACB"/>
    <w:rsid w:val="004232B4"/>
    <w:rsid w:val="00423ADA"/>
    <w:rsid w:val="00423F0C"/>
    <w:rsid w:val="00424109"/>
    <w:rsid w:val="00424890"/>
    <w:rsid w:val="00424BA3"/>
    <w:rsid w:val="0042531D"/>
    <w:rsid w:val="004257CF"/>
    <w:rsid w:val="004277B6"/>
    <w:rsid w:val="00427A7C"/>
    <w:rsid w:val="00427AC2"/>
    <w:rsid w:val="00427BCF"/>
    <w:rsid w:val="00427C66"/>
    <w:rsid w:val="00427C74"/>
    <w:rsid w:val="004303A8"/>
    <w:rsid w:val="0043052A"/>
    <w:rsid w:val="00430924"/>
    <w:rsid w:val="00430A87"/>
    <w:rsid w:val="00430ACE"/>
    <w:rsid w:val="00430F6B"/>
    <w:rsid w:val="0043136C"/>
    <w:rsid w:val="00431705"/>
    <w:rsid w:val="004321A1"/>
    <w:rsid w:val="00432386"/>
    <w:rsid w:val="00432519"/>
    <w:rsid w:val="004331CD"/>
    <w:rsid w:val="004333C2"/>
    <w:rsid w:val="00433B58"/>
    <w:rsid w:val="0043414E"/>
    <w:rsid w:val="00434491"/>
    <w:rsid w:val="004346E8"/>
    <w:rsid w:val="00434D6F"/>
    <w:rsid w:val="00434E65"/>
    <w:rsid w:val="00434FF2"/>
    <w:rsid w:val="0043502B"/>
    <w:rsid w:val="00435117"/>
    <w:rsid w:val="0043520C"/>
    <w:rsid w:val="0043524C"/>
    <w:rsid w:val="00435480"/>
    <w:rsid w:val="00435D59"/>
    <w:rsid w:val="00436108"/>
    <w:rsid w:val="0043629E"/>
    <w:rsid w:val="00437909"/>
    <w:rsid w:val="00437B07"/>
    <w:rsid w:val="00437EBB"/>
    <w:rsid w:val="004407C3"/>
    <w:rsid w:val="00440ACE"/>
    <w:rsid w:val="00440AE5"/>
    <w:rsid w:val="00440D11"/>
    <w:rsid w:val="00440EA4"/>
    <w:rsid w:val="00441607"/>
    <w:rsid w:val="0044190C"/>
    <w:rsid w:val="00441C88"/>
    <w:rsid w:val="00441EC6"/>
    <w:rsid w:val="00442113"/>
    <w:rsid w:val="00442147"/>
    <w:rsid w:val="00442793"/>
    <w:rsid w:val="00442832"/>
    <w:rsid w:val="00443362"/>
    <w:rsid w:val="004436EC"/>
    <w:rsid w:val="00443775"/>
    <w:rsid w:val="00443FE5"/>
    <w:rsid w:val="00445276"/>
    <w:rsid w:val="0044531D"/>
    <w:rsid w:val="00445F01"/>
    <w:rsid w:val="004463C4"/>
    <w:rsid w:val="004466DE"/>
    <w:rsid w:val="004467F0"/>
    <w:rsid w:val="004473A1"/>
    <w:rsid w:val="00447FD4"/>
    <w:rsid w:val="004501A0"/>
    <w:rsid w:val="004508D9"/>
    <w:rsid w:val="00451356"/>
    <w:rsid w:val="004514AD"/>
    <w:rsid w:val="00451585"/>
    <w:rsid w:val="004516F4"/>
    <w:rsid w:val="004517D5"/>
    <w:rsid w:val="00452495"/>
    <w:rsid w:val="004524B8"/>
    <w:rsid w:val="00452714"/>
    <w:rsid w:val="00452870"/>
    <w:rsid w:val="00452D27"/>
    <w:rsid w:val="00452FC1"/>
    <w:rsid w:val="004531A2"/>
    <w:rsid w:val="0045353F"/>
    <w:rsid w:val="00453871"/>
    <w:rsid w:val="00453D97"/>
    <w:rsid w:val="00453E0E"/>
    <w:rsid w:val="00453FFC"/>
    <w:rsid w:val="00454097"/>
    <w:rsid w:val="00454E66"/>
    <w:rsid w:val="00454FF1"/>
    <w:rsid w:val="004553A7"/>
    <w:rsid w:val="0045546F"/>
    <w:rsid w:val="00455DD3"/>
    <w:rsid w:val="00455F04"/>
    <w:rsid w:val="0045613E"/>
    <w:rsid w:val="004563B8"/>
    <w:rsid w:val="0045645E"/>
    <w:rsid w:val="004566C2"/>
    <w:rsid w:val="00456B6F"/>
    <w:rsid w:val="0045778A"/>
    <w:rsid w:val="0046037B"/>
    <w:rsid w:val="004604D7"/>
    <w:rsid w:val="00460BAD"/>
    <w:rsid w:val="00460CAA"/>
    <w:rsid w:val="004610F3"/>
    <w:rsid w:val="004611AB"/>
    <w:rsid w:val="00461DA9"/>
    <w:rsid w:val="00461ECE"/>
    <w:rsid w:val="00462279"/>
    <w:rsid w:val="004626A4"/>
    <w:rsid w:val="004627CE"/>
    <w:rsid w:val="00462DC3"/>
    <w:rsid w:val="00462F9B"/>
    <w:rsid w:val="00463184"/>
    <w:rsid w:val="00463607"/>
    <w:rsid w:val="004639B7"/>
    <w:rsid w:val="00463B8D"/>
    <w:rsid w:val="00463FFC"/>
    <w:rsid w:val="0046418D"/>
    <w:rsid w:val="0046440A"/>
    <w:rsid w:val="00464501"/>
    <w:rsid w:val="0046459F"/>
    <w:rsid w:val="00464B46"/>
    <w:rsid w:val="004653C4"/>
    <w:rsid w:val="00465417"/>
    <w:rsid w:val="004654B2"/>
    <w:rsid w:val="00465B69"/>
    <w:rsid w:val="00465C4B"/>
    <w:rsid w:val="00465E52"/>
    <w:rsid w:val="00465FC7"/>
    <w:rsid w:val="004662A4"/>
    <w:rsid w:val="00466311"/>
    <w:rsid w:val="00466325"/>
    <w:rsid w:val="004666EB"/>
    <w:rsid w:val="00466D9F"/>
    <w:rsid w:val="00467683"/>
    <w:rsid w:val="00467CCA"/>
    <w:rsid w:val="00470756"/>
    <w:rsid w:val="004718B1"/>
    <w:rsid w:val="00471B17"/>
    <w:rsid w:val="00471B5F"/>
    <w:rsid w:val="0047219D"/>
    <w:rsid w:val="00472B63"/>
    <w:rsid w:val="00472C47"/>
    <w:rsid w:val="004731B8"/>
    <w:rsid w:val="004731BF"/>
    <w:rsid w:val="00473438"/>
    <w:rsid w:val="004735EC"/>
    <w:rsid w:val="00473720"/>
    <w:rsid w:val="004737B4"/>
    <w:rsid w:val="004739CC"/>
    <w:rsid w:val="00473D5D"/>
    <w:rsid w:val="00473E3F"/>
    <w:rsid w:val="00474B86"/>
    <w:rsid w:val="00474BEB"/>
    <w:rsid w:val="00474FD7"/>
    <w:rsid w:val="004760A3"/>
    <w:rsid w:val="004762BD"/>
    <w:rsid w:val="0047634A"/>
    <w:rsid w:val="00476515"/>
    <w:rsid w:val="004766B2"/>
    <w:rsid w:val="00476C71"/>
    <w:rsid w:val="00476FBB"/>
    <w:rsid w:val="004773B3"/>
    <w:rsid w:val="004773F1"/>
    <w:rsid w:val="004804B7"/>
    <w:rsid w:val="00480840"/>
    <w:rsid w:val="00480FB0"/>
    <w:rsid w:val="00481076"/>
    <w:rsid w:val="004814DE"/>
    <w:rsid w:val="0048195D"/>
    <w:rsid w:val="00481CBA"/>
    <w:rsid w:val="00481D1C"/>
    <w:rsid w:val="00481E99"/>
    <w:rsid w:val="00481FA2"/>
    <w:rsid w:val="0048240A"/>
    <w:rsid w:val="00482495"/>
    <w:rsid w:val="004824BF"/>
    <w:rsid w:val="0048309D"/>
    <w:rsid w:val="004836D7"/>
    <w:rsid w:val="00483E47"/>
    <w:rsid w:val="004842D3"/>
    <w:rsid w:val="0048445E"/>
    <w:rsid w:val="00484475"/>
    <w:rsid w:val="004854DD"/>
    <w:rsid w:val="00485AFC"/>
    <w:rsid w:val="00486036"/>
    <w:rsid w:val="004862A5"/>
    <w:rsid w:val="0048656B"/>
    <w:rsid w:val="0048676C"/>
    <w:rsid w:val="00486C84"/>
    <w:rsid w:val="00487757"/>
    <w:rsid w:val="004878A3"/>
    <w:rsid w:val="00490276"/>
    <w:rsid w:val="004907E8"/>
    <w:rsid w:val="00490B2C"/>
    <w:rsid w:val="00491698"/>
    <w:rsid w:val="0049204C"/>
    <w:rsid w:val="004926B1"/>
    <w:rsid w:val="004929B6"/>
    <w:rsid w:val="00492EB5"/>
    <w:rsid w:val="004930DA"/>
    <w:rsid w:val="00493493"/>
    <w:rsid w:val="00493B2D"/>
    <w:rsid w:val="00493E37"/>
    <w:rsid w:val="004940AA"/>
    <w:rsid w:val="00494427"/>
    <w:rsid w:val="00495092"/>
    <w:rsid w:val="00495539"/>
    <w:rsid w:val="004958B2"/>
    <w:rsid w:val="00495C36"/>
    <w:rsid w:val="00495DC5"/>
    <w:rsid w:val="00495F91"/>
    <w:rsid w:val="004964DB"/>
    <w:rsid w:val="00496E25"/>
    <w:rsid w:val="00496EA9"/>
    <w:rsid w:val="00497135"/>
    <w:rsid w:val="0049751F"/>
    <w:rsid w:val="0049777C"/>
    <w:rsid w:val="00497FC8"/>
    <w:rsid w:val="004A00DE"/>
    <w:rsid w:val="004A0409"/>
    <w:rsid w:val="004A0686"/>
    <w:rsid w:val="004A08DF"/>
    <w:rsid w:val="004A0976"/>
    <w:rsid w:val="004A0992"/>
    <w:rsid w:val="004A1064"/>
    <w:rsid w:val="004A1689"/>
    <w:rsid w:val="004A17CD"/>
    <w:rsid w:val="004A19A2"/>
    <w:rsid w:val="004A19E9"/>
    <w:rsid w:val="004A1A37"/>
    <w:rsid w:val="004A1A5A"/>
    <w:rsid w:val="004A1B57"/>
    <w:rsid w:val="004A1DBC"/>
    <w:rsid w:val="004A23F6"/>
    <w:rsid w:val="004A28EB"/>
    <w:rsid w:val="004A2DDA"/>
    <w:rsid w:val="004A3052"/>
    <w:rsid w:val="004A3D39"/>
    <w:rsid w:val="004A3F04"/>
    <w:rsid w:val="004A499C"/>
    <w:rsid w:val="004A4C80"/>
    <w:rsid w:val="004A4F91"/>
    <w:rsid w:val="004A5003"/>
    <w:rsid w:val="004A5A81"/>
    <w:rsid w:val="004A5C70"/>
    <w:rsid w:val="004A6333"/>
    <w:rsid w:val="004A654F"/>
    <w:rsid w:val="004A6AE3"/>
    <w:rsid w:val="004A6DDD"/>
    <w:rsid w:val="004A6E7D"/>
    <w:rsid w:val="004A70D7"/>
    <w:rsid w:val="004B04CC"/>
    <w:rsid w:val="004B0DB3"/>
    <w:rsid w:val="004B0F47"/>
    <w:rsid w:val="004B1555"/>
    <w:rsid w:val="004B16F0"/>
    <w:rsid w:val="004B1A23"/>
    <w:rsid w:val="004B1E0E"/>
    <w:rsid w:val="004B1FE3"/>
    <w:rsid w:val="004B2359"/>
    <w:rsid w:val="004B30CB"/>
    <w:rsid w:val="004B35E8"/>
    <w:rsid w:val="004B3DFD"/>
    <w:rsid w:val="004B4A85"/>
    <w:rsid w:val="004B54A7"/>
    <w:rsid w:val="004B5984"/>
    <w:rsid w:val="004B5B96"/>
    <w:rsid w:val="004B6B09"/>
    <w:rsid w:val="004B6C41"/>
    <w:rsid w:val="004B6CE3"/>
    <w:rsid w:val="004B6E38"/>
    <w:rsid w:val="004B7336"/>
    <w:rsid w:val="004B7A3D"/>
    <w:rsid w:val="004B7DA8"/>
    <w:rsid w:val="004C0094"/>
    <w:rsid w:val="004C0136"/>
    <w:rsid w:val="004C0866"/>
    <w:rsid w:val="004C0F17"/>
    <w:rsid w:val="004C3707"/>
    <w:rsid w:val="004C373B"/>
    <w:rsid w:val="004C3FFD"/>
    <w:rsid w:val="004C48F8"/>
    <w:rsid w:val="004C4903"/>
    <w:rsid w:val="004C49C4"/>
    <w:rsid w:val="004C5216"/>
    <w:rsid w:val="004C5729"/>
    <w:rsid w:val="004C6672"/>
    <w:rsid w:val="004C699E"/>
    <w:rsid w:val="004C6B5A"/>
    <w:rsid w:val="004C6BE9"/>
    <w:rsid w:val="004C6CA1"/>
    <w:rsid w:val="004C7078"/>
    <w:rsid w:val="004C74FB"/>
    <w:rsid w:val="004C76C9"/>
    <w:rsid w:val="004C7890"/>
    <w:rsid w:val="004D0A87"/>
    <w:rsid w:val="004D0DC1"/>
    <w:rsid w:val="004D12F9"/>
    <w:rsid w:val="004D1560"/>
    <w:rsid w:val="004D1893"/>
    <w:rsid w:val="004D1D5B"/>
    <w:rsid w:val="004D1D63"/>
    <w:rsid w:val="004D221C"/>
    <w:rsid w:val="004D22B9"/>
    <w:rsid w:val="004D2348"/>
    <w:rsid w:val="004D23A8"/>
    <w:rsid w:val="004D252B"/>
    <w:rsid w:val="004D258E"/>
    <w:rsid w:val="004D2778"/>
    <w:rsid w:val="004D2C4E"/>
    <w:rsid w:val="004D2D17"/>
    <w:rsid w:val="004D2F75"/>
    <w:rsid w:val="004D37FA"/>
    <w:rsid w:val="004D43A0"/>
    <w:rsid w:val="004D4BE7"/>
    <w:rsid w:val="004D5999"/>
    <w:rsid w:val="004D5C6A"/>
    <w:rsid w:val="004D694B"/>
    <w:rsid w:val="004D6B13"/>
    <w:rsid w:val="004D6BA2"/>
    <w:rsid w:val="004D6DA1"/>
    <w:rsid w:val="004D7249"/>
    <w:rsid w:val="004D72EB"/>
    <w:rsid w:val="004E0127"/>
    <w:rsid w:val="004E04D6"/>
    <w:rsid w:val="004E0571"/>
    <w:rsid w:val="004E05B9"/>
    <w:rsid w:val="004E078B"/>
    <w:rsid w:val="004E13DC"/>
    <w:rsid w:val="004E141C"/>
    <w:rsid w:val="004E175C"/>
    <w:rsid w:val="004E2009"/>
    <w:rsid w:val="004E2647"/>
    <w:rsid w:val="004E2A55"/>
    <w:rsid w:val="004E304C"/>
    <w:rsid w:val="004E3273"/>
    <w:rsid w:val="004E3375"/>
    <w:rsid w:val="004E3930"/>
    <w:rsid w:val="004E3A1A"/>
    <w:rsid w:val="004E3D92"/>
    <w:rsid w:val="004E4098"/>
    <w:rsid w:val="004E457B"/>
    <w:rsid w:val="004E4834"/>
    <w:rsid w:val="004E497D"/>
    <w:rsid w:val="004E4D17"/>
    <w:rsid w:val="004E506F"/>
    <w:rsid w:val="004E55C5"/>
    <w:rsid w:val="004E5636"/>
    <w:rsid w:val="004E5A06"/>
    <w:rsid w:val="004E61B5"/>
    <w:rsid w:val="004E6B8C"/>
    <w:rsid w:val="004E7C45"/>
    <w:rsid w:val="004E7EB8"/>
    <w:rsid w:val="004F0061"/>
    <w:rsid w:val="004F0136"/>
    <w:rsid w:val="004F0214"/>
    <w:rsid w:val="004F0392"/>
    <w:rsid w:val="004F1100"/>
    <w:rsid w:val="004F190C"/>
    <w:rsid w:val="004F1CDF"/>
    <w:rsid w:val="004F1E41"/>
    <w:rsid w:val="004F21CE"/>
    <w:rsid w:val="004F290A"/>
    <w:rsid w:val="004F2B9C"/>
    <w:rsid w:val="004F38D1"/>
    <w:rsid w:val="004F3AF5"/>
    <w:rsid w:val="004F3C97"/>
    <w:rsid w:val="004F4707"/>
    <w:rsid w:val="004F48D4"/>
    <w:rsid w:val="004F4BCB"/>
    <w:rsid w:val="004F4C67"/>
    <w:rsid w:val="004F4D40"/>
    <w:rsid w:val="004F5A73"/>
    <w:rsid w:val="004F6086"/>
    <w:rsid w:val="004F6CF7"/>
    <w:rsid w:val="004F6EA7"/>
    <w:rsid w:val="004F7E14"/>
    <w:rsid w:val="0050025E"/>
    <w:rsid w:val="005007B8"/>
    <w:rsid w:val="00500911"/>
    <w:rsid w:val="00500BE0"/>
    <w:rsid w:val="00500E7F"/>
    <w:rsid w:val="00501397"/>
    <w:rsid w:val="005018DB"/>
    <w:rsid w:val="005019A0"/>
    <w:rsid w:val="00501B5F"/>
    <w:rsid w:val="0050261F"/>
    <w:rsid w:val="00502D8F"/>
    <w:rsid w:val="005033AF"/>
    <w:rsid w:val="00503E76"/>
    <w:rsid w:val="00503F69"/>
    <w:rsid w:val="00504225"/>
    <w:rsid w:val="005048CF"/>
    <w:rsid w:val="00504A21"/>
    <w:rsid w:val="00504B72"/>
    <w:rsid w:val="00504EEB"/>
    <w:rsid w:val="005056B5"/>
    <w:rsid w:val="00505B81"/>
    <w:rsid w:val="00505E7B"/>
    <w:rsid w:val="00506278"/>
    <w:rsid w:val="00506A4F"/>
    <w:rsid w:val="00506E72"/>
    <w:rsid w:val="005079B3"/>
    <w:rsid w:val="00507BF4"/>
    <w:rsid w:val="00507EB7"/>
    <w:rsid w:val="0051076D"/>
    <w:rsid w:val="00510B0D"/>
    <w:rsid w:val="00511598"/>
    <w:rsid w:val="00511B0F"/>
    <w:rsid w:val="00511C0B"/>
    <w:rsid w:val="00511DE8"/>
    <w:rsid w:val="00513348"/>
    <w:rsid w:val="005133DD"/>
    <w:rsid w:val="005134B7"/>
    <w:rsid w:val="0051362C"/>
    <w:rsid w:val="005142FE"/>
    <w:rsid w:val="00514689"/>
    <w:rsid w:val="00514D42"/>
    <w:rsid w:val="00514FC8"/>
    <w:rsid w:val="00515523"/>
    <w:rsid w:val="00515AAA"/>
    <w:rsid w:val="00515CB5"/>
    <w:rsid w:val="00515E01"/>
    <w:rsid w:val="0051672D"/>
    <w:rsid w:val="00516D64"/>
    <w:rsid w:val="00516E51"/>
    <w:rsid w:val="0051708F"/>
    <w:rsid w:val="00517F1F"/>
    <w:rsid w:val="00520297"/>
    <w:rsid w:val="005202D3"/>
    <w:rsid w:val="00520384"/>
    <w:rsid w:val="005217A4"/>
    <w:rsid w:val="00521AAF"/>
    <w:rsid w:val="00521DEE"/>
    <w:rsid w:val="005223AB"/>
    <w:rsid w:val="005223F5"/>
    <w:rsid w:val="00522504"/>
    <w:rsid w:val="0052273A"/>
    <w:rsid w:val="005228B1"/>
    <w:rsid w:val="005228E2"/>
    <w:rsid w:val="00522ABA"/>
    <w:rsid w:val="00522C68"/>
    <w:rsid w:val="00522C69"/>
    <w:rsid w:val="00522F3C"/>
    <w:rsid w:val="00522F89"/>
    <w:rsid w:val="0052301B"/>
    <w:rsid w:val="005237B4"/>
    <w:rsid w:val="00523ACF"/>
    <w:rsid w:val="00524456"/>
    <w:rsid w:val="005248A4"/>
    <w:rsid w:val="00524A0F"/>
    <w:rsid w:val="00524D58"/>
    <w:rsid w:val="005250C1"/>
    <w:rsid w:val="00525B1A"/>
    <w:rsid w:val="00525E1D"/>
    <w:rsid w:val="00525FFB"/>
    <w:rsid w:val="0052615F"/>
    <w:rsid w:val="005261ED"/>
    <w:rsid w:val="00526A73"/>
    <w:rsid w:val="00526A75"/>
    <w:rsid w:val="005270E3"/>
    <w:rsid w:val="005271D3"/>
    <w:rsid w:val="00527322"/>
    <w:rsid w:val="005275DC"/>
    <w:rsid w:val="00527606"/>
    <w:rsid w:val="00527B86"/>
    <w:rsid w:val="00527F52"/>
    <w:rsid w:val="005302AF"/>
    <w:rsid w:val="0053045C"/>
    <w:rsid w:val="005304B8"/>
    <w:rsid w:val="00530712"/>
    <w:rsid w:val="00530982"/>
    <w:rsid w:val="00531516"/>
    <w:rsid w:val="005316FD"/>
    <w:rsid w:val="00531783"/>
    <w:rsid w:val="00531ADC"/>
    <w:rsid w:val="00531FF3"/>
    <w:rsid w:val="005320A3"/>
    <w:rsid w:val="005321A2"/>
    <w:rsid w:val="00532642"/>
    <w:rsid w:val="0053300B"/>
    <w:rsid w:val="005333EE"/>
    <w:rsid w:val="0053368B"/>
    <w:rsid w:val="005336EE"/>
    <w:rsid w:val="00533760"/>
    <w:rsid w:val="005338A5"/>
    <w:rsid w:val="005339F1"/>
    <w:rsid w:val="00533FD1"/>
    <w:rsid w:val="00533FFF"/>
    <w:rsid w:val="005340FD"/>
    <w:rsid w:val="00534432"/>
    <w:rsid w:val="00534A6B"/>
    <w:rsid w:val="00534F0D"/>
    <w:rsid w:val="00535DA5"/>
    <w:rsid w:val="0053608E"/>
    <w:rsid w:val="00536593"/>
    <w:rsid w:val="0053682C"/>
    <w:rsid w:val="0053706B"/>
    <w:rsid w:val="005370E6"/>
    <w:rsid w:val="005371FC"/>
    <w:rsid w:val="00537329"/>
    <w:rsid w:val="0053758A"/>
    <w:rsid w:val="00537A93"/>
    <w:rsid w:val="00537C3C"/>
    <w:rsid w:val="00537DE8"/>
    <w:rsid w:val="0054015D"/>
    <w:rsid w:val="0054051E"/>
    <w:rsid w:val="00540DA7"/>
    <w:rsid w:val="00540F56"/>
    <w:rsid w:val="005418DC"/>
    <w:rsid w:val="00541EA5"/>
    <w:rsid w:val="00541EE2"/>
    <w:rsid w:val="005425AB"/>
    <w:rsid w:val="0054263F"/>
    <w:rsid w:val="00542998"/>
    <w:rsid w:val="00542B0A"/>
    <w:rsid w:val="00542E0A"/>
    <w:rsid w:val="00542E35"/>
    <w:rsid w:val="0054317E"/>
    <w:rsid w:val="005431A7"/>
    <w:rsid w:val="00543623"/>
    <w:rsid w:val="005437DA"/>
    <w:rsid w:val="00543ACA"/>
    <w:rsid w:val="005441E1"/>
    <w:rsid w:val="00544388"/>
    <w:rsid w:val="005444C8"/>
    <w:rsid w:val="00544652"/>
    <w:rsid w:val="0054476B"/>
    <w:rsid w:val="005447EB"/>
    <w:rsid w:val="00544C49"/>
    <w:rsid w:val="00544E23"/>
    <w:rsid w:val="00544F31"/>
    <w:rsid w:val="00544FD9"/>
    <w:rsid w:val="0054560C"/>
    <w:rsid w:val="005458C8"/>
    <w:rsid w:val="00545BB7"/>
    <w:rsid w:val="005460C2"/>
    <w:rsid w:val="00546221"/>
    <w:rsid w:val="00546319"/>
    <w:rsid w:val="00546433"/>
    <w:rsid w:val="0054680D"/>
    <w:rsid w:val="00546E70"/>
    <w:rsid w:val="00546F06"/>
    <w:rsid w:val="005476FB"/>
    <w:rsid w:val="00550963"/>
    <w:rsid w:val="00550C35"/>
    <w:rsid w:val="0055122F"/>
    <w:rsid w:val="005518D8"/>
    <w:rsid w:val="00551C09"/>
    <w:rsid w:val="00551C15"/>
    <w:rsid w:val="005521D9"/>
    <w:rsid w:val="00552675"/>
    <w:rsid w:val="00552686"/>
    <w:rsid w:val="00552B55"/>
    <w:rsid w:val="00552DFF"/>
    <w:rsid w:val="0055300F"/>
    <w:rsid w:val="0055362B"/>
    <w:rsid w:val="00553A7E"/>
    <w:rsid w:val="005541DE"/>
    <w:rsid w:val="00554315"/>
    <w:rsid w:val="005544C7"/>
    <w:rsid w:val="005544CF"/>
    <w:rsid w:val="005548A5"/>
    <w:rsid w:val="005554A9"/>
    <w:rsid w:val="005555FD"/>
    <w:rsid w:val="00555D23"/>
    <w:rsid w:val="00555D85"/>
    <w:rsid w:val="005563BD"/>
    <w:rsid w:val="00556535"/>
    <w:rsid w:val="0055653B"/>
    <w:rsid w:val="00556C9C"/>
    <w:rsid w:val="005570CA"/>
    <w:rsid w:val="005574FC"/>
    <w:rsid w:val="00557855"/>
    <w:rsid w:val="00557C76"/>
    <w:rsid w:val="00560022"/>
    <w:rsid w:val="0056083E"/>
    <w:rsid w:val="005608BB"/>
    <w:rsid w:val="00561125"/>
    <w:rsid w:val="0056150A"/>
    <w:rsid w:val="0056209A"/>
    <w:rsid w:val="005623F1"/>
    <w:rsid w:val="0056251A"/>
    <w:rsid w:val="00562C43"/>
    <w:rsid w:val="005630A0"/>
    <w:rsid w:val="005631CC"/>
    <w:rsid w:val="00563294"/>
    <w:rsid w:val="00563F42"/>
    <w:rsid w:val="00563FE0"/>
    <w:rsid w:val="005640C8"/>
    <w:rsid w:val="005646D0"/>
    <w:rsid w:val="00564774"/>
    <w:rsid w:val="00564A72"/>
    <w:rsid w:val="00564F27"/>
    <w:rsid w:val="005653E2"/>
    <w:rsid w:val="00565FAC"/>
    <w:rsid w:val="0056693C"/>
    <w:rsid w:val="005669AE"/>
    <w:rsid w:val="00566C1E"/>
    <w:rsid w:val="00567261"/>
    <w:rsid w:val="005677BB"/>
    <w:rsid w:val="00567B47"/>
    <w:rsid w:val="005700F1"/>
    <w:rsid w:val="00570A01"/>
    <w:rsid w:val="00570AEA"/>
    <w:rsid w:val="00571AF2"/>
    <w:rsid w:val="00571EE8"/>
    <w:rsid w:val="005724F1"/>
    <w:rsid w:val="005728C1"/>
    <w:rsid w:val="00572C0D"/>
    <w:rsid w:val="00572CA6"/>
    <w:rsid w:val="005734C7"/>
    <w:rsid w:val="0057350C"/>
    <w:rsid w:val="00573746"/>
    <w:rsid w:val="00573D5B"/>
    <w:rsid w:val="00573DEB"/>
    <w:rsid w:val="005740D6"/>
    <w:rsid w:val="00574398"/>
    <w:rsid w:val="005746B7"/>
    <w:rsid w:val="005750C1"/>
    <w:rsid w:val="0057515E"/>
    <w:rsid w:val="00576133"/>
    <w:rsid w:val="0057614E"/>
    <w:rsid w:val="00576615"/>
    <w:rsid w:val="00576B74"/>
    <w:rsid w:val="00576DE7"/>
    <w:rsid w:val="00577004"/>
    <w:rsid w:val="005774A2"/>
    <w:rsid w:val="0057750F"/>
    <w:rsid w:val="005779C9"/>
    <w:rsid w:val="00577BCF"/>
    <w:rsid w:val="00577E3A"/>
    <w:rsid w:val="00577E66"/>
    <w:rsid w:val="0058071C"/>
    <w:rsid w:val="005808E0"/>
    <w:rsid w:val="00580A4C"/>
    <w:rsid w:val="005814D5"/>
    <w:rsid w:val="00581B3C"/>
    <w:rsid w:val="00581C4E"/>
    <w:rsid w:val="00581ECF"/>
    <w:rsid w:val="00582187"/>
    <w:rsid w:val="005821A2"/>
    <w:rsid w:val="00582280"/>
    <w:rsid w:val="00582302"/>
    <w:rsid w:val="005828C5"/>
    <w:rsid w:val="005830A3"/>
    <w:rsid w:val="005838B4"/>
    <w:rsid w:val="00583AD1"/>
    <w:rsid w:val="00583B93"/>
    <w:rsid w:val="00583E03"/>
    <w:rsid w:val="00583F58"/>
    <w:rsid w:val="00584A97"/>
    <w:rsid w:val="005850C3"/>
    <w:rsid w:val="00585C03"/>
    <w:rsid w:val="00585C99"/>
    <w:rsid w:val="00585DEB"/>
    <w:rsid w:val="005861C1"/>
    <w:rsid w:val="00586A5A"/>
    <w:rsid w:val="005872CA"/>
    <w:rsid w:val="00587910"/>
    <w:rsid w:val="0058796E"/>
    <w:rsid w:val="00587A56"/>
    <w:rsid w:val="00587DD5"/>
    <w:rsid w:val="00587FDF"/>
    <w:rsid w:val="00590285"/>
    <w:rsid w:val="005904B0"/>
    <w:rsid w:val="005916CD"/>
    <w:rsid w:val="00591B16"/>
    <w:rsid w:val="00591DB3"/>
    <w:rsid w:val="00591EFB"/>
    <w:rsid w:val="00592512"/>
    <w:rsid w:val="00592685"/>
    <w:rsid w:val="00592A87"/>
    <w:rsid w:val="00592BD5"/>
    <w:rsid w:val="00593554"/>
    <w:rsid w:val="005937B5"/>
    <w:rsid w:val="00593E43"/>
    <w:rsid w:val="00593F4A"/>
    <w:rsid w:val="00594287"/>
    <w:rsid w:val="005948AF"/>
    <w:rsid w:val="00594B2C"/>
    <w:rsid w:val="00594C71"/>
    <w:rsid w:val="00594DFF"/>
    <w:rsid w:val="00595080"/>
    <w:rsid w:val="00595432"/>
    <w:rsid w:val="00595965"/>
    <w:rsid w:val="00595BB2"/>
    <w:rsid w:val="00595CD6"/>
    <w:rsid w:val="00595F99"/>
    <w:rsid w:val="00596738"/>
    <w:rsid w:val="00596B57"/>
    <w:rsid w:val="00596F37"/>
    <w:rsid w:val="005978B4"/>
    <w:rsid w:val="005979EA"/>
    <w:rsid w:val="005A05E3"/>
    <w:rsid w:val="005A1E2E"/>
    <w:rsid w:val="005A2239"/>
    <w:rsid w:val="005A27A0"/>
    <w:rsid w:val="005A2953"/>
    <w:rsid w:val="005A2DC4"/>
    <w:rsid w:val="005A2ED4"/>
    <w:rsid w:val="005A32FD"/>
    <w:rsid w:val="005A366A"/>
    <w:rsid w:val="005A38F5"/>
    <w:rsid w:val="005A4375"/>
    <w:rsid w:val="005A4809"/>
    <w:rsid w:val="005A4904"/>
    <w:rsid w:val="005A4A00"/>
    <w:rsid w:val="005A4B6F"/>
    <w:rsid w:val="005A4EC8"/>
    <w:rsid w:val="005A576F"/>
    <w:rsid w:val="005A5F6C"/>
    <w:rsid w:val="005A6087"/>
    <w:rsid w:val="005A64F6"/>
    <w:rsid w:val="005A66FF"/>
    <w:rsid w:val="005A6AA1"/>
    <w:rsid w:val="005B10ED"/>
    <w:rsid w:val="005B118E"/>
    <w:rsid w:val="005B120F"/>
    <w:rsid w:val="005B1743"/>
    <w:rsid w:val="005B1DFD"/>
    <w:rsid w:val="005B3388"/>
    <w:rsid w:val="005B3C38"/>
    <w:rsid w:val="005B3D4E"/>
    <w:rsid w:val="005B3E0A"/>
    <w:rsid w:val="005B3E22"/>
    <w:rsid w:val="005B440D"/>
    <w:rsid w:val="005B4884"/>
    <w:rsid w:val="005B4B38"/>
    <w:rsid w:val="005B4ECA"/>
    <w:rsid w:val="005B4F33"/>
    <w:rsid w:val="005B51A4"/>
    <w:rsid w:val="005B54E6"/>
    <w:rsid w:val="005B6767"/>
    <w:rsid w:val="005B7432"/>
    <w:rsid w:val="005B7591"/>
    <w:rsid w:val="005B7CDF"/>
    <w:rsid w:val="005B7E08"/>
    <w:rsid w:val="005C0F78"/>
    <w:rsid w:val="005C1965"/>
    <w:rsid w:val="005C196A"/>
    <w:rsid w:val="005C1F73"/>
    <w:rsid w:val="005C23A9"/>
    <w:rsid w:val="005C23B2"/>
    <w:rsid w:val="005C27FC"/>
    <w:rsid w:val="005C356A"/>
    <w:rsid w:val="005C3B7B"/>
    <w:rsid w:val="005C4000"/>
    <w:rsid w:val="005C44B1"/>
    <w:rsid w:val="005C4CD3"/>
    <w:rsid w:val="005C5167"/>
    <w:rsid w:val="005C54D1"/>
    <w:rsid w:val="005C57A0"/>
    <w:rsid w:val="005C5886"/>
    <w:rsid w:val="005C5C5A"/>
    <w:rsid w:val="005C60B6"/>
    <w:rsid w:val="005C6488"/>
    <w:rsid w:val="005C672A"/>
    <w:rsid w:val="005C6776"/>
    <w:rsid w:val="005C67CF"/>
    <w:rsid w:val="005C6875"/>
    <w:rsid w:val="005C6DC0"/>
    <w:rsid w:val="005C70EC"/>
    <w:rsid w:val="005C7BB1"/>
    <w:rsid w:val="005C7DEF"/>
    <w:rsid w:val="005C7F62"/>
    <w:rsid w:val="005D1460"/>
    <w:rsid w:val="005D162D"/>
    <w:rsid w:val="005D17CB"/>
    <w:rsid w:val="005D17D8"/>
    <w:rsid w:val="005D1896"/>
    <w:rsid w:val="005D21DF"/>
    <w:rsid w:val="005D25C4"/>
    <w:rsid w:val="005D298B"/>
    <w:rsid w:val="005D2A2E"/>
    <w:rsid w:val="005D2B07"/>
    <w:rsid w:val="005D2BC6"/>
    <w:rsid w:val="005D2F76"/>
    <w:rsid w:val="005D3700"/>
    <w:rsid w:val="005D41C6"/>
    <w:rsid w:val="005D4992"/>
    <w:rsid w:val="005D4CE0"/>
    <w:rsid w:val="005D51A8"/>
    <w:rsid w:val="005D571B"/>
    <w:rsid w:val="005D5E04"/>
    <w:rsid w:val="005D5FDF"/>
    <w:rsid w:val="005D6EA8"/>
    <w:rsid w:val="005D6EC0"/>
    <w:rsid w:val="005D7331"/>
    <w:rsid w:val="005D7449"/>
    <w:rsid w:val="005D79F1"/>
    <w:rsid w:val="005E0438"/>
    <w:rsid w:val="005E06F3"/>
    <w:rsid w:val="005E0D4A"/>
    <w:rsid w:val="005E100E"/>
    <w:rsid w:val="005E1595"/>
    <w:rsid w:val="005E1822"/>
    <w:rsid w:val="005E1823"/>
    <w:rsid w:val="005E1EE7"/>
    <w:rsid w:val="005E2082"/>
    <w:rsid w:val="005E214B"/>
    <w:rsid w:val="005E2208"/>
    <w:rsid w:val="005E23F2"/>
    <w:rsid w:val="005E2AA6"/>
    <w:rsid w:val="005E2BE3"/>
    <w:rsid w:val="005E31F6"/>
    <w:rsid w:val="005E34A4"/>
    <w:rsid w:val="005E3695"/>
    <w:rsid w:val="005E3CE7"/>
    <w:rsid w:val="005E47F2"/>
    <w:rsid w:val="005E4B01"/>
    <w:rsid w:val="005E4FD2"/>
    <w:rsid w:val="005E544E"/>
    <w:rsid w:val="005E5C42"/>
    <w:rsid w:val="005E5DA5"/>
    <w:rsid w:val="005E5FE2"/>
    <w:rsid w:val="005E60D1"/>
    <w:rsid w:val="005E61F5"/>
    <w:rsid w:val="005E627B"/>
    <w:rsid w:val="005E6452"/>
    <w:rsid w:val="005E69E7"/>
    <w:rsid w:val="005E6D04"/>
    <w:rsid w:val="005E7459"/>
    <w:rsid w:val="005F0426"/>
    <w:rsid w:val="005F088F"/>
    <w:rsid w:val="005F0F74"/>
    <w:rsid w:val="005F1904"/>
    <w:rsid w:val="005F1E26"/>
    <w:rsid w:val="005F24D5"/>
    <w:rsid w:val="005F24DA"/>
    <w:rsid w:val="005F253C"/>
    <w:rsid w:val="005F2863"/>
    <w:rsid w:val="005F29C2"/>
    <w:rsid w:val="005F2B2A"/>
    <w:rsid w:val="005F33DB"/>
    <w:rsid w:val="005F37B6"/>
    <w:rsid w:val="005F3932"/>
    <w:rsid w:val="005F3944"/>
    <w:rsid w:val="005F3A5B"/>
    <w:rsid w:val="005F3E97"/>
    <w:rsid w:val="005F3F70"/>
    <w:rsid w:val="005F4264"/>
    <w:rsid w:val="005F5095"/>
    <w:rsid w:val="005F60FE"/>
    <w:rsid w:val="005F6581"/>
    <w:rsid w:val="005F6C50"/>
    <w:rsid w:val="005F70B6"/>
    <w:rsid w:val="005F720A"/>
    <w:rsid w:val="005F72F6"/>
    <w:rsid w:val="005F7439"/>
    <w:rsid w:val="005F769C"/>
    <w:rsid w:val="0060011B"/>
    <w:rsid w:val="00600865"/>
    <w:rsid w:val="00600888"/>
    <w:rsid w:val="00600BD0"/>
    <w:rsid w:val="00600C9F"/>
    <w:rsid w:val="00600F46"/>
    <w:rsid w:val="00602026"/>
    <w:rsid w:val="0060203D"/>
    <w:rsid w:val="00602BEA"/>
    <w:rsid w:val="006031EF"/>
    <w:rsid w:val="006033A6"/>
    <w:rsid w:val="00603912"/>
    <w:rsid w:val="00603F8D"/>
    <w:rsid w:val="00604600"/>
    <w:rsid w:val="00604CCB"/>
    <w:rsid w:val="0060521A"/>
    <w:rsid w:val="0060521D"/>
    <w:rsid w:val="00605576"/>
    <w:rsid w:val="006056AE"/>
    <w:rsid w:val="00605869"/>
    <w:rsid w:val="0060599C"/>
    <w:rsid w:val="0060619E"/>
    <w:rsid w:val="006063C1"/>
    <w:rsid w:val="00606738"/>
    <w:rsid w:val="006068F3"/>
    <w:rsid w:val="00606C53"/>
    <w:rsid w:val="00606D72"/>
    <w:rsid w:val="00607148"/>
    <w:rsid w:val="006079E2"/>
    <w:rsid w:val="00607DAC"/>
    <w:rsid w:val="00607F1A"/>
    <w:rsid w:val="00607F7E"/>
    <w:rsid w:val="0061052C"/>
    <w:rsid w:val="006108D5"/>
    <w:rsid w:val="006114B9"/>
    <w:rsid w:val="0061152C"/>
    <w:rsid w:val="00611ADE"/>
    <w:rsid w:val="006122C3"/>
    <w:rsid w:val="0061283A"/>
    <w:rsid w:val="00612E13"/>
    <w:rsid w:val="006131B2"/>
    <w:rsid w:val="00613686"/>
    <w:rsid w:val="00613D76"/>
    <w:rsid w:val="00613F0E"/>
    <w:rsid w:val="006142A0"/>
    <w:rsid w:val="00614477"/>
    <w:rsid w:val="0061467A"/>
    <w:rsid w:val="00615284"/>
    <w:rsid w:val="00615493"/>
    <w:rsid w:val="006154D5"/>
    <w:rsid w:val="006155AA"/>
    <w:rsid w:val="006157E1"/>
    <w:rsid w:val="006159BD"/>
    <w:rsid w:val="00615A74"/>
    <w:rsid w:val="006163A6"/>
    <w:rsid w:val="00616C8E"/>
    <w:rsid w:val="00616D65"/>
    <w:rsid w:val="00617525"/>
    <w:rsid w:val="006176B8"/>
    <w:rsid w:val="00617C3C"/>
    <w:rsid w:val="00620114"/>
    <w:rsid w:val="0062068C"/>
    <w:rsid w:val="006206DC"/>
    <w:rsid w:val="00620752"/>
    <w:rsid w:val="00621018"/>
    <w:rsid w:val="00621453"/>
    <w:rsid w:val="00621B1D"/>
    <w:rsid w:val="00621C9A"/>
    <w:rsid w:val="00621FA7"/>
    <w:rsid w:val="00622057"/>
    <w:rsid w:val="006221C1"/>
    <w:rsid w:val="006223C9"/>
    <w:rsid w:val="006223D5"/>
    <w:rsid w:val="0062271F"/>
    <w:rsid w:val="00622768"/>
    <w:rsid w:val="00622A54"/>
    <w:rsid w:val="00622B6E"/>
    <w:rsid w:val="00623286"/>
    <w:rsid w:val="006233DA"/>
    <w:rsid w:val="00623504"/>
    <w:rsid w:val="00623793"/>
    <w:rsid w:val="006237E2"/>
    <w:rsid w:val="006237EC"/>
    <w:rsid w:val="00623A0A"/>
    <w:rsid w:val="00623C15"/>
    <w:rsid w:val="00623CA6"/>
    <w:rsid w:val="00623E52"/>
    <w:rsid w:val="00624799"/>
    <w:rsid w:val="00624F44"/>
    <w:rsid w:val="006259FF"/>
    <w:rsid w:val="00626097"/>
    <w:rsid w:val="0062610D"/>
    <w:rsid w:val="00626FF8"/>
    <w:rsid w:val="00627131"/>
    <w:rsid w:val="006273B4"/>
    <w:rsid w:val="0062743C"/>
    <w:rsid w:val="0062758B"/>
    <w:rsid w:val="00627686"/>
    <w:rsid w:val="0062796C"/>
    <w:rsid w:val="0063087E"/>
    <w:rsid w:val="00630949"/>
    <w:rsid w:val="00630E0A"/>
    <w:rsid w:val="00630E99"/>
    <w:rsid w:val="0063143D"/>
    <w:rsid w:val="006316AC"/>
    <w:rsid w:val="006318E5"/>
    <w:rsid w:val="00631B26"/>
    <w:rsid w:val="00631B65"/>
    <w:rsid w:val="00631B87"/>
    <w:rsid w:val="00631D9B"/>
    <w:rsid w:val="006320C2"/>
    <w:rsid w:val="0063223F"/>
    <w:rsid w:val="00632310"/>
    <w:rsid w:val="006323C4"/>
    <w:rsid w:val="006329CA"/>
    <w:rsid w:val="00632DCB"/>
    <w:rsid w:val="00632EA2"/>
    <w:rsid w:val="00633BCA"/>
    <w:rsid w:val="00634B5F"/>
    <w:rsid w:val="00635097"/>
    <w:rsid w:val="006356B4"/>
    <w:rsid w:val="00635977"/>
    <w:rsid w:val="00635C31"/>
    <w:rsid w:val="00635E2B"/>
    <w:rsid w:val="00635FFA"/>
    <w:rsid w:val="00636070"/>
    <w:rsid w:val="00636B3E"/>
    <w:rsid w:val="00636FBD"/>
    <w:rsid w:val="006370A9"/>
    <w:rsid w:val="00637443"/>
    <w:rsid w:val="006401F4"/>
    <w:rsid w:val="00640819"/>
    <w:rsid w:val="00640971"/>
    <w:rsid w:val="00640B5A"/>
    <w:rsid w:val="00640EF0"/>
    <w:rsid w:val="006412B2"/>
    <w:rsid w:val="0064158E"/>
    <w:rsid w:val="006415CD"/>
    <w:rsid w:val="0064167F"/>
    <w:rsid w:val="006416A9"/>
    <w:rsid w:val="0064175D"/>
    <w:rsid w:val="00641782"/>
    <w:rsid w:val="00641A53"/>
    <w:rsid w:val="00641D6C"/>
    <w:rsid w:val="00642713"/>
    <w:rsid w:val="00642CBF"/>
    <w:rsid w:val="00642D60"/>
    <w:rsid w:val="006438FA"/>
    <w:rsid w:val="00643CA3"/>
    <w:rsid w:val="0064437F"/>
    <w:rsid w:val="006447A2"/>
    <w:rsid w:val="00644E50"/>
    <w:rsid w:val="00645031"/>
    <w:rsid w:val="006450E8"/>
    <w:rsid w:val="0064510F"/>
    <w:rsid w:val="00645687"/>
    <w:rsid w:val="006456EB"/>
    <w:rsid w:val="006457DC"/>
    <w:rsid w:val="00645EE6"/>
    <w:rsid w:val="0064602F"/>
    <w:rsid w:val="006461BD"/>
    <w:rsid w:val="00646312"/>
    <w:rsid w:val="0064672E"/>
    <w:rsid w:val="006470BD"/>
    <w:rsid w:val="00647339"/>
    <w:rsid w:val="00647340"/>
    <w:rsid w:val="00647E9D"/>
    <w:rsid w:val="0065098B"/>
    <w:rsid w:val="00650B39"/>
    <w:rsid w:val="00650B3B"/>
    <w:rsid w:val="00650BB5"/>
    <w:rsid w:val="0065117F"/>
    <w:rsid w:val="0065150A"/>
    <w:rsid w:val="0065164C"/>
    <w:rsid w:val="0065178D"/>
    <w:rsid w:val="00652314"/>
    <w:rsid w:val="0065241A"/>
    <w:rsid w:val="00652995"/>
    <w:rsid w:val="00652A42"/>
    <w:rsid w:val="00652A71"/>
    <w:rsid w:val="00653193"/>
    <w:rsid w:val="006532C7"/>
    <w:rsid w:val="0065335D"/>
    <w:rsid w:val="00653470"/>
    <w:rsid w:val="00653515"/>
    <w:rsid w:val="00653541"/>
    <w:rsid w:val="00653AEE"/>
    <w:rsid w:val="00653E4A"/>
    <w:rsid w:val="00653F2C"/>
    <w:rsid w:val="00654332"/>
    <w:rsid w:val="0065460E"/>
    <w:rsid w:val="00654A2B"/>
    <w:rsid w:val="00655560"/>
    <w:rsid w:val="00655710"/>
    <w:rsid w:val="006558B9"/>
    <w:rsid w:val="0065612D"/>
    <w:rsid w:val="006563E2"/>
    <w:rsid w:val="006565FF"/>
    <w:rsid w:val="00656641"/>
    <w:rsid w:val="00656F12"/>
    <w:rsid w:val="00656FA8"/>
    <w:rsid w:val="0065712F"/>
    <w:rsid w:val="00657A8B"/>
    <w:rsid w:val="00657C6B"/>
    <w:rsid w:val="00660431"/>
    <w:rsid w:val="00660475"/>
    <w:rsid w:val="00660509"/>
    <w:rsid w:val="0066063A"/>
    <w:rsid w:val="0066063D"/>
    <w:rsid w:val="006608C4"/>
    <w:rsid w:val="00660B84"/>
    <w:rsid w:val="00660E32"/>
    <w:rsid w:val="00660E45"/>
    <w:rsid w:val="00660FC2"/>
    <w:rsid w:val="00661240"/>
    <w:rsid w:val="006618F0"/>
    <w:rsid w:val="00661A36"/>
    <w:rsid w:val="00661A45"/>
    <w:rsid w:val="00661F5D"/>
    <w:rsid w:val="006627C5"/>
    <w:rsid w:val="00662C11"/>
    <w:rsid w:val="00663294"/>
    <w:rsid w:val="00663486"/>
    <w:rsid w:val="00663B4A"/>
    <w:rsid w:val="00663EFA"/>
    <w:rsid w:val="0066438F"/>
    <w:rsid w:val="00664670"/>
    <w:rsid w:val="00664AF8"/>
    <w:rsid w:val="00664B3A"/>
    <w:rsid w:val="00664B99"/>
    <w:rsid w:val="00664E09"/>
    <w:rsid w:val="00664E74"/>
    <w:rsid w:val="006653E4"/>
    <w:rsid w:val="00665416"/>
    <w:rsid w:val="00665F58"/>
    <w:rsid w:val="00667227"/>
    <w:rsid w:val="0066727F"/>
    <w:rsid w:val="00667377"/>
    <w:rsid w:val="00667E9E"/>
    <w:rsid w:val="00667F06"/>
    <w:rsid w:val="00670B6B"/>
    <w:rsid w:val="00670C3D"/>
    <w:rsid w:val="0067104E"/>
    <w:rsid w:val="00671186"/>
    <w:rsid w:val="006711A8"/>
    <w:rsid w:val="00671223"/>
    <w:rsid w:val="00671A1E"/>
    <w:rsid w:val="00671CD3"/>
    <w:rsid w:val="00671E56"/>
    <w:rsid w:val="006726F4"/>
    <w:rsid w:val="006728F8"/>
    <w:rsid w:val="00672F61"/>
    <w:rsid w:val="00673539"/>
    <w:rsid w:val="00673831"/>
    <w:rsid w:val="006739C4"/>
    <w:rsid w:val="006739D1"/>
    <w:rsid w:val="006739EF"/>
    <w:rsid w:val="00673B17"/>
    <w:rsid w:val="00673D5A"/>
    <w:rsid w:val="006740EB"/>
    <w:rsid w:val="006742CF"/>
    <w:rsid w:val="00674593"/>
    <w:rsid w:val="00674F9B"/>
    <w:rsid w:val="00675372"/>
    <w:rsid w:val="006758BB"/>
    <w:rsid w:val="00675F1F"/>
    <w:rsid w:val="0067640A"/>
    <w:rsid w:val="00676600"/>
    <w:rsid w:val="006766D2"/>
    <w:rsid w:val="0067686B"/>
    <w:rsid w:val="00677924"/>
    <w:rsid w:val="00677A71"/>
    <w:rsid w:val="00677C45"/>
    <w:rsid w:val="00677F43"/>
    <w:rsid w:val="0068025A"/>
    <w:rsid w:val="0068104C"/>
    <w:rsid w:val="006816CD"/>
    <w:rsid w:val="00681D21"/>
    <w:rsid w:val="00681E58"/>
    <w:rsid w:val="006824AA"/>
    <w:rsid w:val="00682811"/>
    <w:rsid w:val="00682AE7"/>
    <w:rsid w:val="006833C6"/>
    <w:rsid w:val="00683782"/>
    <w:rsid w:val="00683865"/>
    <w:rsid w:val="00683F20"/>
    <w:rsid w:val="00685518"/>
    <w:rsid w:val="00685F5C"/>
    <w:rsid w:val="00686261"/>
    <w:rsid w:val="00686A59"/>
    <w:rsid w:val="00686FCF"/>
    <w:rsid w:val="006874D7"/>
    <w:rsid w:val="006877EE"/>
    <w:rsid w:val="00687DBD"/>
    <w:rsid w:val="0069041F"/>
    <w:rsid w:val="006906B7"/>
    <w:rsid w:val="006909DC"/>
    <w:rsid w:val="00690C3D"/>
    <w:rsid w:val="00690DBA"/>
    <w:rsid w:val="006910D2"/>
    <w:rsid w:val="006913BF"/>
    <w:rsid w:val="0069280D"/>
    <w:rsid w:val="00692B33"/>
    <w:rsid w:val="00692DDD"/>
    <w:rsid w:val="00693375"/>
    <w:rsid w:val="00693E15"/>
    <w:rsid w:val="00693ECC"/>
    <w:rsid w:val="0069433C"/>
    <w:rsid w:val="0069483C"/>
    <w:rsid w:val="00694BA5"/>
    <w:rsid w:val="006952A5"/>
    <w:rsid w:val="0069571E"/>
    <w:rsid w:val="00695B90"/>
    <w:rsid w:val="0069675F"/>
    <w:rsid w:val="00696791"/>
    <w:rsid w:val="0069689F"/>
    <w:rsid w:val="00696BFB"/>
    <w:rsid w:val="00696D52"/>
    <w:rsid w:val="00696DE2"/>
    <w:rsid w:val="00696FFE"/>
    <w:rsid w:val="0069769C"/>
    <w:rsid w:val="00697F98"/>
    <w:rsid w:val="00697FD0"/>
    <w:rsid w:val="006A037B"/>
    <w:rsid w:val="006A058E"/>
    <w:rsid w:val="006A05F6"/>
    <w:rsid w:val="006A0677"/>
    <w:rsid w:val="006A136B"/>
    <w:rsid w:val="006A18DB"/>
    <w:rsid w:val="006A2071"/>
    <w:rsid w:val="006A2B84"/>
    <w:rsid w:val="006A2D96"/>
    <w:rsid w:val="006A30E7"/>
    <w:rsid w:val="006A351C"/>
    <w:rsid w:val="006A36AD"/>
    <w:rsid w:val="006A3A21"/>
    <w:rsid w:val="006A3CB7"/>
    <w:rsid w:val="006A409F"/>
    <w:rsid w:val="006A418D"/>
    <w:rsid w:val="006A45F8"/>
    <w:rsid w:val="006A4B54"/>
    <w:rsid w:val="006A5052"/>
    <w:rsid w:val="006A511F"/>
    <w:rsid w:val="006A51E0"/>
    <w:rsid w:val="006A5749"/>
    <w:rsid w:val="006A5873"/>
    <w:rsid w:val="006A5B99"/>
    <w:rsid w:val="006A5CB2"/>
    <w:rsid w:val="006A5CBF"/>
    <w:rsid w:val="006A5E3C"/>
    <w:rsid w:val="006A6617"/>
    <w:rsid w:val="006A6D4F"/>
    <w:rsid w:val="006A6F4E"/>
    <w:rsid w:val="006A7270"/>
    <w:rsid w:val="006A7912"/>
    <w:rsid w:val="006A7934"/>
    <w:rsid w:val="006A7A57"/>
    <w:rsid w:val="006A7FC7"/>
    <w:rsid w:val="006B0174"/>
    <w:rsid w:val="006B05AF"/>
    <w:rsid w:val="006B0746"/>
    <w:rsid w:val="006B0D4E"/>
    <w:rsid w:val="006B0E0D"/>
    <w:rsid w:val="006B0E5A"/>
    <w:rsid w:val="006B1277"/>
    <w:rsid w:val="006B1A48"/>
    <w:rsid w:val="006B1F48"/>
    <w:rsid w:val="006B20DF"/>
    <w:rsid w:val="006B2248"/>
    <w:rsid w:val="006B24B8"/>
    <w:rsid w:val="006B269C"/>
    <w:rsid w:val="006B27F0"/>
    <w:rsid w:val="006B29BC"/>
    <w:rsid w:val="006B304F"/>
    <w:rsid w:val="006B3185"/>
    <w:rsid w:val="006B38BD"/>
    <w:rsid w:val="006B4641"/>
    <w:rsid w:val="006B46AB"/>
    <w:rsid w:val="006B538E"/>
    <w:rsid w:val="006B5FFB"/>
    <w:rsid w:val="006B6807"/>
    <w:rsid w:val="006B688E"/>
    <w:rsid w:val="006B6929"/>
    <w:rsid w:val="006B6A67"/>
    <w:rsid w:val="006B6AC3"/>
    <w:rsid w:val="006B6F26"/>
    <w:rsid w:val="006B7016"/>
    <w:rsid w:val="006B72D0"/>
    <w:rsid w:val="006B749B"/>
    <w:rsid w:val="006B7882"/>
    <w:rsid w:val="006B788E"/>
    <w:rsid w:val="006B7FA1"/>
    <w:rsid w:val="006B7FBF"/>
    <w:rsid w:val="006C1411"/>
    <w:rsid w:val="006C1D13"/>
    <w:rsid w:val="006C1E71"/>
    <w:rsid w:val="006C294B"/>
    <w:rsid w:val="006C2954"/>
    <w:rsid w:val="006C298A"/>
    <w:rsid w:val="006C2C7B"/>
    <w:rsid w:val="006C2EFB"/>
    <w:rsid w:val="006C3385"/>
    <w:rsid w:val="006C3735"/>
    <w:rsid w:val="006C39B5"/>
    <w:rsid w:val="006C4091"/>
    <w:rsid w:val="006C430A"/>
    <w:rsid w:val="006C4495"/>
    <w:rsid w:val="006C47FD"/>
    <w:rsid w:val="006C4BB8"/>
    <w:rsid w:val="006C4C8A"/>
    <w:rsid w:val="006C4F28"/>
    <w:rsid w:val="006C576C"/>
    <w:rsid w:val="006C58DC"/>
    <w:rsid w:val="006C62E9"/>
    <w:rsid w:val="006C70CC"/>
    <w:rsid w:val="006C7251"/>
    <w:rsid w:val="006C77CD"/>
    <w:rsid w:val="006C7FAC"/>
    <w:rsid w:val="006D0715"/>
    <w:rsid w:val="006D07CF"/>
    <w:rsid w:val="006D0931"/>
    <w:rsid w:val="006D0EC0"/>
    <w:rsid w:val="006D0EDD"/>
    <w:rsid w:val="006D1422"/>
    <w:rsid w:val="006D14C6"/>
    <w:rsid w:val="006D1BE3"/>
    <w:rsid w:val="006D1C19"/>
    <w:rsid w:val="006D1C79"/>
    <w:rsid w:val="006D2713"/>
    <w:rsid w:val="006D28E1"/>
    <w:rsid w:val="006D2BF6"/>
    <w:rsid w:val="006D2E2F"/>
    <w:rsid w:val="006D2E75"/>
    <w:rsid w:val="006D2FAE"/>
    <w:rsid w:val="006D366F"/>
    <w:rsid w:val="006D3BA7"/>
    <w:rsid w:val="006D41DA"/>
    <w:rsid w:val="006D46A8"/>
    <w:rsid w:val="006D4FA9"/>
    <w:rsid w:val="006D50F8"/>
    <w:rsid w:val="006D5380"/>
    <w:rsid w:val="006D5649"/>
    <w:rsid w:val="006D5663"/>
    <w:rsid w:val="006D6203"/>
    <w:rsid w:val="006D674F"/>
    <w:rsid w:val="006D6FD5"/>
    <w:rsid w:val="006D7365"/>
    <w:rsid w:val="006D7A3A"/>
    <w:rsid w:val="006D7AE0"/>
    <w:rsid w:val="006D7F87"/>
    <w:rsid w:val="006E04DC"/>
    <w:rsid w:val="006E07E7"/>
    <w:rsid w:val="006E0B49"/>
    <w:rsid w:val="006E191F"/>
    <w:rsid w:val="006E1CDE"/>
    <w:rsid w:val="006E1E23"/>
    <w:rsid w:val="006E1EAD"/>
    <w:rsid w:val="006E27B5"/>
    <w:rsid w:val="006E2C5F"/>
    <w:rsid w:val="006E3943"/>
    <w:rsid w:val="006E3E35"/>
    <w:rsid w:val="006E44F5"/>
    <w:rsid w:val="006E4D4B"/>
    <w:rsid w:val="006E4FDC"/>
    <w:rsid w:val="006E5352"/>
    <w:rsid w:val="006E5E0D"/>
    <w:rsid w:val="006E6627"/>
    <w:rsid w:val="006E6CD9"/>
    <w:rsid w:val="006E6F37"/>
    <w:rsid w:val="006E6FD0"/>
    <w:rsid w:val="006E7091"/>
    <w:rsid w:val="006E74E1"/>
    <w:rsid w:val="006E7EA3"/>
    <w:rsid w:val="006F03B1"/>
    <w:rsid w:val="006F0ABF"/>
    <w:rsid w:val="006F1357"/>
    <w:rsid w:val="006F1414"/>
    <w:rsid w:val="006F17FE"/>
    <w:rsid w:val="006F1AAF"/>
    <w:rsid w:val="006F22F5"/>
    <w:rsid w:val="006F3864"/>
    <w:rsid w:val="006F3B6A"/>
    <w:rsid w:val="006F3DA3"/>
    <w:rsid w:val="006F4485"/>
    <w:rsid w:val="006F464D"/>
    <w:rsid w:val="006F4BB1"/>
    <w:rsid w:val="006F54E6"/>
    <w:rsid w:val="006F55AE"/>
    <w:rsid w:val="006F56EB"/>
    <w:rsid w:val="006F6999"/>
    <w:rsid w:val="006F6D4D"/>
    <w:rsid w:val="006F7581"/>
    <w:rsid w:val="006F7A0C"/>
    <w:rsid w:val="006F7F4C"/>
    <w:rsid w:val="0070097C"/>
    <w:rsid w:val="00700B5C"/>
    <w:rsid w:val="00700E1C"/>
    <w:rsid w:val="00701809"/>
    <w:rsid w:val="00701905"/>
    <w:rsid w:val="00701B60"/>
    <w:rsid w:val="00701FBB"/>
    <w:rsid w:val="007025EC"/>
    <w:rsid w:val="0070275D"/>
    <w:rsid w:val="00702898"/>
    <w:rsid w:val="00702D7B"/>
    <w:rsid w:val="00702EE5"/>
    <w:rsid w:val="0070330D"/>
    <w:rsid w:val="007033C7"/>
    <w:rsid w:val="007034DB"/>
    <w:rsid w:val="0070358D"/>
    <w:rsid w:val="0070368D"/>
    <w:rsid w:val="00703885"/>
    <w:rsid w:val="007038F8"/>
    <w:rsid w:val="007047A1"/>
    <w:rsid w:val="0070508B"/>
    <w:rsid w:val="00705378"/>
    <w:rsid w:val="007053C4"/>
    <w:rsid w:val="00705481"/>
    <w:rsid w:val="0070637A"/>
    <w:rsid w:val="007067B6"/>
    <w:rsid w:val="00706ABA"/>
    <w:rsid w:val="00707237"/>
    <w:rsid w:val="00707535"/>
    <w:rsid w:val="00707E4E"/>
    <w:rsid w:val="0071005C"/>
    <w:rsid w:val="0071056F"/>
    <w:rsid w:val="0071079C"/>
    <w:rsid w:val="0071091E"/>
    <w:rsid w:val="007109FE"/>
    <w:rsid w:val="00710E85"/>
    <w:rsid w:val="007110B8"/>
    <w:rsid w:val="007112E1"/>
    <w:rsid w:val="007114DA"/>
    <w:rsid w:val="00711E2B"/>
    <w:rsid w:val="00711F65"/>
    <w:rsid w:val="00713589"/>
    <w:rsid w:val="007139A1"/>
    <w:rsid w:val="00713D23"/>
    <w:rsid w:val="00713D98"/>
    <w:rsid w:val="00714019"/>
    <w:rsid w:val="00714022"/>
    <w:rsid w:val="00714531"/>
    <w:rsid w:val="0071467B"/>
    <w:rsid w:val="0071470E"/>
    <w:rsid w:val="007150B5"/>
    <w:rsid w:val="007151AD"/>
    <w:rsid w:val="007151E9"/>
    <w:rsid w:val="007153A9"/>
    <w:rsid w:val="00715404"/>
    <w:rsid w:val="00716E15"/>
    <w:rsid w:val="00717008"/>
    <w:rsid w:val="007170F6"/>
    <w:rsid w:val="0071756C"/>
    <w:rsid w:val="00717A44"/>
    <w:rsid w:val="00717AB8"/>
    <w:rsid w:val="00717AD1"/>
    <w:rsid w:val="00717DE5"/>
    <w:rsid w:val="007201E7"/>
    <w:rsid w:val="0072050C"/>
    <w:rsid w:val="0072051F"/>
    <w:rsid w:val="0072068D"/>
    <w:rsid w:val="007209D8"/>
    <w:rsid w:val="00720A22"/>
    <w:rsid w:val="00720B24"/>
    <w:rsid w:val="00720C6B"/>
    <w:rsid w:val="00720C8F"/>
    <w:rsid w:val="0072126E"/>
    <w:rsid w:val="007212F6"/>
    <w:rsid w:val="00721342"/>
    <w:rsid w:val="007213D5"/>
    <w:rsid w:val="0072181B"/>
    <w:rsid w:val="00721D06"/>
    <w:rsid w:val="00721DBE"/>
    <w:rsid w:val="00721F05"/>
    <w:rsid w:val="00721F78"/>
    <w:rsid w:val="007223C9"/>
    <w:rsid w:val="00722794"/>
    <w:rsid w:val="00722BFA"/>
    <w:rsid w:val="00723035"/>
    <w:rsid w:val="007234AC"/>
    <w:rsid w:val="00723763"/>
    <w:rsid w:val="00723C98"/>
    <w:rsid w:val="00724A39"/>
    <w:rsid w:val="00724FE8"/>
    <w:rsid w:val="007254F1"/>
    <w:rsid w:val="0072594E"/>
    <w:rsid w:val="007259B0"/>
    <w:rsid w:val="00725A96"/>
    <w:rsid w:val="00725F8D"/>
    <w:rsid w:val="00726622"/>
    <w:rsid w:val="007267A3"/>
    <w:rsid w:val="00726866"/>
    <w:rsid w:val="00726A34"/>
    <w:rsid w:val="007272B5"/>
    <w:rsid w:val="00727362"/>
    <w:rsid w:val="007277F0"/>
    <w:rsid w:val="007278A6"/>
    <w:rsid w:val="007278C2"/>
    <w:rsid w:val="00727CE5"/>
    <w:rsid w:val="00730032"/>
    <w:rsid w:val="0073005E"/>
    <w:rsid w:val="007302F2"/>
    <w:rsid w:val="00730860"/>
    <w:rsid w:val="00730E40"/>
    <w:rsid w:val="007316E7"/>
    <w:rsid w:val="007319A0"/>
    <w:rsid w:val="00731E10"/>
    <w:rsid w:val="00731E65"/>
    <w:rsid w:val="00732095"/>
    <w:rsid w:val="00732502"/>
    <w:rsid w:val="00732785"/>
    <w:rsid w:val="00732AFD"/>
    <w:rsid w:val="00732C9A"/>
    <w:rsid w:val="00733420"/>
    <w:rsid w:val="0073349C"/>
    <w:rsid w:val="00733520"/>
    <w:rsid w:val="007337AE"/>
    <w:rsid w:val="00733862"/>
    <w:rsid w:val="00733F85"/>
    <w:rsid w:val="007340B0"/>
    <w:rsid w:val="0073423E"/>
    <w:rsid w:val="00734376"/>
    <w:rsid w:val="00734EFD"/>
    <w:rsid w:val="00735106"/>
    <w:rsid w:val="0073570A"/>
    <w:rsid w:val="007364A3"/>
    <w:rsid w:val="0073655F"/>
    <w:rsid w:val="0073695A"/>
    <w:rsid w:val="00736ABE"/>
    <w:rsid w:val="00736C56"/>
    <w:rsid w:val="00736EFC"/>
    <w:rsid w:val="007372FF"/>
    <w:rsid w:val="0073741A"/>
    <w:rsid w:val="00737598"/>
    <w:rsid w:val="00737BC2"/>
    <w:rsid w:val="00740830"/>
    <w:rsid w:val="00740A4C"/>
    <w:rsid w:val="0074121D"/>
    <w:rsid w:val="007413A6"/>
    <w:rsid w:val="007415B6"/>
    <w:rsid w:val="0074194C"/>
    <w:rsid w:val="00741CBE"/>
    <w:rsid w:val="00741ED5"/>
    <w:rsid w:val="00741F73"/>
    <w:rsid w:val="007422EB"/>
    <w:rsid w:val="00743C22"/>
    <w:rsid w:val="00744456"/>
    <w:rsid w:val="0074454A"/>
    <w:rsid w:val="00744615"/>
    <w:rsid w:val="007449D5"/>
    <w:rsid w:val="00744BA8"/>
    <w:rsid w:val="00744C03"/>
    <w:rsid w:val="00744DEF"/>
    <w:rsid w:val="00745A08"/>
    <w:rsid w:val="00745F1E"/>
    <w:rsid w:val="00745FA7"/>
    <w:rsid w:val="0074669F"/>
    <w:rsid w:val="00746774"/>
    <w:rsid w:val="00746860"/>
    <w:rsid w:val="00746C32"/>
    <w:rsid w:val="00746C5B"/>
    <w:rsid w:val="00746E22"/>
    <w:rsid w:val="007471F7"/>
    <w:rsid w:val="00747CF2"/>
    <w:rsid w:val="00747E90"/>
    <w:rsid w:val="0075033B"/>
    <w:rsid w:val="00750C03"/>
    <w:rsid w:val="00750CED"/>
    <w:rsid w:val="00750DF3"/>
    <w:rsid w:val="00751481"/>
    <w:rsid w:val="00751779"/>
    <w:rsid w:val="0075179A"/>
    <w:rsid w:val="007517B0"/>
    <w:rsid w:val="00751E23"/>
    <w:rsid w:val="00752091"/>
    <w:rsid w:val="007521D3"/>
    <w:rsid w:val="0075225C"/>
    <w:rsid w:val="00752391"/>
    <w:rsid w:val="007530EB"/>
    <w:rsid w:val="00753AD6"/>
    <w:rsid w:val="00753AE8"/>
    <w:rsid w:val="00753C32"/>
    <w:rsid w:val="00753C5C"/>
    <w:rsid w:val="00754294"/>
    <w:rsid w:val="00754B6A"/>
    <w:rsid w:val="00754D16"/>
    <w:rsid w:val="00755163"/>
    <w:rsid w:val="00755260"/>
    <w:rsid w:val="00755B8A"/>
    <w:rsid w:val="00755BCA"/>
    <w:rsid w:val="00755D22"/>
    <w:rsid w:val="007561C0"/>
    <w:rsid w:val="007574A5"/>
    <w:rsid w:val="00757EB4"/>
    <w:rsid w:val="00757ECA"/>
    <w:rsid w:val="007600A9"/>
    <w:rsid w:val="00760D84"/>
    <w:rsid w:val="00760DAA"/>
    <w:rsid w:val="00760E57"/>
    <w:rsid w:val="00761299"/>
    <w:rsid w:val="007614A0"/>
    <w:rsid w:val="00761545"/>
    <w:rsid w:val="00761BCE"/>
    <w:rsid w:val="00761F14"/>
    <w:rsid w:val="0076223D"/>
    <w:rsid w:val="007629AF"/>
    <w:rsid w:val="00763CE6"/>
    <w:rsid w:val="00764015"/>
    <w:rsid w:val="00764216"/>
    <w:rsid w:val="0076458E"/>
    <w:rsid w:val="00764B57"/>
    <w:rsid w:val="007654EB"/>
    <w:rsid w:val="00765DDA"/>
    <w:rsid w:val="007661B9"/>
    <w:rsid w:val="007666DE"/>
    <w:rsid w:val="00766BE3"/>
    <w:rsid w:val="00766C68"/>
    <w:rsid w:val="0076768A"/>
    <w:rsid w:val="0076771C"/>
    <w:rsid w:val="007702F5"/>
    <w:rsid w:val="007703FB"/>
    <w:rsid w:val="007705CF"/>
    <w:rsid w:val="007706F9"/>
    <w:rsid w:val="00770869"/>
    <w:rsid w:val="00770C05"/>
    <w:rsid w:val="00770C20"/>
    <w:rsid w:val="00771838"/>
    <w:rsid w:val="007723D8"/>
    <w:rsid w:val="007725AB"/>
    <w:rsid w:val="0077278D"/>
    <w:rsid w:val="007729AB"/>
    <w:rsid w:val="00772E31"/>
    <w:rsid w:val="00773B85"/>
    <w:rsid w:val="00773DF9"/>
    <w:rsid w:val="007741F0"/>
    <w:rsid w:val="007745D9"/>
    <w:rsid w:val="007753AE"/>
    <w:rsid w:val="007756EF"/>
    <w:rsid w:val="00775A5E"/>
    <w:rsid w:val="00775D3E"/>
    <w:rsid w:val="00775F02"/>
    <w:rsid w:val="007762DB"/>
    <w:rsid w:val="007766E5"/>
    <w:rsid w:val="00776E5B"/>
    <w:rsid w:val="00777346"/>
    <w:rsid w:val="007777A4"/>
    <w:rsid w:val="00777B1D"/>
    <w:rsid w:val="00777F06"/>
    <w:rsid w:val="00780020"/>
    <w:rsid w:val="00780784"/>
    <w:rsid w:val="007807F0"/>
    <w:rsid w:val="00780C0E"/>
    <w:rsid w:val="00780C96"/>
    <w:rsid w:val="0078105E"/>
    <w:rsid w:val="00781168"/>
    <w:rsid w:val="00781322"/>
    <w:rsid w:val="00781416"/>
    <w:rsid w:val="007818EC"/>
    <w:rsid w:val="00781CB7"/>
    <w:rsid w:val="00782530"/>
    <w:rsid w:val="00782FB6"/>
    <w:rsid w:val="0078325B"/>
    <w:rsid w:val="007832C7"/>
    <w:rsid w:val="00783556"/>
    <w:rsid w:val="007836B3"/>
    <w:rsid w:val="007836C0"/>
    <w:rsid w:val="00783CCE"/>
    <w:rsid w:val="00783D72"/>
    <w:rsid w:val="007853D0"/>
    <w:rsid w:val="0078545B"/>
    <w:rsid w:val="0078552A"/>
    <w:rsid w:val="00785A6C"/>
    <w:rsid w:val="00786646"/>
    <w:rsid w:val="007867A1"/>
    <w:rsid w:val="00786A28"/>
    <w:rsid w:val="00787DFE"/>
    <w:rsid w:val="00787F8B"/>
    <w:rsid w:val="00787FAC"/>
    <w:rsid w:val="0079022C"/>
    <w:rsid w:val="007904CA"/>
    <w:rsid w:val="007904CD"/>
    <w:rsid w:val="007905CD"/>
    <w:rsid w:val="0079096E"/>
    <w:rsid w:val="00790B3F"/>
    <w:rsid w:val="00790D15"/>
    <w:rsid w:val="00790D43"/>
    <w:rsid w:val="00790E11"/>
    <w:rsid w:val="0079181E"/>
    <w:rsid w:val="0079187A"/>
    <w:rsid w:val="00791E62"/>
    <w:rsid w:val="00791F4E"/>
    <w:rsid w:val="007920C6"/>
    <w:rsid w:val="00793490"/>
    <w:rsid w:val="0079352C"/>
    <w:rsid w:val="007936DE"/>
    <w:rsid w:val="007939EB"/>
    <w:rsid w:val="007942E3"/>
    <w:rsid w:val="007943F2"/>
    <w:rsid w:val="007944A0"/>
    <w:rsid w:val="00794637"/>
    <w:rsid w:val="00794C3A"/>
    <w:rsid w:val="00794D69"/>
    <w:rsid w:val="0079504A"/>
    <w:rsid w:val="007951ED"/>
    <w:rsid w:val="007958C1"/>
    <w:rsid w:val="00795ACE"/>
    <w:rsid w:val="00795ACF"/>
    <w:rsid w:val="0079633C"/>
    <w:rsid w:val="00796468"/>
    <w:rsid w:val="0079660B"/>
    <w:rsid w:val="007967EC"/>
    <w:rsid w:val="00796C45"/>
    <w:rsid w:val="007973CF"/>
    <w:rsid w:val="00797418"/>
    <w:rsid w:val="0079779C"/>
    <w:rsid w:val="00797C63"/>
    <w:rsid w:val="00797D14"/>
    <w:rsid w:val="00797EE9"/>
    <w:rsid w:val="007A032B"/>
    <w:rsid w:val="007A0585"/>
    <w:rsid w:val="007A1530"/>
    <w:rsid w:val="007A16B3"/>
    <w:rsid w:val="007A1C0C"/>
    <w:rsid w:val="007A1D4C"/>
    <w:rsid w:val="007A215A"/>
    <w:rsid w:val="007A2335"/>
    <w:rsid w:val="007A24D7"/>
    <w:rsid w:val="007A2F1D"/>
    <w:rsid w:val="007A3223"/>
    <w:rsid w:val="007A361E"/>
    <w:rsid w:val="007A4328"/>
    <w:rsid w:val="007A46EC"/>
    <w:rsid w:val="007A554E"/>
    <w:rsid w:val="007A59A5"/>
    <w:rsid w:val="007A5B4D"/>
    <w:rsid w:val="007A5CFA"/>
    <w:rsid w:val="007A65B9"/>
    <w:rsid w:val="007A6767"/>
    <w:rsid w:val="007A67B9"/>
    <w:rsid w:val="007A6C7D"/>
    <w:rsid w:val="007A712A"/>
    <w:rsid w:val="007A7F45"/>
    <w:rsid w:val="007B0819"/>
    <w:rsid w:val="007B10E9"/>
    <w:rsid w:val="007B1565"/>
    <w:rsid w:val="007B1658"/>
    <w:rsid w:val="007B1A7D"/>
    <w:rsid w:val="007B1C02"/>
    <w:rsid w:val="007B288E"/>
    <w:rsid w:val="007B28C5"/>
    <w:rsid w:val="007B310F"/>
    <w:rsid w:val="007B33AE"/>
    <w:rsid w:val="007B39F3"/>
    <w:rsid w:val="007B3BEB"/>
    <w:rsid w:val="007B3D22"/>
    <w:rsid w:val="007B400A"/>
    <w:rsid w:val="007B414C"/>
    <w:rsid w:val="007B454F"/>
    <w:rsid w:val="007B4974"/>
    <w:rsid w:val="007B49E3"/>
    <w:rsid w:val="007B4BB8"/>
    <w:rsid w:val="007B5662"/>
    <w:rsid w:val="007B5800"/>
    <w:rsid w:val="007B5999"/>
    <w:rsid w:val="007B59FD"/>
    <w:rsid w:val="007B5A34"/>
    <w:rsid w:val="007B6013"/>
    <w:rsid w:val="007B6649"/>
    <w:rsid w:val="007B699D"/>
    <w:rsid w:val="007B6B5F"/>
    <w:rsid w:val="007B6D92"/>
    <w:rsid w:val="007B79B3"/>
    <w:rsid w:val="007C006E"/>
    <w:rsid w:val="007C0727"/>
    <w:rsid w:val="007C0855"/>
    <w:rsid w:val="007C0E94"/>
    <w:rsid w:val="007C1419"/>
    <w:rsid w:val="007C17D6"/>
    <w:rsid w:val="007C19E5"/>
    <w:rsid w:val="007C2632"/>
    <w:rsid w:val="007C2F7E"/>
    <w:rsid w:val="007C31F1"/>
    <w:rsid w:val="007C3607"/>
    <w:rsid w:val="007C3763"/>
    <w:rsid w:val="007C3A89"/>
    <w:rsid w:val="007C47DA"/>
    <w:rsid w:val="007C5544"/>
    <w:rsid w:val="007C5AFC"/>
    <w:rsid w:val="007C5F85"/>
    <w:rsid w:val="007C626F"/>
    <w:rsid w:val="007C684F"/>
    <w:rsid w:val="007C6A9E"/>
    <w:rsid w:val="007C6E23"/>
    <w:rsid w:val="007C7BC0"/>
    <w:rsid w:val="007C7C61"/>
    <w:rsid w:val="007D0BD9"/>
    <w:rsid w:val="007D0C92"/>
    <w:rsid w:val="007D148F"/>
    <w:rsid w:val="007D1F61"/>
    <w:rsid w:val="007D2112"/>
    <w:rsid w:val="007D24C4"/>
    <w:rsid w:val="007D26C0"/>
    <w:rsid w:val="007D29B9"/>
    <w:rsid w:val="007D2AC6"/>
    <w:rsid w:val="007D2B12"/>
    <w:rsid w:val="007D2E8F"/>
    <w:rsid w:val="007D41D3"/>
    <w:rsid w:val="007D425B"/>
    <w:rsid w:val="007D490D"/>
    <w:rsid w:val="007D496B"/>
    <w:rsid w:val="007D4A3B"/>
    <w:rsid w:val="007D5076"/>
    <w:rsid w:val="007D5F73"/>
    <w:rsid w:val="007D6123"/>
    <w:rsid w:val="007D6430"/>
    <w:rsid w:val="007D690B"/>
    <w:rsid w:val="007D6927"/>
    <w:rsid w:val="007D77FC"/>
    <w:rsid w:val="007E0269"/>
    <w:rsid w:val="007E04C5"/>
    <w:rsid w:val="007E0BE1"/>
    <w:rsid w:val="007E0C1E"/>
    <w:rsid w:val="007E1074"/>
    <w:rsid w:val="007E149E"/>
    <w:rsid w:val="007E19BE"/>
    <w:rsid w:val="007E1AE0"/>
    <w:rsid w:val="007E1DB8"/>
    <w:rsid w:val="007E221F"/>
    <w:rsid w:val="007E24CB"/>
    <w:rsid w:val="007E26A0"/>
    <w:rsid w:val="007E2959"/>
    <w:rsid w:val="007E2A5B"/>
    <w:rsid w:val="007E2F6F"/>
    <w:rsid w:val="007E3010"/>
    <w:rsid w:val="007E3185"/>
    <w:rsid w:val="007E33D4"/>
    <w:rsid w:val="007E3903"/>
    <w:rsid w:val="007E42A0"/>
    <w:rsid w:val="007E4E83"/>
    <w:rsid w:val="007E57B3"/>
    <w:rsid w:val="007E5830"/>
    <w:rsid w:val="007E5BF0"/>
    <w:rsid w:val="007E5E17"/>
    <w:rsid w:val="007E5EA1"/>
    <w:rsid w:val="007E5EE6"/>
    <w:rsid w:val="007E68F9"/>
    <w:rsid w:val="007E6ED9"/>
    <w:rsid w:val="007E7042"/>
    <w:rsid w:val="007E791B"/>
    <w:rsid w:val="007E7C37"/>
    <w:rsid w:val="007F0077"/>
    <w:rsid w:val="007F04CC"/>
    <w:rsid w:val="007F05EC"/>
    <w:rsid w:val="007F0874"/>
    <w:rsid w:val="007F0B0D"/>
    <w:rsid w:val="007F0F7D"/>
    <w:rsid w:val="007F115A"/>
    <w:rsid w:val="007F14E0"/>
    <w:rsid w:val="007F1657"/>
    <w:rsid w:val="007F1660"/>
    <w:rsid w:val="007F170F"/>
    <w:rsid w:val="007F1F88"/>
    <w:rsid w:val="007F2A71"/>
    <w:rsid w:val="007F2A96"/>
    <w:rsid w:val="007F2B54"/>
    <w:rsid w:val="007F2C03"/>
    <w:rsid w:val="007F2C34"/>
    <w:rsid w:val="007F2EB0"/>
    <w:rsid w:val="007F2FC9"/>
    <w:rsid w:val="007F315A"/>
    <w:rsid w:val="007F3231"/>
    <w:rsid w:val="007F368D"/>
    <w:rsid w:val="007F3770"/>
    <w:rsid w:val="007F38A2"/>
    <w:rsid w:val="007F398B"/>
    <w:rsid w:val="007F3C6C"/>
    <w:rsid w:val="007F46E1"/>
    <w:rsid w:val="007F5289"/>
    <w:rsid w:val="007F5313"/>
    <w:rsid w:val="007F565F"/>
    <w:rsid w:val="007F572F"/>
    <w:rsid w:val="007F598B"/>
    <w:rsid w:val="007F633D"/>
    <w:rsid w:val="007F76F5"/>
    <w:rsid w:val="007F78D5"/>
    <w:rsid w:val="007F7AFB"/>
    <w:rsid w:val="007F7EC2"/>
    <w:rsid w:val="00800614"/>
    <w:rsid w:val="00800BAA"/>
    <w:rsid w:val="00800CA1"/>
    <w:rsid w:val="00800EB6"/>
    <w:rsid w:val="0080100A"/>
    <w:rsid w:val="008014D7"/>
    <w:rsid w:val="0080246A"/>
    <w:rsid w:val="0080260C"/>
    <w:rsid w:val="00802958"/>
    <w:rsid w:val="00802C4F"/>
    <w:rsid w:val="0080368F"/>
    <w:rsid w:val="00804087"/>
    <w:rsid w:val="0080436B"/>
    <w:rsid w:val="008045D9"/>
    <w:rsid w:val="00804885"/>
    <w:rsid w:val="00804CA3"/>
    <w:rsid w:val="00804F79"/>
    <w:rsid w:val="00804FEA"/>
    <w:rsid w:val="0080622C"/>
    <w:rsid w:val="008062BB"/>
    <w:rsid w:val="00806C3A"/>
    <w:rsid w:val="00806C87"/>
    <w:rsid w:val="00806CBB"/>
    <w:rsid w:val="00807936"/>
    <w:rsid w:val="00807A3F"/>
    <w:rsid w:val="00807B47"/>
    <w:rsid w:val="00810A02"/>
    <w:rsid w:val="00810DC3"/>
    <w:rsid w:val="00811730"/>
    <w:rsid w:val="00811BB1"/>
    <w:rsid w:val="00811FA4"/>
    <w:rsid w:val="008121CD"/>
    <w:rsid w:val="0081260E"/>
    <w:rsid w:val="008126F1"/>
    <w:rsid w:val="00812920"/>
    <w:rsid w:val="0081306F"/>
    <w:rsid w:val="00813203"/>
    <w:rsid w:val="00814243"/>
    <w:rsid w:val="00814253"/>
    <w:rsid w:val="00814604"/>
    <w:rsid w:val="00814E64"/>
    <w:rsid w:val="008153C5"/>
    <w:rsid w:val="008158F3"/>
    <w:rsid w:val="00815E7B"/>
    <w:rsid w:val="008167E3"/>
    <w:rsid w:val="00816A8E"/>
    <w:rsid w:val="00816AD0"/>
    <w:rsid w:val="00816BB9"/>
    <w:rsid w:val="00816EC5"/>
    <w:rsid w:val="0081785C"/>
    <w:rsid w:val="008179CA"/>
    <w:rsid w:val="00817C2D"/>
    <w:rsid w:val="00817F15"/>
    <w:rsid w:val="00820D88"/>
    <w:rsid w:val="00820E05"/>
    <w:rsid w:val="00821051"/>
    <w:rsid w:val="008210E3"/>
    <w:rsid w:val="008219E4"/>
    <w:rsid w:val="00821F29"/>
    <w:rsid w:val="00821F64"/>
    <w:rsid w:val="0082296A"/>
    <w:rsid w:val="00822E90"/>
    <w:rsid w:val="00822F2C"/>
    <w:rsid w:val="008233F4"/>
    <w:rsid w:val="008235B1"/>
    <w:rsid w:val="00824161"/>
    <w:rsid w:val="0082426E"/>
    <w:rsid w:val="00824427"/>
    <w:rsid w:val="0082448E"/>
    <w:rsid w:val="008249DF"/>
    <w:rsid w:val="00824CEA"/>
    <w:rsid w:val="008250BD"/>
    <w:rsid w:val="00825558"/>
    <w:rsid w:val="00825B82"/>
    <w:rsid w:val="00825F9A"/>
    <w:rsid w:val="00825FE2"/>
    <w:rsid w:val="00826280"/>
    <w:rsid w:val="008264C7"/>
    <w:rsid w:val="0082668B"/>
    <w:rsid w:val="008266E0"/>
    <w:rsid w:val="0082763A"/>
    <w:rsid w:val="008276AE"/>
    <w:rsid w:val="0083017B"/>
    <w:rsid w:val="00830226"/>
    <w:rsid w:val="00830AA8"/>
    <w:rsid w:val="00831202"/>
    <w:rsid w:val="0083151D"/>
    <w:rsid w:val="0083163A"/>
    <w:rsid w:val="00832113"/>
    <w:rsid w:val="00832379"/>
    <w:rsid w:val="00832400"/>
    <w:rsid w:val="00832935"/>
    <w:rsid w:val="0083357F"/>
    <w:rsid w:val="00833EAA"/>
    <w:rsid w:val="00834BAF"/>
    <w:rsid w:val="00834DEA"/>
    <w:rsid w:val="00834E9C"/>
    <w:rsid w:val="008350CC"/>
    <w:rsid w:val="008358AB"/>
    <w:rsid w:val="00835B27"/>
    <w:rsid w:val="00835CB4"/>
    <w:rsid w:val="00836295"/>
    <w:rsid w:val="00836D53"/>
    <w:rsid w:val="00836F4F"/>
    <w:rsid w:val="008370BA"/>
    <w:rsid w:val="00837A00"/>
    <w:rsid w:val="00840409"/>
    <w:rsid w:val="0084077E"/>
    <w:rsid w:val="008407CD"/>
    <w:rsid w:val="008415F7"/>
    <w:rsid w:val="00841617"/>
    <w:rsid w:val="00841CD6"/>
    <w:rsid w:val="00842198"/>
    <w:rsid w:val="0084232B"/>
    <w:rsid w:val="00842C71"/>
    <w:rsid w:val="00843330"/>
    <w:rsid w:val="00843397"/>
    <w:rsid w:val="008433FD"/>
    <w:rsid w:val="00843982"/>
    <w:rsid w:val="00843B07"/>
    <w:rsid w:val="00843F4F"/>
    <w:rsid w:val="00844947"/>
    <w:rsid w:val="00844D5B"/>
    <w:rsid w:val="00844EEA"/>
    <w:rsid w:val="00844EFB"/>
    <w:rsid w:val="00845658"/>
    <w:rsid w:val="00845ABC"/>
    <w:rsid w:val="00846858"/>
    <w:rsid w:val="00846AF8"/>
    <w:rsid w:val="00846C8E"/>
    <w:rsid w:val="00846F92"/>
    <w:rsid w:val="0084717F"/>
    <w:rsid w:val="00847AE5"/>
    <w:rsid w:val="00847E85"/>
    <w:rsid w:val="008502AB"/>
    <w:rsid w:val="00850419"/>
    <w:rsid w:val="008514A8"/>
    <w:rsid w:val="008514C8"/>
    <w:rsid w:val="00851573"/>
    <w:rsid w:val="00851801"/>
    <w:rsid w:val="0085195E"/>
    <w:rsid w:val="0085199F"/>
    <w:rsid w:val="00851B95"/>
    <w:rsid w:val="00851D68"/>
    <w:rsid w:val="00851FE7"/>
    <w:rsid w:val="008525C2"/>
    <w:rsid w:val="0085270B"/>
    <w:rsid w:val="00852F46"/>
    <w:rsid w:val="00853E8A"/>
    <w:rsid w:val="008543CA"/>
    <w:rsid w:val="00854973"/>
    <w:rsid w:val="00854A1A"/>
    <w:rsid w:val="008553A2"/>
    <w:rsid w:val="008557D3"/>
    <w:rsid w:val="00855B28"/>
    <w:rsid w:val="00855C4B"/>
    <w:rsid w:val="00855D9A"/>
    <w:rsid w:val="00855E33"/>
    <w:rsid w:val="00856143"/>
    <w:rsid w:val="00856437"/>
    <w:rsid w:val="00856C3E"/>
    <w:rsid w:val="00856CA7"/>
    <w:rsid w:val="00856D80"/>
    <w:rsid w:val="00856D97"/>
    <w:rsid w:val="0085702B"/>
    <w:rsid w:val="0085714A"/>
    <w:rsid w:val="00857BF5"/>
    <w:rsid w:val="0086040D"/>
    <w:rsid w:val="0086046A"/>
    <w:rsid w:val="0086054B"/>
    <w:rsid w:val="0086074F"/>
    <w:rsid w:val="008609FD"/>
    <w:rsid w:val="00861E26"/>
    <w:rsid w:val="0086279F"/>
    <w:rsid w:val="00862F27"/>
    <w:rsid w:val="00863418"/>
    <w:rsid w:val="0086407B"/>
    <w:rsid w:val="00864390"/>
    <w:rsid w:val="00864B9D"/>
    <w:rsid w:val="008652FA"/>
    <w:rsid w:val="008654B2"/>
    <w:rsid w:val="00865525"/>
    <w:rsid w:val="008659B9"/>
    <w:rsid w:val="00865A8A"/>
    <w:rsid w:val="00865BBE"/>
    <w:rsid w:val="00865FB4"/>
    <w:rsid w:val="00866796"/>
    <w:rsid w:val="00866B90"/>
    <w:rsid w:val="00866CC9"/>
    <w:rsid w:val="00866D01"/>
    <w:rsid w:val="00866D6B"/>
    <w:rsid w:val="00867117"/>
    <w:rsid w:val="008672D0"/>
    <w:rsid w:val="00867729"/>
    <w:rsid w:val="0087016A"/>
    <w:rsid w:val="00870478"/>
    <w:rsid w:val="00871106"/>
    <w:rsid w:val="00871E79"/>
    <w:rsid w:val="008722C5"/>
    <w:rsid w:val="008724D9"/>
    <w:rsid w:val="00872ADB"/>
    <w:rsid w:val="00872EBB"/>
    <w:rsid w:val="008732BA"/>
    <w:rsid w:val="0087373D"/>
    <w:rsid w:val="008742F7"/>
    <w:rsid w:val="00874F2D"/>
    <w:rsid w:val="008752A4"/>
    <w:rsid w:val="00875404"/>
    <w:rsid w:val="00875CA3"/>
    <w:rsid w:val="00875CE3"/>
    <w:rsid w:val="0087613F"/>
    <w:rsid w:val="008761BD"/>
    <w:rsid w:val="008761ED"/>
    <w:rsid w:val="008764F0"/>
    <w:rsid w:val="00876790"/>
    <w:rsid w:val="00876E06"/>
    <w:rsid w:val="0087729B"/>
    <w:rsid w:val="00877B23"/>
    <w:rsid w:val="00877D1C"/>
    <w:rsid w:val="0088004A"/>
    <w:rsid w:val="008807B3"/>
    <w:rsid w:val="00880993"/>
    <w:rsid w:val="008809D5"/>
    <w:rsid w:val="00880BDD"/>
    <w:rsid w:val="008811CE"/>
    <w:rsid w:val="00881F0A"/>
    <w:rsid w:val="008821AD"/>
    <w:rsid w:val="00882E78"/>
    <w:rsid w:val="00883483"/>
    <w:rsid w:val="00883872"/>
    <w:rsid w:val="00883FAA"/>
    <w:rsid w:val="00884421"/>
    <w:rsid w:val="00884A01"/>
    <w:rsid w:val="00884A1F"/>
    <w:rsid w:val="008859F6"/>
    <w:rsid w:val="00885C59"/>
    <w:rsid w:val="00885CA6"/>
    <w:rsid w:val="008860DE"/>
    <w:rsid w:val="008863CF"/>
    <w:rsid w:val="00886F7F"/>
    <w:rsid w:val="00887067"/>
    <w:rsid w:val="00887314"/>
    <w:rsid w:val="0088762A"/>
    <w:rsid w:val="0088775C"/>
    <w:rsid w:val="00890349"/>
    <w:rsid w:val="00890518"/>
    <w:rsid w:val="008910D5"/>
    <w:rsid w:val="00891CE7"/>
    <w:rsid w:val="00891E1E"/>
    <w:rsid w:val="0089268D"/>
    <w:rsid w:val="00892834"/>
    <w:rsid w:val="00892A76"/>
    <w:rsid w:val="00892D73"/>
    <w:rsid w:val="00892FCB"/>
    <w:rsid w:val="00893202"/>
    <w:rsid w:val="0089411D"/>
    <w:rsid w:val="0089414C"/>
    <w:rsid w:val="008942BF"/>
    <w:rsid w:val="00894476"/>
    <w:rsid w:val="00894D14"/>
    <w:rsid w:val="0089522D"/>
    <w:rsid w:val="0089557A"/>
    <w:rsid w:val="00895978"/>
    <w:rsid w:val="00895EA6"/>
    <w:rsid w:val="008963E2"/>
    <w:rsid w:val="0089692B"/>
    <w:rsid w:val="00897092"/>
    <w:rsid w:val="008970BA"/>
    <w:rsid w:val="008972D7"/>
    <w:rsid w:val="0089782B"/>
    <w:rsid w:val="00897B05"/>
    <w:rsid w:val="00897F00"/>
    <w:rsid w:val="008A02F4"/>
    <w:rsid w:val="008A0329"/>
    <w:rsid w:val="008A09AB"/>
    <w:rsid w:val="008A0A65"/>
    <w:rsid w:val="008A0BDB"/>
    <w:rsid w:val="008A0E40"/>
    <w:rsid w:val="008A1764"/>
    <w:rsid w:val="008A17CC"/>
    <w:rsid w:val="008A2252"/>
    <w:rsid w:val="008A2714"/>
    <w:rsid w:val="008A29C3"/>
    <w:rsid w:val="008A3200"/>
    <w:rsid w:val="008A32A2"/>
    <w:rsid w:val="008A3341"/>
    <w:rsid w:val="008A3363"/>
    <w:rsid w:val="008A33DC"/>
    <w:rsid w:val="008A373A"/>
    <w:rsid w:val="008A3F4F"/>
    <w:rsid w:val="008A41BC"/>
    <w:rsid w:val="008A4FF5"/>
    <w:rsid w:val="008A57A1"/>
    <w:rsid w:val="008A6195"/>
    <w:rsid w:val="008A72FC"/>
    <w:rsid w:val="008A763F"/>
    <w:rsid w:val="008B01F5"/>
    <w:rsid w:val="008B05D9"/>
    <w:rsid w:val="008B0A88"/>
    <w:rsid w:val="008B0B41"/>
    <w:rsid w:val="008B0D74"/>
    <w:rsid w:val="008B1547"/>
    <w:rsid w:val="008B1DEA"/>
    <w:rsid w:val="008B1E73"/>
    <w:rsid w:val="008B2102"/>
    <w:rsid w:val="008B25EC"/>
    <w:rsid w:val="008B2C7F"/>
    <w:rsid w:val="008B2EFD"/>
    <w:rsid w:val="008B2F1F"/>
    <w:rsid w:val="008B358D"/>
    <w:rsid w:val="008B36EF"/>
    <w:rsid w:val="008B3859"/>
    <w:rsid w:val="008B3A70"/>
    <w:rsid w:val="008B3FC6"/>
    <w:rsid w:val="008B4F57"/>
    <w:rsid w:val="008B4FB9"/>
    <w:rsid w:val="008B506B"/>
    <w:rsid w:val="008B5A65"/>
    <w:rsid w:val="008B5AFB"/>
    <w:rsid w:val="008B5E9A"/>
    <w:rsid w:val="008B6349"/>
    <w:rsid w:val="008B64C6"/>
    <w:rsid w:val="008B6E07"/>
    <w:rsid w:val="008B7081"/>
    <w:rsid w:val="008B72AE"/>
    <w:rsid w:val="008B732B"/>
    <w:rsid w:val="008B7594"/>
    <w:rsid w:val="008B7DED"/>
    <w:rsid w:val="008C00FE"/>
    <w:rsid w:val="008C0A26"/>
    <w:rsid w:val="008C1C8C"/>
    <w:rsid w:val="008C1EDC"/>
    <w:rsid w:val="008C2D8A"/>
    <w:rsid w:val="008C305B"/>
    <w:rsid w:val="008C32F7"/>
    <w:rsid w:val="008C3568"/>
    <w:rsid w:val="008C3965"/>
    <w:rsid w:val="008C39BA"/>
    <w:rsid w:val="008C3CF7"/>
    <w:rsid w:val="008C430C"/>
    <w:rsid w:val="008C45A1"/>
    <w:rsid w:val="008C56A5"/>
    <w:rsid w:val="008C570B"/>
    <w:rsid w:val="008C5AC3"/>
    <w:rsid w:val="008C5DFA"/>
    <w:rsid w:val="008C65B6"/>
    <w:rsid w:val="008C68FC"/>
    <w:rsid w:val="008C6BE1"/>
    <w:rsid w:val="008C6C56"/>
    <w:rsid w:val="008C732D"/>
    <w:rsid w:val="008C7473"/>
    <w:rsid w:val="008C7754"/>
    <w:rsid w:val="008C7A93"/>
    <w:rsid w:val="008C7B8F"/>
    <w:rsid w:val="008C7C3D"/>
    <w:rsid w:val="008C7D3E"/>
    <w:rsid w:val="008D0365"/>
    <w:rsid w:val="008D040E"/>
    <w:rsid w:val="008D09D1"/>
    <w:rsid w:val="008D2A73"/>
    <w:rsid w:val="008D3181"/>
    <w:rsid w:val="008D3378"/>
    <w:rsid w:val="008D338B"/>
    <w:rsid w:val="008D395C"/>
    <w:rsid w:val="008D3EA7"/>
    <w:rsid w:val="008D468F"/>
    <w:rsid w:val="008D474B"/>
    <w:rsid w:val="008D5866"/>
    <w:rsid w:val="008D5B81"/>
    <w:rsid w:val="008D5BD4"/>
    <w:rsid w:val="008D5D7F"/>
    <w:rsid w:val="008D5EA0"/>
    <w:rsid w:val="008D630F"/>
    <w:rsid w:val="008D64E5"/>
    <w:rsid w:val="008D6BA9"/>
    <w:rsid w:val="008D6DC9"/>
    <w:rsid w:val="008D7BF0"/>
    <w:rsid w:val="008D7D1E"/>
    <w:rsid w:val="008E05AA"/>
    <w:rsid w:val="008E0939"/>
    <w:rsid w:val="008E0C1B"/>
    <w:rsid w:val="008E1375"/>
    <w:rsid w:val="008E15AC"/>
    <w:rsid w:val="008E15ED"/>
    <w:rsid w:val="008E167C"/>
    <w:rsid w:val="008E1E63"/>
    <w:rsid w:val="008E222B"/>
    <w:rsid w:val="008E2BC3"/>
    <w:rsid w:val="008E2F72"/>
    <w:rsid w:val="008E3001"/>
    <w:rsid w:val="008E329D"/>
    <w:rsid w:val="008E32B2"/>
    <w:rsid w:val="008E36FF"/>
    <w:rsid w:val="008E3A10"/>
    <w:rsid w:val="008E3F60"/>
    <w:rsid w:val="008E409F"/>
    <w:rsid w:val="008E412B"/>
    <w:rsid w:val="008E4974"/>
    <w:rsid w:val="008E53CA"/>
    <w:rsid w:val="008E5473"/>
    <w:rsid w:val="008E5525"/>
    <w:rsid w:val="008E6BAC"/>
    <w:rsid w:val="008E6EA5"/>
    <w:rsid w:val="008E7A99"/>
    <w:rsid w:val="008E7BAF"/>
    <w:rsid w:val="008F04FF"/>
    <w:rsid w:val="008F1371"/>
    <w:rsid w:val="008F159A"/>
    <w:rsid w:val="008F203F"/>
    <w:rsid w:val="008F27DB"/>
    <w:rsid w:val="008F2C52"/>
    <w:rsid w:val="008F3692"/>
    <w:rsid w:val="008F3759"/>
    <w:rsid w:val="008F3E00"/>
    <w:rsid w:val="008F3E31"/>
    <w:rsid w:val="008F404C"/>
    <w:rsid w:val="008F47E0"/>
    <w:rsid w:val="008F495E"/>
    <w:rsid w:val="008F4E1C"/>
    <w:rsid w:val="008F5348"/>
    <w:rsid w:val="008F56F7"/>
    <w:rsid w:val="008F57FC"/>
    <w:rsid w:val="008F58EF"/>
    <w:rsid w:val="008F5BF6"/>
    <w:rsid w:val="008F5DD6"/>
    <w:rsid w:val="008F5E3A"/>
    <w:rsid w:val="008F6054"/>
    <w:rsid w:val="008F638D"/>
    <w:rsid w:val="008F63AD"/>
    <w:rsid w:val="008F6455"/>
    <w:rsid w:val="008F7451"/>
    <w:rsid w:val="008F7A98"/>
    <w:rsid w:val="008F7DCF"/>
    <w:rsid w:val="009000A2"/>
    <w:rsid w:val="00900DE4"/>
    <w:rsid w:val="00900E50"/>
    <w:rsid w:val="009011F7"/>
    <w:rsid w:val="00901D92"/>
    <w:rsid w:val="00902709"/>
    <w:rsid w:val="00902730"/>
    <w:rsid w:val="0090295A"/>
    <w:rsid w:val="00902B56"/>
    <w:rsid w:val="00902F52"/>
    <w:rsid w:val="0090319E"/>
    <w:rsid w:val="009031BF"/>
    <w:rsid w:val="009032CD"/>
    <w:rsid w:val="00903454"/>
    <w:rsid w:val="00903D93"/>
    <w:rsid w:val="00903EDD"/>
    <w:rsid w:val="009042A9"/>
    <w:rsid w:val="009048C9"/>
    <w:rsid w:val="009048EE"/>
    <w:rsid w:val="00904BE6"/>
    <w:rsid w:val="00904F23"/>
    <w:rsid w:val="0090555B"/>
    <w:rsid w:val="00905ADB"/>
    <w:rsid w:val="00905FF2"/>
    <w:rsid w:val="00906167"/>
    <w:rsid w:val="009065B8"/>
    <w:rsid w:val="009067E5"/>
    <w:rsid w:val="009068BA"/>
    <w:rsid w:val="009069A0"/>
    <w:rsid w:val="00906B73"/>
    <w:rsid w:val="00906C16"/>
    <w:rsid w:val="00906C93"/>
    <w:rsid w:val="009077D8"/>
    <w:rsid w:val="0090788F"/>
    <w:rsid w:val="00907931"/>
    <w:rsid w:val="00907E1C"/>
    <w:rsid w:val="009105E5"/>
    <w:rsid w:val="009106EC"/>
    <w:rsid w:val="009115F3"/>
    <w:rsid w:val="009117DD"/>
    <w:rsid w:val="00911B62"/>
    <w:rsid w:val="00911E94"/>
    <w:rsid w:val="0091239C"/>
    <w:rsid w:val="00912A7D"/>
    <w:rsid w:val="00912A8B"/>
    <w:rsid w:val="00912F56"/>
    <w:rsid w:val="0091303C"/>
    <w:rsid w:val="00913160"/>
    <w:rsid w:val="00913475"/>
    <w:rsid w:val="009137EC"/>
    <w:rsid w:val="00913A58"/>
    <w:rsid w:val="00914178"/>
    <w:rsid w:val="009141D2"/>
    <w:rsid w:val="009148AC"/>
    <w:rsid w:val="009150BC"/>
    <w:rsid w:val="0091521B"/>
    <w:rsid w:val="00915C67"/>
    <w:rsid w:val="00916101"/>
    <w:rsid w:val="0091619A"/>
    <w:rsid w:val="00916333"/>
    <w:rsid w:val="0091633E"/>
    <w:rsid w:val="009164D6"/>
    <w:rsid w:val="00916A4D"/>
    <w:rsid w:val="00916E43"/>
    <w:rsid w:val="00917524"/>
    <w:rsid w:val="00917A60"/>
    <w:rsid w:val="00917ADF"/>
    <w:rsid w:val="00920253"/>
    <w:rsid w:val="0092036F"/>
    <w:rsid w:val="00920AB6"/>
    <w:rsid w:val="009218B2"/>
    <w:rsid w:val="00922060"/>
    <w:rsid w:val="00922522"/>
    <w:rsid w:val="00922A51"/>
    <w:rsid w:val="00922B3F"/>
    <w:rsid w:val="00923051"/>
    <w:rsid w:val="0092315A"/>
    <w:rsid w:val="0092323C"/>
    <w:rsid w:val="009232CC"/>
    <w:rsid w:val="009233CE"/>
    <w:rsid w:val="00923587"/>
    <w:rsid w:val="00923752"/>
    <w:rsid w:val="00923B3A"/>
    <w:rsid w:val="00923D9E"/>
    <w:rsid w:val="00924061"/>
    <w:rsid w:val="00924AE4"/>
    <w:rsid w:val="00924B64"/>
    <w:rsid w:val="0092517E"/>
    <w:rsid w:val="0092524C"/>
    <w:rsid w:val="0092525F"/>
    <w:rsid w:val="00925386"/>
    <w:rsid w:val="0092575B"/>
    <w:rsid w:val="009258E0"/>
    <w:rsid w:val="00925CD8"/>
    <w:rsid w:val="00926378"/>
    <w:rsid w:val="009270FB"/>
    <w:rsid w:val="009275B6"/>
    <w:rsid w:val="009279F1"/>
    <w:rsid w:val="00930815"/>
    <w:rsid w:val="00931108"/>
    <w:rsid w:val="00931184"/>
    <w:rsid w:val="0093193E"/>
    <w:rsid w:val="00931ECB"/>
    <w:rsid w:val="00931F37"/>
    <w:rsid w:val="0093230F"/>
    <w:rsid w:val="009323E2"/>
    <w:rsid w:val="0093257F"/>
    <w:rsid w:val="00932A8F"/>
    <w:rsid w:val="00932AED"/>
    <w:rsid w:val="00932BB6"/>
    <w:rsid w:val="009334BD"/>
    <w:rsid w:val="0093352E"/>
    <w:rsid w:val="00933A60"/>
    <w:rsid w:val="009343AC"/>
    <w:rsid w:val="00934570"/>
    <w:rsid w:val="00934AC3"/>
    <w:rsid w:val="00934C31"/>
    <w:rsid w:val="00934E86"/>
    <w:rsid w:val="00935355"/>
    <w:rsid w:val="0093576E"/>
    <w:rsid w:val="0093583A"/>
    <w:rsid w:val="00935944"/>
    <w:rsid w:val="00935ED0"/>
    <w:rsid w:val="009360CB"/>
    <w:rsid w:val="009369A3"/>
    <w:rsid w:val="00937106"/>
    <w:rsid w:val="00940254"/>
    <w:rsid w:val="009404C6"/>
    <w:rsid w:val="009407B2"/>
    <w:rsid w:val="00940D7D"/>
    <w:rsid w:val="00940F85"/>
    <w:rsid w:val="0094163A"/>
    <w:rsid w:val="00942084"/>
    <w:rsid w:val="0094213B"/>
    <w:rsid w:val="00942321"/>
    <w:rsid w:val="00942C78"/>
    <w:rsid w:val="00943198"/>
    <w:rsid w:val="0094391C"/>
    <w:rsid w:val="00943AF6"/>
    <w:rsid w:val="0094459A"/>
    <w:rsid w:val="00944704"/>
    <w:rsid w:val="0094508D"/>
    <w:rsid w:val="009451FA"/>
    <w:rsid w:val="00945573"/>
    <w:rsid w:val="00945C62"/>
    <w:rsid w:val="00945C85"/>
    <w:rsid w:val="009460F2"/>
    <w:rsid w:val="00946432"/>
    <w:rsid w:val="00946675"/>
    <w:rsid w:val="00946CA7"/>
    <w:rsid w:val="00947AC4"/>
    <w:rsid w:val="00947D5E"/>
    <w:rsid w:val="0095022F"/>
    <w:rsid w:val="00950248"/>
    <w:rsid w:val="00950CC3"/>
    <w:rsid w:val="00950D95"/>
    <w:rsid w:val="009514A1"/>
    <w:rsid w:val="00951729"/>
    <w:rsid w:val="00951D43"/>
    <w:rsid w:val="0095268A"/>
    <w:rsid w:val="00952A89"/>
    <w:rsid w:val="00952FAB"/>
    <w:rsid w:val="00953651"/>
    <w:rsid w:val="00953A33"/>
    <w:rsid w:val="00953B70"/>
    <w:rsid w:val="00953CE9"/>
    <w:rsid w:val="00953FEF"/>
    <w:rsid w:val="00954935"/>
    <w:rsid w:val="00954B8B"/>
    <w:rsid w:val="00954E3E"/>
    <w:rsid w:val="00954F45"/>
    <w:rsid w:val="00955402"/>
    <w:rsid w:val="00955A2E"/>
    <w:rsid w:val="00955E84"/>
    <w:rsid w:val="00955F25"/>
    <w:rsid w:val="0095609F"/>
    <w:rsid w:val="009564BD"/>
    <w:rsid w:val="00956745"/>
    <w:rsid w:val="0095676C"/>
    <w:rsid w:val="00956FD2"/>
    <w:rsid w:val="009570B5"/>
    <w:rsid w:val="00957EB2"/>
    <w:rsid w:val="00957FB0"/>
    <w:rsid w:val="009601B4"/>
    <w:rsid w:val="00960F33"/>
    <w:rsid w:val="009615CB"/>
    <w:rsid w:val="009617E5"/>
    <w:rsid w:val="00961A01"/>
    <w:rsid w:val="00961AFC"/>
    <w:rsid w:val="00961CBA"/>
    <w:rsid w:val="00961FEC"/>
    <w:rsid w:val="009622A9"/>
    <w:rsid w:val="00962338"/>
    <w:rsid w:val="0096295F"/>
    <w:rsid w:val="00962C45"/>
    <w:rsid w:val="0096316B"/>
    <w:rsid w:val="00963BBD"/>
    <w:rsid w:val="00963C2F"/>
    <w:rsid w:val="00963F08"/>
    <w:rsid w:val="009643D5"/>
    <w:rsid w:val="0096466D"/>
    <w:rsid w:val="0096498C"/>
    <w:rsid w:val="009650ED"/>
    <w:rsid w:val="0096552E"/>
    <w:rsid w:val="00965736"/>
    <w:rsid w:val="0096582F"/>
    <w:rsid w:val="00965D6F"/>
    <w:rsid w:val="00966762"/>
    <w:rsid w:val="00966847"/>
    <w:rsid w:val="00966877"/>
    <w:rsid w:val="00966AA6"/>
    <w:rsid w:val="00966ABB"/>
    <w:rsid w:val="00966BF3"/>
    <w:rsid w:val="00966DC0"/>
    <w:rsid w:val="00966ED2"/>
    <w:rsid w:val="00966FA2"/>
    <w:rsid w:val="009670FA"/>
    <w:rsid w:val="0096790E"/>
    <w:rsid w:val="00967C10"/>
    <w:rsid w:val="009700A6"/>
    <w:rsid w:val="00970788"/>
    <w:rsid w:val="009707E4"/>
    <w:rsid w:val="00970A9A"/>
    <w:rsid w:val="00970E9A"/>
    <w:rsid w:val="00970EBB"/>
    <w:rsid w:val="00971454"/>
    <w:rsid w:val="009714E1"/>
    <w:rsid w:val="009717A7"/>
    <w:rsid w:val="00971871"/>
    <w:rsid w:val="00971AFF"/>
    <w:rsid w:val="00971E66"/>
    <w:rsid w:val="00972230"/>
    <w:rsid w:val="00972FC3"/>
    <w:rsid w:val="0097360C"/>
    <w:rsid w:val="00973AC6"/>
    <w:rsid w:val="00973ADD"/>
    <w:rsid w:val="00973D52"/>
    <w:rsid w:val="009740F5"/>
    <w:rsid w:val="00974D1D"/>
    <w:rsid w:val="00974F2A"/>
    <w:rsid w:val="00975191"/>
    <w:rsid w:val="00975379"/>
    <w:rsid w:val="0097586C"/>
    <w:rsid w:val="0097592B"/>
    <w:rsid w:val="00975D89"/>
    <w:rsid w:val="009760A5"/>
    <w:rsid w:val="00976100"/>
    <w:rsid w:val="009762F1"/>
    <w:rsid w:val="0097694B"/>
    <w:rsid w:val="00976A68"/>
    <w:rsid w:val="00976B12"/>
    <w:rsid w:val="009773BD"/>
    <w:rsid w:val="00977BD7"/>
    <w:rsid w:val="00977FCE"/>
    <w:rsid w:val="0098063A"/>
    <w:rsid w:val="00980679"/>
    <w:rsid w:val="009808A4"/>
    <w:rsid w:val="00980B6E"/>
    <w:rsid w:val="00980CB9"/>
    <w:rsid w:val="00980E64"/>
    <w:rsid w:val="00980ED1"/>
    <w:rsid w:val="00981040"/>
    <w:rsid w:val="00981A26"/>
    <w:rsid w:val="009823CC"/>
    <w:rsid w:val="00982480"/>
    <w:rsid w:val="0098289E"/>
    <w:rsid w:val="00982A5C"/>
    <w:rsid w:val="00982FCD"/>
    <w:rsid w:val="00983752"/>
    <w:rsid w:val="00983942"/>
    <w:rsid w:val="00983FDB"/>
    <w:rsid w:val="00984452"/>
    <w:rsid w:val="00984BD8"/>
    <w:rsid w:val="00984C0F"/>
    <w:rsid w:val="009850D0"/>
    <w:rsid w:val="00985245"/>
    <w:rsid w:val="009857E4"/>
    <w:rsid w:val="00985E84"/>
    <w:rsid w:val="00985EF0"/>
    <w:rsid w:val="00986AF2"/>
    <w:rsid w:val="00987460"/>
    <w:rsid w:val="00987E8F"/>
    <w:rsid w:val="009906FB"/>
    <w:rsid w:val="00990E6E"/>
    <w:rsid w:val="0099131B"/>
    <w:rsid w:val="009914AE"/>
    <w:rsid w:val="009916ED"/>
    <w:rsid w:val="00991D4D"/>
    <w:rsid w:val="009920E4"/>
    <w:rsid w:val="009923B3"/>
    <w:rsid w:val="009929A2"/>
    <w:rsid w:val="00992C3A"/>
    <w:rsid w:val="00992EFC"/>
    <w:rsid w:val="00993229"/>
    <w:rsid w:val="009936EE"/>
    <w:rsid w:val="00993B45"/>
    <w:rsid w:val="009940C3"/>
    <w:rsid w:val="009944AC"/>
    <w:rsid w:val="0099480E"/>
    <w:rsid w:val="009949E7"/>
    <w:rsid w:val="00995004"/>
    <w:rsid w:val="00995521"/>
    <w:rsid w:val="00995782"/>
    <w:rsid w:val="009958B3"/>
    <w:rsid w:val="00995EC5"/>
    <w:rsid w:val="0099672A"/>
    <w:rsid w:val="00996A05"/>
    <w:rsid w:val="00997AFE"/>
    <w:rsid w:val="00997CA1"/>
    <w:rsid w:val="009A053C"/>
    <w:rsid w:val="009A0C8A"/>
    <w:rsid w:val="009A0D85"/>
    <w:rsid w:val="009A113E"/>
    <w:rsid w:val="009A125E"/>
    <w:rsid w:val="009A12FA"/>
    <w:rsid w:val="009A1307"/>
    <w:rsid w:val="009A13FA"/>
    <w:rsid w:val="009A1440"/>
    <w:rsid w:val="009A186C"/>
    <w:rsid w:val="009A1D36"/>
    <w:rsid w:val="009A1F56"/>
    <w:rsid w:val="009A21FC"/>
    <w:rsid w:val="009A3258"/>
    <w:rsid w:val="009A3311"/>
    <w:rsid w:val="009A3B2B"/>
    <w:rsid w:val="009A3C61"/>
    <w:rsid w:val="009A3DD0"/>
    <w:rsid w:val="009A3E7E"/>
    <w:rsid w:val="009A4232"/>
    <w:rsid w:val="009A42C4"/>
    <w:rsid w:val="009A4ADA"/>
    <w:rsid w:val="009A53A7"/>
    <w:rsid w:val="009A559B"/>
    <w:rsid w:val="009A5992"/>
    <w:rsid w:val="009A5E2F"/>
    <w:rsid w:val="009A615F"/>
    <w:rsid w:val="009A6976"/>
    <w:rsid w:val="009A6ACD"/>
    <w:rsid w:val="009A6B64"/>
    <w:rsid w:val="009A6C3E"/>
    <w:rsid w:val="009A6DE5"/>
    <w:rsid w:val="009A6DF9"/>
    <w:rsid w:val="009A779B"/>
    <w:rsid w:val="009B05D3"/>
    <w:rsid w:val="009B09A7"/>
    <w:rsid w:val="009B0CDE"/>
    <w:rsid w:val="009B0FA0"/>
    <w:rsid w:val="009B1037"/>
    <w:rsid w:val="009B1A9F"/>
    <w:rsid w:val="009B1B52"/>
    <w:rsid w:val="009B1BD9"/>
    <w:rsid w:val="009B2B38"/>
    <w:rsid w:val="009B2BDD"/>
    <w:rsid w:val="009B2E30"/>
    <w:rsid w:val="009B308A"/>
    <w:rsid w:val="009B3B90"/>
    <w:rsid w:val="009B3C02"/>
    <w:rsid w:val="009B43B3"/>
    <w:rsid w:val="009B4977"/>
    <w:rsid w:val="009B5174"/>
    <w:rsid w:val="009B51CB"/>
    <w:rsid w:val="009B53DA"/>
    <w:rsid w:val="009B5551"/>
    <w:rsid w:val="009B5793"/>
    <w:rsid w:val="009B5A53"/>
    <w:rsid w:val="009B698D"/>
    <w:rsid w:val="009B6FD2"/>
    <w:rsid w:val="009B7611"/>
    <w:rsid w:val="009B773A"/>
    <w:rsid w:val="009B780A"/>
    <w:rsid w:val="009B7D73"/>
    <w:rsid w:val="009C00FE"/>
    <w:rsid w:val="009C016D"/>
    <w:rsid w:val="009C0207"/>
    <w:rsid w:val="009C060F"/>
    <w:rsid w:val="009C10F4"/>
    <w:rsid w:val="009C19E7"/>
    <w:rsid w:val="009C1ABF"/>
    <w:rsid w:val="009C1C12"/>
    <w:rsid w:val="009C1EC7"/>
    <w:rsid w:val="009C239C"/>
    <w:rsid w:val="009C2410"/>
    <w:rsid w:val="009C27CB"/>
    <w:rsid w:val="009C2947"/>
    <w:rsid w:val="009C2F38"/>
    <w:rsid w:val="009C3095"/>
    <w:rsid w:val="009C30E7"/>
    <w:rsid w:val="009C3880"/>
    <w:rsid w:val="009C3E88"/>
    <w:rsid w:val="009C3FC5"/>
    <w:rsid w:val="009C575A"/>
    <w:rsid w:val="009C592B"/>
    <w:rsid w:val="009C5F59"/>
    <w:rsid w:val="009C608D"/>
    <w:rsid w:val="009C60FC"/>
    <w:rsid w:val="009C62FA"/>
    <w:rsid w:val="009C641B"/>
    <w:rsid w:val="009C69ED"/>
    <w:rsid w:val="009C6BE5"/>
    <w:rsid w:val="009C6F8C"/>
    <w:rsid w:val="009C7073"/>
    <w:rsid w:val="009C7892"/>
    <w:rsid w:val="009C7CFB"/>
    <w:rsid w:val="009C7EDD"/>
    <w:rsid w:val="009D009F"/>
    <w:rsid w:val="009D00B1"/>
    <w:rsid w:val="009D01C2"/>
    <w:rsid w:val="009D0BE7"/>
    <w:rsid w:val="009D0D23"/>
    <w:rsid w:val="009D0D8C"/>
    <w:rsid w:val="009D13B6"/>
    <w:rsid w:val="009D1627"/>
    <w:rsid w:val="009D1770"/>
    <w:rsid w:val="009D1865"/>
    <w:rsid w:val="009D1B00"/>
    <w:rsid w:val="009D1E07"/>
    <w:rsid w:val="009D1F20"/>
    <w:rsid w:val="009D1F99"/>
    <w:rsid w:val="009D21F0"/>
    <w:rsid w:val="009D2726"/>
    <w:rsid w:val="009D2DB1"/>
    <w:rsid w:val="009D2E60"/>
    <w:rsid w:val="009D2EBE"/>
    <w:rsid w:val="009D304C"/>
    <w:rsid w:val="009D3222"/>
    <w:rsid w:val="009D3813"/>
    <w:rsid w:val="009D39F2"/>
    <w:rsid w:val="009D3FB1"/>
    <w:rsid w:val="009D4534"/>
    <w:rsid w:val="009D52ED"/>
    <w:rsid w:val="009D620E"/>
    <w:rsid w:val="009D6290"/>
    <w:rsid w:val="009D6655"/>
    <w:rsid w:val="009D69BA"/>
    <w:rsid w:val="009D6F13"/>
    <w:rsid w:val="009D7432"/>
    <w:rsid w:val="009D7BA2"/>
    <w:rsid w:val="009D7FE6"/>
    <w:rsid w:val="009D7FE9"/>
    <w:rsid w:val="009E09E6"/>
    <w:rsid w:val="009E0A82"/>
    <w:rsid w:val="009E1113"/>
    <w:rsid w:val="009E1340"/>
    <w:rsid w:val="009E13DA"/>
    <w:rsid w:val="009E1B54"/>
    <w:rsid w:val="009E1DDD"/>
    <w:rsid w:val="009E1F06"/>
    <w:rsid w:val="009E2099"/>
    <w:rsid w:val="009E215F"/>
    <w:rsid w:val="009E247F"/>
    <w:rsid w:val="009E25DE"/>
    <w:rsid w:val="009E2808"/>
    <w:rsid w:val="009E2AFF"/>
    <w:rsid w:val="009E2FDF"/>
    <w:rsid w:val="009E2FE8"/>
    <w:rsid w:val="009E3204"/>
    <w:rsid w:val="009E3455"/>
    <w:rsid w:val="009E34D1"/>
    <w:rsid w:val="009E394D"/>
    <w:rsid w:val="009E4644"/>
    <w:rsid w:val="009E46BA"/>
    <w:rsid w:val="009E4863"/>
    <w:rsid w:val="009E4912"/>
    <w:rsid w:val="009E5094"/>
    <w:rsid w:val="009E52CB"/>
    <w:rsid w:val="009E566B"/>
    <w:rsid w:val="009E5D2F"/>
    <w:rsid w:val="009E5DB2"/>
    <w:rsid w:val="009E62B9"/>
    <w:rsid w:val="009E636E"/>
    <w:rsid w:val="009E6FA5"/>
    <w:rsid w:val="009E70C3"/>
    <w:rsid w:val="009E78E8"/>
    <w:rsid w:val="009E7AD8"/>
    <w:rsid w:val="009E7FF9"/>
    <w:rsid w:val="009F0698"/>
    <w:rsid w:val="009F09A9"/>
    <w:rsid w:val="009F0EC1"/>
    <w:rsid w:val="009F1325"/>
    <w:rsid w:val="009F1736"/>
    <w:rsid w:val="009F19B1"/>
    <w:rsid w:val="009F1ABD"/>
    <w:rsid w:val="009F1ABF"/>
    <w:rsid w:val="009F2174"/>
    <w:rsid w:val="009F274A"/>
    <w:rsid w:val="009F2A8A"/>
    <w:rsid w:val="009F2AAF"/>
    <w:rsid w:val="009F30C8"/>
    <w:rsid w:val="009F323B"/>
    <w:rsid w:val="009F3364"/>
    <w:rsid w:val="009F34CC"/>
    <w:rsid w:val="009F37E7"/>
    <w:rsid w:val="009F39C9"/>
    <w:rsid w:val="009F3AAB"/>
    <w:rsid w:val="009F3DEC"/>
    <w:rsid w:val="009F3F38"/>
    <w:rsid w:val="009F41B6"/>
    <w:rsid w:val="009F4805"/>
    <w:rsid w:val="009F4B7E"/>
    <w:rsid w:val="009F4D82"/>
    <w:rsid w:val="009F5171"/>
    <w:rsid w:val="009F556E"/>
    <w:rsid w:val="009F5FFC"/>
    <w:rsid w:val="009F6372"/>
    <w:rsid w:val="009F64A7"/>
    <w:rsid w:val="009F6CA0"/>
    <w:rsid w:val="009F6F6C"/>
    <w:rsid w:val="009F738E"/>
    <w:rsid w:val="009F745B"/>
    <w:rsid w:val="009F76AB"/>
    <w:rsid w:val="009F7756"/>
    <w:rsid w:val="00A005E6"/>
    <w:rsid w:val="00A0062A"/>
    <w:rsid w:val="00A0081E"/>
    <w:rsid w:val="00A0088F"/>
    <w:rsid w:val="00A00E23"/>
    <w:rsid w:val="00A02494"/>
    <w:rsid w:val="00A028C4"/>
    <w:rsid w:val="00A02E1D"/>
    <w:rsid w:val="00A02EDD"/>
    <w:rsid w:val="00A02F70"/>
    <w:rsid w:val="00A02F7A"/>
    <w:rsid w:val="00A0370B"/>
    <w:rsid w:val="00A037D0"/>
    <w:rsid w:val="00A03D11"/>
    <w:rsid w:val="00A044E7"/>
    <w:rsid w:val="00A0458F"/>
    <w:rsid w:val="00A04E27"/>
    <w:rsid w:val="00A04E5E"/>
    <w:rsid w:val="00A04EB5"/>
    <w:rsid w:val="00A05195"/>
    <w:rsid w:val="00A051DB"/>
    <w:rsid w:val="00A0545C"/>
    <w:rsid w:val="00A06148"/>
    <w:rsid w:val="00A061F6"/>
    <w:rsid w:val="00A064E9"/>
    <w:rsid w:val="00A06ABD"/>
    <w:rsid w:val="00A0710E"/>
    <w:rsid w:val="00A07344"/>
    <w:rsid w:val="00A075F9"/>
    <w:rsid w:val="00A07738"/>
    <w:rsid w:val="00A079FA"/>
    <w:rsid w:val="00A10009"/>
    <w:rsid w:val="00A10383"/>
    <w:rsid w:val="00A107A0"/>
    <w:rsid w:val="00A1088F"/>
    <w:rsid w:val="00A1195C"/>
    <w:rsid w:val="00A11B82"/>
    <w:rsid w:val="00A11C59"/>
    <w:rsid w:val="00A11D2C"/>
    <w:rsid w:val="00A11DF7"/>
    <w:rsid w:val="00A11FC5"/>
    <w:rsid w:val="00A12E9C"/>
    <w:rsid w:val="00A13D9D"/>
    <w:rsid w:val="00A1479A"/>
    <w:rsid w:val="00A147EA"/>
    <w:rsid w:val="00A149DC"/>
    <w:rsid w:val="00A15340"/>
    <w:rsid w:val="00A15375"/>
    <w:rsid w:val="00A155AC"/>
    <w:rsid w:val="00A1569C"/>
    <w:rsid w:val="00A15FB9"/>
    <w:rsid w:val="00A15FC8"/>
    <w:rsid w:val="00A16087"/>
    <w:rsid w:val="00A16285"/>
    <w:rsid w:val="00A16611"/>
    <w:rsid w:val="00A16BB9"/>
    <w:rsid w:val="00A16ED2"/>
    <w:rsid w:val="00A170E1"/>
    <w:rsid w:val="00A1724E"/>
    <w:rsid w:val="00A177BC"/>
    <w:rsid w:val="00A179CF"/>
    <w:rsid w:val="00A17B83"/>
    <w:rsid w:val="00A17E1F"/>
    <w:rsid w:val="00A20117"/>
    <w:rsid w:val="00A2028B"/>
    <w:rsid w:val="00A20812"/>
    <w:rsid w:val="00A20FAD"/>
    <w:rsid w:val="00A21148"/>
    <w:rsid w:val="00A212D7"/>
    <w:rsid w:val="00A215D7"/>
    <w:rsid w:val="00A21BCD"/>
    <w:rsid w:val="00A2206F"/>
    <w:rsid w:val="00A2213E"/>
    <w:rsid w:val="00A223AE"/>
    <w:rsid w:val="00A22509"/>
    <w:rsid w:val="00A22C02"/>
    <w:rsid w:val="00A22D03"/>
    <w:rsid w:val="00A23742"/>
    <w:rsid w:val="00A24794"/>
    <w:rsid w:val="00A2493A"/>
    <w:rsid w:val="00A24EA2"/>
    <w:rsid w:val="00A2533C"/>
    <w:rsid w:val="00A25CC1"/>
    <w:rsid w:val="00A25F75"/>
    <w:rsid w:val="00A26305"/>
    <w:rsid w:val="00A264C5"/>
    <w:rsid w:val="00A266C4"/>
    <w:rsid w:val="00A266F5"/>
    <w:rsid w:val="00A268D2"/>
    <w:rsid w:val="00A26A2E"/>
    <w:rsid w:val="00A271DB"/>
    <w:rsid w:val="00A27360"/>
    <w:rsid w:val="00A276FD"/>
    <w:rsid w:val="00A27757"/>
    <w:rsid w:val="00A2793E"/>
    <w:rsid w:val="00A27BAE"/>
    <w:rsid w:val="00A27F62"/>
    <w:rsid w:val="00A30214"/>
    <w:rsid w:val="00A30798"/>
    <w:rsid w:val="00A30806"/>
    <w:rsid w:val="00A309E1"/>
    <w:rsid w:val="00A30FB3"/>
    <w:rsid w:val="00A3139E"/>
    <w:rsid w:val="00A3180F"/>
    <w:rsid w:val="00A31A20"/>
    <w:rsid w:val="00A31AB3"/>
    <w:rsid w:val="00A31CF2"/>
    <w:rsid w:val="00A31E50"/>
    <w:rsid w:val="00A31FF6"/>
    <w:rsid w:val="00A320C3"/>
    <w:rsid w:val="00A329D4"/>
    <w:rsid w:val="00A32EE9"/>
    <w:rsid w:val="00A32F40"/>
    <w:rsid w:val="00A330F9"/>
    <w:rsid w:val="00A33278"/>
    <w:rsid w:val="00A33E47"/>
    <w:rsid w:val="00A34217"/>
    <w:rsid w:val="00A3466A"/>
    <w:rsid w:val="00A349A7"/>
    <w:rsid w:val="00A34F9B"/>
    <w:rsid w:val="00A3532C"/>
    <w:rsid w:val="00A3579F"/>
    <w:rsid w:val="00A35D87"/>
    <w:rsid w:val="00A35F24"/>
    <w:rsid w:val="00A36291"/>
    <w:rsid w:val="00A3630E"/>
    <w:rsid w:val="00A364FF"/>
    <w:rsid w:val="00A36538"/>
    <w:rsid w:val="00A36832"/>
    <w:rsid w:val="00A36EC5"/>
    <w:rsid w:val="00A3711F"/>
    <w:rsid w:val="00A37A18"/>
    <w:rsid w:val="00A37EA0"/>
    <w:rsid w:val="00A4005D"/>
    <w:rsid w:val="00A40F78"/>
    <w:rsid w:val="00A411D1"/>
    <w:rsid w:val="00A41BD5"/>
    <w:rsid w:val="00A42FAE"/>
    <w:rsid w:val="00A431B4"/>
    <w:rsid w:val="00A4364E"/>
    <w:rsid w:val="00A43799"/>
    <w:rsid w:val="00A43872"/>
    <w:rsid w:val="00A44630"/>
    <w:rsid w:val="00A4494D"/>
    <w:rsid w:val="00A44A9A"/>
    <w:rsid w:val="00A44BA2"/>
    <w:rsid w:val="00A44C6D"/>
    <w:rsid w:val="00A44FED"/>
    <w:rsid w:val="00A4508C"/>
    <w:rsid w:val="00A45223"/>
    <w:rsid w:val="00A45283"/>
    <w:rsid w:val="00A453A4"/>
    <w:rsid w:val="00A45678"/>
    <w:rsid w:val="00A458FE"/>
    <w:rsid w:val="00A45A94"/>
    <w:rsid w:val="00A45D9B"/>
    <w:rsid w:val="00A45E55"/>
    <w:rsid w:val="00A461B8"/>
    <w:rsid w:val="00A462EA"/>
    <w:rsid w:val="00A4667A"/>
    <w:rsid w:val="00A46ABC"/>
    <w:rsid w:val="00A46CC2"/>
    <w:rsid w:val="00A46FFC"/>
    <w:rsid w:val="00A47D0C"/>
    <w:rsid w:val="00A5005D"/>
    <w:rsid w:val="00A506E8"/>
    <w:rsid w:val="00A5076F"/>
    <w:rsid w:val="00A508CA"/>
    <w:rsid w:val="00A50CBD"/>
    <w:rsid w:val="00A50E0B"/>
    <w:rsid w:val="00A51114"/>
    <w:rsid w:val="00A51570"/>
    <w:rsid w:val="00A5187B"/>
    <w:rsid w:val="00A51E59"/>
    <w:rsid w:val="00A51FB7"/>
    <w:rsid w:val="00A52CCD"/>
    <w:rsid w:val="00A534D7"/>
    <w:rsid w:val="00A5366B"/>
    <w:rsid w:val="00A537E1"/>
    <w:rsid w:val="00A539A4"/>
    <w:rsid w:val="00A53AC9"/>
    <w:rsid w:val="00A53AFF"/>
    <w:rsid w:val="00A53B65"/>
    <w:rsid w:val="00A53BB6"/>
    <w:rsid w:val="00A53C8E"/>
    <w:rsid w:val="00A53D55"/>
    <w:rsid w:val="00A54190"/>
    <w:rsid w:val="00A54294"/>
    <w:rsid w:val="00A542BE"/>
    <w:rsid w:val="00A54D4B"/>
    <w:rsid w:val="00A54EB2"/>
    <w:rsid w:val="00A550F2"/>
    <w:rsid w:val="00A55568"/>
    <w:rsid w:val="00A55A82"/>
    <w:rsid w:val="00A55AF0"/>
    <w:rsid w:val="00A55C1A"/>
    <w:rsid w:val="00A56086"/>
    <w:rsid w:val="00A56619"/>
    <w:rsid w:val="00A56864"/>
    <w:rsid w:val="00A56C88"/>
    <w:rsid w:val="00A5723B"/>
    <w:rsid w:val="00A57486"/>
    <w:rsid w:val="00A57773"/>
    <w:rsid w:val="00A577D6"/>
    <w:rsid w:val="00A60E6A"/>
    <w:rsid w:val="00A616F0"/>
    <w:rsid w:val="00A6177A"/>
    <w:rsid w:val="00A61B0C"/>
    <w:rsid w:val="00A6205A"/>
    <w:rsid w:val="00A622C1"/>
    <w:rsid w:val="00A623D5"/>
    <w:rsid w:val="00A62E5A"/>
    <w:rsid w:val="00A62F78"/>
    <w:rsid w:val="00A631DF"/>
    <w:rsid w:val="00A63736"/>
    <w:rsid w:val="00A637DE"/>
    <w:rsid w:val="00A63D91"/>
    <w:rsid w:val="00A6481E"/>
    <w:rsid w:val="00A64B8B"/>
    <w:rsid w:val="00A654B2"/>
    <w:rsid w:val="00A66878"/>
    <w:rsid w:val="00A669D0"/>
    <w:rsid w:val="00A66B36"/>
    <w:rsid w:val="00A66D29"/>
    <w:rsid w:val="00A66D54"/>
    <w:rsid w:val="00A67221"/>
    <w:rsid w:val="00A673F9"/>
    <w:rsid w:val="00A67469"/>
    <w:rsid w:val="00A676E2"/>
    <w:rsid w:val="00A679F0"/>
    <w:rsid w:val="00A67C1A"/>
    <w:rsid w:val="00A67D7B"/>
    <w:rsid w:val="00A70011"/>
    <w:rsid w:val="00A70645"/>
    <w:rsid w:val="00A70B4D"/>
    <w:rsid w:val="00A70BD9"/>
    <w:rsid w:val="00A7136B"/>
    <w:rsid w:val="00A7264A"/>
    <w:rsid w:val="00A731AC"/>
    <w:rsid w:val="00A732B0"/>
    <w:rsid w:val="00A73655"/>
    <w:rsid w:val="00A7384D"/>
    <w:rsid w:val="00A73EDE"/>
    <w:rsid w:val="00A7402E"/>
    <w:rsid w:val="00A7457E"/>
    <w:rsid w:val="00A75239"/>
    <w:rsid w:val="00A75347"/>
    <w:rsid w:val="00A75BAE"/>
    <w:rsid w:val="00A7617B"/>
    <w:rsid w:val="00A763F9"/>
    <w:rsid w:val="00A76A70"/>
    <w:rsid w:val="00A76F8B"/>
    <w:rsid w:val="00A770D5"/>
    <w:rsid w:val="00A77386"/>
    <w:rsid w:val="00A776C8"/>
    <w:rsid w:val="00A77AA7"/>
    <w:rsid w:val="00A80118"/>
    <w:rsid w:val="00A8075C"/>
    <w:rsid w:val="00A8167B"/>
    <w:rsid w:val="00A82AD8"/>
    <w:rsid w:val="00A82BC3"/>
    <w:rsid w:val="00A82D2C"/>
    <w:rsid w:val="00A8312D"/>
    <w:rsid w:val="00A832BB"/>
    <w:rsid w:val="00A835E3"/>
    <w:rsid w:val="00A835EA"/>
    <w:rsid w:val="00A837B1"/>
    <w:rsid w:val="00A83B94"/>
    <w:rsid w:val="00A83C52"/>
    <w:rsid w:val="00A84486"/>
    <w:rsid w:val="00A84600"/>
    <w:rsid w:val="00A85571"/>
    <w:rsid w:val="00A85597"/>
    <w:rsid w:val="00A85683"/>
    <w:rsid w:val="00A858F7"/>
    <w:rsid w:val="00A85E44"/>
    <w:rsid w:val="00A8601B"/>
    <w:rsid w:val="00A8684E"/>
    <w:rsid w:val="00A86945"/>
    <w:rsid w:val="00A87011"/>
    <w:rsid w:val="00A87119"/>
    <w:rsid w:val="00A87478"/>
    <w:rsid w:val="00A87503"/>
    <w:rsid w:val="00A876B0"/>
    <w:rsid w:val="00A87B5F"/>
    <w:rsid w:val="00A87D51"/>
    <w:rsid w:val="00A87D9F"/>
    <w:rsid w:val="00A87F0F"/>
    <w:rsid w:val="00A901A3"/>
    <w:rsid w:val="00A902BE"/>
    <w:rsid w:val="00A904B8"/>
    <w:rsid w:val="00A90720"/>
    <w:rsid w:val="00A9078B"/>
    <w:rsid w:val="00A90900"/>
    <w:rsid w:val="00A90B5D"/>
    <w:rsid w:val="00A90C6D"/>
    <w:rsid w:val="00A919E5"/>
    <w:rsid w:val="00A91D35"/>
    <w:rsid w:val="00A91EC1"/>
    <w:rsid w:val="00A92074"/>
    <w:rsid w:val="00A923B0"/>
    <w:rsid w:val="00A923CF"/>
    <w:rsid w:val="00A928C7"/>
    <w:rsid w:val="00A932F5"/>
    <w:rsid w:val="00A93511"/>
    <w:rsid w:val="00A9361F"/>
    <w:rsid w:val="00A942CA"/>
    <w:rsid w:val="00A94B80"/>
    <w:rsid w:val="00A94C29"/>
    <w:rsid w:val="00A954C5"/>
    <w:rsid w:val="00A95C31"/>
    <w:rsid w:val="00A95FA3"/>
    <w:rsid w:val="00A9606E"/>
    <w:rsid w:val="00A9639F"/>
    <w:rsid w:val="00A96722"/>
    <w:rsid w:val="00A96BF3"/>
    <w:rsid w:val="00A970EE"/>
    <w:rsid w:val="00A97D58"/>
    <w:rsid w:val="00A97E92"/>
    <w:rsid w:val="00AA00AD"/>
    <w:rsid w:val="00AA13D2"/>
    <w:rsid w:val="00AA1FC3"/>
    <w:rsid w:val="00AA26A9"/>
    <w:rsid w:val="00AA2727"/>
    <w:rsid w:val="00AA2CAA"/>
    <w:rsid w:val="00AA33A2"/>
    <w:rsid w:val="00AA45E9"/>
    <w:rsid w:val="00AA51D1"/>
    <w:rsid w:val="00AA59F0"/>
    <w:rsid w:val="00AA5A07"/>
    <w:rsid w:val="00AA5E12"/>
    <w:rsid w:val="00AA6148"/>
    <w:rsid w:val="00AA666C"/>
    <w:rsid w:val="00AA69CE"/>
    <w:rsid w:val="00AA69DA"/>
    <w:rsid w:val="00AA6A21"/>
    <w:rsid w:val="00AA6C43"/>
    <w:rsid w:val="00AA7D8E"/>
    <w:rsid w:val="00AB042C"/>
    <w:rsid w:val="00AB1155"/>
    <w:rsid w:val="00AB15E4"/>
    <w:rsid w:val="00AB16D4"/>
    <w:rsid w:val="00AB1CA4"/>
    <w:rsid w:val="00AB2004"/>
    <w:rsid w:val="00AB21E9"/>
    <w:rsid w:val="00AB2549"/>
    <w:rsid w:val="00AB273A"/>
    <w:rsid w:val="00AB292F"/>
    <w:rsid w:val="00AB2A73"/>
    <w:rsid w:val="00AB2C1B"/>
    <w:rsid w:val="00AB2F36"/>
    <w:rsid w:val="00AB2FF3"/>
    <w:rsid w:val="00AB35D8"/>
    <w:rsid w:val="00AB414F"/>
    <w:rsid w:val="00AB4AC3"/>
    <w:rsid w:val="00AB4C20"/>
    <w:rsid w:val="00AB4C64"/>
    <w:rsid w:val="00AB4D30"/>
    <w:rsid w:val="00AB54F3"/>
    <w:rsid w:val="00AB5B5F"/>
    <w:rsid w:val="00AB5BC9"/>
    <w:rsid w:val="00AB5FEB"/>
    <w:rsid w:val="00AB602A"/>
    <w:rsid w:val="00AB627A"/>
    <w:rsid w:val="00AB64FA"/>
    <w:rsid w:val="00AB6FC8"/>
    <w:rsid w:val="00AB7632"/>
    <w:rsid w:val="00AB7AED"/>
    <w:rsid w:val="00AC0F31"/>
    <w:rsid w:val="00AC101F"/>
    <w:rsid w:val="00AC1257"/>
    <w:rsid w:val="00AC14C7"/>
    <w:rsid w:val="00AC1FB5"/>
    <w:rsid w:val="00AC22D1"/>
    <w:rsid w:val="00AC2E97"/>
    <w:rsid w:val="00AC3110"/>
    <w:rsid w:val="00AC326C"/>
    <w:rsid w:val="00AC35AF"/>
    <w:rsid w:val="00AC3807"/>
    <w:rsid w:val="00AC39B1"/>
    <w:rsid w:val="00AC3A06"/>
    <w:rsid w:val="00AC3E2D"/>
    <w:rsid w:val="00AC3F21"/>
    <w:rsid w:val="00AC4046"/>
    <w:rsid w:val="00AC446E"/>
    <w:rsid w:val="00AC4788"/>
    <w:rsid w:val="00AC4961"/>
    <w:rsid w:val="00AC4C11"/>
    <w:rsid w:val="00AC4E63"/>
    <w:rsid w:val="00AC4E87"/>
    <w:rsid w:val="00AC55D0"/>
    <w:rsid w:val="00AC5933"/>
    <w:rsid w:val="00AC5C77"/>
    <w:rsid w:val="00AC5CF7"/>
    <w:rsid w:val="00AC6288"/>
    <w:rsid w:val="00AC7311"/>
    <w:rsid w:val="00AC73E2"/>
    <w:rsid w:val="00AC773F"/>
    <w:rsid w:val="00AD0183"/>
    <w:rsid w:val="00AD0344"/>
    <w:rsid w:val="00AD0781"/>
    <w:rsid w:val="00AD07DF"/>
    <w:rsid w:val="00AD0CDB"/>
    <w:rsid w:val="00AD176F"/>
    <w:rsid w:val="00AD1818"/>
    <w:rsid w:val="00AD1990"/>
    <w:rsid w:val="00AD1C6B"/>
    <w:rsid w:val="00AD2EB4"/>
    <w:rsid w:val="00AD38CD"/>
    <w:rsid w:val="00AD39A8"/>
    <w:rsid w:val="00AD40BA"/>
    <w:rsid w:val="00AD426E"/>
    <w:rsid w:val="00AD44C7"/>
    <w:rsid w:val="00AD45D9"/>
    <w:rsid w:val="00AD4B3B"/>
    <w:rsid w:val="00AD6664"/>
    <w:rsid w:val="00AD6704"/>
    <w:rsid w:val="00AD6711"/>
    <w:rsid w:val="00AD6C93"/>
    <w:rsid w:val="00AD71BE"/>
    <w:rsid w:val="00AD75DE"/>
    <w:rsid w:val="00AD77B3"/>
    <w:rsid w:val="00AD7820"/>
    <w:rsid w:val="00AD7EBB"/>
    <w:rsid w:val="00AD7F4E"/>
    <w:rsid w:val="00AE0CA6"/>
    <w:rsid w:val="00AE11F0"/>
    <w:rsid w:val="00AE192C"/>
    <w:rsid w:val="00AE1BB9"/>
    <w:rsid w:val="00AE3B58"/>
    <w:rsid w:val="00AE40BF"/>
    <w:rsid w:val="00AE428D"/>
    <w:rsid w:val="00AE4CAA"/>
    <w:rsid w:val="00AE5172"/>
    <w:rsid w:val="00AE535D"/>
    <w:rsid w:val="00AE5839"/>
    <w:rsid w:val="00AE588E"/>
    <w:rsid w:val="00AE5C81"/>
    <w:rsid w:val="00AE5E60"/>
    <w:rsid w:val="00AE5FEA"/>
    <w:rsid w:val="00AE61DA"/>
    <w:rsid w:val="00AE6687"/>
    <w:rsid w:val="00AE6AFC"/>
    <w:rsid w:val="00AE6FC0"/>
    <w:rsid w:val="00AE7683"/>
    <w:rsid w:val="00AE7749"/>
    <w:rsid w:val="00AE7931"/>
    <w:rsid w:val="00AF0398"/>
    <w:rsid w:val="00AF05C0"/>
    <w:rsid w:val="00AF180B"/>
    <w:rsid w:val="00AF1C14"/>
    <w:rsid w:val="00AF2D27"/>
    <w:rsid w:val="00AF311A"/>
    <w:rsid w:val="00AF437A"/>
    <w:rsid w:val="00AF45BC"/>
    <w:rsid w:val="00AF4A5E"/>
    <w:rsid w:val="00AF4D5F"/>
    <w:rsid w:val="00AF4F99"/>
    <w:rsid w:val="00AF5368"/>
    <w:rsid w:val="00AF5629"/>
    <w:rsid w:val="00AF5987"/>
    <w:rsid w:val="00AF59FA"/>
    <w:rsid w:val="00AF5DEE"/>
    <w:rsid w:val="00AF62D9"/>
    <w:rsid w:val="00AF6394"/>
    <w:rsid w:val="00AF645C"/>
    <w:rsid w:val="00AF64A5"/>
    <w:rsid w:val="00AF695F"/>
    <w:rsid w:val="00AF6D35"/>
    <w:rsid w:val="00AF6D36"/>
    <w:rsid w:val="00AF7F85"/>
    <w:rsid w:val="00B003E9"/>
    <w:rsid w:val="00B00456"/>
    <w:rsid w:val="00B00774"/>
    <w:rsid w:val="00B013EC"/>
    <w:rsid w:val="00B01495"/>
    <w:rsid w:val="00B014B8"/>
    <w:rsid w:val="00B01909"/>
    <w:rsid w:val="00B021BA"/>
    <w:rsid w:val="00B0222A"/>
    <w:rsid w:val="00B023F8"/>
    <w:rsid w:val="00B02747"/>
    <w:rsid w:val="00B02844"/>
    <w:rsid w:val="00B02F61"/>
    <w:rsid w:val="00B03665"/>
    <w:rsid w:val="00B03AED"/>
    <w:rsid w:val="00B03DF9"/>
    <w:rsid w:val="00B04343"/>
    <w:rsid w:val="00B04519"/>
    <w:rsid w:val="00B049F8"/>
    <w:rsid w:val="00B057C2"/>
    <w:rsid w:val="00B05D1C"/>
    <w:rsid w:val="00B05D1D"/>
    <w:rsid w:val="00B05E08"/>
    <w:rsid w:val="00B065EC"/>
    <w:rsid w:val="00B06B00"/>
    <w:rsid w:val="00B079DD"/>
    <w:rsid w:val="00B07D49"/>
    <w:rsid w:val="00B07F16"/>
    <w:rsid w:val="00B10149"/>
    <w:rsid w:val="00B1024B"/>
    <w:rsid w:val="00B10781"/>
    <w:rsid w:val="00B10DA7"/>
    <w:rsid w:val="00B10F85"/>
    <w:rsid w:val="00B113A6"/>
    <w:rsid w:val="00B11638"/>
    <w:rsid w:val="00B11C81"/>
    <w:rsid w:val="00B11E77"/>
    <w:rsid w:val="00B12905"/>
    <w:rsid w:val="00B12B7B"/>
    <w:rsid w:val="00B12D39"/>
    <w:rsid w:val="00B12D5F"/>
    <w:rsid w:val="00B12EF7"/>
    <w:rsid w:val="00B1331B"/>
    <w:rsid w:val="00B13524"/>
    <w:rsid w:val="00B13D27"/>
    <w:rsid w:val="00B13FD4"/>
    <w:rsid w:val="00B1432B"/>
    <w:rsid w:val="00B144D4"/>
    <w:rsid w:val="00B149AE"/>
    <w:rsid w:val="00B15905"/>
    <w:rsid w:val="00B15ED8"/>
    <w:rsid w:val="00B15FE7"/>
    <w:rsid w:val="00B16640"/>
    <w:rsid w:val="00B16957"/>
    <w:rsid w:val="00B16D0A"/>
    <w:rsid w:val="00B16E9F"/>
    <w:rsid w:val="00B171FD"/>
    <w:rsid w:val="00B17475"/>
    <w:rsid w:val="00B175C2"/>
    <w:rsid w:val="00B1779A"/>
    <w:rsid w:val="00B17BDB"/>
    <w:rsid w:val="00B17D77"/>
    <w:rsid w:val="00B17F9E"/>
    <w:rsid w:val="00B20A08"/>
    <w:rsid w:val="00B20C8B"/>
    <w:rsid w:val="00B20FF6"/>
    <w:rsid w:val="00B2138E"/>
    <w:rsid w:val="00B2142D"/>
    <w:rsid w:val="00B21C2C"/>
    <w:rsid w:val="00B222AC"/>
    <w:rsid w:val="00B2258C"/>
    <w:rsid w:val="00B22669"/>
    <w:rsid w:val="00B22A11"/>
    <w:rsid w:val="00B22E03"/>
    <w:rsid w:val="00B22FFF"/>
    <w:rsid w:val="00B2310A"/>
    <w:rsid w:val="00B23561"/>
    <w:rsid w:val="00B23C63"/>
    <w:rsid w:val="00B23C83"/>
    <w:rsid w:val="00B23D42"/>
    <w:rsid w:val="00B23EAD"/>
    <w:rsid w:val="00B245DD"/>
    <w:rsid w:val="00B246EA"/>
    <w:rsid w:val="00B24868"/>
    <w:rsid w:val="00B25264"/>
    <w:rsid w:val="00B2560A"/>
    <w:rsid w:val="00B25740"/>
    <w:rsid w:val="00B25A06"/>
    <w:rsid w:val="00B26B81"/>
    <w:rsid w:val="00B26FF1"/>
    <w:rsid w:val="00B270F9"/>
    <w:rsid w:val="00B275D7"/>
    <w:rsid w:val="00B27BEB"/>
    <w:rsid w:val="00B27C09"/>
    <w:rsid w:val="00B27CAB"/>
    <w:rsid w:val="00B27DFD"/>
    <w:rsid w:val="00B30AEF"/>
    <w:rsid w:val="00B31050"/>
    <w:rsid w:val="00B31478"/>
    <w:rsid w:val="00B31906"/>
    <w:rsid w:val="00B31C1D"/>
    <w:rsid w:val="00B31F35"/>
    <w:rsid w:val="00B32620"/>
    <w:rsid w:val="00B3341B"/>
    <w:rsid w:val="00B336DE"/>
    <w:rsid w:val="00B3374E"/>
    <w:rsid w:val="00B34216"/>
    <w:rsid w:val="00B34355"/>
    <w:rsid w:val="00B3493C"/>
    <w:rsid w:val="00B34A82"/>
    <w:rsid w:val="00B350BD"/>
    <w:rsid w:val="00B35D70"/>
    <w:rsid w:val="00B35F1A"/>
    <w:rsid w:val="00B36049"/>
    <w:rsid w:val="00B3607D"/>
    <w:rsid w:val="00B362C0"/>
    <w:rsid w:val="00B36C03"/>
    <w:rsid w:val="00B36C25"/>
    <w:rsid w:val="00B3726B"/>
    <w:rsid w:val="00B373A1"/>
    <w:rsid w:val="00B37421"/>
    <w:rsid w:val="00B379B9"/>
    <w:rsid w:val="00B37A6C"/>
    <w:rsid w:val="00B37C87"/>
    <w:rsid w:val="00B37DC9"/>
    <w:rsid w:val="00B400D5"/>
    <w:rsid w:val="00B40581"/>
    <w:rsid w:val="00B4083A"/>
    <w:rsid w:val="00B40D39"/>
    <w:rsid w:val="00B410A7"/>
    <w:rsid w:val="00B41564"/>
    <w:rsid w:val="00B41728"/>
    <w:rsid w:val="00B4174E"/>
    <w:rsid w:val="00B418AA"/>
    <w:rsid w:val="00B42CF5"/>
    <w:rsid w:val="00B42D62"/>
    <w:rsid w:val="00B42DA6"/>
    <w:rsid w:val="00B42FFE"/>
    <w:rsid w:val="00B433E5"/>
    <w:rsid w:val="00B43406"/>
    <w:rsid w:val="00B4370C"/>
    <w:rsid w:val="00B43777"/>
    <w:rsid w:val="00B437BE"/>
    <w:rsid w:val="00B438BC"/>
    <w:rsid w:val="00B43D8C"/>
    <w:rsid w:val="00B44184"/>
    <w:rsid w:val="00B447CF"/>
    <w:rsid w:val="00B452C9"/>
    <w:rsid w:val="00B4571E"/>
    <w:rsid w:val="00B457C9"/>
    <w:rsid w:val="00B45BE6"/>
    <w:rsid w:val="00B46164"/>
    <w:rsid w:val="00B46AFE"/>
    <w:rsid w:val="00B46E88"/>
    <w:rsid w:val="00B4721B"/>
    <w:rsid w:val="00B4736C"/>
    <w:rsid w:val="00B47480"/>
    <w:rsid w:val="00B4749E"/>
    <w:rsid w:val="00B479E5"/>
    <w:rsid w:val="00B50879"/>
    <w:rsid w:val="00B510B4"/>
    <w:rsid w:val="00B51248"/>
    <w:rsid w:val="00B51EF4"/>
    <w:rsid w:val="00B52767"/>
    <w:rsid w:val="00B52838"/>
    <w:rsid w:val="00B52A6C"/>
    <w:rsid w:val="00B52B7F"/>
    <w:rsid w:val="00B52D9C"/>
    <w:rsid w:val="00B53E90"/>
    <w:rsid w:val="00B54714"/>
    <w:rsid w:val="00B54B77"/>
    <w:rsid w:val="00B54B89"/>
    <w:rsid w:val="00B54F25"/>
    <w:rsid w:val="00B55B2E"/>
    <w:rsid w:val="00B55B44"/>
    <w:rsid w:val="00B55FCD"/>
    <w:rsid w:val="00B569E8"/>
    <w:rsid w:val="00B56AC4"/>
    <w:rsid w:val="00B56BF1"/>
    <w:rsid w:val="00B56C48"/>
    <w:rsid w:val="00B56E43"/>
    <w:rsid w:val="00B571A0"/>
    <w:rsid w:val="00B572D3"/>
    <w:rsid w:val="00B57E80"/>
    <w:rsid w:val="00B6011C"/>
    <w:rsid w:val="00B601FE"/>
    <w:rsid w:val="00B61287"/>
    <w:rsid w:val="00B621B9"/>
    <w:rsid w:val="00B6221A"/>
    <w:rsid w:val="00B623B1"/>
    <w:rsid w:val="00B62B66"/>
    <w:rsid w:val="00B62C42"/>
    <w:rsid w:val="00B63013"/>
    <w:rsid w:val="00B6301A"/>
    <w:rsid w:val="00B63543"/>
    <w:rsid w:val="00B63ED2"/>
    <w:rsid w:val="00B641C2"/>
    <w:rsid w:val="00B65178"/>
    <w:rsid w:val="00B65188"/>
    <w:rsid w:val="00B65341"/>
    <w:rsid w:val="00B6542D"/>
    <w:rsid w:val="00B65965"/>
    <w:rsid w:val="00B65D1F"/>
    <w:rsid w:val="00B65D91"/>
    <w:rsid w:val="00B65F1F"/>
    <w:rsid w:val="00B65F62"/>
    <w:rsid w:val="00B66178"/>
    <w:rsid w:val="00B66FDB"/>
    <w:rsid w:val="00B67158"/>
    <w:rsid w:val="00B67255"/>
    <w:rsid w:val="00B674E5"/>
    <w:rsid w:val="00B675A5"/>
    <w:rsid w:val="00B679E0"/>
    <w:rsid w:val="00B67AE3"/>
    <w:rsid w:val="00B67BEC"/>
    <w:rsid w:val="00B67CBA"/>
    <w:rsid w:val="00B67F5D"/>
    <w:rsid w:val="00B7000E"/>
    <w:rsid w:val="00B70BEF"/>
    <w:rsid w:val="00B7114E"/>
    <w:rsid w:val="00B715C3"/>
    <w:rsid w:val="00B71A5D"/>
    <w:rsid w:val="00B7230F"/>
    <w:rsid w:val="00B72653"/>
    <w:rsid w:val="00B7349F"/>
    <w:rsid w:val="00B734EA"/>
    <w:rsid w:val="00B734F4"/>
    <w:rsid w:val="00B74041"/>
    <w:rsid w:val="00B7444C"/>
    <w:rsid w:val="00B74560"/>
    <w:rsid w:val="00B746C4"/>
    <w:rsid w:val="00B74D2E"/>
    <w:rsid w:val="00B74FD1"/>
    <w:rsid w:val="00B75397"/>
    <w:rsid w:val="00B764AC"/>
    <w:rsid w:val="00B769BC"/>
    <w:rsid w:val="00B76E07"/>
    <w:rsid w:val="00B77884"/>
    <w:rsid w:val="00B77B07"/>
    <w:rsid w:val="00B80544"/>
    <w:rsid w:val="00B80567"/>
    <w:rsid w:val="00B80CDC"/>
    <w:rsid w:val="00B810B8"/>
    <w:rsid w:val="00B81830"/>
    <w:rsid w:val="00B81983"/>
    <w:rsid w:val="00B82760"/>
    <w:rsid w:val="00B828CA"/>
    <w:rsid w:val="00B82E8C"/>
    <w:rsid w:val="00B82EF5"/>
    <w:rsid w:val="00B82F42"/>
    <w:rsid w:val="00B82FF6"/>
    <w:rsid w:val="00B83074"/>
    <w:rsid w:val="00B830C9"/>
    <w:rsid w:val="00B835A0"/>
    <w:rsid w:val="00B837DD"/>
    <w:rsid w:val="00B83B05"/>
    <w:rsid w:val="00B84B43"/>
    <w:rsid w:val="00B85258"/>
    <w:rsid w:val="00B85CFE"/>
    <w:rsid w:val="00B86024"/>
    <w:rsid w:val="00B86415"/>
    <w:rsid w:val="00B8651F"/>
    <w:rsid w:val="00B86A3A"/>
    <w:rsid w:val="00B86EAD"/>
    <w:rsid w:val="00B86F10"/>
    <w:rsid w:val="00B87784"/>
    <w:rsid w:val="00B90130"/>
    <w:rsid w:val="00B9032C"/>
    <w:rsid w:val="00B90672"/>
    <w:rsid w:val="00B908F7"/>
    <w:rsid w:val="00B90BA5"/>
    <w:rsid w:val="00B91130"/>
    <w:rsid w:val="00B914FF"/>
    <w:rsid w:val="00B91F8B"/>
    <w:rsid w:val="00B92A71"/>
    <w:rsid w:val="00B92C11"/>
    <w:rsid w:val="00B92F8B"/>
    <w:rsid w:val="00B936BD"/>
    <w:rsid w:val="00B9399A"/>
    <w:rsid w:val="00B93AA4"/>
    <w:rsid w:val="00B93C36"/>
    <w:rsid w:val="00B93D60"/>
    <w:rsid w:val="00B9455C"/>
    <w:rsid w:val="00B94607"/>
    <w:rsid w:val="00B949F1"/>
    <w:rsid w:val="00B94DD1"/>
    <w:rsid w:val="00B950CC"/>
    <w:rsid w:val="00B95369"/>
    <w:rsid w:val="00B95654"/>
    <w:rsid w:val="00B95A34"/>
    <w:rsid w:val="00B95A99"/>
    <w:rsid w:val="00B961AE"/>
    <w:rsid w:val="00B96AC3"/>
    <w:rsid w:val="00B96B00"/>
    <w:rsid w:val="00B96C0D"/>
    <w:rsid w:val="00B96CD7"/>
    <w:rsid w:val="00B96F91"/>
    <w:rsid w:val="00B979F3"/>
    <w:rsid w:val="00B97BE3"/>
    <w:rsid w:val="00B97ED4"/>
    <w:rsid w:val="00BA0466"/>
    <w:rsid w:val="00BA06F4"/>
    <w:rsid w:val="00BA10BA"/>
    <w:rsid w:val="00BA18AE"/>
    <w:rsid w:val="00BA1D61"/>
    <w:rsid w:val="00BA1DE7"/>
    <w:rsid w:val="00BA25EA"/>
    <w:rsid w:val="00BA2780"/>
    <w:rsid w:val="00BA2FF5"/>
    <w:rsid w:val="00BA318B"/>
    <w:rsid w:val="00BA387D"/>
    <w:rsid w:val="00BA44E5"/>
    <w:rsid w:val="00BA467C"/>
    <w:rsid w:val="00BA4DA2"/>
    <w:rsid w:val="00BA5819"/>
    <w:rsid w:val="00BA5861"/>
    <w:rsid w:val="00BA5CF6"/>
    <w:rsid w:val="00BA61BB"/>
    <w:rsid w:val="00BA6E70"/>
    <w:rsid w:val="00BA720D"/>
    <w:rsid w:val="00BA745D"/>
    <w:rsid w:val="00BA7C99"/>
    <w:rsid w:val="00BA7E5A"/>
    <w:rsid w:val="00BB0805"/>
    <w:rsid w:val="00BB0ECD"/>
    <w:rsid w:val="00BB18DB"/>
    <w:rsid w:val="00BB1AF3"/>
    <w:rsid w:val="00BB28F5"/>
    <w:rsid w:val="00BB2B07"/>
    <w:rsid w:val="00BB2B49"/>
    <w:rsid w:val="00BB2F28"/>
    <w:rsid w:val="00BB2FE5"/>
    <w:rsid w:val="00BB3540"/>
    <w:rsid w:val="00BB3625"/>
    <w:rsid w:val="00BB3F69"/>
    <w:rsid w:val="00BB4237"/>
    <w:rsid w:val="00BB4452"/>
    <w:rsid w:val="00BB46D1"/>
    <w:rsid w:val="00BB4D1F"/>
    <w:rsid w:val="00BB54AF"/>
    <w:rsid w:val="00BB5EFA"/>
    <w:rsid w:val="00BB5F98"/>
    <w:rsid w:val="00BB623B"/>
    <w:rsid w:val="00BB6317"/>
    <w:rsid w:val="00BB6485"/>
    <w:rsid w:val="00BB6599"/>
    <w:rsid w:val="00BB68D2"/>
    <w:rsid w:val="00BB6B85"/>
    <w:rsid w:val="00BB6D4E"/>
    <w:rsid w:val="00BB79DF"/>
    <w:rsid w:val="00BB7C5C"/>
    <w:rsid w:val="00BC0712"/>
    <w:rsid w:val="00BC072B"/>
    <w:rsid w:val="00BC0A87"/>
    <w:rsid w:val="00BC0AB7"/>
    <w:rsid w:val="00BC11A0"/>
    <w:rsid w:val="00BC1328"/>
    <w:rsid w:val="00BC14F1"/>
    <w:rsid w:val="00BC154D"/>
    <w:rsid w:val="00BC1C30"/>
    <w:rsid w:val="00BC1D43"/>
    <w:rsid w:val="00BC1D49"/>
    <w:rsid w:val="00BC27F4"/>
    <w:rsid w:val="00BC2DB3"/>
    <w:rsid w:val="00BC3101"/>
    <w:rsid w:val="00BC35E3"/>
    <w:rsid w:val="00BC3995"/>
    <w:rsid w:val="00BC3E7F"/>
    <w:rsid w:val="00BC3EAE"/>
    <w:rsid w:val="00BC3F08"/>
    <w:rsid w:val="00BC48FD"/>
    <w:rsid w:val="00BC4EB5"/>
    <w:rsid w:val="00BC53AE"/>
    <w:rsid w:val="00BC5A5C"/>
    <w:rsid w:val="00BC5D74"/>
    <w:rsid w:val="00BC6242"/>
    <w:rsid w:val="00BC651F"/>
    <w:rsid w:val="00BC6BAA"/>
    <w:rsid w:val="00BC6E63"/>
    <w:rsid w:val="00BC72A2"/>
    <w:rsid w:val="00BC7B4B"/>
    <w:rsid w:val="00BC7E86"/>
    <w:rsid w:val="00BD00D3"/>
    <w:rsid w:val="00BD03D9"/>
    <w:rsid w:val="00BD05AC"/>
    <w:rsid w:val="00BD0902"/>
    <w:rsid w:val="00BD0E74"/>
    <w:rsid w:val="00BD10ED"/>
    <w:rsid w:val="00BD1517"/>
    <w:rsid w:val="00BD1579"/>
    <w:rsid w:val="00BD1723"/>
    <w:rsid w:val="00BD19C1"/>
    <w:rsid w:val="00BD1C5D"/>
    <w:rsid w:val="00BD2698"/>
    <w:rsid w:val="00BD29E3"/>
    <w:rsid w:val="00BD347A"/>
    <w:rsid w:val="00BD3633"/>
    <w:rsid w:val="00BD3955"/>
    <w:rsid w:val="00BD40AD"/>
    <w:rsid w:val="00BD43B9"/>
    <w:rsid w:val="00BD45A1"/>
    <w:rsid w:val="00BD4877"/>
    <w:rsid w:val="00BD4C37"/>
    <w:rsid w:val="00BD50DC"/>
    <w:rsid w:val="00BD5507"/>
    <w:rsid w:val="00BD5D41"/>
    <w:rsid w:val="00BD6BE9"/>
    <w:rsid w:val="00BD6C65"/>
    <w:rsid w:val="00BD6CDD"/>
    <w:rsid w:val="00BD6E8E"/>
    <w:rsid w:val="00BD7FE9"/>
    <w:rsid w:val="00BE07B6"/>
    <w:rsid w:val="00BE0924"/>
    <w:rsid w:val="00BE09AE"/>
    <w:rsid w:val="00BE0A06"/>
    <w:rsid w:val="00BE0DBB"/>
    <w:rsid w:val="00BE1C02"/>
    <w:rsid w:val="00BE1D3B"/>
    <w:rsid w:val="00BE21D4"/>
    <w:rsid w:val="00BE24B8"/>
    <w:rsid w:val="00BE3092"/>
    <w:rsid w:val="00BE354F"/>
    <w:rsid w:val="00BE368E"/>
    <w:rsid w:val="00BE3C2B"/>
    <w:rsid w:val="00BE3D5F"/>
    <w:rsid w:val="00BE406D"/>
    <w:rsid w:val="00BE43DA"/>
    <w:rsid w:val="00BE463A"/>
    <w:rsid w:val="00BE4F0C"/>
    <w:rsid w:val="00BE5701"/>
    <w:rsid w:val="00BE5A1C"/>
    <w:rsid w:val="00BE624B"/>
    <w:rsid w:val="00BE678C"/>
    <w:rsid w:val="00BE67E3"/>
    <w:rsid w:val="00BE6C0E"/>
    <w:rsid w:val="00BE7254"/>
    <w:rsid w:val="00BE7B57"/>
    <w:rsid w:val="00BE7BB9"/>
    <w:rsid w:val="00BE7C48"/>
    <w:rsid w:val="00BE7EC7"/>
    <w:rsid w:val="00BF0166"/>
    <w:rsid w:val="00BF01C3"/>
    <w:rsid w:val="00BF0470"/>
    <w:rsid w:val="00BF0630"/>
    <w:rsid w:val="00BF08CD"/>
    <w:rsid w:val="00BF0B40"/>
    <w:rsid w:val="00BF14B9"/>
    <w:rsid w:val="00BF1547"/>
    <w:rsid w:val="00BF1881"/>
    <w:rsid w:val="00BF1889"/>
    <w:rsid w:val="00BF1C2C"/>
    <w:rsid w:val="00BF1D4F"/>
    <w:rsid w:val="00BF1E37"/>
    <w:rsid w:val="00BF1E96"/>
    <w:rsid w:val="00BF2818"/>
    <w:rsid w:val="00BF2BBB"/>
    <w:rsid w:val="00BF3139"/>
    <w:rsid w:val="00BF37F4"/>
    <w:rsid w:val="00BF3EF0"/>
    <w:rsid w:val="00BF4016"/>
    <w:rsid w:val="00BF4D68"/>
    <w:rsid w:val="00BF4DE2"/>
    <w:rsid w:val="00BF4E5B"/>
    <w:rsid w:val="00BF5106"/>
    <w:rsid w:val="00BF513F"/>
    <w:rsid w:val="00BF5477"/>
    <w:rsid w:val="00BF5B44"/>
    <w:rsid w:val="00BF5BE3"/>
    <w:rsid w:val="00BF5EF2"/>
    <w:rsid w:val="00BF66BB"/>
    <w:rsid w:val="00BF68E4"/>
    <w:rsid w:val="00BF6957"/>
    <w:rsid w:val="00BF697B"/>
    <w:rsid w:val="00BF720D"/>
    <w:rsid w:val="00BF7976"/>
    <w:rsid w:val="00BF7FFD"/>
    <w:rsid w:val="00C001AF"/>
    <w:rsid w:val="00C00618"/>
    <w:rsid w:val="00C00CF5"/>
    <w:rsid w:val="00C010CB"/>
    <w:rsid w:val="00C0129D"/>
    <w:rsid w:val="00C0154C"/>
    <w:rsid w:val="00C01B0F"/>
    <w:rsid w:val="00C01B20"/>
    <w:rsid w:val="00C01CE9"/>
    <w:rsid w:val="00C0233D"/>
    <w:rsid w:val="00C02906"/>
    <w:rsid w:val="00C02C58"/>
    <w:rsid w:val="00C03559"/>
    <w:rsid w:val="00C035F9"/>
    <w:rsid w:val="00C03693"/>
    <w:rsid w:val="00C03756"/>
    <w:rsid w:val="00C03832"/>
    <w:rsid w:val="00C04E73"/>
    <w:rsid w:val="00C04FF7"/>
    <w:rsid w:val="00C05146"/>
    <w:rsid w:val="00C055BB"/>
    <w:rsid w:val="00C05D29"/>
    <w:rsid w:val="00C061C4"/>
    <w:rsid w:val="00C0650C"/>
    <w:rsid w:val="00C06730"/>
    <w:rsid w:val="00C0688B"/>
    <w:rsid w:val="00C069AC"/>
    <w:rsid w:val="00C06BE7"/>
    <w:rsid w:val="00C06C1A"/>
    <w:rsid w:val="00C06C33"/>
    <w:rsid w:val="00C07051"/>
    <w:rsid w:val="00C07455"/>
    <w:rsid w:val="00C07616"/>
    <w:rsid w:val="00C0780C"/>
    <w:rsid w:val="00C0783B"/>
    <w:rsid w:val="00C07986"/>
    <w:rsid w:val="00C1000F"/>
    <w:rsid w:val="00C1021B"/>
    <w:rsid w:val="00C102CC"/>
    <w:rsid w:val="00C10A24"/>
    <w:rsid w:val="00C10A8A"/>
    <w:rsid w:val="00C10B34"/>
    <w:rsid w:val="00C10CA3"/>
    <w:rsid w:val="00C11557"/>
    <w:rsid w:val="00C12135"/>
    <w:rsid w:val="00C12499"/>
    <w:rsid w:val="00C12653"/>
    <w:rsid w:val="00C128D9"/>
    <w:rsid w:val="00C133B3"/>
    <w:rsid w:val="00C138A1"/>
    <w:rsid w:val="00C139EC"/>
    <w:rsid w:val="00C147B2"/>
    <w:rsid w:val="00C153FB"/>
    <w:rsid w:val="00C1596F"/>
    <w:rsid w:val="00C15F42"/>
    <w:rsid w:val="00C1600D"/>
    <w:rsid w:val="00C168F7"/>
    <w:rsid w:val="00C16A32"/>
    <w:rsid w:val="00C16A97"/>
    <w:rsid w:val="00C16AC6"/>
    <w:rsid w:val="00C17403"/>
    <w:rsid w:val="00C17B73"/>
    <w:rsid w:val="00C17BD6"/>
    <w:rsid w:val="00C17D89"/>
    <w:rsid w:val="00C20024"/>
    <w:rsid w:val="00C210E5"/>
    <w:rsid w:val="00C218B4"/>
    <w:rsid w:val="00C21DA0"/>
    <w:rsid w:val="00C21FE4"/>
    <w:rsid w:val="00C22239"/>
    <w:rsid w:val="00C22A50"/>
    <w:rsid w:val="00C2315C"/>
    <w:rsid w:val="00C236BB"/>
    <w:rsid w:val="00C23B94"/>
    <w:rsid w:val="00C241DC"/>
    <w:rsid w:val="00C244CE"/>
    <w:rsid w:val="00C2490E"/>
    <w:rsid w:val="00C25A71"/>
    <w:rsid w:val="00C25AF6"/>
    <w:rsid w:val="00C260A4"/>
    <w:rsid w:val="00C262BB"/>
    <w:rsid w:val="00C267B7"/>
    <w:rsid w:val="00C26840"/>
    <w:rsid w:val="00C26CF3"/>
    <w:rsid w:val="00C27232"/>
    <w:rsid w:val="00C273A2"/>
    <w:rsid w:val="00C27B2E"/>
    <w:rsid w:val="00C30207"/>
    <w:rsid w:val="00C304F5"/>
    <w:rsid w:val="00C30BBD"/>
    <w:rsid w:val="00C30DBD"/>
    <w:rsid w:val="00C31729"/>
    <w:rsid w:val="00C31A45"/>
    <w:rsid w:val="00C31F4B"/>
    <w:rsid w:val="00C3230B"/>
    <w:rsid w:val="00C3240E"/>
    <w:rsid w:val="00C32599"/>
    <w:rsid w:val="00C329A1"/>
    <w:rsid w:val="00C329E3"/>
    <w:rsid w:val="00C32BFF"/>
    <w:rsid w:val="00C32C5A"/>
    <w:rsid w:val="00C32C6C"/>
    <w:rsid w:val="00C334DF"/>
    <w:rsid w:val="00C336BF"/>
    <w:rsid w:val="00C33E75"/>
    <w:rsid w:val="00C3465A"/>
    <w:rsid w:val="00C34E88"/>
    <w:rsid w:val="00C359A6"/>
    <w:rsid w:val="00C35AEA"/>
    <w:rsid w:val="00C3691E"/>
    <w:rsid w:val="00C36FA4"/>
    <w:rsid w:val="00C37317"/>
    <w:rsid w:val="00C373AC"/>
    <w:rsid w:val="00C3793A"/>
    <w:rsid w:val="00C37D04"/>
    <w:rsid w:val="00C37D63"/>
    <w:rsid w:val="00C4007C"/>
    <w:rsid w:val="00C40575"/>
    <w:rsid w:val="00C408A3"/>
    <w:rsid w:val="00C411BF"/>
    <w:rsid w:val="00C413AB"/>
    <w:rsid w:val="00C414BA"/>
    <w:rsid w:val="00C427F4"/>
    <w:rsid w:val="00C42924"/>
    <w:rsid w:val="00C42C1D"/>
    <w:rsid w:val="00C43101"/>
    <w:rsid w:val="00C434EC"/>
    <w:rsid w:val="00C4352C"/>
    <w:rsid w:val="00C4443B"/>
    <w:rsid w:val="00C44691"/>
    <w:rsid w:val="00C44867"/>
    <w:rsid w:val="00C44FA4"/>
    <w:rsid w:val="00C4547C"/>
    <w:rsid w:val="00C4560D"/>
    <w:rsid w:val="00C456DE"/>
    <w:rsid w:val="00C45D6E"/>
    <w:rsid w:val="00C4666D"/>
    <w:rsid w:val="00C466E4"/>
    <w:rsid w:val="00C46BA5"/>
    <w:rsid w:val="00C46C77"/>
    <w:rsid w:val="00C46D35"/>
    <w:rsid w:val="00C46E18"/>
    <w:rsid w:val="00C471B6"/>
    <w:rsid w:val="00C474EE"/>
    <w:rsid w:val="00C477A2"/>
    <w:rsid w:val="00C47F05"/>
    <w:rsid w:val="00C50758"/>
    <w:rsid w:val="00C50D9B"/>
    <w:rsid w:val="00C5197A"/>
    <w:rsid w:val="00C51B5F"/>
    <w:rsid w:val="00C51CDD"/>
    <w:rsid w:val="00C51D2C"/>
    <w:rsid w:val="00C51EC3"/>
    <w:rsid w:val="00C51F2A"/>
    <w:rsid w:val="00C52717"/>
    <w:rsid w:val="00C5280E"/>
    <w:rsid w:val="00C52864"/>
    <w:rsid w:val="00C52CCF"/>
    <w:rsid w:val="00C537E6"/>
    <w:rsid w:val="00C539CC"/>
    <w:rsid w:val="00C53AD2"/>
    <w:rsid w:val="00C53B6F"/>
    <w:rsid w:val="00C53DAC"/>
    <w:rsid w:val="00C53DD7"/>
    <w:rsid w:val="00C5410A"/>
    <w:rsid w:val="00C546C3"/>
    <w:rsid w:val="00C5488D"/>
    <w:rsid w:val="00C54921"/>
    <w:rsid w:val="00C54B84"/>
    <w:rsid w:val="00C54B9F"/>
    <w:rsid w:val="00C55C73"/>
    <w:rsid w:val="00C55EDE"/>
    <w:rsid w:val="00C5612C"/>
    <w:rsid w:val="00C5656B"/>
    <w:rsid w:val="00C565C8"/>
    <w:rsid w:val="00C5674A"/>
    <w:rsid w:val="00C56955"/>
    <w:rsid w:val="00C56B9C"/>
    <w:rsid w:val="00C57377"/>
    <w:rsid w:val="00C57B4A"/>
    <w:rsid w:val="00C60396"/>
    <w:rsid w:val="00C6043C"/>
    <w:rsid w:val="00C60489"/>
    <w:rsid w:val="00C60B2D"/>
    <w:rsid w:val="00C610BC"/>
    <w:rsid w:val="00C61151"/>
    <w:rsid w:val="00C622F7"/>
    <w:rsid w:val="00C62B85"/>
    <w:rsid w:val="00C62EDF"/>
    <w:rsid w:val="00C6398C"/>
    <w:rsid w:val="00C639B7"/>
    <w:rsid w:val="00C64194"/>
    <w:rsid w:val="00C64738"/>
    <w:rsid w:val="00C64A82"/>
    <w:rsid w:val="00C64B05"/>
    <w:rsid w:val="00C64DF8"/>
    <w:rsid w:val="00C65901"/>
    <w:rsid w:val="00C65C14"/>
    <w:rsid w:val="00C66154"/>
    <w:rsid w:val="00C6642B"/>
    <w:rsid w:val="00C66506"/>
    <w:rsid w:val="00C66534"/>
    <w:rsid w:val="00C66542"/>
    <w:rsid w:val="00C6672D"/>
    <w:rsid w:val="00C66B59"/>
    <w:rsid w:val="00C70695"/>
    <w:rsid w:val="00C70C18"/>
    <w:rsid w:val="00C713BD"/>
    <w:rsid w:val="00C7189F"/>
    <w:rsid w:val="00C71AE5"/>
    <w:rsid w:val="00C71E84"/>
    <w:rsid w:val="00C72085"/>
    <w:rsid w:val="00C72BD2"/>
    <w:rsid w:val="00C72C5D"/>
    <w:rsid w:val="00C730DF"/>
    <w:rsid w:val="00C7334D"/>
    <w:rsid w:val="00C733E6"/>
    <w:rsid w:val="00C73759"/>
    <w:rsid w:val="00C74D5E"/>
    <w:rsid w:val="00C75043"/>
    <w:rsid w:val="00C75072"/>
    <w:rsid w:val="00C755D7"/>
    <w:rsid w:val="00C75718"/>
    <w:rsid w:val="00C75E56"/>
    <w:rsid w:val="00C75F6A"/>
    <w:rsid w:val="00C7608F"/>
    <w:rsid w:val="00C7663B"/>
    <w:rsid w:val="00C767A1"/>
    <w:rsid w:val="00C76824"/>
    <w:rsid w:val="00C76C80"/>
    <w:rsid w:val="00C77129"/>
    <w:rsid w:val="00C7753B"/>
    <w:rsid w:val="00C778E8"/>
    <w:rsid w:val="00C77EDF"/>
    <w:rsid w:val="00C77FB4"/>
    <w:rsid w:val="00C80C44"/>
    <w:rsid w:val="00C8109E"/>
    <w:rsid w:val="00C8133D"/>
    <w:rsid w:val="00C814FC"/>
    <w:rsid w:val="00C81865"/>
    <w:rsid w:val="00C82459"/>
    <w:rsid w:val="00C82530"/>
    <w:rsid w:val="00C82A48"/>
    <w:rsid w:val="00C8309D"/>
    <w:rsid w:val="00C83299"/>
    <w:rsid w:val="00C83698"/>
    <w:rsid w:val="00C8381A"/>
    <w:rsid w:val="00C838D8"/>
    <w:rsid w:val="00C838FA"/>
    <w:rsid w:val="00C8472D"/>
    <w:rsid w:val="00C84DE3"/>
    <w:rsid w:val="00C85403"/>
    <w:rsid w:val="00C857C8"/>
    <w:rsid w:val="00C85CEF"/>
    <w:rsid w:val="00C86211"/>
    <w:rsid w:val="00C87112"/>
    <w:rsid w:val="00C87997"/>
    <w:rsid w:val="00C87D02"/>
    <w:rsid w:val="00C900A2"/>
    <w:rsid w:val="00C900BC"/>
    <w:rsid w:val="00C90625"/>
    <w:rsid w:val="00C907D6"/>
    <w:rsid w:val="00C90945"/>
    <w:rsid w:val="00C909B9"/>
    <w:rsid w:val="00C90B03"/>
    <w:rsid w:val="00C90B34"/>
    <w:rsid w:val="00C90BC6"/>
    <w:rsid w:val="00C91099"/>
    <w:rsid w:val="00C91C90"/>
    <w:rsid w:val="00C922C7"/>
    <w:rsid w:val="00C926BA"/>
    <w:rsid w:val="00C92937"/>
    <w:rsid w:val="00C92976"/>
    <w:rsid w:val="00C92BAA"/>
    <w:rsid w:val="00C92FF1"/>
    <w:rsid w:val="00C93467"/>
    <w:rsid w:val="00C934A6"/>
    <w:rsid w:val="00C93F33"/>
    <w:rsid w:val="00C943AE"/>
    <w:rsid w:val="00C94B62"/>
    <w:rsid w:val="00C94C96"/>
    <w:rsid w:val="00C95283"/>
    <w:rsid w:val="00C955EC"/>
    <w:rsid w:val="00C96108"/>
    <w:rsid w:val="00C96D76"/>
    <w:rsid w:val="00C97186"/>
    <w:rsid w:val="00C974D4"/>
    <w:rsid w:val="00C97699"/>
    <w:rsid w:val="00C97774"/>
    <w:rsid w:val="00C97913"/>
    <w:rsid w:val="00C97A5F"/>
    <w:rsid w:val="00CA0024"/>
    <w:rsid w:val="00CA0196"/>
    <w:rsid w:val="00CA059B"/>
    <w:rsid w:val="00CA072E"/>
    <w:rsid w:val="00CA12E9"/>
    <w:rsid w:val="00CA1A13"/>
    <w:rsid w:val="00CA1E7A"/>
    <w:rsid w:val="00CA2330"/>
    <w:rsid w:val="00CA2C14"/>
    <w:rsid w:val="00CA2F05"/>
    <w:rsid w:val="00CA3282"/>
    <w:rsid w:val="00CA32AF"/>
    <w:rsid w:val="00CA34E7"/>
    <w:rsid w:val="00CA416A"/>
    <w:rsid w:val="00CA44B1"/>
    <w:rsid w:val="00CA47BB"/>
    <w:rsid w:val="00CA4870"/>
    <w:rsid w:val="00CA521F"/>
    <w:rsid w:val="00CA5493"/>
    <w:rsid w:val="00CA5993"/>
    <w:rsid w:val="00CA5A06"/>
    <w:rsid w:val="00CA5CD8"/>
    <w:rsid w:val="00CA66A3"/>
    <w:rsid w:val="00CA6B75"/>
    <w:rsid w:val="00CA7BA7"/>
    <w:rsid w:val="00CB0338"/>
    <w:rsid w:val="00CB06F1"/>
    <w:rsid w:val="00CB0E33"/>
    <w:rsid w:val="00CB10DB"/>
    <w:rsid w:val="00CB1214"/>
    <w:rsid w:val="00CB155B"/>
    <w:rsid w:val="00CB1671"/>
    <w:rsid w:val="00CB23EB"/>
    <w:rsid w:val="00CB2767"/>
    <w:rsid w:val="00CB2DF8"/>
    <w:rsid w:val="00CB30DF"/>
    <w:rsid w:val="00CB399E"/>
    <w:rsid w:val="00CB3D60"/>
    <w:rsid w:val="00CB505D"/>
    <w:rsid w:val="00CB515F"/>
    <w:rsid w:val="00CB527F"/>
    <w:rsid w:val="00CB6245"/>
    <w:rsid w:val="00CB6523"/>
    <w:rsid w:val="00CB678F"/>
    <w:rsid w:val="00CB69B8"/>
    <w:rsid w:val="00CB6B4D"/>
    <w:rsid w:val="00CB6DDA"/>
    <w:rsid w:val="00CB7847"/>
    <w:rsid w:val="00CB7E12"/>
    <w:rsid w:val="00CC01B9"/>
    <w:rsid w:val="00CC029B"/>
    <w:rsid w:val="00CC05EA"/>
    <w:rsid w:val="00CC0701"/>
    <w:rsid w:val="00CC0D50"/>
    <w:rsid w:val="00CC145C"/>
    <w:rsid w:val="00CC1F6E"/>
    <w:rsid w:val="00CC2073"/>
    <w:rsid w:val="00CC2475"/>
    <w:rsid w:val="00CC24B3"/>
    <w:rsid w:val="00CC2BA9"/>
    <w:rsid w:val="00CC2EEF"/>
    <w:rsid w:val="00CC32D8"/>
    <w:rsid w:val="00CC344D"/>
    <w:rsid w:val="00CC3489"/>
    <w:rsid w:val="00CC3A0E"/>
    <w:rsid w:val="00CC3D9B"/>
    <w:rsid w:val="00CC3E96"/>
    <w:rsid w:val="00CC44BF"/>
    <w:rsid w:val="00CC48E0"/>
    <w:rsid w:val="00CC62A6"/>
    <w:rsid w:val="00CC65F8"/>
    <w:rsid w:val="00CC6AC6"/>
    <w:rsid w:val="00CC6B23"/>
    <w:rsid w:val="00CC6EE0"/>
    <w:rsid w:val="00CC7AA3"/>
    <w:rsid w:val="00CD07AB"/>
    <w:rsid w:val="00CD089F"/>
    <w:rsid w:val="00CD0949"/>
    <w:rsid w:val="00CD0C77"/>
    <w:rsid w:val="00CD1DFC"/>
    <w:rsid w:val="00CD1E63"/>
    <w:rsid w:val="00CD205D"/>
    <w:rsid w:val="00CD20BA"/>
    <w:rsid w:val="00CD219A"/>
    <w:rsid w:val="00CD236C"/>
    <w:rsid w:val="00CD23FB"/>
    <w:rsid w:val="00CD2559"/>
    <w:rsid w:val="00CD2C62"/>
    <w:rsid w:val="00CD3105"/>
    <w:rsid w:val="00CD3B12"/>
    <w:rsid w:val="00CD412D"/>
    <w:rsid w:val="00CD4D01"/>
    <w:rsid w:val="00CD4D99"/>
    <w:rsid w:val="00CD50F2"/>
    <w:rsid w:val="00CD567A"/>
    <w:rsid w:val="00CD5923"/>
    <w:rsid w:val="00CD5BC5"/>
    <w:rsid w:val="00CD5C7D"/>
    <w:rsid w:val="00CD6203"/>
    <w:rsid w:val="00CD64D9"/>
    <w:rsid w:val="00CD65DC"/>
    <w:rsid w:val="00CD682B"/>
    <w:rsid w:val="00CD6CA5"/>
    <w:rsid w:val="00CD7081"/>
    <w:rsid w:val="00CD7145"/>
    <w:rsid w:val="00CD7234"/>
    <w:rsid w:val="00CD72D0"/>
    <w:rsid w:val="00CD73B8"/>
    <w:rsid w:val="00CD7523"/>
    <w:rsid w:val="00CE01C6"/>
    <w:rsid w:val="00CE0AA7"/>
    <w:rsid w:val="00CE0B01"/>
    <w:rsid w:val="00CE1035"/>
    <w:rsid w:val="00CE15C3"/>
    <w:rsid w:val="00CE193C"/>
    <w:rsid w:val="00CE1B46"/>
    <w:rsid w:val="00CE2812"/>
    <w:rsid w:val="00CE2816"/>
    <w:rsid w:val="00CE28F3"/>
    <w:rsid w:val="00CE2ACB"/>
    <w:rsid w:val="00CE2C63"/>
    <w:rsid w:val="00CE2F4F"/>
    <w:rsid w:val="00CE2FF3"/>
    <w:rsid w:val="00CE329C"/>
    <w:rsid w:val="00CE4346"/>
    <w:rsid w:val="00CE44D1"/>
    <w:rsid w:val="00CE4573"/>
    <w:rsid w:val="00CE45B5"/>
    <w:rsid w:val="00CE4721"/>
    <w:rsid w:val="00CE49E7"/>
    <w:rsid w:val="00CE63A6"/>
    <w:rsid w:val="00CE664F"/>
    <w:rsid w:val="00CE688A"/>
    <w:rsid w:val="00CE6939"/>
    <w:rsid w:val="00CE6CD0"/>
    <w:rsid w:val="00CE6D54"/>
    <w:rsid w:val="00CE7698"/>
    <w:rsid w:val="00CF03DC"/>
    <w:rsid w:val="00CF054B"/>
    <w:rsid w:val="00CF06E9"/>
    <w:rsid w:val="00CF070A"/>
    <w:rsid w:val="00CF0A66"/>
    <w:rsid w:val="00CF1322"/>
    <w:rsid w:val="00CF13F2"/>
    <w:rsid w:val="00CF1753"/>
    <w:rsid w:val="00CF188E"/>
    <w:rsid w:val="00CF1D89"/>
    <w:rsid w:val="00CF20DE"/>
    <w:rsid w:val="00CF2104"/>
    <w:rsid w:val="00CF239D"/>
    <w:rsid w:val="00CF24A3"/>
    <w:rsid w:val="00CF28AF"/>
    <w:rsid w:val="00CF28D3"/>
    <w:rsid w:val="00CF2BA7"/>
    <w:rsid w:val="00CF2D6D"/>
    <w:rsid w:val="00CF34D0"/>
    <w:rsid w:val="00CF3734"/>
    <w:rsid w:val="00CF3979"/>
    <w:rsid w:val="00CF3C2E"/>
    <w:rsid w:val="00CF3FAA"/>
    <w:rsid w:val="00CF3FC8"/>
    <w:rsid w:val="00CF3FFE"/>
    <w:rsid w:val="00CF40BD"/>
    <w:rsid w:val="00CF4422"/>
    <w:rsid w:val="00CF48BB"/>
    <w:rsid w:val="00CF48CF"/>
    <w:rsid w:val="00CF4945"/>
    <w:rsid w:val="00CF543A"/>
    <w:rsid w:val="00CF5797"/>
    <w:rsid w:val="00CF59D7"/>
    <w:rsid w:val="00CF5E40"/>
    <w:rsid w:val="00CF600C"/>
    <w:rsid w:val="00CF64EA"/>
    <w:rsid w:val="00CF69E8"/>
    <w:rsid w:val="00CF6BD6"/>
    <w:rsid w:val="00CF6C45"/>
    <w:rsid w:val="00CF6EF1"/>
    <w:rsid w:val="00CF74DF"/>
    <w:rsid w:val="00CF77B1"/>
    <w:rsid w:val="00CF7835"/>
    <w:rsid w:val="00CF79A3"/>
    <w:rsid w:val="00CF79C8"/>
    <w:rsid w:val="00CF7A9E"/>
    <w:rsid w:val="00CF7C5A"/>
    <w:rsid w:val="00CF7D25"/>
    <w:rsid w:val="00CF7FF4"/>
    <w:rsid w:val="00D00114"/>
    <w:rsid w:val="00D00BDF"/>
    <w:rsid w:val="00D00CB7"/>
    <w:rsid w:val="00D01363"/>
    <w:rsid w:val="00D0166C"/>
    <w:rsid w:val="00D01918"/>
    <w:rsid w:val="00D01B19"/>
    <w:rsid w:val="00D02059"/>
    <w:rsid w:val="00D02089"/>
    <w:rsid w:val="00D0220B"/>
    <w:rsid w:val="00D02320"/>
    <w:rsid w:val="00D02C13"/>
    <w:rsid w:val="00D02E2A"/>
    <w:rsid w:val="00D03AC4"/>
    <w:rsid w:val="00D03CCE"/>
    <w:rsid w:val="00D04293"/>
    <w:rsid w:val="00D044E3"/>
    <w:rsid w:val="00D05277"/>
    <w:rsid w:val="00D05C0B"/>
    <w:rsid w:val="00D05E3B"/>
    <w:rsid w:val="00D0618F"/>
    <w:rsid w:val="00D06283"/>
    <w:rsid w:val="00D06A08"/>
    <w:rsid w:val="00D06B16"/>
    <w:rsid w:val="00D07406"/>
    <w:rsid w:val="00D075BC"/>
    <w:rsid w:val="00D07CB0"/>
    <w:rsid w:val="00D07EEA"/>
    <w:rsid w:val="00D101EE"/>
    <w:rsid w:val="00D10253"/>
    <w:rsid w:val="00D10392"/>
    <w:rsid w:val="00D10870"/>
    <w:rsid w:val="00D109A3"/>
    <w:rsid w:val="00D10AD1"/>
    <w:rsid w:val="00D10EB6"/>
    <w:rsid w:val="00D11274"/>
    <w:rsid w:val="00D115B5"/>
    <w:rsid w:val="00D115EE"/>
    <w:rsid w:val="00D135D8"/>
    <w:rsid w:val="00D13870"/>
    <w:rsid w:val="00D138ED"/>
    <w:rsid w:val="00D14872"/>
    <w:rsid w:val="00D14D25"/>
    <w:rsid w:val="00D15E6A"/>
    <w:rsid w:val="00D166EA"/>
    <w:rsid w:val="00D16DAA"/>
    <w:rsid w:val="00D17218"/>
    <w:rsid w:val="00D17E87"/>
    <w:rsid w:val="00D17EB4"/>
    <w:rsid w:val="00D202DA"/>
    <w:rsid w:val="00D21272"/>
    <w:rsid w:val="00D212D4"/>
    <w:rsid w:val="00D21956"/>
    <w:rsid w:val="00D21DDB"/>
    <w:rsid w:val="00D21ED4"/>
    <w:rsid w:val="00D220CE"/>
    <w:rsid w:val="00D22270"/>
    <w:rsid w:val="00D225C8"/>
    <w:rsid w:val="00D22BBD"/>
    <w:rsid w:val="00D22BF0"/>
    <w:rsid w:val="00D22E63"/>
    <w:rsid w:val="00D230C5"/>
    <w:rsid w:val="00D231D3"/>
    <w:rsid w:val="00D23959"/>
    <w:rsid w:val="00D2400B"/>
    <w:rsid w:val="00D24178"/>
    <w:rsid w:val="00D241C5"/>
    <w:rsid w:val="00D24448"/>
    <w:rsid w:val="00D24AAE"/>
    <w:rsid w:val="00D24AC8"/>
    <w:rsid w:val="00D24B89"/>
    <w:rsid w:val="00D25424"/>
    <w:rsid w:val="00D25816"/>
    <w:rsid w:val="00D25F39"/>
    <w:rsid w:val="00D260D5"/>
    <w:rsid w:val="00D2635A"/>
    <w:rsid w:val="00D26744"/>
    <w:rsid w:val="00D27386"/>
    <w:rsid w:val="00D27547"/>
    <w:rsid w:val="00D27553"/>
    <w:rsid w:val="00D27BF8"/>
    <w:rsid w:val="00D27EB0"/>
    <w:rsid w:val="00D307F3"/>
    <w:rsid w:val="00D30855"/>
    <w:rsid w:val="00D309DA"/>
    <w:rsid w:val="00D30A8D"/>
    <w:rsid w:val="00D314B4"/>
    <w:rsid w:val="00D3150E"/>
    <w:rsid w:val="00D31C8E"/>
    <w:rsid w:val="00D31CF7"/>
    <w:rsid w:val="00D32367"/>
    <w:rsid w:val="00D32519"/>
    <w:rsid w:val="00D32C7D"/>
    <w:rsid w:val="00D32E07"/>
    <w:rsid w:val="00D3338C"/>
    <w:rsid w:val="00D333A6"/>
    <w:rsid w:val="00D34971"/>
    <w:rsid w:val="00D349AF"/>
    <w:rsid w:val="00D34B93"/>
    <w:rsid w:val="00D36067"/>
    <w:rsid w:val="00D3623D"/>
    <w:rsid w:val="00D36F96"/>
    <w:rsid w:val="00D37203"/>
    <w:rsid w:val="00D379DF"/>
    <w:rsid w:val="00D37D1D"/>
    <w:rsid w:val="00D37FF7"/>
    <w:rsid w:val="00D40194"/>
    <w:rsid w:val="00D40458"/>
    <w:rsid w:val="00D4075E"/>
    <w:rsid w:val="00D40844"/>
    <w:rsid w:val="00D40908"/>
    <w:rsid w:val="00D40D67"/>
    <w:rsid w:val="00D40E09"/>
    <w:rsid w:val="00D40F95"/>
    <w:rsid w:val="00D411E2"/>
    <w:rsid w:val="00D41342"/>
    <w:rsid w:val="00D417DF"/>
    <w:rsid w:val="00D41981"/>
    <w:rsid w:val="00D41C4C"/>
    <w:rsid w:val="00D42081"/>
    <w:rsid w:val="00D426F8"/>
    <w:rsid w:val="00D42BCC"/>
    <w:rsid w:val="00D431CC"/>
    <w:rsid w:val="00D43239"/>
    <w:rsid w:val="00D43FF5"/>
    <w:rsid w:val="00D4452C"/>
    <w:rsid w:val="00D4570A"/>
    <w:rsid w:val="00D45884"/>
    <w:rsid w:val="00D45E5C"/>
    <w:rsid w:val="00D47200"/>
    <w:rsid w:val="00D4777E"/>
    <w:rsid w:val="00D4782F"/>
    <w:rsid w:val="00D47961"/>
    <w:rsid w:val="00D47979"/>
    <w:rsid w:val="00D47F07"/>
    <w:rsid w:val="00D47F88"/>
    <w:rsid w:val="00D50746"/>
    <w:rsid w:val="00D5224C"/>
    <w:rsid w:val="00D5275A"/>
    <w:rsid w:val="00D52ABE"/>
    <w:rsid w:val="00D53097"/>
    <w:rsid w:val="00D53463"/>
    <w:rsid w:val="00D5431E"/>
    <w:rsid w:val="00D544DA"/>
    <w:rsid w:val="00D549B8"/>
    <w:rsid w:val="00D54E72"/>
    <w:rsid w:val="00D5520D"/>
    <w:rsid w:val="00D553E3"/>
    <w:rsid w:val="00D55E2E"/>
    <w:rsid w:val="00D56024"/>
    <w:rsid w:val="00D5619F"/>
    <w:rsid w:val="00D563E2"/>
    <w:rsid w:val="00D56916"/>
    <w:rsid w:val="00D56966"/>
    <w:rsid w:val="00D56E1E"/>
    <w:rsid w:val="00D57002"/>
    <w:rsid w:val="00D571B0"/>
    <w:rsid w:val="00D572D5"/>
    <w:rsid w:val="00D573D2"/>
    <w:rsid w:val="00D57469"/>
    <w:rsid w:val="00D57CCA"/>
    <w:rsid w:val="00D57CFC"/>
    <w:rsid w:val="00D603F4"/>
    <w:rsid w:val="00D603FE"/>
    <w:rsid w:val="00D6054C"/>
    <w:rsid w:val="00D61165"/>
    <w:rsid w:val="00D61743"/>
    <w:rsid w:val="00D61AEC"/>
    <w:rsid w:val="00D61C01"/>
    <w:rsid w:val="00D6222E"/>
    <w:rsid w:val="00D63596"/>
    <w:rsid w:val="00D63A46"/>
    <w:rsid w:val="00D63A67"/>
    <w:rsid w:val="00D63B5A"/>
    <w:rsid w:val="00D63DE1"/>
    <w:rsid w:val="00D63F37"/>
    <w:rsid w:val="00D64F28"/>
    <w:rsid w:val="00D64F60"/>
    <w:rsid w:val="00D654E4"/>
    <w:rsid w:val="00D65857"/>
    <w:rsid w:val="00D65E3C"/>
    <w:rsid w:val="00D65F6C"/>
    <w:rsid w:val="00D66207"/>
    <w:rsid w:val="00D664A2"/>
    <w:rsid w:val="00D66663"/>
    <w:rsid w:val="00D6729A"/>
    <w:rsid w:val="00D677E1"/>
    <w:rsid w:val="00D67ACF"/>
    <w:rsid w:val="00D67EBB"/>
    <w:rsid w:val="00D67FEC"/>
    <w:rsid w:val="00D70136"/>
    <w:rsid w:val="00D7021D"/>
    <w:rsid w:val="00D70758"/>
    <w:rsid w:val="00D70D04"/>
    <w:rsid w:val="00D70E5A"/>
    <w:rsid w:val="00D71753"/>
    <w:rsid w:val="00D71A20"/>
    <w:rsid w:val="00D71C9E"/>
    <w:rsid w:val="00D71F90"/>
    <w:rsid w:val="00D72160"/>
    <w:rsid w:val="00D72221"/>
    <w:rsid w:val="00D72512"/>
    <w:rsid w:val="00D7281E"/>
    <w:rsid w:val="00D72C71"/>
    <w:rsid w:val="00D73232"/>
    <w:rsid w:val="00D73243"/>
    <w:rsid w:val="00D733B5"/>
    <w:rsid w:val="00D73DAE"/>
    <w:rsid w:val="00D74317"/>
    <w:rsid w:val="00D74616"/>
    <w:rsid w:val="00D74796"/>
    <w:rsid w:val="00D7501B"/>
    <w:rsid w:val="00D7542C"/>
    <w:rsid w:val="00D757BD"/>
    <w:rsid w:val="00D75869"/>
    <w:rsid w:val="00D76777"/>
    <w:rsid w:val="00D76F95"/>
    <w:rsid w:val="00D76FC8"/>
    <w:rsid w:val="00D770F5"/>
    <w:rsid w:val="00D772E6"/>
    <w:rsid w:val="00D77624"/>
    <w:rsid w:val="00D7775F"/>
    <w:rsid w:val="00D77E0F"/>
    <w:rsid w:val="00D800F2"/>
    <w:rsid w:val="00D804E0"/>
    <w:rsid w:val="00D80C8E"/>
    <w:rsid w:val="00D80CA5"/>
    <w:rsid w:val="00D81A05"/>
    <w:rsid w:val="00D8262A"/>
    <w:rsid w:val="00D83350"/>
    <w:rsid w:val="00D836CC"/>
    <w:rsid w:val="00D83953"/>
    <w:rsid w:val="00D839B3"/>
    <w:rsid w:val="00D83E98"/>
    <w:rsid w:val="00D842D1"/>
    <w:rsid w:val="00D8464F"/>
    <w:rsid w:val="00D84CBE"/>
    <w:rsid w:val="00D84FF5"/>
    <w:rsid w:val="00D85047"/>
    <w:rsid w:val="00D85BF3"/>
    <w:rsid w:val="00D86273"/>
    <w:rsid w:val="00D86AD3"/>
    <w:rsid w:val="00D8739C"/>
    <w:rsid w:val="00D87471"/>
    <w:rsid w:val="00D8751E"/>
    <w:rsid w:val="00D87790"/>
    <w:rsid w:val="00D877B5"/>
    <w:rsid w:val="00D87895"/>
    <w:rsid w:val="00D8791B"/>
    <w:rsid w:val="00D8791D"/>
    <w:rsid w:val="00D87C16"/>
    <w:rsid w:val="00D9018C"/>
    <w:rsid w:val="00D9018D"/>
    <w:rsid w:val="00D90223"/>
    <w:rsid w:val="00D90712"/>
    <w:rsid w:val="00D9091A"/>
    <w:rsid w:val="00D9099F"/>
    <w:rsid w:val="00D911FD"/>
    <w:rsid w:val="00D91457"/>
    <w:rsid w:val="00D914DB"/>
    <w:rsid w:val="00D9168C"/>
    <w:rsid w:val="00D91733"/>
    <w:rsid w:val="00D91AB1"/>
    <w:rsid w:val="00D91F07"/>
    <w:rsid w:val="00D9211E"/>
    <w:rsid w:val="00D925EE"/>
    <w:rsid w:val="00D92F02"/>
    <w:rsid w:val="00D92F7A"/>
    <w:rsid w:val="00D93100"/>
    <w:rsid w:val="00D93712"/>
    <w:rsid w:val="00D93F40"/>
    <w:rsid w:val="00D941E9"/>
    <w:rsid w:val="00D94528"/>
    <w:rsid w:val="00D94916"/>
    <w:rsid w:val="00D94B7B"/>
    <w:rsid w:val="00D94DAA"/>
    <w:rsid w:val="00D965F7"/>
    <w:rsid w:val="00D96EEE"/>
    <w:rsid w:val="00D9771B"/>
    <w:rsid w:val="00D97F98"/>
    <w:rsid w:val="00D97FC1"/>
    <w:rsid w:val="00DA02FC"/>
    <w:rsid w:val="00DA0491"/>
    <w:rsid w:val="00DA083D"/>
    <w:rsid w:val="00DA085E"/>
    <w:rsid w:val="00DA095B"/>
    <w:rsid w:val="00DA0DA1"/>
    <w:rsid w:val="00DA0FD9"/>
    <w:rsid w:val="00DA122D"/>
    <w:rsid w:val="00DA153A"/>
    <w:rsid w:val="00DA1604"/>
    <w:rsid w:val="00DA174F"/>
    <w:rsid w:val="00DA1887"/>
    <w:rsid w:val="00DA1B67"/>
    <w:rsid w:val="00DA1EFF"/>
    <w:rsid w:val="00DA236F"/>
    <w:rsid w:val="00DA2695"/>
    <w:rsid w:val="00DA29EF"/>
    <w:rsid w:val="00DA2EA9"/>
    <w:rsid w:val="00DA2EC9"/>
    <w:rsid w:val="00DA30DE"/>
    <w:rsid w:val="00DA3E21"/>
    <w:rsid w:val="00DA3EF3"/>
    <w:rsid w:val="00DA407C"/>
    <w:rsid w:val="00DA459F"/>
    <w:rsid w:val="00DA481D"/>
    <w:rsid w:val="00DA4AE1"/>
    <w:rsid w:val="00DA4B9E"/>
    <w:rsid w:val="00DA4D64"/>
    <w:rsid w:val="00DA4EE0"/>
    <w:rsid w:val="00DA50CD"/>
    <w:rsid w:val="00DA51E6"/>
    <w:rsid w:val="00DA5321"/>
    <w:rsid w:val="00DA5831"/>
    <w:rsid w:val="00DA5921"/>
    <w:rsid w:val="00DA5D35"/>
    <w:rsid w:val="00DA5FE9"/>
    <w:rsid w:val="00DA63F4"/>
    <w:rsid w:val="00DA659F"/>
    <w:rsid w:val="00DA6794"/>
    <w:rsid w:val="00DA6BAA"/>
    <w:rsid w:val="00DA70AD"/>
    <w:rsid w:val="00DA71F3"/>
    <w:rsid w:val="00DA755A"/>
    <w:rsid w:val="00DA7626"/>
    <w:rsid w:val="00DA777E"/>
    <w:rsid w:val="00DA7A04"/>
    <w:rsid w:val="00DA7DE9"/>
    <w:rsid w:val="00DA7E7F"/>
    <w:rsid w:val="00DB0197"/>
    <w:rsid w:val="00DB0D2D"/>
    <w:rsid w:val="00DB1C20"/>
    <w:rsid w:val="00DB1F13"/>
    <w:rsid w:val="00DB2590"/>
    <w:rsid w:val="00DB2E9D"/>
    <w:rsid w:val="00DB2ED9"/>
    <w:rsid w:val="00DB30D9"/>
    <w:rsid w:val="00DB3B5D"/>
    <w:rsid w:val="00DB403D"/>
    <w:rsid w:val="00DB43B7"/>
    <w:rsid w:val="00DB4459"/>
    <w:rsid w:val="00DB48DE"/>
    <w:rsid w:val="00DB4D30"/>
    <w:rsid w:val="00DB4E6D"/>
    <w:rsid w:val="00DB515D"/>
    <w:rsid w:val="00DB56A2"/>
    <w:rsid w:val="00DB59C9"/>
    <w:rsid w:val="00DB5F58"/>
    <w:rsid w:val="00DB7134"/>
    <w:rsid w:val="00DB7176"/>
    <w:rsid w:val="00DB720D"/>
    <w:rsid w:val="00DB726C"/>
    <w:rsid w:val="00DB7604"/>
    <w:rsid w:val="00DB7823"/>
    <w:rsid w:val="00DB78B0"/>
    <w:rsid w:val="00DB7A7A"/>
    <w:rsid w:val="00DB7F5B"/>
    <w:rsid w:val="00DC005E"/>
    <w:rsid w:val="00DC01C3"/>
    <w:rsid w:val="00DC0500"/>
    <w:rsid w:val="00DC0DF3"/>
    <w:rsid w:val="00DC0E0D"/>
    <w:rsid w:val="00DC16F9"/>
    <w:rsid w:val="00DC1739"/>
    <w:rsid w:val="00DC1B83"/>
    <w:rsid w:val="00DC2FA0"/>
    <w:rsid w:val="00DC3029"/>
    <w:rsid w:val="00DC3EDC"/>
    <w:rsid w:val="00DC3EE5"/>
    <w:rsid w:val="00DC4FB3"/>
    <w:rsid w:val="00DC556C"/>
    <w:rsid w:val="00DC5CEB"/>
    <w:rsid w:val="00DC5EB5"/>
    <w:rsid w:val="00DC5EDA"/>
    <w:rsid w:val="00DC650B"/>
    <w:rsid w:val="00DC780C"/>
    <w:rsid w:val="00DC788A"/>
    <w:rsid w:val="00DC7B48"/>
    <w:rsid w:val="00DC7D89"/>
    <w:rsid w:val="00DD00E9"/>
    <w:rsid w:val="00DD014F"/>
    <w:rsid w:val="00DD05A6"/>
    <w:rsid w:val="00DD09AE"/>
    <w:rsid w:val="00DD0A1D"/>
    <w:rsid w:val="00DD0B29"/>
    <w:rsid w:val="00DD0DD9"/>
    <w:rsid w:val="00DD1107"/>
    <w:rsid w:val="00DD13D8"/>
    <w:rsid w:val="00DD1E44"/>
    <w:rsid w:val="00DD2110"/>
    <w:rsid w:val="00DD2546"/>
    <w:rsid w:val="00DD28A1"/>
    <w:rsid w:val="00DD2A9B"/>
    <w:rsid w:val="00DD2DE5"/>
    <w:rsid w:val="00DD3506"/>
    <w:rsid w:val="00DD3CEF"/>
    <w:rsid w:val="00DD4021"/>
    <w:rsid w:val="00DD4527"/>
    <w:rsid w:val="00DD49BE"/>
    <w:rsid w:val="00DD541F"/>
    <w:rsid w:val="00DD54AE"/>
    <w:rsid w:val="00DD55CE"/>
    <w:rsid w:val="00DD569B"/>
    <w:rsid w:val="00DD5798"/>
    <w:rsid w:val="00DD5ED0"/>
    <w:rsid w:val="00DD5F17"/>
    <w:rsid w:val="00DD5FF1"/>
    <w:rsid w:val="00DD662F"/>
    <w:rsid w:val="00DD66D7"/>
    <w:rsid w:val="00DD6831"/>
    <w:rsid w:val="00DD69FB"/>
    <w:rsid w:val="00DD74EF"/>
    <w:rsid w:val="00DD7863"/>
    <w:rsid w:val="00DD7884"/>
    <w:rsid w:val="00DD7B88"/>
    <w:rsid w:val="00DD7C3E"/>
    <w:rsid w:val="00DD7CA1"/>
    <w:rsid w:val="00DD7F50"/>
    <w:rsid w:val="00DE0E87"/>
    <w:rsid w:val="00DE1131"/>
    <w:rsid w:val="00DE1E37"/>
    <w:rsid w:val="00DE2164"/>
    <w:rsid w:val="00DE21A4"/>
    <w:rsid w:val="00DE29A2"/>
    <w:rsid w:val="00DE29C3"/>
    <w:rsid w:val="00DE29E8"/>
    <w:rsid w:val="00DE2B19"/>
    <w:rsid w:val="00DE2D5E"/>
    <w:rsid w:val="00DE2F61"/>
    <w:rsid w:val="00DE33E7"/>
    <w:rsid w:val="00DE34BC"/>
    <w:rsid w:val="00DE4E2C"/>
    <w:rsid w:val="00DE5B36"/>
    <w:rsid w:val="00DE5FEF"/>
    <w:rsid w:val="00DE63FE"/>
    <w:rsid w:val="00DE656B"/>
    <w:rsid w:val="00DE665A"/>
    <w:rsid w:val="00DE6BC6"/>
    <w:rsid w:val="00DE70AD"/>
    <w:rsid w:val="00DE738A"/>
    <w:rsid w:val="00DF0583"/>
    <w:rsid w:val="00DF15FF"/>
    <w:rsid w:val="00DF168C"/>
    <w:rsid w:val="00DF179D"/>
    <w:rsid w:val="00DF1FBD"/>
    <w:rsid w:val="00DF1FFA"/>
    <w:rsid w:val="00DF202F"/>
    <w:rsid w:val="00DF20E6"/>
    <w:rsid w:val="00DF2185"/>
    <w:rsid w:val="00DF2C76"/>
    <w:rsid w:val="00DF3021"/>
    <w:rsid w:val="00DF34A5"/>
    <w:rsid w:val="00DF3998"/>
    <w:rsid w:val="00DF4264"/>
    <w:rsid w:val="00DF429F"/>
    <w:rsid w:val="00DF42F1"/>
    <w:rsid w:val="00DF43B3"/>
    <w:rsid w:val="00DF4A67"/>
    <w:rsid w:val="00DF4AB4"/>
    <w:rsid w:val="00DF4C49"/>
    <w:rsid w:val="00DF4E14"/>
    <w:rsid w:val="00DF54CF"/>
    <w:rsid w:val="00DF5799"/>
    <w:rsid w:val="00DF5A1C"/>
    <w:rsid w:val="00DF5CE2"/>
    <w:rsid w:val="00DF61D2"/>
    <w:rsid w:val="00DF6FFA"/>
    <w:rsid w:val="00DF7695"/>
    <w:rsid w:val="00DF7D52"/>
    <w:rsid w:val="00DF7D95"/>
    <w:rsid w:val="00E001C5"/>
    <w:rsid w:val="00E0047D"/>
    <w:rsid w:val="00E007BF"/>
    <w:rsid w:val="00E00880"/>
    <w:rsid w:val="00E00AAD"/>
    <w:rsid w:val="00E00F00"/>
    <w:rsid w:val="00E0158F"/>
    <w:rsid w:val="00E01873"/>
    <w:rsid w:val="00E01B68"/>
    <w:rsid w:val="00E01B82"/>
    <w:rsid w:val="00E01CBC"/>
    <w:rsid w:val="00E02135"/>
    <w:rsid w:val="00E02339"/>
    <w:rsid w:val="00E028DB"/>
    <w:rsid w:val="00E029B5"/>
    <w:rsid w:val="00E02B86"/>
    <w:rsid w:val="00E0313F"/>
    <w:rsid w:val="00E032D5"/>
    <w:rsid w:val="00E036DC"/>
    <w:rsid w:val="00E03742"/>
    <w:rsid w:val="00E04003"/>
    <w:rsid w:val="00E04221"/>
    <w:rsid w:val="00E04254"/>
    <w:rsid w:val="00E046C5"/>
    <w:rsid w:val="00E046E5"/>
    <w:rsid w:val="00E0473B"/>
    <w:rsid w:val="00E04CBF"/>
    <w:rsid w:val="00E04CE8"/>
    <w:rsid w:val="00E05251"/>
    <w:rsid w:val="00E0558E"/>
    <w:rsid w:val="00E0567B"/>
    <w:rsid w:val="00E05A40"/>
    <w:rsid w:val="00E05EAA"/>
    <w:rsid w:val="00E05EF5"/>
    <w:rsid w:val="00E06167"/>
    <w:rsid w:val="00E06B66"/>
    <w:rsid w:val="00E06FEE"/>
    <w:rsid w:val="00E071C2"/>
    <w:rsid w:val="00E07CF2"/>
    <w:rsid w:val="00E100BB"/>
    <w:rsid w:val="00E10C93"/>
    <w:rsid w:val="00E113C2"/>
    <w:rsid w:val="00E120D4"/>
    <w:rsid w:val="00E12350"/>
    <w:rsid w:val="00E1248B"/>
    <w:rsid w:val="00E127A0"/>
    <w:rsid w:val="00E12818"/>
    <w:rsid w:val="00E12D0C"/>
    <w:rsid w:val="00E135FA"/>
    <w:rsid w:val="00E139D5"/>
    <w:rsid w:val="00E139F8"/>
    <w:rsid w:val="00E13A0B"/>
    <w:rsid w:val="00E13AF9"/>
    <w:rsid w:val="00E13D56"/>
    <w:rsid w:val="00E13EAF"/>
    <w:rsid w:val="00E13EB9"/>
    <w:rsid w:val="00E1469E"/>
    <w:rsid w:val="00E149C7"/>
    <w:rsid w:val="00E14E85"/>
    <w:rsid w:val="00E14EE5"/>
    <w:rsid w:val="00E152B5"/>
    <w:rsid w:val="00E152F4"/>
    <w:rsid w:val="00E15340"/>
    <w:rsid w:val="00E154AD"/>
    <w:rsid w:val="00E154E0"/>
    <w:rsid w:val="00E1564B"/>
    <w:rsid w:val="00E15817"/>
    <w:rsid w:val="00E15A62"/>
    <w:rsid w:val="00E15A73"/>
    <w:rsid w:val="00E15CA2"/>
    <w:rsid w:val="00E15DD0"/>
    <w:rsid w:val="00E1609A"/>
    <w:rsid w:val="00E1631E"/>
    <w:rsid w:val="00E16A24"/>
    <w:rsid w:val="00E16AA7"/>
    <w:rsid w:val="00E16D8D"/>
    <w:rsid w:val="00E17004"/>
    <w:rsid w:val="00E1738B"/>
    <w:rsid w:val="00E17540"/>
    <w:rsid w:val="00E17707"/>
    <w:rsid w:val="00E1771E"/>
    <w:rsid w:val="00E177AE"/>
    <w:rsid w:val="00E177D4"/>
    <w:rsid w:val="00E17ACB"/>
    <w:rsid w:val="00E17C21"/>
    <w:rsid w:val="00E20081"/>
    <w:rsid w:val="00E20223"/>
    <w:rsid w:val="00E20F37"/>
    <w:rsid w:val="00E21714"/>
    <w:rsid w:val="00E21804"/>
    <w:rsid w:val="00E21DBD"/>
    <w:rsid w:val="00E22401"/>
    <w:rsid w:val="00E22593"/>
    <w:rsid w:val="00E228F2"/>
    <w:rsid w:val="00E22DC2"/>
    <w:rsid w:val="00E2318D"/>
    <w:rsid w:val="00E2328B"/>
    <w:rsid w:val="00E23568"/>
    <w:rsid w:val="00E23AAB"/>
    <w:rsid w:val="00E23C08"/>
    <w:rsid w:val="00E23F5A"/>
    <w:rsid w:val="00E23FDF"/>
    <w:rsid w:val="00E24188"/>
    <w:rsid w:val="00E241F0"/>
    <w:rsid w:val="00E243AB"/>
    <w:rsid w:val="00E2440C"/>
    <w:rsid w:val="00E246EC"/>
    <w:rsid w:val="00E248C1"/>
    <w:rsid w:val="00E25296"/>
    <w:rsid w:val="00E25365"/>
    <w:rsid w:val="00E25419"/>
    <w:rsid w:val="00E25596"/>
    <w:rsid w:val="00E257E0"/>
    <w:rsid w:val="00E25C80"/>
    <w:rsid w:val="00E25E8A"/>
    <w:rsid w:val="00E26C54"/>
    <w:rsid w:val="00E26C60"/>
    <w:rsid w:val="00E26DC7"/>
    <w:rsid w:val="00E26F57"/>
    <w:rsid w:val="00E2709E"/>
    <w:rsid w:val="00E270FE"/>
    <w:rsid w:val="00E27504"/>
    <w:rsid w:val="00E27528"/>
    <w:rsid w:val="00E276CE"/>
    <w:rsid w:val="00E3007C"/>
    <w:rsid w:val="00E30ACF"/>
    <w:rsid w:val="00E310DC"/>
    <w:rsid w:val="00E31212"/>
    <w:rsid w:val="00E3136E"/>
    <w:rsid w:val="00E33459"/>
    <w:rsid w:val="00E3349A"/>
    <w:rsid w:val="00E338B6"/>
    <w:rsid w:val="00E338D4"/>
    <w:rsid w:val="00E33A80"/>
    <w:rsid w:val="00E3414F"/>
    <w:rsid w:val="00E342C8"/>
    <w:rsid w:val="00E34A28"/>
    <w:rsid w:val="00E34A8A"/>
    <w:rsid w:val="00E35299"/>
    <w:rsid w:val="00E35685"/>
    <w:rsid w:val="00E35CC9"/>
    <w:rsid w:val="00E35DD3"/>
    <w:rsid w:val="00E35EAC"/>
    <w:rsid w:val="00E3672C"/>
    <w:rsid w:val="00E36C6F"/>
    <w:rsid w:val="00E36F12"/>
    <w:rsid w:val="00E373AD"/>
    <w:rsid w:val="00E3745B"/>
    <w:rsid w:val="00E3759B"/>
    <w:rsid w:val="00E37942"/>
    <w:rsid w:val="00E3794F"/>
    <w:rsid w:val="00E37CCF"/>
    <w:rsid w:val="00E401E9"/>
    <w:rsid w:val="00E40336"/>
    <w:rsid w:val="00E403AD"/>
    <w:rsid w:val="00E41252"/>
    <w:rsid w:val="00E41BC8"/>
    <w:rsid w:val="00E41FC7"/>
    <w:rsid w:val="00E420D2"/>
    <w:rsid w:val="00E421B0"/>
    <w:rsid w:val="00E42552"/>
    <w:rsid w:val="00E4333F"/>
    <w:rsid w:val="00E437BD"/>
    <w:rsid w:val="00E43806"/>
    <w:rsid w:val="00E43AAC"/>
    <w:rsid w:val="00E43CD4"/>
    <w:rsid w:val="00E43D51"/>
    <w:rsid w:val="00E43E7B"/>
    <w:rsid w:val="00E448F2"/>
    <w:rsid w:val="00E451CB"/>
    <w:rsid w:val="00E452AB"/>
    <w:rsid w:val="00E454CA"/>
    <w:rsid w:val="00E45A6E"/>
    <w:rsid w:val="00E46082"/>
    <w:rsid w:val="00E477CB"/>
    <w:rsid w:val="00E47F0D"/>
    <w:rsid w:val="00E50181"/>
    <w:rsid w:val="00E504B8"/>
    <w:rsid w:val="00E506C6"/>
    <w:rsid w:val="00E50734"/>
    <w:rsid w:val="00E508C2"/>
    <w:rsid w:val="00E50ACB"/>
    <w:rsid w:val="00E50CEC"/>
    <w:rsid w:val="00E50F36"/>
    <w:rsid w:val="00E5101B"/>
    <w:rsid w:val="00E51146"/>
    <w:rsid w:val="00E512BE"/>
    <w:rsid w:val="00E51629"/>
    <w:rsid w:val="00E5275B"/>
    <w:rsid w:val="00E528B9"/>
    <w:rsid w:val="00E52FF6"/>
    <w:rsid w:val="00E5345E"/>
    <w:rsid w:val="00E53553"/>
    <w:rsid w:val="00E537A9"/>
    <w:rsid w:val="00E537ED"/>
    <w:rsid w:val="00E53A5D"/>
    <w:rsid w:val="00E53B80"/>
    <w:rsid w:val="00E53C51"/>
    <w:rsid w:val="00E53C57"/>
    <w:rsid w:val="00E540B1"/>
    <w:rsid w:val="00E54363"/>
    <w:rsid w:val="00E54503"/>
    <w:rsid w:val="00E54540"/>
    <w:rsid w:val="00E54C2B"/>
    <w:rsid w:val="00E55097"/>
    <w:rsid w:val="00E5527B"/>
    <w:rsid w:val="00E555F8"/>
    <w:rsid w:val="00E556D9"/>
    <w:rsid w:val="00E55BCA"/>
    <w:rsid w:val="00E55C19"/>
    <w:rsid w:val="00E55C4B"/>
    <w:rsid w:val="00E55E48"/>
    <w:rsid w:val="00E55F91"/>
    <w:rsid w:val="00E57274"/>
    <w:rsid w:val="00E57434"/>
    <w:rsid w:val="00E579EF"/>
    <w:rsid w:val="00E57C76"/>
    <w:rsid w:val="00E57F17"/>
    <w:rsid w:val="00E6034C"/>
    <w:rsid w:val="00E60483"/>
    <w:rsid w:val="00E60AA0"/>
    <w:rsid w:val="00E6171B"/>
    <w:rsid w:val="00E61857"/>
    <w:rsid w:val="00E61D80"/>
    <w:rsid w:val="00E621A0"/>
    <w:rsid w:val="00E62759"/>
    <w:rsid w:val="00E64044"/>
    <w:rsid w:val="00E6455A"/>
    <w:rsid w:val="00E646B8"/>
    <w:rsid w:val="00E64AED"/>
    <w:rsid w:val="00E64B7E"/>
    <w:rsid w:val="00E64D37"/>
    <w:rsid w:val="00E65895"/>
    <w:rsid w:val="00E65AE5"/>
    <w:rsid w:val="00E66096"/>
    <w:rsid w:val="00E66963"/>
    <w:rsid w:val="00E66B02"/>
    <w:rsid w:val="00E66EE8"/>
    <w:rsid w:val="00E670DE"/>
    <w:rsid w:val="00E673BE"/>
    <w:rsid w:val="00E67936"/>
    <w:rsid w:val="00E67A48"/>
    <w:rsid w:val="00E70200"/>
    <w:rsid w:val="00E70226"/>
    <w:rsid w:val="00E708D5"/>
    <w:rsid w:val="00E70B48"/>
    <w:rsid w:val="00E70BAA"/>
    <w:rsid w:val="00E719CE"/>
    <w:rsid w:val="00E71E69"/>
    <w:rsid w:val="00E71F13"/>
    <w:rsid w:val="00E71F86"/>
    <w:rsid w:val="00E72013"/>
    <w:rsid w:val="00E723ED"/>
    <w:rsid w:val="00E72DF3"/>
    <w:rsid w:val="00E72E62"/>
    <w:rsid w:val="00E7363D"/>
    <w:rsid w:val="00E739F6"/>
    <w:rsid w:val="00E74487"/>
    <w:rsid w:val="00E7480A"/>
    <w:rsid w:val="00E74CB9"/>
    <w:rsid w:val="00E74CFB"/>
    <w:rsid w:val="00E74EDA"/>
    <w:rsid w:val="00E75002"/>
    <w:rsid w:val="00E7517C"/>
    <w:rsid w:val="00E751B0"/>
    <w:rsid w:val="00E7528D"/>
    <w:rsid w:val="00E753E4"/>
    <w:rsid w:val="00E75982"/>
    <w:rsid w:val="00E76AF5"/>
    <w:rsid w:val="00E774F2"/>
    <w:rsid w:val="00E776CE"/>
    <w:rsid w:val="00E77D46"/>
    <w:rsid w:val="00E80324"/>
    <w:rsid w:val="00E812EE"/>
    <w:rsid w:val="00E814C6"/>
    <w:rsid w:val="00E81A98"/>
    <w:rsid w:val="00E836A3"/>
    <w:rsid w:val="00E8370B"/>
    <w:rsid w:val="00E83818"/>
    <w:rsid w:val="00E8392A"/>
    <w:rsid w:val="00E8393B"/>
    <w:rsid w:val="00E83AD7"/>
    <w:rsid w:val="00E840B5"/>
    <w:rsid w:val="00E8414B"/>
    <w:rsid w:val="00E8418E"/>
    <w:rsid w:val="00E843D6"/>
    <w:rsid w:val="00E846C2"/>
    <w:rsid w:val="00E84899"/>
    <w:rsid w:val="00E84B3E"/>
    <w:rsid w:val="00E84C88"/>
    <w:rsid w:val="00E85275"/>
    <w:rsid w:val="00E85581"/>
    <w:rsid w:val="00E85BE8"/>
    <w:rsid w:val="00E85CF3"/>
    <w:rsid w:val="00E85D74"/>
    <w:rsid w:val="00E85F60"/>
    <w:rsid w:val="00E86010"/>
    <w:rsid w:val="00E86363"/>
    <w:rsid w:val="00E86787"/>
    <w:rsid w:val="00E8682F"/>
    <w:rsid w:val="00E87059"/>
    <w:rsid w:val="00E873D0"/>
    <w:rsid w:val="00E87761"/>
    <w:rsid w:val="00E87965"/>
    <w:rsid w:val="00E87D42"/>
    <w:rsid w:val="00E9035E"/>
    <w:rsid w:val="00E90386"/>
    <w:rsid w:val="00E90457"/>
    <w:rsid w:val="00E90A96"/>
    <w:rsid w:val="00E90F31"/>
    <w:rsid w:val="00E90F3F"/>
    <w:rsid w:val="00E90F9C"/>
    <w:rsid w:val="00E910A4"/>
    <w:rsid w:val="00E91278"/>
    <w:rsid w:val="00E91DF4"/>
    <w:rsid w:val="00E91F46"/>
    <w:rsid w:val="00E920A3"/>
    <w:rsid w:val="00E92223"/>
    <w:rsid w:val="00E92457"/>
    <w:rsid w:val="00E92C6B"/>
    <w:rsid w:val="00E92C87"/>
    <w:rsid w:val="00E92C96"/>
    <w:rsid w:val="00E92DD6"/>
    <w:rsid w:val="00E93228"/>
    <w:rsid w:val="00E93406"/>
    <w:rsid w:val="00E93647"/>
    <w:rsid w:val="00E94246"/>
    <w:rsid w:val="00E9463D"/>
    <w:rsid w:val="00E94A38"/>
    <w:rsid w:val="00E95426"/>
    <w:rsid w:val="00E957E7"/>
    <w:rsid w:val="00E9588A"/>
    <w:rsid w:val="00E95932"/>
    <w:rsid w:val="00E95C05"/>
    <w:rsid w:val="00E95E22"/>
    <w:rsid w:val="00E95E43"/>
    <w:rsid w:val="00E95FC8"/>
    <w:rsid w:val="00E96143"/>
    <w:rsid w:val="00E96154"/>
    <w:rsid w:val="00E962A4"/>
    <w:rsid w:val="00E96A42"/>
    <w:rsid w:val="00E96CC9"/>
    <w:rsid w:val="00E96F0F"/>
    <w:rsid w:val="00E97392"/>
    <w:rsid w:val="00E978F6"/>
    <w:rsid w:val="00E9796D"/>
    <w:rsid w:val="00EA05C6"/>
    <w:rsid w:val="00EA0CC6"/>
    <w:rsid w:val="00EA105B"/>
    <w:rsid w:val="00EA107C"/>
    <w:rsid w:val="00EA14F9"/>
    <w:rsid w:val="00EA163B"/>
    <w:rsid w:val="00EA18D5"/>
    <w:rsid w:val="00EA19B4"/>
    <w:rsid w:val="00EA210D"/>
    <w:rsid w:val="00EA2300"/>
    <w:rsid w:val="00EA29F4"/>
    <w:rsid w:val="00EA2ABF"/>
    <w:rsid w:val="00EA30FC"/>
    <w:rsid w:val="00EA336B"/>
    <w:rsid w:val="00EA3811"/>
    <w:rsid w:val="00EA3AF2"/>
    <w:rsid w:val="00EA3F32"/>
    <w:rsid w:val="00EA40DE"/>
    <w:rsid w:val="00EA45CB"/>
    <w:rsid w:val="00EA4645"/>
    <w:rsid w:val="00EA4B54"/>
    <w:rsid w:val="00EA4BB3"/>
    <w:rsid w:val="00EA5292"/>
    <w:rsid w:val="00EA5380"/>
    <w:rsid w:val="00EA543F"/>
    <w:rsid w:val="00EA5CF3"/>
    <w:rsid w:val="00EA5FE8"/>
    <w:rsid w:val="00EA6018"/>
    <w:rsid w:val="00EA61E3"/>
    <w:rsid w:val="00EA6A6E"/>
    <w:rsid w:val="00EA70D1"/>
    <w:rsid w:val="00EA7461"/>
    <w:rsid w:val="00EA7650"/>
    <w:rsid w:val="00EA79C6"/>
    <w:rsid w:val="00EB01CB"/>
    <w:rsid w:val="00EB0371"/>
    <w:rsid w:val="00EB0593"/>
    <w:rsid w:val="00EB098D"/>
    <w:rsid w:val="00EB098E"/>
    <w:rsid w:val="00EB191A"/>
    <w:rsid w:val="00EB1A61"/>
    <w:rsid w:val="00EB21C0"/>
    <w:rsid w:val="00EB2AD2"/>
    <w:rsid w:val="00EB31E9"/>
    <w:rsid w:val="00EB3560"/>
    <w:rsid w:val="00EB39D3"/>
    <w:rsid w:val="00EB3E59"/>
    <w:rsid w:val="00EB4335"/>
    <w:rsid w:val="00EB4813"/>
    <w:rsid w:val="00EB48C3"/>
    <w:rsid w:val="00EB4952"/>
    <w:rsid w:val="00EB4E76"/>
    <w:rsid w:val="00EB540D"/>
    <w:rsid w:val="00EB55F9"/>
    <w:rsid w:val="00EB5A92"/>
    <w:rsid w:val="00EB62FE"/>
    <w:rsid w:val="00EB6462"/>
    <w:rsid w:val="00EB6AB1"/>
    <w:rsid w:val="00EB7616"/>
    <w:rsid w:val="00EB79CF"/>
    <w:rsid w:val="00EB7A15"/>
    <w:rsid w:val="00EC02B7"/>
    <w:rsid w:val="00EC0C68"/>
    <w:rsid w:val="00EC1064"/>
    <w:rsid w:val="00EC1E28"/>
    <w:rsid w:val="00EC202D"/>
    <w:rsid w:val="00EC214F"/>
    <w:rsid w:val="00EC25E6"/>
    <w:rsid w:val="00EC2635"/>
    <w:rsid w:val="00EC2CE5"/>
    <w:rsid w:val="00EC31DE"/>
    <w:rsid w:val="00EC3E74"/>
    <w:rsid w:val="00EC3F5F"/>
    <w:rsid w:val="00EC4294"/>
    <w:rsid w:val="00EC42E9"/>
    <w:rsid w:val="00EC43AC"/>
    <w:rsid w:val="00EC479C"/>
    <w:rsid w:val="00EC4C2D"/>
    <w:rsid w:val="00EC4D0B"/>
    <w:rsid w:val="00EC5097"/>
    <w:rsid w:val="00EC50B4"/>
    <w:rsid w:val="00EC536F"/>
    <w:rsid w:val="00EC57E1"/>
    <w:rsid w:val="00EC5906"/>
    <w:rsid w:val="00EC5A4E"/>
    <w:rsid w:val="00EC5D3E"/>
    <w:rsid w:val="00EC5DD6"/>
    <w:rsid w:val="00EC649D"/>
    <w:rsid w:val="00EC655D"/>
    <w:rsid w:val="00EC676E"/>
    <w:rsid w:val="00EC677B"/>
    <w:rsid w:val="00EC6A16"/>
    <w:rsid w:val="00EC6CBF"/>
    <w:rsid w:val="00EC6E2E"/>
    <w:rsid w:val="00ED0281"/>
    <w:rsid w:val="00ED0993"/>
    <w:rsid w:val="00ED0AE8"/>
    <w:rsid w:val="00ED0FC0"/>
    <w:rsid w:val="00ED16BE"/>
    <w:rsid w:val="00ED1895"/>
    <w:rsid w:val="00ED1905"/>
    <w:rsid w:val="00ED1B5F"/>
    <w:rsid w:val="00ED22A2"/>
    <w:rsid w:val="00ED23B3"/>
    <w:rsid w:val="00ED297D"/>
    <w:rsid w:val="00ED2FEE"/>
    <w:rsid w:val="00ED369B"/>
    <w:rsid w:val="00ED3BB9"/>
    <w:rsid w:val="00ED3E15"/>
    <w:rsid w:val="00ED443F"/>
    <w:rsid w:val="00ED5283"/>
    <w:rsid w:val="00ED5477"/>
    <w:rsid w:val="00ED5899"/>
    <w:rsid w:val="00ED5D44"/>
    <w:rsid w:val="00ED6392"/>
    <w:rsid w:val="00ED6648"/>
    <w:rsid w:val="00ED693F"/>
    <w:rsid w:val="00ED6CE4"/>
    <w:rsid w:val="00ED6FF7"/>
    <w:rsid w:val="00ED73B3"/>
    <w:rsid w:val="00ED7901"/>
    <w:rsid w:val="00ED7A45"/>
    <w:rsid w:val="00ED7E5F"/>
    <w:rsid w:val="00EE021A"/>
    <w:rsid w:val="00EE09F8"/>
    <w:rsid w:val="00EE1188"/>
    <w:rsid w:val="00EE1360"/>
    <w:rsid w:val="00EE1539"/>
    <w:rsid w:val="00EE1755"/>
    <w:rsid w:val="00EE188B"/>
    <w:rsid w:val="00EE18B9"/>
    <w:rsid w:val="00EE1A2A"/>
    <w:rsid w:val="00EE1EF9"/>
    <w:rsid w:val="00EE2368"/>
    <w:rsid w:val="00EE2BAB"/>
    <w:rsid w:val="00EE310A"/>
    <w:rsid w:val="00EE3234"/>
    <w:rsid w:val="00EE376F"/>
    <w:rsid w:val="00EE44D7"/>
    <w:rsid w:val="00EE4503"/>
    <w:rsid w:val="00EE45F5"/>
    <w:rsid w:val="00EE4A9D"/>
    <w:rsid w:val="00EE4C2D"/>
    <w:rsid w:val="00EE4D60"/>
    <w:rsid w:val="00EE577B"/>
    <w:rsid w:val="00EE5953"/>
    <w:rsid w:val="00EE5964"/>
    <w:rsid w:val="00EE59FA"/>
    <w:rsid w:val="00EE680D"/>
    <w:rsid w:val="00EE6956"/>
    <w:rsid w:val="00EE6F10"/>
    <w:rsid w:val="00EE6FB0"/>
    <w:rsid w:val="00EE786E"/>
    <w:rsid w:val="00EE7A33"/>
    <w:rsid w:val="00EF0992"/>
    <w:rsid w:val="00EF0AC1"/>
    <w:rsid w:val="00EF11E3"/>
    <w:rsid w:val="00EF129F"/>
    <w:rsid w:val="00EF14BA"/>
    <w:rsid w:val="00EF1FB0"/>
    <w:rsid w:val="00EF24BF"/>
    <w:rsid w:val="00EF2F18"/>
    <w:rsid w:val="00EF3377"/>
    <w:rsid w:val="00EF343F"/>
    <w:rsid w:val="00EF34EF"/>
    <w:rsid w:val="00EF3626"/>
    <w:rsid w:val="00EF3966"/>
    <w:rsid w:val="00EF4131"/>
    <w:rsid w:val="00EF4A40"/>
    <w:rsid w:val="00EF50B5"/>
    <w:rsid w:val="00EF519D"/>
    <w:rsid w:val="00EF5361"/>
    <w:rsid w:val="00EF5786"/>
    <w:rsid w:val="00EF57C9"/>
    <w:rsid w:val="00EF58D2"/>
    <w:rsid w:val="00EF6324"/>
    <w:rsid w:val="00EF6592"/>
    <w:rsid w:val="00EF6640"/>
    <w:rsid w:val="00EF6690"/>
    <w:rsid w:val="00EF6892"/>
    <w:rsid w:val="00EF7240"/>
    <w:rsid w:val="00EF75D2"/>
    <w:rsid w:val="00EF7D33"/>
    <w:rsid w:val="00EF7E48"/>
    <w:rsid w:val="00F0048F"/>
    <w:rsid w:val="00F006F1"/>
    <w:rsid w:val="00F00966"/>
    <w:rsid w:val="00F00CDA"/>
    <w:rsid w:val="00F00D72"/>
    <w:rsid w:val="00F012E7"/>
    <w:rsid w:val="00F013AE"/>
    <w:rsid w:val="00F013EC"/>
    <w:rsid w:val="00F018E8"/>
    <w:rsid w:val="00F01BB1"/>
    <w:rsid w:val="00F020A1"/>
    <w:rsid w:val="00F0255F"/>
    <w:rsid w:val="00F0256A"/>
    <w:rsid w:val="00F025F8"/>
    <w:rsid w:val="00F02B9C"/>
    <w:rsid w:val="00F02F59"/>
    <w:rsid w:val="00F0300B"/>
    <w:rsid w:val="00F031B9"/>
    <w:rsid w:val="00F03500"/>
    <w:rsid w:val="00F03683"/>
    <w:rsid w:val="00F03F19"/>
    <w:rsid w:val="00F0486E"/>
    <w:rsid w:val="00F049C6"/>
    <w:rsid w:val="00F050DC"/>
    <w:rsid w:val="00F0518C"/>
    <w:rsid w:val="00F056A0"/>
    <w:rsid w:val="00F059FB"/>
    <w:rsid w:val="00F05A9E"/>
    <w:rsid w:val="00F05D0A"/>
    <w:rsid w:val="00F06CB8"/>
    <w:rsid w:val="00F06E0E"/>
    <w:rsid w:val="00F06ECE"/>
    <w:rsid w:val="00F06FE9"/>
    <w:rsid w:val="00F07432"/>
    <w:rsid w:val="00F078A3"/>
    <w:rsid w:val="00F07B05"/>
    <w:rsid w:val="00F07B8D"/>
    <w:rsid w:val="00F103B4"/>
    <w:rsid w:val="00F10596"/>
    <w:rsid w:val="00F1099D"/>
    <w:rsid w:val="00F10C09"/>
    <w:rsid w:val="00F10F68"/>
    <w:rsid w:val="00F110B4"/>
    <w:rsid w:val="00F11357"/>
    <w:rsid w:val="00F1198F"/>
    <w:rsid w:val="00F11AE3"/>
    <w:rsid w:val="00F11DB4"/>
    <w:rsid w:val="00F12030"/>
    <w:rsid w:val="00F122F0"/>
    <w:rsid w:val="00F123CB"/>
    <w:rsid w:val="00F12744"/>
    <w:rsid w:val="00F12909"/>
    <w:rsid w:val="00F13240"/>
    <w:rsid w:val="00F13939"/>
    <w:rsid w:val="00F13EE6"/>
    <w:rsid w:val="00F140EA"/>
    <w:rsid w:val="00F1470E"/>
    <w:rsid w:val="00F14DF6"/>
    <w:rsid w:val="00F1510F"/>
    <w:rsid w:val="00F15FB7"/>
    <w:rsid w:val="00F16125"/>
    <w:rsid w:val="00F16A10"/>
    <w:rsid w:val="00F16AA7"/>
    <w:rsid w:val="00F16FF2"/>
    <w:rsid w:val="00F17636"/>
    <w:rsid w:val="00F178D3"/>
    <w:rsid w:val="00F1796D"/>
    <w:rsid w:val="00F17B0B"/>
    <w:rsid w:val="00F20887"/>
    <w:rsid w:val="00F21678"/>
    <w:rsid w:val="00F2178E"/>
    <w:rsid w:val="00F21C54"/>
    <w:rsid w:val="00F2219E"/>
    <w:rsid w:val="00F222EE"/>
    <w:rsid w:val="00F2367F"/>
    <w:rsid w:val="00F237C1"/>
    <w:rsid w:val="00F23874"/>
    <w:rsid w:val="00F23C04"/>
    <w:rsid w:val="00F23C29"/>
    <w:rsid w:val="00F23DFC"/>
    <w:rsid w:val="00F23EED"/>
    <w:rsid w:val="00F241C2"/>
    <w:rsid w:val="00F24226"/>
    <w:rsid w:val="00F2482E"/>
    <w:rsid w:val="00F24A16"/>
    <w:rsid w:val="00F24B84"/>
    <w:rsid w:val="00F24DCE"/>
    <w:rsid w:val="00F24DE9"/>
    <w:rsid w:val="00F24E62"/>
    <w:rsid w:val="00F252C3"/>
    <w:rsid w:val="00F25625"/>
    <w:rsid w:val="00F25BD6"/>
    <w:rsid w:val="00F26598"/>
    <w:rsid w:val="00F271F7"/>
    <w:rsid w:val="00F276B1"/>
    <w:rsid w:val="00F27B54"/>
    <w:rsid w:val="00F3006E"/>
    <w:rsid w:val="00F30118"/>
    <w:rsid w:val="00F30126"/>
    <w:rsid w:val="00F301C4"/>
    <w:rsid w:val="00F3084A"/>
    <w:rsid w:val="00F31EC9"/>
    <w:rsid w:val="00F324D0"/>
    <w:rsid w:val="00F32A0B"/>
    <w:rsid w:val="00F32C2F"/>
    <w:rsid w:val="00F3309A"/>
    <w:rsid w:val="00F331CD"/>
    <w:rsid w:val="00F33EC8"/>
    <w:rsid w:val="00F34C73"/>
    <w:rsid w:val="00F34F37"/>
    <w:rsid w:val="00F3507B"/>
    <w:rsid w:val="00F3521A"/>
    <w:rsid w:val="00F358D3"/>
    <w:rsid w:val="00F35BDD"/>
    <w:rsid w:val="00F366E5"/>
    <w:rsid w:val="00F36907"/>
    <w:rsid w:val="00F36919"/>
    <w:rsid w:val="00F36A79"/>
    <w:rsid w:val="00F36B61"/>
    <w:rsid w:val="00F36DB9"/>
    <w:rsid w:val="00F3734D"/>
    <w:rsid w:val="00F373EC"/>
    <w:rsid w:val="00F37FC5"/>
    <w:rsid w:val="00F400E8"/>
    <w:rsid w:val="00F402CB"/>
    <w:rsid w:val="00F40CD6"/>
    <w:rsid w:val="00F40DFF"/>
    <w:rsid w:val="00F4130F"/>
    <w:rsid w:val="00F41805"/>
    <w:rsid w:val="00F41AE8"/>
    <w:rsid w:val="00F41DAC"/>
    <w:rsid w:val="00F424B5"/>
    <w:rsid w:val="00F426E8"/>
    <w:rsid w:val="00F43278"/>
    <w:rsid w:val="00F434C1"/>
    <w:rsid w:val="00F4372C"/>
    <w:rsid w:val="00F43968"/>
    <w:rsid w:val="00F43DD2"/>
    <w:rsid w:val="00F4480B"/>
    <w:rsid w:val="00F44D54"/>
    <w:rsid w:val="00F45029"/>
    <w:rsid w:val="00F451E3"/>
    <w:rsid w:val="00F456CE"/>
    <w:rsid w:val="00F45DA0"/>
    <w:rsid w:val="00F45E84"/>
    <w:rsid w:val="00F46B97"/>
    <w:rsid w:val="00F46BB6"/>
    <w:rsid w:val="00F46C84"/>
    <w:rsid w:val="00F46CBC"/>
    <w:rsid w:val="00F46E43"/>
    <w:rsid w:val="00F472B1"/>
    <w:rsid w:val="00F474E9"/>
    <w:rsid w:val="00F47BC8"/>
    <w:rsid w:val="00F47F25"/>
    <w:rsid w:val="00F51402"/>
    <w:rsid w:val="00F51479"/>
    <w:rsid w:val="00F516CA"/>
    <w:rsid w:val="00F517FB"/>
    <w:rsid w:val="00F519BD"/>
    <w:rsid w:val="00F5207F"/>
    <w:rsid w:val="00F526F4"/>
    <w:rsid w:val="00F52745"/>
    <w:rsid w:val="00F52A4C"/>
    <w:rsid w:val="00F52C9F"/>
    <w:rsid w:val="00F53102"/>
    <w:rsid w:val="00F53ED7"/>
    <w:rsid w:val="00F547E3"/>
    <w:rsid w:val="00F54ACB"/>
    <w:rsid w:val="00F550B3"/>
    <w:rsid w:val="00F554D7"/>
    <w:rsid w:val="00F55925"/>
    <w:rsid w:val="00F559F8"/>
    <w:rsid w:val="00F55A77"/>
    <w:rsid w:val="00F55A81"/>
    <w:rsid w:val="00F56834"/>
    <w:rsid w:val="00F56D38"/>
    <w:rsid w:val="00F56FD3"/>
    <w:rsid w:val="00F57A82"/>
    <w:rsid w:val="00F60002"/>
    <w:rsid w:val="00F608F9"/>
    <w:rsid w:val="00F609D0"/>
    <w:rsid w:val="00F60BAE"/>
    <w:rsid w:val="00F60CCA"/>
    <w:rsid w:val="00F612EB"/>
    <w:rsid w:val="00F614A7"/>
    <w:rsid w:val="00F6160F"/>
    <w:rsid w:val="00F620EF"/>
    <w:rsid w:val="00F6212E"/>
    <w:rsid w:val="00F6218F"/>
    <w:rsid w:val="00F6251E"/>
    <w:rsid w:val="00F629CD"/>
    <w:rsid w:val="00F62CA3"/>
    <w:rsid w:val="00F62E46"/>
    <w:rsid w:val="00F62E4D"/>
    <w:rsid w:val="00F633EB"/>
    <w:rsid w:val="00F63545"/>
    <w:rsid w:val="00F63897"/>
    <w:rsid w:val="00F63BAD"/>
    <w:rsid w:val="00F63C4B"/>
    <w:rsid w:val="00F64074"/>
    <w:rsid w:val="00F640E3"/>
    <w:rsid w:val="00F64174"/>
    <w:rsid w:val="00F6463E"/>
    <w:rsid w:val="00F6467D"/>
    <w:rsid w:val="00F64C28"/>
    <w:rsid w:val="00F65037"/>
    <w:rsid w:val="00F65A66"/>
    <w:rsid w:val="00F65BFC"/>
    <w:rsid w:val="00F65D2F"/>
    <w:rsid w:val="00F66B0B"/>
    <w:rsid w:val="00F66B46"/>
    <w:rsid w:val="00F66CAA"/>
    <w:rsid w:val="00F67012"/>
    <w:rsid w:val="00F67070"/>
    <w:rsid w:val="00F6736F"/>
    <w:rsid w:val="00F674F3"/>
    <w:rsid w:val="00F67980"/>
    <w:rsid w:val="00F67C1D"/>
    <w:rsid w:val="00F701E4"/>
    <w:rsid w:val="00F705C6"/>
    <w:rsid w:val="00F70678"/>
    <w:rsid w:val="00F70AA4"/>
    <w:rsid w:val="00F70E9E"/>
    <w:rsid w:val="00F71AC5"/>
    <w:rsid w:val="00F71B5E"/>
    <w:rsid w:val="00F71CEE"/>
    <w:rsid w:val="00F71E56"/>
    <w:rsid w:val="00F720B2"/>
    <w:rsid w:val="00F720EF"/>
    <w:rsid w:val="00F72102"/>
    <w:rsid w:val="00F72147"/>
    <w:rsid w:val="00F7257E"/>
    <w:rsid w:val="00F73051"/>
    <w:rsid w:val="00F73998"/>
    <w:rsid w:val="00F73A0F"/>
    <w:rsid w:val="00F75146"/>
    <w:rsid w:val="00F7526F"/>
    <w:rsid w:val="00F75732"/>
    <w:rsid w:val="00F75D92"/>
    <w:rsid w:val="00F7703E"/>
    <w:rsid w:val="00F7716F"/>
    <w:rsid w:val="00F77524"/>
    <w:rsid w:val="00F77AD5"/>
    <w:rsid w:val="00F77C12"/>
    <w:rsid w:val="00F77F49"/>
    <w:rsid w:val="00F80004"/>
    <w:rsid w:val="00F80960"/>
    <w:rsid w:val="00F80E09"/>
    <w:rsid w:val="00F814F7"/>
    <w:rsid w:val="00F81FE8"/>
    <w:rsid w:val="00F8251D"/>
    <w:rsid w:val="00F82522"/>
    <w:rsid w:val="00F828BB"/>
    <w:rsid w:val="00F82C05"/>
    <w:rsid w:val="00F82E93"/>
    <w:rsid w:val="00F83B86"/>
    <w:rsid w:val="00F844E6"/>
    <w:rsid w:val="00F8480E"/>
    <w:rsid w:val="00F84E59"/>
    <w:rsid w:val="00F84F1E"/>
    <w:rsid w:val="00F85585"/>
    <w:rsid w:val="00F85D77"/>
    <w:rsid w:val="00F86DC6"/>
    <w:rsid w:val="00F875A1"/>
    <w:rsid w:val="00F90039"/>
    <w:rsid w:val="00F9003C"/>
    <w:rsid w:val="00F908B6"/>
    <w:rsid w:val="00F90AB0"/>
    <w:rsid w:val="00F90FB6"/>
    <w:rsid w:val="00F91451"/>
    <w:rsid w:val="00F920AC"/>
    <w:rsid w:val="00F922B8"/>
    <w:rsid w:val="00F922FD"/>
    <w:rsid w:val="00F923D2"/>
    <w:rsid w:val="00F92753"/>
    <w:rsid w:val="00F9291E"/>
    <w:rsid w:val="00F929E6"/>
    <w:rsid w:val="00F92F58"/>
    <w:rsid w:val="00F939CA"/>
    <w:rsid w:val="00F9408A"/>
    <w:rsid w:val="00F945BD"/>
    <w:rsid w:val="00F947DC"/>
    <w:rsid w:val="00F94A02"/>
    <w:rsid w:val="00F94B65"/>
    <w:rsid w:val="00F95427"/>
    <w:rsid w:val="00F95486"/>
    <w:rsid w:val="00F956DF"/>
    <w:rsid w:val="00F95B5C"/>
    <w:rsid w:val="00F96147"/>
    <w:rsid w:val="00F97046"/>
    <w:rsid w:val="00F971E3"/>
    <w:rsid w:val="00F976CD"/>
    <w:rsid w:val="00F97A01"/>
    <w:rsid w:val="00F97D98"/>
    <w:rsid w:val="00FA02CC"/>
    <w:rsid w:val="00FA0708"/>
    <w:rsid w:val="00FA0E5D"/>
    <w:rsid w:val="00FA0FE5"/>
    <w:rsid w:val="00FA20B4"/>
    <w:rsid w:val="00FA27C1"/>
    <w:rsid w:val="00FA2BB4"/>
    <w:rsid w:val="00FA300E"/>
    <w:rsid w:val="00FA391A"/>
    <w:rsid w:val="00FA3E99"/>
    <w:rsid w:val="00FA3FDB"/>
    <w:rsid w:val="00FA40D4"/>
    <w:rsid w:val="00FA4376"/>
    <w:rsid w:val="00FA437D"/>
    <w:rsid w:val="00FA450A"/>
    <w:rsid w:val="00FA5114"/>
    <w:rsid w:val="00FA5188"/>
    <w:rsid w:val="00FA5ADA"/>
    <w:rsid w:val="00FA5C3D"/>
    <w:rsid w:val="00FA6035"/>
    <w:rsid w:val="00FA65E9"/>
    <w:rsid w:val="00FA674B"/>
    <w:rsid w:val="00FA70C4"/>
    <w:rsid w:val="00FB0769"/>
    <w:rsid w:val="00FB1148"/>
    <w:rsid w:val="00FB1264"/>
    <w:rsid w:val="00FB15C2"/>
    <w:rsid w:val="00FB18BD"/>
    <w:rsid w:val="00FB191E"/>
    <w:rsid w:val="00FB1A40"/>
    <w:rsid w:val="00FB362A"/>
    <w:rsid w:val="00FB39B4"/>
    <w:rsid w:val="00FB3FB9"/>
    <w:rsid w:val="00FB4283"/>
    <w:rsid w:val="00FB4685"/>
    <w:rsid w:val="00FB4918"/>
    <w:rsid w:val="00FB4DBB"/>
    <w:rsid w:val="00FB5519"/>
    <w:rsid w:val="00FB6154"/>
    <w:rsid w:val="00FB6570"/>
    <w:rsid w:val="00FB6760"/>
    <w:rsid w:val="00FB67C1"/>
    <w:rsid w:val="00FB682A"/>
    <w:rsid w:val="00FB6B42"/>
    <w:rsid w:val="00FB7064"/>
    <w:rsid w:val="00FB72D5"/>
    <w:rsid w:val="00FB77C8"/>
    <w:rsid w:val="00FC0B13"/>
    <w:rsid w:val="00FC1810"/>
    <w:rsid w:val="00FC1A99"/>
    <w:rsid w:val="00FC1CAB"/>
    <w:rsid w:val="00FC1D5A"/>
    <w:rsid w:val="00FC2378"/>
    <w:rsid w:val="00FC2C48"/>
    <w:rsid w:val="00FC2C82"/>
    <w:rsid w:val="00FC2DC4"/>
    <w:rsid w:val="00FC3375"/>
    <w:rsid w:val="00FC38EE"/>
    <w:rsid w:val="00FC3966"/>
    <w:rsid w:val="00FC3BFF"/>
    <w:rsid w:val="00FC417E"/>
    <w:rsid w:val="00FC4722"/>
    <w:rsid w:val="00FC4785"/>
    <w:rsid w:val="00FC4B1D"/>
    <w:rsid w:val="00FC4CE3"/>
    <w:rsid w:val="00FC4EEB"/>
    <w:rsid w:val="00FC5E0B"/>
    <w:rsid w:val="00FC6120"/>
    <w:rsid w:val="00FC6410"/>
    <w:rsid w:val="00FC645C"/>
    <w:rsid w:val="00FC6961"/>
    <w:rsid w:val="00FC6D7A"/>
    <w:rsid w:val="00FC72BE"/>
    <w:rsid w:val="00FC74FA"/>
    <w:rsid w:val="00FC77CF"/>
    <w:rsid w:val="00FC782D"/>
    <w:rsid w:val="00FC7BF3"/>
    <w:rsid w:val="00FD05AC"/>
    <w:rsid w:val="00FD0615"/>
    <w:rsid w:val="00FD07BF"/>
    <w:rsid w:val="00FD0C52"/>
    <w:rsid w:val="00FD14C5"/>
    <w:rsid w:val="00FD14CE"/>
    <w:rsid w:val="00FD1FBC"/>
    <w:rsid w:val="00FD2374"/>
    <w:rsid w:val="00FD29CC"/>
    <w:rsid w:val="00FD2BBD"/>
    <w:rsid w:val="00FD2D4C"/>
    <w:rsid w:val="00FD38AE"/>
    <w:rsid w:val="00FD41E9"/>
    <w:rsid w:val="00FD58F2"/>
    <w:rsid w:val="00FD5913"/>
    <w:rsid w:val="00FD5DF4"/>
    <w:rsid w:val="00FD6185"/>
    <w:rsid w:val="00FD6449"/>
    <w:rsid w:val="00FD6B7D"/>
    <w:rsid w:val="00FD6E7A"/>
    <w:rsid w:val="00FD7986"/>
    <w:rsid w:val="00FE0695"/>
    <w:rsid w:val="00FE0CB1"/>
    <w:rsid w:val="00FE0E92"/>
    <w:rsid w:val="00FE0F68"/>
    <w:rsid w:val="00FE10BB"/>
    <w:rsid w:val="00FE1417"/>
    <w:rsid w:val="00FE1AF2"/>
    <w:rsid w:val="00FE2018"/>
    <w:rsid w:val="00FE2370"/>
    <w:rsid w:val="00FE269D"/>
    <w:rsid w:val="00FE27DA"/>
    <w:rsid w:val="00FE328D"/>
    <w:rsid w:val="00FE32BE"/>
    <w:rsid w:val="00FE33B1"/>
    <w:rsid w:val="00FE34BD"/>
    <w:rsid w:val="00FE3C69"/>
    <w:rsid w:val="00FE4138"/>
    <w:rsid w:val="00FE4832"/>
    <w:rsid w:val="00FE4963"/>
    <w:rsid w:val="00FE4C80"/>
    <w:rsid w:val="00FE5142"/>
    <w:rsid w:val="00FE5B9E"/>
    <w:rsid w:val="00FE5DDD"/>
    <w:rsid w:val="00FE63EE"/>
    <w:rsid w:val="00FE641B"/>
    <w:rsid w:val="00FE66E4"/>
    <w:rsid w:val="00FE6733"/>
    <w:rsid w:val="00FE7401"/>
    <w:rsid w:val="00FE741B"/>
    <w:rsid w:val="00FE7905"/>
    <w:rsid w:val="00FE7F5C"/>
    <w:rsid w:val="00FF05D5"/>
    <w:rsid w:val="00FF0631"/>
    <w:rsid w:val="00FF08E4"/>
    <w:rsid w:val="00FF0F8B"/>
    <w:rsid w:val="00FF10E2"/>
    <w:rsid w:val="00FF137A"/>
    <w:rsid w:val="00FF1607"/>
    <w:rsid w:val="00FF17CB"/>
    <w:rsid w:val="00FF25A5"/>
    <w:rsid w:val="00FF32B1"/>
    <w:rsid w:val="00FF3942"/>
    <w:rsid w:val="00FF4026"/>
    <w:rsid w:val="00FF4534"/>
    <w:rsid w:val="00FF4831"/>
    <w:rsid w:val="00FF483B"/>
    <w:rsid w:val="00FF4F69"/>
    <w:rsid w:val="00FF50B2"/>
    <w:rsid w:val="00FF5143"/>
    <w:rsid w:val="00FF52DD"/>
    <w:rsid w:val="00FF52EB"/>
    <w:rsid w:val="00FF5332"/>
    <w:rsid w:val="00FF5417"/>
    <w:rsid w:val="00FF573F"/>
    <w:rsid w:val="00FF5793"/>
    <w:rsid w:val="00FF590B"/>
    <w:rsid w:val="00FF5C75"/>
    <w:rsid w:val="00FF5DA3"/>
    <w:rsid w:val="00FF6339"/>
    <w:rsid w:val="00FF6A91"/>
    <w:rsid w:val="00FF6C61"/>
    <w:rsid w:val="00FF6E30"/>
    <w:rsid w:val="00FF72AA"/>
    <w:rsid w:val="00FF72E2"/>
    <w:rsid w:val="00FF7533"/>
    <w:rsid w:val="0112363F"/>
    <w:rsid w:val="01826A17"/>
    <w:rsid w:val="0183674C"/>
    <w:rsid w:val="02842E55"/>
    <w:rsid w:val="02F6727C"/>
    <w:rsid w:val="03353615"/>
    <w:rsid w:val="03CC21CB"/>
    <w:rsid w:val="03CC5D27"/>
    <w:rsid w:val="03F759BD"/>
    <w:rsid w:val="047D5273"/>
    <w:rsid w:val="04E90B5B"/>
    <w:rsid w:val="05936E06"/>
    <w:rsid w:val="05F35E11"/>
    <w:rsid w:val="060E6DE5"/>
    <w:rsid w:val="06EF2B38"/>
    <w:rsid w:val="08BF5E5A"/>
    <w:rsid w:val="08F71B79"/>
    <w:rsid w:val="092F01B8"/>
    <w:rsid w:val="0978425B"/>
    <w:rsid w:val="0A0B50CF"/>
    <w:rsid w:val="0A327BA9"/>
    <w:rsid w:val="0A3A53AB"/>
    <w:rsid w:val="0A6842D0"/>
    <w:rsid w:val="0AAB1231"/>
    <w:rsid w:val="0ACE4B98"/>
    <w:rsid w:val="0AD758D2"/>
    <w:rsid w:val="0B7D1384"/>
    <w:rsid w:val="0C56560E"/>
    <w:rsid w:val="0CBE246E"/>
    <w:rsid w:val="0CE61BC7"/>
    <w:rsid w:val="0D870FBC"/>
    <w:rsid w:val="0DF31736"/>
    <w:rsid w:val="0E0367E9"/>
    <w:rsid w:val="0E102DAE"/>
    <w:rsid w:val="0E15476E"/>
    <w:rsid w:val="0E252C04"/>
    <w:rsid w:val="0E2626E3"/>
    <w:rsid w:val="0F095A31"/>
    <w:rsid w:val="0F0D68E8"/>
    <w:rsid w:val="0FBA413C"/>
    <w:rsid w:val="100F5919"/>
    <w:rsid w:val="10A74D0F"/>
    <w:rsid w:val="10D61F40"/>
    <w:rsid w:val="10F92125"/>
    <w:rsid w:val="113435FE"/>
    <w:rsid w:val="1148437B"/>
    <w:rsid w:val="114943D9"/>
    <w:rsid w:val="11811F04"/>
    <w:rsid w:val="11967974"/>
    <w:rsid w:val="128A47FA"/>
    <w:rsid w:val="12C86F91"/>
    <w:rsid w:val="143E3E29"/>
    <w:rsid w:val="14E72720"/>
    <w:rsid w:val="154F27D2"/>
    <w:rsid w:val="15DA4045"/>
    <w:rsid w:val="15F02F00"/>
    <w:rsid w:val="160A7EAE"/>
    <w:rsid w:val="16FD38E6"/>
    <w:rsid w:val="171F0511"/>
    <w:rsid w:val="177E3F4E"/>
    <w:rsid w:val="17B9133A"/>
    <w:rsid w:val="1880616B"/>
    <w:rsid w:val="18C14466"/>
    <w:rsid w:val="19143D87"/>
    <w:rsid w:val="19145D4E"/>
    <w:rsid w:val="19281917"/>
    <w:rsid w:val="198F1879"/>
    <w:rsid w:val="19B07BE2"/>
    <w:rsid w:val="19D0567C"/>
    <w:rsid w:val="1B0818E3"/>
    <w:rsid w:val="1B215CF7"/>
    <w:rsid w:val="1B254F07"/>
    <w:rsid w:val="1CBC60F5"/>
    <w:rsid w:val="1CD82B89"/>
    <w:rsid w:val="1D316D67"/>
    <w:rsid w:val="1D48290B"/>
    <w:rsid w:val="1D4D1DD7"/>
    <w:rsid w:val="1DE76839"/>
    <w:rsid w:val="1F030324"/>
    <w:rsid w:val="20D02EA3"/>
    <w:rsid w:val="216C1A59"/>
    <w:rsid w:val="21B407A5"/>
    <w:rsid w:val="221548E5"/>
    <w:rsid w:val="22370D00"/>
    <w:rsid w:val="227022B4"/>
    <w:rsid w:val="228E14B0"/>
    <w:rsid w:val="22AA3224"/>
    <w:rsid w:val="22CC724F"/>
    <w:rsid w:val="231828DF"/>
    <w:rsid w:val="2329543B"/>
    <w:rsid w:val="239930AC"/>
    <w:rsid w:val="23D22653"/>
    <w:rsid w:val="248D2E59"/>
    <w:rsid w:val="24A14623"/>
    <w:rsid w:val="24A87304"/>
    <w:rsid w:val="25712013"/>
    <w:rsid w:val="25A8619C"/>
    <w:rsid w:val="262715F2"/>
    <w:rsid w:val="265F0B6D"/>
    <w:rsid w:val="276709BB"/>
    <w:rsid w:val="276814C7"/>
    <w:rsid w:val="27F42B3E"/>
    <w:rsid w:val="28BE5CD7"/>
    <w:rsid w:val="28C51C92"/>
    <w:rsid w:val="29BE79F2"/>
    <w:rsid w:val="29DD710F"/>
    <w:rsid w:val="2A296273"/>
    <w:rsid w:val="2A674569"/>
    <w:rsid w:val="2A97058D"/>
    <w:rsid w:val="2AFB21B4"/>
    <w:rsid w:val="2B312BEA"/>
    <w:rsid w:val="2B373124"/>
    <w:rsid w:val="2B5D3585"/>
    <w:rsid w:val="2BFF63EA"/>
    <w:rsid w:val="2C1E58AB"/>
    <w:rsid w:val="2C3F2C8B"/>
    <w:rsid w:val="2CF917F8"/>
    <w:rsid w:val="2E0B5F8F"/>
    <w:rsid w:val="2E3E7D62"/>
    <w:rsid w:val="2E507325"/>
    <w:rsid w:val="2ED75031"/>
    <w:rsid w:val="2FE22EAE"/>
    <w:rsid w:val="30621E40"/>
    <w:rsid w:val="31AD0696"/>
    <w:rsid w:val="31F22DE0"/>
    <w:rsid w:val="32BC42FA"/>
    <w:rsid w:val="32E9756B"/>
    <w:rsid w:val="331E3D02"/>
    <w:rsid w:val="339D2EB8"/>
    <w:rsid w:val="33EA5730"/>
    <w:rsid w:val="33EF35F5"/>
    <w:rsid w:val="358502EB"/>
    <w:rsid w:val="365B7C9B"/>
    <w:rsid w:val="36A04C6E"/>
    <w:rsid w:val="36BE50F4"/>
    <w:rsid w:val="36D93CDC"/>
    <w:rsid w:val="36FE39FC"/>
    <w:rsid w:val="372E73FA"/>
    <w:rsid w:val="37C64260"/>
    <w:rsid w:val="387F58AD"/>
    <w:rsid w:val="38F32124"/>
    <w:rsid w:val="392C0C88"/>
    <w:rsid w:val="394624FA"/>
    <w:rsid w:val="39C05022"/>
    <w:rsid w:val="3A9E7870"/>
    <w:rsid w:val="3AB465A2"/>
    <w:rsid w:val="3ACD6B9B"/>
    <w:rsid w:val="3BAC76D5"/>
    <w:rsid w:val="3BC77734"/>
    <w:rsid w:val="3BD24BFB"/>
    <w:rsid w:val="3C0637C5"/>
    <w:rsid w:val="3CBA406E"/>
    <w:rsid w:val="3CDB2774"/>
    <w:rsid w:val="3D1F37A5"/>
    <w:rsid w:val="3DBC5DD1"/>
    <w:rsid w:val="3E1D438B"/>
    <w:rsid w:val="3E264985"/>
    <w:rsid w:val="3E8A0DE7"/>
    <w:rsid w:val="3E9238B8"/>
    <w:rsid w:val="3EA370A9"/>
    <w:rsid w:val="3EE6698C"/>
    <w:rsid w:val="400C6A69"/>
    <w:rsid w:val="401D2DFB"/>
    <w:rsid w:val="406311E6"/>
    <w:rsid w:val="40F462E2"/>
    <w:rsid w:val="412669ED"/>
    <w:rsid w:val="42555727"/>
    <w:rsid w:val="42791BB8"/>
    <w:rsid w:val="42940B50"/>
    <w:rsid w:val="42B85193"/>
    <w:rsid w:val="433E4AB8"/>
    <w:rsid w:val="43700A8E"/>
    <w:rsid w:val="437053FC"/>
    <w:rsid w:val="446F2BF0"/>
    <w:rsid w:val="447F4C58"/>
    <w:rsid w:val="449A2CFC"/>
    <w:rsid w:val="44A212D0"/>
    <w:rsid w:val="44A21BB1"/>
    <w:rsid w:val="44A443E9"/>
    <w:rsid w:val="45117089"/>
    <w:rsid w:val="45B93656"/>
    <w:rsid w:val="45C344D5"/>
    <w:rsid w:val="45C97502"/>
    <w:rsid w:val="4609638B"/>
    <w:rsid w:val="46DA1C3B"/>
    <w:rsid w:val="48883AF1"/>
    <w:rsid w:val="49086163"/>
    <w:rsid w:val="49551C16"/>
    <w:rsid w:val="49AD34D2"/>
    <w:rsid w:val="49FB2E76"/>
    <w:rsid w:val="4A2C1350"/>
    <w:rsid w:val="4AA5064D"/>
    <w:rsid w:val="4B050CA9"/>
    <w:rsid w:val="4B2E05DC"/>
    <w:rsid w:val="4BD710A5"/>
    <w:rsid w:val="4C4A5008"/>
    <w:rsid w:val="4CF907DC"/>
    <w:rsid w:val="4E3452E1"/>
    <w:rsid w:val="4E6939CC"/>
    <w:rsid w:val="4E6C3D9C"/>
    <w:rsid w:val="4E7D47E1"/>
    <w:rsid w:val="4F993302"/>
    <w:rsid w:val="4FB27CC2"/>
    <w:rsid w:val="4FBA3A32"/>
    <w:rsid w:val="4FF472B4"/>
    <w:rsid w:val="500A342C"/>
    <w:rsid w:val="50937573"/>
    <w:rsid w:val="50B05065"/>
    <w:rsid w:val="515E02A0"/>
    <w:rsid w:val="519A7C0E"/>
    <w:rsid w:val="52EC175A"/>
    <w:rsid w:val="532A5B93"/>
    <w:rsid w:val="53541E72"/>
    <w:rsid w:val="535E6D24"/>
    <w:rsid w:val="53884896"/>
    <w:rsid w:val="53884E57"/>
    <w:rsid w:val="538A31FC"/>
    <w:rsid w:val="53C733E2"/>
    <w:rsid w:val="54596122"/>
    <w:rsid w:val="54DF0342"/>
    <w:rsid w:val="55EC4416"/>
    <w:rsid w:val="567345B7"/>
    <w:rsid w:val="57920928"/>
    <w:rsid w:val="57E15072"/>
    <w:rsid w:val="58B52F8A"/>
    <w:rsid w:val="58C3363A"/>
    <w:rsid w:val="590B3D71"/>
    <w:rsid w:val="59561474"/>
    <w:rsid w:val="59AE5002"/>
    <w:rsid w:val="59D31996"/>
    <w:rsid w:val="5A673229"/>
    <w:rsid w:val="5AA56163"/>
    <w:rsid w:val="5AAE1A6F"/>
    <w:rsid w:val="5B3E350F"/>
    <w:rsid w:val="5B445318"/>
    <w:rsid w:val="5B6360E6"/>
    <w:rsid w:val="5B991B08"/>
    <w:rsid w:val="5BDE751B"/>
    <w:rsid w:val="5C076A71"/>
    <w:rsid w:val="5C425CFC"/>
    <w:rsid w:val="5C99367C"/>
    <w:rsid w:val="5CCA1FC8"/>
    <w:rsid w:val="5CE40B61"/>
    <w:rsid w:val="5D0559C6"/>
    <w:rsid w:val="5E13627E"/>
    <w:rsid w:val="5E511A77"/>
    <w:rsid w:val="5E631301"/>
    <w:rsid w:val="5F4B1486"/>
    <w:rsid w:val="5F6B7C90"/>
    <w:rsid w:val="5FE849B0"/>
    <w:rsid w:val="5FF13CC0"/>
    <w:rsid w:val="603404D0"/>
    <w:rsid w:val="60720B77"/>
    <w:rsid w:val="607B3777"/>
    <w:rsid w:val="628A2085"/>
    <w:rsid w:val="629C32B8"/>
    <w:rsid w:val="62C25F77"/>
    <w:rsid w:val="633D546F"/>
    <w:rsid w:val="634F0626"/>
    <w:rsid w:val="63893CD7"/>
    <w:rsid w:val="64560C97"/>
    <w:rsid w:val="648A4C58"/>
    <w:rsid w:val="650313F3"/>
    <w:rsid w:val="659B1CFF"/>
    <w:rsid w:val="667E51BF"/>
    <w:rsid w:val="66C14548"/>
    <w:rsid w:val="66E23613"/>
    <w:rsid w:val="66E75BE0"/>
    <w:rsid w:val="67501017"/>
    <w:rsid w:val="67DF34F7"/>
    <w:rsid w:val="68A42BCA"/>
    <w:rsid w:val="68B706D2"/>
    <w:rsid w:val="68D91204"/>
    <w:rsid w:val="69762DD7"/>
    <w:rsid w:val="69A86B66"/>
    <w:rsid w:val="6A974E28"/>
    <w:rsid w:val="6ABE6E95"/>
    <w:rsid w:val="6AD55F8D"/>
    <w:rsid w:val="6ADA35A3"/>
    <w:rsid w:val="6B2507BC"/>
    <w:rsid w:val="6BD5099E"/>
    <w:rsid w:val="6C53185F"/>
    <w:rsid w:val="6C827E70"/>
    <w:rsid w:val="6C83277A"/>
    <w:rsid w:val="6D1F3767"/>
    <w:rsid w:val="6D2D3E5E"/>
    <w:rsid w:val="6D45796A"/>
    <w:rsid w:val="6D785A21"/>
    <w:rsid w:val="6DB72FFA"/>
    <w:rsid w:val="6DC76061"/>
    <w:rsid w:val="6E3A2CD6"/>
    <w:rsid w:val="6EAD4B33"/>
    <w:rsid w:val="6F3D1444"/>
    <w:rsid w:val="6F670285"/>
    <w:rsid w:val="6F6C3B4F"/>
    <w:rsid w:val="700E441B"/>
    <w:rsid w:val="702346FA"/>
    <w:rsid w:val="70871AD7"/>
    <w:rsid w:val="70FA0AB7"/>
    <w:rsid w:val="71127D51"/>
    <w:rsid w:val="71727F75"/>
    <w:rsid w:val="718B2C2F"/>
    <w:rsid w:val="719635EF"/>
    <w:rsid w:val="71ED7A78"/>
    <w:rsid w:val="7242386B"/>
    <w:rsid w:val="729D7CF0"/>
    <w:rsid w:val="72F51AF7"/>
    <w:rsid w:val="73454A94"/>
    <w:rsid w:val="7377798E"/>
    <w:rsid w:val="73943954"/>
    <w:rsid w:val="74432492"/>
    <w:rsid w:val="74942C1E"/>
    <w:rsid w:val="760F2C9B"/>
    <w:rsid w:val="76B1225A"/>
    <w:rsid w:val="76CB3F43"/>
    <w:rsid w:val="781C169F"/>
    <w:rsid w:val="7A085729"/>
    <w:rsid w:val="7A3A6E84"/>
    <w:rsid w:val="7AB578FC"/>
    <w:rsid w:val="7AE77638"/>
    <w:rsid w:val="7B4909FD"/>
    <w:rsid w:val="7B526C5F"/>
    <w:rsid w:val="7B705F89"/>
    <w:rsid w:val="7B91039C"/>
    <w:rsid w:val="7C281B30"/>
    <w:rsid w:val="7C434667"/>
    <w:rsid w:val="7C9E08D4"/>
    <w:rsid w:val="7D893333"/>
    <w:rsid w:val="7DC1685E"/>
    <w:rsid w:val="7E162891"/>
    <w:rsid w:val="7E1F140A"/>
    <w:rsid w:val="7E4C0527"/>
    <w:rsid w:val="7E6A3164"/>
    <w:rsid w:val="7EB27ABC"/>
    <w:rsid w:val="7EB95493"/>
    <w:rsid w:val="7EC51539"/>
    <w:rsid w:val="7F076C05"/>
    <w:rsid w:val="7FD05FA0"/>
    <w:rsid w:val="7FE519A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iPriority="99"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qFormat="1" w:uiPriority="99" w:semiHidden="0" w:name="Table Simple 1"/>
    <w:lsdException w:unhideWhenUsed="0" w:uiPriority="0" w:semiHidden="0" w:name="Table Simple 2"/>
    <w:lsdException w:unhideWhenUsed="0" w:uiPriority="0" w:semiHidden="0" w:name="Table Simple 3"/>
    <w:lsdException w:qFormat="1"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qFormat="1"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qFormat="1"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kern w:val="2"/>
      <w:sz w:val="21"/>
      <w:lang w:val="en-US" w:eastAsia="zh-CN" w:bidi="ar-SA"/>
    </w:rPr>
  </w:style>
  <w:style w:type="paragraph" w:styleId="7">
    <w:name w:val="heading 1"/>
    <w:basedOn w:val="1"/>
    <w:next w:val="1"/>
    <w:link w:val="124"/>
    <w:qFormat/>
    <w:uiPriority w:val="0"/>
    <w:pPr>
      <w:keepNext/>
      <w:keepLines/>
      <w:spacing w:before="340" w:beforeLines="0" w:beforeAutospacing="0" w:after="330" w:afterLines="0" w:afterAutospacing="0" w:line="576" w:lineRule="auto"/>
      <w:outlineLvl w:val="0"/>
    </w:pPr>
    <w:rPr>
      <w:b/>
      <w:kern w:val="44"/>
      <w:sz w:val="44"/>
    </w:rPr>
  </w:style>
  <w:style w:type="paragraph" w:styleId="8">
    <w:name w:val="heading 2"/>
    <w:basedOn w:val="1"/>
    <w:next w:val="1"/>
    <w:link w:val="125"/>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9">
    <w:name w:val="heading 3"/>
    <w:basedOn w:val="1"/>
    <w:next w:val="1"/>
    <w:link w:val="122"/>
    <w:qFormat/>
    <w:uiPriority w:val="0"/>
    <w:pPr>
      <w:keepNext/>
      <w:keepLines/>
      <w:spacing w:before="260" w:beforeLines="0" w:beforeAutospacing="0" w:after="260" w:afterLines="0" w:afterAutospacing="0" w:line="413" w:lineRule="auto"/>
      <w:outlineLvl w:val="2"/>
    </w:pPr>
    <w:rPr>
      <w:b/>
      <w:sz w:val="32"/>
    </w:rPr>
  </w:style>
  <w:style w:type="paragraph" w:styleId="10">
    <w:name w:val="heading 4"/>
    <w:basedOn w:val="1"/>
    <w:next w:val="11"/>
    <w:link w:val="126"/>
    <w:qFormat/>
    <w:uiPriority w:val="99"/>
    <w:pPr>
      <w:keepNext/>
      <w:keepLines/>
      <w:spacing w:before="280" w:beforeLines="0" w:beforeAutospacing="0" w:after="290" w:afterLines="0" w:afterAutospacing="0" w:line="372" w:lineRule="auto"/>
      <w:outlineLvl w:val="3"/>
    </w:pPr>
    <w:rPr>
      <w:rFonts w:ascii="Arial" w:hAnsi="Arial" w:eastAsia="黑体"/>
      <w:b/>
      <w:sz w:val="28"/>
    </w:rPr>
  </w:style>
  <w:style w:type="paragraph" w:styleId="12">
    <w:name w:val="heading 5"/>
    <w:basedOn w:val="1"/>
    <w:next w:val="11"/>
    <w:link w:val="127"/>
    <w:qFormat/>
    <w:uiPriority w:val="0"/>
    <w:pPr>
      <w:keepNext/>
      <w:keepLines/>
      <w:tabs>
        <w:tab w:val="left" w:pos="1008"/>
      </w:tabs>
      <w:autoSpaceDE w:val="0"/>
      <w:autoSpaceDN w:val="0"/>
      <w:adjustRightInd w:val="0"/>
      <w:spacing w:before="280" w:beforeLines="0" w:beforeAutospacing="0" w:after="290" w:afterLines="0" w:afterAutospacing="0" w:line="376" w:lineRule="atLeast"/>
      <w:ind w:left="1008" w:hanging="1008"/>
      <w:outlineLvl w:val="4"/>
    </w:pPr>
    <w:rPr>
      <w:rFonts w:ascii="宋体" w:hAnsi="Tms Rmn"/>
      <w:b/>
      <w:kern w:val="0"/>
      <w:sz w:val="28"/>
    </w:rPr>
  </w:style>
  <w:style w:type="paragraph" w:styleId="13">
    <w:name w:val="heading 6"/>
    <w:basedOn w:val="1"/>
    <w:next w:val="11"/>
    <w:link w:val="129"/>
    <w:qFormat/>
    <w:uiPriority w:val="0"/>
    <w:pPr>
      <w:keepNext/>
      <w:keepLines/>
      <w:tabs>
        <w:tab w:val="left" w:pos="1152"/>
      </w:tabs>
      <w:autoSpaceDE w:val="0"/>
      <w:autoSpaceDN w:val="0"/>
      <w:adjustRightInd w:val="0"/>
      <w:spacing w:before="240" w:beforeLines="0" w:beforeAutospacing="0" w:after="64" w:afterLines="0" w:afterAutospacing="0" w:line="320" w:lineRule="atLeast"/>
      <w:ind w:left="1152" w:hanging="1152"/>
      <w:outlineLvl w:val="5"/>
    </w:pPr>
    <w:rPr>
      <w:rFonts w:ascii="Arial" w:hAnsi="Arial" w:eastAsia="黑体"/>
      <w:b/>
      <w:kern w:val="0"/>
      <w:sz w:val="24"/>
    </w:rPr>
  </w:style>
  <w:style w:type="paragraph" w:styleId="14">
    <w:name w:val="heading 7"/>
    <w:basedOn w:val="1"/>
    <w:next w:val="11"/>
    <w:link w:val="130"/>
    <w:qFormat/>
    <w:uiPriority w:val="0"/>
    <w:pPr>
      <w:keepNext/>
      <w:keepLines/>
      <w:tabs>
        <w:tab w:val="left" w:pos="1296"/>
      </w:tabs>
      <w:autoSpaceDE w:val="0"/>
      <w:autoSpaceDN w:val="0"/>
      <w:adjustRightInd w:val="0"/>
      <w:spacing w:before="240" w:beforeLines="0" w:beforeAutospacing="0" w:after="64" w:afterLines="0" w:afterAutospacing="0" w:line="320" w:lineRule="atLeast"/>
      <w:ind w:left="1296" w:hanging="1296"/>
      <w:outlineLvl w:val="6"/>
    </w:pPr>
    <w:rPr>
      <w:rFonts w:ascii="宋体" w:hAnsi="Tms Rmn"/>
      <w:b/>
      <w:kern w:val="0"/>
      <w:sz w:val="24"/>
    </w:rPr>
  </w:style>
  <w:style w:type="paragraph" w:styleId="15">
    <w:name w:val="heading 8"/>
    <w:basedOn w:val="1"/>
    <w:next w:val="11"/>
    <w:link w:val="131"/>
    <w:qFormat/>
    <w:uiPriority w:val="0"/>
    <w:pPr>
      <w:keepNext/>
      <w:keepLines/>
      <w:tabs>
        <w:tab w:val="left" w:pos="1440"/>
      </w:tabs>
      <w:autoSpaceDE w:val="0"/>
      <w:autoSpaceDN w:val="0"/>
      <w:adjustRightInd w:val="0"/>
      <w:spacing w:before="240" w:beforeLines="0" w:beforeAutospacing="0" w:after="64" w:afterLines="0" w:afterAutospacing="0" w:line="320" w:lineRule="atLeast"/>
      <w:ind w:left="1440" w:hanging="1440"/>
      <w:outlineLvl w:val="7"/>
    </w:pPr>
    <w:rPr>
      <w:rFonts w:ascii="Arial" w:hAnsi="Arial" w:eastAsia="黑体"/>
      <w:kern w:val="0"/>
      <w:sz w:val="24"/>
    </w:rPr>
  </w:style>
  <w:style w:type="paragraph" w:styleId="16">
    <w:name w:val="heading 9"/>
    <w:basedOn w:val="1"/>
    <w:next w:val="11"/>
    <w:link w:val="132"/>
    <w:qFormat/>
    <w:uiPriority w:val="0"/>
    <w:pPr>
      <w:keepNext/>
      <w:keepLines/>
      <w:tabs>
        <w:tab w:val="left" w:pos="1584"/>
      </w:tabs>
      <w:autoSpaceDE w:val="0"/>
      <w:autoSpaceDN w:val="0"/>
      <w:adjustRightInd w:val="0"/>
      <w:spacing w:before="240" w:beforeLines="0" w:beforeAutospacing="0" w:after="64" w:afterLines="0" w:afterAutospacing="0" w:line="320" w:lineRule="atLeast"/>
      <w:ind w:left="1584" w:hanging="1584"/>
      <w:outlineLvl w:val="8"/>
    </w:pPr>
    <w:rPr>
      <w:rFonts w:ascii="Arial" w:hAnsi="Arial" w:eastAsia="黑体"/>
      <w:kern w:val="0"/>
    </w:rPr>
  </w:style>
  <w:style w:type="character" w:default="1" w:styleId="100">
    <w:name w:val="Default Paragraph Font"/>
    <w:qFormat/>
    <w:uiPriority w:val="0"/>
  </w:style>
  <w:style w:type="table" w:default="1" w:styleId="92">
    <w:name w:val="Normal Table"/>
    <w:semiHidden/>
    <w:qFormat/>
    <w:uiPriority w:val="0"/>
    <w:tblPr>
      <w:tblCellMar>
        <w:top w:w="0" w:type="dxa"/>
        <w:left w:w="108" w:type="dxa"/>
        <w:bottom w:w="0" w:type="dxa"/>
        <w:right w:w="108" w:type="dxa"/>
      </w:tblCellMar>
    </w:tblPr>
  </w:style>
  <w:style w:type="paragraph" w:styleId="2">
    <w:name w:val="Body Text First Indent"/>
    <w:basedOn w:val="3"/>
    <w:link w:val="162"/>
    <w:qFormat/>
    <w:uiPriority w:val="0"/>
    <w:pPr>
      <w:overflowPunct w:val="0"/>
      <w:autoSpaceDE w:val="0"/>
      <w:autoSpaceDN w:val="0"/>
      <w:adjustRightInd w:val="0"/>
      <w:spacing w:line="360" w:lineRule="auto"/>
      <w:ind w:firstLine="539"/>
      <w:textAlignment w:val="baseline"/>
    </w:pPr>
    <w:rPr>
      <w:kern w:val="0"/>
      <w:sz w:val="28"/>
    </w:rPr>
  </w:style>
  <w:style w:type="paragraph" w:styleId="3">
    <w:name w:val="Body Text"/>
    <w:basedOn w:val="1"/>
    <w:next w:val="4"/>
    <w:link w:val="141"/>
    <w:qFormat/>
    <w:uiPriority w:val="0"/>
    <w:pPr>
      <w:jc w:val="center"/>
    </w:pPr>
  </w:style>
  <w:style w:type="paragraph" w:customStyle="1" w:styleId="4">
    <w:name w:val="xl27"/>
    <w:basedOn w:val="1"/>
    <w:next w:val="5"/>
    <w:qFormat/>
    <w:uiPriority w:val="0"/>
    <w:pPr>
      <w:widowControl/>
      <w:spacing w:before="100" w:beforeLines="0" w:beforeAutospacing="1" w:after="100" w:afterLines="0" w:afterAutospacing="1"/>
      <w:jc w:val="center"/>
    </w:pPr>
    <w:rPr>
      <w:rFonts w:ascii="Arial Unicode MS" w:hAnsi="Arial Unicode MS" w:eastAsia="Arial Unicode MS"/>
      <w:kern w:val="0"/>
      <w:sz w:val="18"/>
    </w:rPr>
  </w:style>
  <w:style w:type="paragraph" w:styleId="5">
    <w:name w:val="Body Text Indent 2"/>
    <w:basedOn w:val="1"/>
    <w:next w:val="1"/>
    <w:link w:val="142"/>
    <w:qFormat/>
    <w:uiPriority w:val="0"/>
    <w:pPr>
      <w:adjustRightInd w:val="0"/>
      <w:spacing w:line="440" w:lineRule="atLeast"/>
      <w:ind w:firstLine="493"/>
      <w:textAlignment w:val="baseline"/>
    </w:pPr>
    <w:rPr>
      <w:kern w:val="0"/>
      <w:sz w:val="24"/>
    </w:rPr>
  </w:style>
  <w:style w:type="paragraph" w:styleId="6">
    <w:name w:val="macro"/>
    <w:link w:val="123"/>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1">
    <w:name w:val="Normal Indent"/>
    <w:basedOn w:val="1"/>
    <w:link w:val="128"/>
    <w:qFormat/>
    <w:uiPriority w:val="0"/>
    <w:pPr>
      <w:ind w:firstLine="420" w:firstLineChars="200"/>
    </w:pPr>
  </w:style>
  <w:style w:type="paragraph" w:styleId="17">
    <w:name w:val="List 3"/>
    <w:basedOn w:val="1"/>
    <w:qFormat/>
    <w:uiPriority w:val="0"/>
    <w:pPr>
      <w:ind w:left="100" w:leftChars="400" w:hanging="200" w:hangingChars="200"/>
    </w:pPr>
  </w:style>
  <w:style w:type="paragraph" w:styleId="18">
    <w:name w:val="toc 7"/>
    <w:basedOn w:val="1"/>
    <w:next w:val="1"/>
    <w:qFormat/>
    <w:uiPriority w:val="39"/>
    <w:pPr>
      <w:ind w:left="2520" w:leftChars="1200"/>
    </w:pPr>
  </w:style>
  <w:style w:type="paragraph" w:styleId="19">
    <w:name w:val="List Number 2"/>
    <w:basedOn w:val="1"/>
    <w:qFormat/>
    <w:uiPriority w:val="0"/>
    <w:pPr>
      <w:tabs>
        <w:tab w:val="left" w:pos="780"/>
        <w:tab w:val="left" w:pos="900"/>
      </w:tabs>
      <w:ind w:left="900" w:hanging="360"/>
    </w:pPr>
    <w:rPr>
      <w:szCs w:val="24"/>
    </w:rPr>
  </w:style>
  <w:style w:type="paragraph" w:styleId="20">
    <w:name w:val="table of authorities"/>
    <w:basedOn w:val="1"/>
    <w:next w:val="1"/>
    <w:qFormat/>
    <w:uiPriority w:val="0"/>
    <w:pPr>
      <w:ind w:left="420" w:leftChars="200"/>
    </w:pPr>
    <w:rPr>
      <w:szCs w:val="24"/>
    </w:rPr>
  </w:style>
  <w:style w:type="paragraph" w:styleId="21">
    <w:name w:val="Note Heading"/>
    <w:basedOn w:val="1"/>
    <w:next w:val="1"/>
    <w:link w:val="133"/>
    <w:qFormat/>
    <w:uiPriority w:val="0"/>
    <w:pPr>
      <w:spacing w:line="360" w:lineRule="auto"/>
      <w:ind w:firstLine="200" w:firstLineChars="200"/>
      <w:jc w:val="center"/>
    </w:pPr>
    <w:rPr>
      <w:rFonts w:ascii="黑体" w:hAnsi="宋体" w:eastAsia="黑体"/>
    </w:rPr>
  </w:style>
  <w:style w:type="paragraph" w:styleId="22">
    <w:name w:val="List Bullet 4"/>
    <w:basedOn w:val="1"/>
    <w:qFormat/>
    <w:uiPriority w:val="0"/>
    <w:pPr>
      <w:tabs>
        <w:tab w:val="left" w:pos="1620"/>
      </w:tabs>
    </w:pPr>
    <w:rPr>
      <w:szCs w:val="24"/>
    </w:rPr>
  </w:style>
  <w:style w:type="paragraph" w:styleId="23">
    <w:name w:val="index 8"/>
    <w:basedOn w:val="1"/>
    <w:next w:val="1"/>
    <w:qFormat/>
    <w:uiPriority w:val="0"/>
    <w:pPr>
      <w:ind w:left="1400" w:leftChars="1400"/>
    </w:pPr>
    <w:rPr>
      <w:szCs w:val="24"/>
    </w:rPr>
  </w:style>
  <w:style w:type="paragraph" w:styleId="24">
    <w:name w:val="E-mail Signature"/>
    <w:basedOn w:val="1"/>
    <w:next w:val="25"/>
    <w:link w:val="134"/>
    <w:qFormat/>
    <w:uiPriority w:val="0"/>
    <w:pPr>
      <w:spacing w:line="360" w:lineRule="auto"/>
      <w:ind w:firstLine="420"/>
      <w:jc w:val="left"/>
    </w:pPr>
    <w:rPr>
      <w:sz w:val="24"/>
      <w:szCs w:val="24"/>
    </w:rPr>
  </w:style>
  <w:style w:type="paragraph" w:customStyle="1" w:styleId="25">
    <w:name w:val="文章"/>
    <w:basedOn w:val="26"/>
    <w:next w:val="28"/>
    <w:qFormat/>
    <w:uiPriority w:val="99"/>
    <w:pPr>
      <w:adjustRightInd w:val="0"/>
      <w:snapToGrid w:val="0"/>
      <w:spacing w:before="100" w:beforeAutospacing="1" w:after="100" w:afterAutospacing="1" w:line="360" w:lineRule="auto"/>
      <w:ind w:firstLine="480" w:firstLineChars="200"/>
      <w:jc w:val="both"/>
    </w:pPr>
    <w:rPr>
      <w:kern w:val="2"/>
      <w:sz w:val="24"/>
      <w:szCs w:val="26"/>
      <w:lang w:val="en-US" w:eastAsia="zh-CN" w:bidi="ar-SA"/>
    </w:rPr>
  </w:style>
  <w:style w:type="paragraph" w:styleId="26">
    <w:name w:val="Body Text Indent"/>
    <w:basedOn w:val="1"/>
    <w:next w:val="27"/>
    <w:link w:val="143"/>
    <w:qFormat/>
    <w:uiPriority w:val="99"/>
    <w:pPr>
      <w:spacing w:line="480" w:lineRule="atLeast"/>
      <w:ind w:firstLine="570"/>
    </w:pPr>
    <w:rPr>
      <w:rFonts w:ascii="宋体" w:hAnsi="宋体"/>
      <w:sz w:val="24"/>
    </w:rPr>
  </w:style>
  <w:style w:type="paragraph" w:styleId="27">
    <w:name w:val="envelope return"/>
    <w:basedOn w:val="1"/>
    <w:qFormat/>
    <w:uiPriority w:val="0"/>
    <w:pPr>
      <w:snapToGrid w:val="0"/>
      <w:spacing w:line="360" w:lineRule="auto"/>
      <w:ind w:firstLine="420"/>
      <w:jc w:val="left"/>
    </w:pPr>
    <w:rPr>
      <w:rFonts w:ascii="Arial" w:hAnsi="Arial" w:cs="Arial"/>
      <w:sz w:val="24"/>
      <w:szCs w:val="24"/>
    </w:rPr>
  </w:style>
  <w:style w:type="paragraph" w:styleId="28">
    <w:name w:val="List"/>
    <w:basedOn w:val="1"/>
    <w:next w:val="29"/>
    <w:qFormat/>
    <w:uiPriority w:val="0"/>
    <w:pPr>
      <w:ind w:left="200" w:hanging="200" w:hangingChars="200"/>
    </w:pPr>
  </w:style>
  <w:style w:type="paragraph" w:styleId="29">
    <w:name w:val="List Bullet 2"/>
    <w:basedOn w:val="1"/>
    <w:next w:val="30"/>
    <w:qFormat/>
    <w:uiPriority w:val="0"/>
    <w:pPr>
      <w:tabs>
        <w:tab w:val="left" w:pos="780"/>
        <w:tab w:val="left" w:pos="920"/>
      </w:tabs>
      <w:ind w:left="920" w:hanging="360"/>
    </w:pPr>
  </w:style>
  <w:style w:type="paragraph" w:customStyle="1" w:styleId="30">
    <w:name w:val="xl70"/>
    <w:basedOn w:val="1"/>
    <w:next w:val="31"/>
    <w:qFormat/>
    <w:uiPriority w:val="0"/>
    <w:pPr>
      <w:widowControl/>
      <w:pBdr>
        <w:right w:val="single" w:color="000000" w:sz="12" w:space="0"/>
      </w:pBdr>
      <w:spacing w:before="100" w:beforeAutospacing="1" w:after="100" w:afterAutospacing="1"/>
      <w:jc w:val="left"/>
    </w:pPr>
    <w:rPr>
      <w:kern w:val="0"/>
      <w:sz w:val="20"/>
    </w:rPr>
  </w:style>
  <w:style w:type="paragraph" w:customStyle="1" w:styleId="31">
    <w:name w:val="正文缩进1"/>
    <w:qFormat/>
    <w:uiPriority w:val="0"/>
    <w:pPr>
      <w:widowControl w:val="0"/>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styleId="32">
    <w:name w:val="List Number"/>
    <w:basedOn w:val="1"/>
    <w:qFormat/>
    <w:uiPriority w:val="0"/>
    <w:pPr>
      <w:tabs>
        <w:tab w:val="left" w:pos="360"/>
      </w:tabs>
      <w:ind w:left="360" w:hanging="360" w:hangingChars="200"/>
    </w:pPr>
    <w:rPr>
      <w:szCs w:val="24"/>
    </w:rPr>
  </w:style>
  <w:style w:type="paragraph" w:styleId="33">
    <w:name w:val="caption"/>
    <w:basedOn w:val="1"/>
    <w:next w:val="1"/>
    <w:link w:val="135"/>
    <w:qFormat/>
    <w:uiPriority w:val="0"/>
    <w:pPr>
      <w:adjustRightInd w:val="0"/>
      <w:snapToGrid w:val="0"/>
      <w:spacing w:line="240" w:lineRule="atLeast"/>
      <w:ind w:firstLine="320" w:firstLineChars="100"/>
    </w:pPr>
    <w:rPr>
      <w:rFonts w:ascii="华文行楷" w:eastAsia="华文行楷"/>
      <w:i/>
      <w:iCs/>
      <w:color w:val="FF0000"/>
      <w:sz w:val="32"/>
      <w:szCs w:val="24"/>
    </w:rPr>
  </w:style>
  <w:style w:type="paragraph" w:styleId="34">
    <w:name w:val="index 5"/>
    <w:basedOn w:val="1"/>
    <w:next w:val="1"/>
    <w:qFormat/>
    <w:uiPriority w:val="0"/>
    <w:pPr>
      <w:ind w:left="800" w:leftChars="800"/>
    </w:pPr>
    <w:rPr>
      <w:szCs w:val="24"/>
    </w:rPr>
  </w:style>
  <w:style w:type="paragraph" w:styleId="35">
    <w:name w:val="List Bullet"/>
    <w:basedOn w:val="1"/>
    <w:qFormat/>
    <w:uiPriority w:val="0"/>
    <w:pPr>
      <w:tabs>
        <w:tab w:val="left" w:pos="0"/>
        <w:tab w:val="left" w:pos="360"/>
      </w:tabs>
      <w:ind w:left="-480" w:firstLine="480"/>
    </w:pPr>
    <w:rPr>
      <w:rFonts w:eastAsia="楷体_GB2312"/>
      <w:sz w:val="28"/>
    </w:rPr>
  </w:style>
  <w:style w:type="paragraph" w:styleId="36">
    <w:name w:val="envelope address"/>
    <w:basedOn w:val="1"/>
    <w:qFormat/>
    <w:uiPriority w:val="0"/>
    <w:pPr>
      <w:snapToGrid w:val="0"/>
      <w:spacing w:line="360" w:lineRule="auto"/>
      <w:ind w:left="100" w:leftChars="1400" w:firstLine="420"/>
      <w:jc w:val="left"/>
    </w:pPr>
    <w:rPr>
      <w:rFonts w:ascii="Arial" w:hAnsi="Arial" w:cs="Arial"/>
      <w:sz w:val="24"/>
      <w:szCs w:val="24"/>
    </w:rPr>
  </w:style>
  <w:style w:type="paragraph" w:styleId="37">
    <w:name w:val="Document Map"/>
    <w:basedOn w:val="1"/>
    <w:link w:val="136"/>
    <w:qFormat/>
    <w:uiPriority w:val="99"/>
    <w:pPr>
      <w:shd w:val="clear" w:color="auto" w:fill="000080"/>
    </w:pPr>
  </w:style>
  <w:style w:type="paragraph" w:styleId="38">
    <w:name w:val="toa heading"/>
    <w:basedOn w:val="1"/>
    <w:next w:val="1"/>
    <w:qFormat/>
    <w:uiPriority w:val="0"/>
    <w:pPr>
      <w:spacing w:before="120" w:beforeLines="0" w:beforeAutospacing="0"/>
    </w:pPr>
    <w:rPr>
      <w:rFonts w:ascii="Arial" w:hAnsi="Arial"/>
      <w:sz w:val="24"/>
    </w:rPr>
  </w:style>
  <w:style w:type="paragraph" w:styleId="39">
    <w:name w:val="annotation text"/>
    <w:basedOn w:val="1"/>
    <w:link w:val="137"/>
    <w:qFormat/>
    <w:uiPriority w:val="99"/>
    <w:pPr>
      <w:jc w:val="left"/>
    </w:pPr>
  </w:style>
  <w:style w:type="paragraph" w:styleId="40">
    <w:name w:val="index 6"/>
    <w:basedOn w:val="1"/>
    <w:next w:val="1"/>
    <w:qFormat/>
    <w:uiPriority w:val="0"/>
    <w:pPr>
      <w:ind w:left="1000" w:leftChars="1000"/>
    </w:pPr>
    <w:rPr>
      <w:szCs w:val="24"/>
    </w:rPr>
  </w:style>
  <w:style w:type="paragraph" w:styleId="41">
    <w:name w:val="Salutation"/>
    <w:basedOn w:val="1"/>
    <w:next w:val="1"/>
    <w:link w:val="138"/>
    <w:qFormat/>
    <w:uiPriority w:val="0"/>
    <w:pPr>
      <w:spacing w:line="360" w:lineRule="auto"/>
    </w:pPr>
    <w:rPr>
      <w:rFonts w:eastAsia="仿宋_GB2312"/>
      <w:sz w:val="28"/>
      <w:szCs w:val="28"/>
    </w:rPr>
  </w:style>
  <w:style w:type="paragraph" w:styleId="42">
    <w:name w:val="Body Text 3"/>
    <w:basedOn w:val="1"/>
    <w:link w:val="139"/>
    <w:qFormat/>
    <w:uiPriority w:val="0"/>
    <w:pPr>
      <w:spacing w:line="360" w:lineRule="auto"/>
    </w:pPr>
    <w:rPr>
      <w:rFonts w:ascii="幼圆" w:hAnsi="宋体" w:eastAsia="幼圆"/>
      <w:kern w:val="0"/>
      <w:sz w:val="24"/>
    </w:rPr>
  </w:style>
  <w:style w:type="paragraph" w:styleId="43">
    <w:name w:val="Closing"/>
    <w:basedOn w:val="1"/>
    <w:link w:val="140"/>
    <w:qFormat/>
    <w:uiPriority w:val="0"/>
    <w:pPr>
      <w:spacing w:line="360" w:lineRule="auto"/>
      <w:ind w:left="100" w:leftChars="2100" w:firstLine="420"/>
      <w:jc w:val="left"/>
    </w:pPr>
    <w:rPr>
      <w:sz w:val="24"/>
      <w:szCs w:val="24"/>
    </w:rPr>
  </w:style>
  <w:style w:type="paragraph" w:styleId="44">
    <w:name w:val="List Bullet 3"/>
    <w:basedOn w:val="1"/>
    <w:qFormat/>
    <w:uiPriority w:val="0"/>
    <w:pPr>
      <w:tabs>
        <w:tab w:val="left" w:pos="1067"/>
        <w:tab w:val="left" w:pos="1200"/>
      </w:tabs>
      <w:ind w:left="1067" w:hanging="709"/>
    </w:pPr>
    <w:rPr>
      <w:szCs w:val="24"/>
    </w:rPr>
  </w:style>
  <w:style w:type="paragraph" w:styleId="45">
    <w:name w:val="List Number 3"/>
    <w:basedOn w:val="1"/>
    <w:qFormat/>
    <w:uiPriority w:val="0"/>
    <w:pPr>
      <w:tabs>
        <w:tab w:val="left" w:pos="0"/>
        <w:tab w:val="left" w:pos="1200"/>
      </w:tabs>
      <w:ind w:left="-480" w:firstLine="480"/>
    </w:pPr>
    <w:rPr>
      <w:szCs w:val="24"/>
    </w:rPr>
  </w:style>
  <w:style w:type="paragraph" w:styleId="46">
    <w:name w:val="List 2"/>
    <w:basedOn w:val="1"/>
    <w:link w:val="144"/>
    <w:qFormat/>
    <w:uiPriority w:val="0"/>
    <w:pPr>
      <w:ind w:left="100" w:leftChars="200" w:hanging="200" w:hangingChars="200"/>
    </w:pPr>
  </w:style>
  <w:style w:type="paragraph" w:styleId="47">
    <w:name w:val="List Continue"/>
    <w:basedOn w:val="1"/>
    <w:qFormat/>
    <w:uiPriority w:val="0"/>
    <w:pPr>
      <w:spacing w:after="120"/>
      <w:ind w:left="420" w:leftChars="200"/>
    </w:pPr>
  </w:style>
  <w:style w:type="paragraph" w:styleId="48">
    <w:name w:val="Block Text"/>
    <w:basedOn w:val="1"/>
    <w:qFormat/>
    <w:uiPriority w:val="0"/>
    <w:pPr>
      <w:spacing w:before="100" w:beforeAutospacing="1" w:after="100" w:afterAutospacing="1" w:line="160" w:lineRule="exact"/>
      <w:ind w:left="113" w:right="113"/>
      <w:jc w:val="center"/>
    </w:pPr>
    <w:rPr>
      <w:kern w:val="0"/>
      <w:sz w:val="11"/>
    </w:rPr>
  </w:style>
  <w:style w:type="paragraph" w:styleId="49">
    <w:name w:val="HTML Address"/>
    <w:basedOn w:val="1"/>
    <w:link w:val="145"/>
    <w:qFormat/>
    <w:uiPriority w:val="0"/>
    <w:pPr>
      <w:spacing w:line="360" w:lineRule="auto"/>
      <w:ind w:firstLine="420"/>
      <w:jc w:val="left"/>
    </w:pPr>
    <w:rPr>
      <w:i/>
      <w:iCs/>
      <w:sz w:val="24"/>
      <w:szCs w:val="24"/>
    </w:rPr>
  </w:style>
  <w:style w:type="paragraph" w:styleId="50">
    <w:name w:val="index 4"/>
    <w:basedOn w:val="1"/>
    <w:next w:val="1"/>
    <w:qFormat/>
    <w:uiPriority w:val="0"/>
    <w:pPr>
      <w:ind w:left="600" w:leftChars="600"/>
    </w:pPr>
    <w:rPr>
      <w:szCs w:val="24"/>
    </w:rPr>
  </w:style>
  <w:style w:type="paragraph" w:styleId="51">
    <w:name w:val="toc 5"/>
    <w:basedOn w:val="1"/>
    <w:next w:val="1"/>
    <w:qFormat/>
    <w:uiPriority w:val="39"/>
    <w:pPr>
      <w:ind w:left="840"/>
      <w:jc w:val="left"/>
    </w:pPr>
    <w:rPr>
      <w:sz w:val="18"/>
    </w:rPr>
  </w:style>
  <w:style w:type="paragraph" w:styleId="52">
    <w:name w:val="toc 3"/>
    <w:basedOn w:val="1"/>
    <w:next w:val="1"/>
    <w:qFormat/>
    <w:uiPriority w:val="39"/>
    <w:pPr>
      <w:ind w:left="840" w:leftChars="400"/>
    </w:pPr>
  </w:style>
  <w:style w:type="paragraph" w:styleId="53">
    <w:name w:val="Plain Text"/>
    <w:basedOn w:val="1"/>
    <w:link w:val="146"/>
    <w:qFormat/>
    <w:uiPriority w:val="0"/>
    <w:rPr>
      <w:rFonts w:ascii="宋体" w:hAnsi="Courier New"/>
    </w:rPr>
  </w:style>
  <w:style w:type="paragraph" w:styleId="54">
    <w:name w:val="List Bullet 5"/>
    <w:basedOn w:val="1"/>
    <w:qFormat/>
    <w:uiPriority w:val="0"/>
    <w:pPr>
      <w:tabs>
        <w:tab w:val="left" w:pos="902"/>
        <w:tab w:val="left" w:pos="2040"/>
      </w:tabs>
      <w:ind w:left="902" w:hanging="420"/>
    </w:pPr>
    <w:rPr>
      <w:szCs w:val="24"/>
    </w:rPr>
  </w:style>
  <w:style w:type="paragraph" w:styleId="55">
    <w:name w:val="List Number 4"/>
    <w:basedOn w:val="1"/>
    <w:qFormat/>
    <w:uiPriority w:val="0"/>
    <w:pPr>
      <w:tabs>
        <w:tab w:val="left" w:pos="180"/>
        <w:tab w:val="left" w:pos="1620"/>
      </w:tabs>
      <w:ind w:left="600" w:hanging="420"/>
    </w:pPr>
    <w:rPr>
      <w:szCs w:val="24"/>
    </w:rPr>
  </w:style>
  <w:style w:type="paragraph" w:styleId="56">
    <w:name w:val="toc 8"/>
    <w:basedOn w:val="1"/>
    <w:next w:val="1"/>
    <w:qFormat/>
    <w:uiPriority w:val="39"/>
    <w:pPr>
      <w:ind w:left="2940" w:leftChars="1400"/>
    </w:pPr>
  </w:style>
  <w:style w:type="paragraph" w:styleId="57">
    <w:name w:val="index 3"/>
    <w:basedOn w:val="1"/>
    <w:next w:val="1"/>
    <w:qFormat/>
    <w:uiPriority w:val="0"/>
    <w:pPr>
      <w:ind w:left="400" w:leftChars="400"/>
    </w:pPr>
    <w:rPr>
      <w:szCs w:val="24"/>
    </w:rPr>
  </w:style>
  <w:style w:type="paragraph" w:styleId="58">
    <w:name w:val="Date"/>
    <w:basedOn w:val="1"/>
    <w:next w:val="1"/>
    <w:link w:val="147"/>
    <w:qFormat/>
    <w:uiPriority w:val="0"/>
    <w:pPr>
      <w:ind w:left="100" w:leftChars="2500"/>
    </w:pPr>
    <w:rPr>
      <w:b/>
      <w:sz w:val="30"/>
    </w:rPr>
  </w:style>
  <w:style w:type="paragraph" w:styleId="59">
    <w:name w:val="endnote text"/>
    <w:basedOn w:val="1"/>
    <w:link w:val="148"/>
    <w:qFormat/>
    <w:uiPriority w:val="0"/>
    <w:pPr>
      <w:adjustRightInd w:val="0"/>
      <w:spacing w:line="312" w:lineRule="atLeast"/>
      <w:jc w:val="left"/>
    </w:pPr>
    <w:rPr>
      <w:kern w:val="0"/>
    </w:rPr>
  </w:style>
  <w:style w:type="paragraph" w:styleId="60">
    <w:name w:val="List Continue 5"/>
    <w:basedOn w:val="1"/>
    <w:qFormat/>
    <w:uiPriority w:val="0"/>
    <w:pPr>
      <w:spacing w:after="120" w:line="360" w:lineRule="auto"/>
      <w:ind w:left="2100" w:leftChars="1000" w:firstLine="420"/>
      <w:jc w:val="left"/>
    </w:pPr>
    <w:rPr>
      <w:sz w:val="24"/>
      <w:szCs w:val="24"/>
    </w:rPr>
  </w:style>
  <w:style w:type="paragraph" w:styleId="61">
    <w:name w:val="Balloon Text"/>
    <w:basedOn w:val="1"/>
    <w:link w:val="149"/>
    <w:qFormat/>
    <w:uiPriority w:val="99"/>
    <w:rPr>
      <w:sz w:val="18"/>
    </w:rPr>
  </w:style>
  <w:style w:type="paragraph" w:styleId="62">
    <w:name w:val="footer"/>
    <w:basedOn w:val="1"/>
    <w:link w:val="150"/>
    <w:qFormat/>
    <w:uiPriority w:val="99"/>
    <w:pPr>
      <w:tabs>
        <w:tab w:val="center" w:pos="4153"/>
        <w:tab w:val="right" w:pos="8306"/>
      </w:tabs>
      <w:snapToGrid w:val="0"/>
      <w:jc w:val="left"/>
    </w:pPr>
    <w:rPr>
      <w:sz w:val="18"/>
    </w:rPr>
  </w:style>
  <w:style w:type="paragraph" w:styleId="63">
    <w:name w:val="header"/>
    <w:basedOn w:val="1"/>
    <w:link w:val="151"/>
    <w:qFormat/>
    <w:uiPriority w:val="99"/>
    <w:pPr>
      <w:pBdr>
        <w:bottom w:val="single" w:color="auto" w:sz="6" w:space="1"/>
      </w:pBdr>
      <w:tabs>
        <w:tab w:val="center" w:pos="4153"/>
        <w:tab w:val="right" w:pos="8306"/>
      </w:tabs>
      <w:snapToGrid w:val="0"/>
      <w:jc w:val="center"/>
    </w:pPr>
    <w:rPr>
      <w:sz w:val="18"/>
    </w:rPr>
  </w:style>
  <w:style w:type="paragraph" w:styleId="64">
    <w:name w:val="Signature"/>
    <w:basedOn w:val="1"/>
    <w:link w:val="152"/>
    <w:qFormat/>
    <w:uiPriority w:val="0"/>
    <w:pPr>
      <w:spacing w:line="360" w:lineRule="auto"/>
      <w:ind w:left="100" w:leftChars="2100" w:firstLine="420"/>
      <w:jc w:val="left"/>
    </w:pPr>
    <w:rPr>
      <w:sz w:val="24"/>
      <w:szCs w:val="24"/>
    </w:rPr>
  </w:style>
  <w:style w:type="paragraph" w:styleId="65">
    <w:name w:val="toc 1"/>
    <w:basedOn w:val="1"/>
    <w:next w:val="1"/>
    <w:link w:val="153"/>
    <w:qFormat/>
    <w:uiPriority w:val="39"/>
    <w:pPr>
      <w:tabs>
        <w:tab w:val="right" w:leader="dot" w:pos="8296"/>
      </w:tabs>
      <w:jc w:val="center"/>
    </w:pPr>
    <w:rPr>
      <w:b/>
      <w:sz w:val="28"/>
    </w:rPr>
  </w:style>
  <w:style w:type="paragraph" w:styleId="66">
    <w:name w:val="List Continue 4"/>
    <w:basedOn w:val="1"/>
    <w:qFormat/>
    <w:uiPriority w:val="0"/>
    <w:pPr>
      <w:spacing w:after="120" w:line="360" w:lineRule="auto"/>
      <w:ind w:left="1680" w:leftChars="800" w:firstLine="420"/>
      <w:jc w:val="left"/>
    </w:pPr>
    <w:rPr>
      <w:sz w:val="24"/>
      <w:szCs w:val="24"/>
    </w:rPr>
  </w:style>
  <w:style w:type="paragraph" w:styleId="67">
    <w:name w:val="toc 4"/>
    <w:basedOn w:val="1"/>
    <w:next w:val="1"/>
    <w:qFormat/>
    <w:uiPriority w:val="39"/>
    <w:pPr>
      <w:ind w:left="1260" w:leftChars="600"/>
    </w:pPr>
  </w:style>
  <w:style w:type="paragraph" w:styleId="68">
    <w:name w:val="index heading"/>
    <w:basedOn w:val="1"/>
    <w:next w:val="69"/>
    <w:qFormat/>
    <w:uiPriority w:val="0"/>
    <w:rPr>
      <w:rFonts w:ascii="Arial" w:hAnsi="Arial" w:cs="Arial"/>
      <w:b/>
      <w:bCs/>
      <w:szCs w:val="24"/>
    </w:rPr>
  </w:style>
  <w:style w:type="paragraph" w:styleId="69">
    <w:name w:val="index 1"/>
    <w:basedOn w:val="1"/>
    <w:next w:val="1"/>
    <w:qFormat/>
    <w:uiPriority w:val="0"/>
  </w:style>
  <w:style w:type="paragraph" w:styleId="70">
    <w:name w:val="Subtitle"/>
    <w:basedOn w:val="1"/>
    <w:link w:val="154"/>
    <w:qFormat/>
    <w:uiPriority w:val="0"/>
    <w:pPr>
      <w:spacing w:before="240" w:after="240" w:line="360" w:lineRule="auto"/>
      <w:ind w:firstLine="420"/>
      <w:jc w:val="center"/>
      <w:outlineLvl w:val="1"/>
    </w:pPr>
    <w:rPr>
      <w:rFonts w:ascii="Arial" w:hAnsi="Arial" w:cs="Arial"/>
      <w:b/>
      <w:bCs/>
      <w:kern w:val="28"/>
      <w:sz w:val="24"/>
      <w:szCs w:val="32"/>
    </w:rPr>
  </w:style>
  <w:style w:type="paragraph" w:styleId="71">
    <w:name w:val="List Number 5"/>
    <w:basedOn w:val="1"/>
    <w:qFormat/>
    <w:uiPriority w:val="0"/>
    <w:pPr>
      <w:tabs>
        <w:tab w:val="left" w:pos="360"/>
        <w:tab w:val="left" w:pos="2040"/>
      </w:tabs>
      <w:ind w:left="360" w:hanging="360"/>
    </w:pPr>
    <w:rPr>
      <w:szCs w:val="24"/>
    </w:rPr>
  </w:style>
  <w:style w:type="paragraph" w:styleId="72">
    <w:name w:val="footnote text"/>
    <w:basedOn w:val="1"/>
    <w:link w:val="155"/>
    <w:qFormat/>
    <w:uiPriority w:val="0"/>
    <w:pPr>
      <w:snapToGrid w:val="0"/>
      <w:jc w:val="left"/>
    </w:pPr>
    <w:rPr>
      <w:rFonts w:ascii="宋体" w:hAnsi="宋体"/>
      <w:sz w:val="18"/>
      <w:szCs w:val="18"/>
    </w:rPr>
  </w:style>
  <w:style w:type="paragraph" w:styleId="73">
    <w:name w:val="toc 6"/>
    <w:basedOn w:val="1"/>
    <w:next w:val="1"/>
    <w:qFormat/>
    <w:uiPriority w:val="39"/>
    <w:pPr>
      <w:ind w:left="2100" w:leftChars="1000"/>
    </w:pPr>
  </w:style>
  <w:style w:type="paragraph" w:styleId="74">
    <w:name w:val="List 5"/>
    <w:basedOn w:val="1"/>
    <w:qFormat/>
    <w:uiPriority w:val="0"/>
    <w:pPr>
      <w:spacing w:line="360" w:lineRule="auto"/>
      <w:ind w:left="100" w:leftChars="800" w:hanging="200" w:hangingChars="200"/>
      <w:jc w:val="left"/>
    </w:pPr>
    <w:rPr>
      <w:sz w:val="24"/>
      <w:szCs w:val="24"/>
    </w:rPr>
  </w:style>
  <w:style w:type="paragraph" w:styleId="75">
    <w:name w:val="Body Text Indent 3"/>
    <w:basedOn w:val="1"/>
    <w:link w:val="156"/>
    <w:qFormat/>
    <w:uiPriority w:val="0"/>
    <w:pPr>
      <w:ind w:left="-359" w:leftChars="-171"/>
    </w:pPr>
    <w:rPr>
      <w:rFonts w:ascii="宋体" w:hAnsi="宋体"/>
    </w:rPr>
  </w:style>
  <w:style w:type="paragraph" w:styleId="76">
    <w:name w:val="index 7"/>
    <w:basedOn w:val="1"/>
    <w:next w:val="1"/>
    <w:qFormat/>
    <w:uiPriority w:val="0"/>
    <w:pPr>
      <w:ind w:left="1200" w:leftChars="1200"/>
    </w:pPr>
    <w:rPr>
      <w:szCs w:val="24"/>
    </w:rPr>
  </w:style>
  <w:style w:type="paragraph" w:styleId="77">
    <w:name w:val="index 9"/>
    <w:basedOn w:val="1"/>
    <w:next w:val="1"/>
    <w:qFormat/>
    <w:uiPriority w:val="0"/>
    <w:pPr>
      <w:ind w:left="1600" w:leftChars="1600"/>
    </w:pPr>
    <w:rPr>
      <w:szCs w:val="24"/>
    </w:rPr>
  </w:style>
  <w:style w:type="paragraph" w:styleId="78">
    <w:name w:val="table of figures"/>
    <w:basedOn w:val="1"/>
    <w:next w:val="1"/>
    <w:qFormat/>
    <w:uiPriority w:val="0"/>
    <w:pPr>
      <w:spacing w:line="360" w:lineRule="auto"/>
      <w:ind w:firstLineChars="200"/>
      <w:jc w:val="left"/>
    </w:pPr>
    <w:rPr>
      <w:rFonts w:eastAsia="仿宋_GB2312"/>
      <w:i/>
      <w:iCs/>
      <w:sz w:val="20"/>
    </w:rPr>
  </w:style>
  <w:style w:type="paragraph" w:styleId="79">
    <w:name w:val="toc 2"/>
    <w:basedOn w:val="1"/>
    <w:next w:val="24"/>
    <w:qFormat/>
    <w:uiPriority w:val="39"/>
    <w:pPr>
      <w:ind w:left="420" w:leftChars="200"/>
    </w:pPr>
  </w:style>
  <w:style w:type="paragraph" w:styleId="80">
    <w:name w:val="toc 9"/>
    <w:basedOn w:val="1"/>
    <w:next w:val="1"/>
    <w:qFormat/>
    <w:uiPriority w:val="39"/>
    <w:pPr>
      <w:ind w:left="3360" w:leftChars="1600"/>
    </w:pPr>
  </w:style>
  <w:style w:type="paragraph" w:styleId="81">
    <w:name w:val="Body Text 2"/>
    <w:basedOn w:val="1"/>
    <w:link w:val="157"/>
    <w:qFormat/>
    <w:uiPriority w:val="0"/>
    <w:rPr>
      <w:rFonts w:ascii="仿宋_GB2312" w:hAnsi="宋体" w:eastAsia="仿宋_GB2312"/>
      <w:sz w:val="24"/>
    </w:rPr>
  </w:style>
  <w:style w:type="paragraph" w:styleId="82">
    <w:name w:val="List 4"/>
    <w:basedOn w:val="1"/>
    <w:qFormat/>
    <w:uiPriority w:val="0"/>
    <w:pPr>
      <w:spacing w:line="360" w:lineRule="auto"/>
      <w:ind w:left="100" w:leftChars="600" w:hanging="200" w:hangingChars="200"/>
      <w:jc w:val="left"/>
    </w:pPr>
    <w:rPr>
      <w:sz w:val="24"/>
      <w:szCs w:val="24"/>
    </w:rPr>
  </w:style>
  <w:style w:type="paragraph" w:styleId="83">
    <w:name w:val="List Continue 2"/>
    <w:basedOn w:val="1"/>
    <w:qFormat/>
    <w:uiPriority w:val="0"/>
    <w:pPr>
      <w:spacing w:after="120"/>
      <w:ind w:left="840" w:leftChars="400"/>
    </w:pPr>
    <w:rPr>
      <w:szCs w:val="24"/>
    </w:rPr>
  </w:style>
  <w:style w:type="paragraph" w:styleId="84">
    <w:name w:val="Message Header"/>
    <w:basedOn w:val="1"/>
    <w:link w:val="158"/>
    <w:qFormat/>
    <w:uiPriority w:val="0"/>
    <w:pPr>
      <w:pBdr>
        <w:top w:val="single" w:color="auto" w:sz="6" w:space="1"/>
        <w:left w:val="single" w:color="auto" w:sz="6" w:space="1"/>
        <w:bottom w:val="single" w:color="auto" w:sz="6" w:space="1"/>
        <w:right w:val="single" w:color="auto" w:sz="6" w:space="1"/>
      </w:pBdr>
      <w:shd w:val="pct20" w:color="auto" w:fill="auto"/>
      <w:spacing w:line="360" w:lineRule="auto"/>
      <w:ind w:left="1080" w:leftChars="500" w:hanging="1080" w:hangingChars="500"/>
      <w:jc w:val="left"/>
    </w:pPr>
    <w:rPr>
      <w:rFonts w:ascii="Arial" w:hAnsi="Arial"/>
      <w:sz w:val="24"/>
      <w:szCs w:val="24"/>
    </w:rPr>
  </w:style>
  <w:style w:type="paragraph" w:styleId="85">
    <w:name w:val="HTML Preformatted"/>
    <w:basedOn w:val="1"/>
    <w:link w:val="15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86">
    <w:name w:val="Normal (Web)"/>
    <w:basedOn w:val="1"/>
    <w:qFormat/>
    <w:uiPriority w:val="99"/>
    <w:rPr>
      <w:sz w:val="24"/>
    </w:rPr>
  </w:style>
  <w:style w:type="paragraph" w:styleId="87">
    <w:name w:val="List Continue 3"/>
    <w:basedOn w:val="1"/>
    <w:qFormat/>
    <w:uiPriority w:val="0"/>
    <w:pPr>
      <w:spacing w:after="120" w:line="360" w:lineRule="auto"/>
      <w:ind w:left="1260" w:leftChars="600" w:firstLine="420"/>
      <w:jc w:val="left"/>
    </w:pPr>
    <w:rPr>
      <w:sz w:val="24"/>
      <w:szCs w:val="24"/>
    </w:rPr>
  </w:style>
  <w:style w:type="paragraph" w:styleId="88">
    <w:name w:val="index 2"/>
    <w:basedOn w:val="1"/>
    <w:next w:val="1"/>
    <w:qFormat/>
    <w:uiPriority w:val="0"/>
    <w:pPr>
      <w:ind w:left="200" w:leftChars="200"/>
    </w:pPr>
    <w:rPr>
      <w:szCs w:val="24"/>
    </w:rPr>
  </w:style>
  <w:style w:type="paragraph" w:styleId="89">
    <w:name w:val="Title"/>
    <w:basedOn w:val="1"/>
    <w:next w:val="1"/>
    <w:link w:val="160"/>
    <w:qFormat/>
    <w:uiPriority w:val="0"/>
    <w:pPr>
      <w:spacing w:before="240" w:beforeLines="0" w:beforeAutospacing="0" w:after="60" w:afterLines="0" w:afterAutospacing="0" w:line="360" w:lineRule="auto"/>
      <w:ind w:firstLine="480" w:firstLineChars="200"/>
      <w:jc w:val="center"/>
      <w:outlineLvl w:val="0"/>
    </w:pPr>
    <w:rPr>
      <w:rFonts w:ascii="Arial" w:hAnsi="Arial"/>
      <w:b/>
      <w:snapToGrid w:val="0"/>
      <w:kern w:val="0"/>
      <w:sz w:val="32"/>
    </w:rPr>
  </w:style>
  <w:style w:type="paragraph" w:styleId="90">
    <w:name w:val="annotation subject"/>
    <w:basedOn w:val="39"/>
    <w:next w:val="39"/>
    <w:link w:val="161"/>
    <w:qFormat/>
    <w:uiPriority w:val="0"/>
    <w:rPr>
      <w:b/>
    </w:rPr>
  </w:style>
  <w:style w:type="paragraph" w:styleId="91">
    <w:name w:val="Body Text First Indent 2"/>
    <w:basedOn w:val="26"/>
    <w:link w:val="163"/>
    <w:qFormat/>
    <w:uiPriority w:val="0"/>
    <w:pPr>
      <w:spacing w:after="120" w:line="240" w:lineRule="auto"/>
      <w:ind w:left="420" w:leftChars="200" w:firstLine="420" w:firstLineChars="200"/>
    </w:pPr>
    <w:rPr>
      <w:rFonts w:ascii="Times New Roman" w:hAnsi="Times New Roman"/>
      <w:sz w:val="21"/>
    </w:rPr>
  </w:style>
  <w:style w:type="table" w:styleId="93">
    <w:name w:val="Table Grid"/>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4">
    <w:name w:val="Table Theme"/>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5">
    <w:name w:val="Table Classic 1"/>
    <w:basedOn w:val="92"/>
    <w:qFormat/>
    <w:uiPriority w:val="0"/>
    <w:pPr>
      <w:widowControl w:val="0"/>
      <w:jc w:val="both"/>
    </w:pPr>
    <w:rPr>
      <w:lang w:bidi="sa-IN"/>
    </w:r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Simple 1"/>
    <w:basedOn w:val="92"/>
    <w:unhideWhenUsed/>
    <w:qFormat/>
    <w:uiPriority w:val="99"/>
    <w:pPr>
      <w:widowControl w:val="0"/>
      <w:adjustRightInd w:val="0"/>
      <w:snapToGrid w:val="0"/>
      <w:spacing w:line="360" w:lineRule="auto"/>
      <w:ind w:firstLine="200" w:firstLineChars="200"/>
      <w:jc w:val="both"/>
    </w:pPr>
    <w:rPr>
      <w:rFonts w:ascii="Calibri" w:hAnsi="Calibri"/>
      <w:kern w:val="2"/>
      <w:sz w:val="21"/>
      <w:szCs w:val="22"/>
    </w:r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97">
    <w:name w:val="Table List 3"/>
    <w:basedOn w:val="92"/>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98">
    <w:name w:val="Table Grid 1"/>
    <w:basedOn w:val="92"/>
    <w:qFormat/>
    <w:uiPriority w:val="0"/>
    <w:pPr>
      <w:widowControl w:val="0"/>
      <w:spacing w:line="360" w:lineRule="auto"/>
    </w:pPr>
    <w:rPr>
      <w:lang w:bidi="sa-IN"/>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9">
    <w:name w:val="Table Grid 6"/>
    <w:basedOn w:val="92"/>
    <w:qFormat/>
    <w:uiPriority w:val="0"/>
    <w:pPr>
      <w:widowControl w:val="0"/>
      <w:jc w:val="both"/>
    </w:pPr>
    <w:rPr>
      <w:lang w:bidi="sa-IN"/>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101">
    <w:name w:val="Strong"/>
    <w:qFormat/>
    <w:uiPriority w:val="22"/>
    <w:rPr>
      <w:b/>
    </w:rPr>
  </w:style>
  <w:style w:type="character" w:styleId="102">
    <w:name w:val="page number"/>
    <w:basedOn w:val="100"/>
    <w:qFormat/>
    <w:uiPriority w:val="0"/>
  </w:style>
  <w:style w:type="character" w:styleId="103">
    <w:name w:val="FollowedHyperlink"/>
    <w:qFormat/>
    <w:uiPriority w:val="99"/>
    <w:rPr>
      <w:color w:val="800080"/>
      <w:u w:val="single"/>
    </w:rPr>
  </w:style>
  <w:style w:type="character" w:styleId="104">
    <w:name w:val="Emphasis"/>
    <w:qFormat/>
    <w:uiPriority w:val="0"/>
    <w:rPr>
      <w:rFonts w:ascii="Arial Black" w:hAnsi="Arial Black" w:eastAsia="黑体"/>
      <w:b/>
      <w:spacing w:val="0"/>
      <w:sz w:val="21"/>
      <w:lang w:eastAsia="zh-CN"/>
    </w:rPr>
  </w:style>
  <w:style w:type="character" w:styleId="105">
    <w:name w:val="line number"/>
    <w:basedOn w:val="100"/>
    <w:qFormat/>
    <w:uiPriority w:val="0"/>
  </w:style>
  <w:style w:type="character" w:styleId="106">
    <w:name w:val="HTML Definition"/>
    <w:qFormat/>
    <w:uiPriority w:val="0"/>
    <w:rPr>
      <w:i/>
      <w:iCs/>
    </w:rPr>
  </w:style>
  <w:style w:type="character" w:styleId="107">
    <w:name w:val="HTML Typewriter"/>
    <w:qFormat/>
    <w:uiPriority w:val="0"/>
    <w:rPr>
      <w:rFonts w:ascii="宋体" w:hAnsi="宋体" w:eastAsia="宋体"/>
      <w:sz w:val="24"/>
    </w:rPr>
  </w:style>
  <w:style w:type="character" w:styleId="108">
    <w:name w:val="HTML Acronym"/>
    <w:basedOn w:val="100"/>
    <w:qFormat/>
    <w:uiPriority w:val="0"/>
  </w:style>
  <w:style w:type="character" w:styleId="109">
    <w:name w:val="HTML Variable"/>
    <w:qFormat/>
    <w:uiPriority w:val="0"/>
    <w:rPr>
      <w:i/>
      <w:iCs/>
    </w:rPr>
  </w:style>
  <w:style w:type="character" w:styleId="110">
    <w:name w:val="Hyperlink"/>
    <w:qFormat/>
    <w:uiPriority w:val="99"/>
    <w:rPr>
      <w:color w:val="0000FF"/>
      <w:u w:val="single"/>
    </w:rPr>
  </w:style>
  <w:style w:type="character" w:styleId="111">
    <w:name w:val="HTML Code"/>
    <w:qFormat/>
    <w:uiPriority w:val="0"/>
    <w:rPr>
      <w:rFonts w:ascii="黑体" w:hAnsi="Courier New" w:eastAsia="黑体" w:cs="Courier New"/>
      <w:sz w:val="20"/>
      <w:szCs w:val="20"/>
    </w:rPr>
  </w:style>
  <w:style w:type="character" w:styleId="112">
    <w:name w:val="annotation reference"/>
    <w:qFormat/>
    <w:uiPriority w:val="0"/>
    <w:rPr>
      <w:sz w:val="21"/>
    </w:rPr>
  </w:style>
  <w:style w:type="character" w:styleId="113">
    <w:name w:val="HTML Cite"/>
    <w:qFormat/>
    <w:uiPriority w:val="0"/>
    <w:rPr>
      <w:i/>
      <w:iCs/>
    </w:rPr>
  </w:style>
  <w:style w:type="character" w:styleId="114">
    <w:name w:val="footnote reference"/>
    <w:unhideWhenUsed/>
    <w:qFormat/>
    <w:uiPriority w:val="99"/>
    <w:rPr>
      <w:vertAlign w:val="superscript"/>
    </w:rPr>
  </w:style>
  <w:style w:type="character" w:styleId="115">
    <w:name w:val="HTML Keyboard"/>
    <w:qFormat/>
    <w:uiPriority w:val="0"/>
    <w:rPr>
      <w:rFonts w:ascii="Courier New" w:hAnsi="Courier New" w:cs="Courier New"/>
      <w:sz w:val="20"/>
      <w:szCs w:val="20"/>
    </w:rPr>
  </w:style>
  <w:style w:type="character" w:styleId="116">
    <w:name w:val="HTML Sample"/>
    <w:qFormat/>
    <w:uiPriority w:val="0"/>
    <w:rPr>
      <w:rFonts w:ascii="Courier New" w:hAnsi="Courier New" w:cs="Courier New"/>
    </w:rPr>
  </w:style>
  <w:style w:type="paragraph" w:customStyle="1" w:styleId="117">
    <w:name w:val="Default"/>
    <w:basedOn w:val="118"/>
    <w:next w:val="119"/>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18">
    <w:name w:val="纯文本1"/>
    <w:basedOn w:val="1"/>
    <w:qFormat/>
    <w:uiPriority w:val="0"/>
    <w:pPr>
      <w:adjustRightInd w:val="0"/>
      <w:textAlignment w:val="baseline"/>
    </w:pPr>
    <w:rPr>
      <w:rFonts w:ascii="宋体" w:hAnsi="Courier New"/>
    </w:rPr>
  </w:style>
  <w:style w:type="paragraph" w:customStyle="1" w:styleId="119">
    <w:name w:val="样式35"/>
    <w:basedOn w:val="120"/>
    <w:next w:val="121"/>
    <w:qFormat/>
    <w:uiPriority w:val="0"/>
    <w:pPr>
      <w:widowControl w:val="0"/>
      <w:spacing w:line="312" w:lineRule="auto"/>
      <w:ind w:firstLine="567" w:firstLineChars="0"/>
      <w:jc w:val="center"/>
    </w:pPr>
    <w:rPr>
      <w:rFonts w:ascii="宋体" w:hAnsi="仿宋" w:eastAsia="仿宋" w:cs="Times New Roman"/>
      <w:kern w:val="2"/>
      <w:sz w:val="28"/>
      <w:szCs w:val="22"/>
      <w:lang w:val="en-US" w:eastAsia="zh-CN" w:bidi="ar-SA"/>
    </w:rPr>
  </w:style>
  <w:style w:type="paragraph" w:customStyle="1" w:styleId="120">
    <w:name w:val="表 内容"/>
    <w:qFormat/>
    <w:uiPriority w:val="0"/>
    <w:pPr>
      <w:widowControl w:val="0"/>
      <w:spacing w:line="276" w:lineRule="auto"/>
      <w:ind w:firstLine="0" w:firstLineChars="0"/>
      <w:jc w:val="center"/>
    </w:pPr>
    <w:rPr>
      <w:rFonts w:ascii="仿宋" w:hAnsi="仿宋" w:eastAsia="仿宋" w:cs="Times New Roman"/>
      <w:kern w:val="2"/>
      <w:sz w:val="24"/>
      <w:szCs w:val="24"/>
      <w:lang w:val="en-US" w:eastAsia="zh-CN" w:bidi="ar-SA"/>
    </w:rPr>
  </w:style>
  <w:style w:type="paragraph" w:customStyle="1" w:styleId="121">
    <w:name w:val="font6"/>
    <w:basedOn w:val="1"/>
    <w:next w:val="79"/>
    <w:qFormat/>
    <w:uiPriority w:val="0"/>
    <w:pPr>
      <w:widowControl/>
      <w:spacing w:before="100" w:beforeLines="0" w:beforeAutospacing="1" w:after="100" w:afterLines="0" w:afterAutospacing="1"/>
      <w:jc w:val="left"/>
    </w:pPr>
    <w:rPr>
      <w:rFonts w:eastAsia="Arial Unicode MS"/>
      <w:kern w:val="0"/>
      <w:sz w:val="18"/>
    </w:rPr>
  </w:style>
  <w:style w:type="character" w:customStyle="1" w:styleId="122">
    <w:name w:val="标题 3 Char"/>
    <w:link w:val="9"/>
    <w:qFormat/>
    <w:uiPriority w:val="0"/>
    <w:rPr>
      <w:rFonts w:eastAsia="宋体"/>
      <w:b/>
      <w:kern w:val="2"/>
      <w:sz w:val="32"/>
      <w:lang w:val="en-US" w:eastAsia="zh-CN"/>
    </w:rPr>
  </w:style>
  <w:style w:type="character" w:customStyle="1" w:styleId="123">
    <w:name w:val="宏文本 Char"/>
    <w:link w:val="6"/>
    <w:qFormat/>
    <w:uiPriority w:val="0"/>
    <w:rPr>
      <w:rFonts w:ascii="Courier New" w:hAnsi="Courier New" w:cs="Courier New"/>
      <w:kern w:val="2"/>
      <w:sz w:val="24"/>
      <w:szCs w:val="24"/>
      <w:lang w:val="en-US" w:eastAsia="zh-CN" w:bidi="ar-SA"/>
    </w:rPr>
  </w:style>
  <w:style w:type="character" w:customStyle="1" w:styleId="124">
    <w:name w:val="标题 1 Char2"/>
    <w:link w:val="7"/>
    <w:qFormat/>
    <w:uiPriority w:val="0"/>
    <w:rPr>
      <w:rFonts w:eastAsia="宋体"/>
      <w:b/>
      <w:kern w:val="44"/>
      <w:sz w:val="44"/>
      <w:lang w:val="en-US" w:eastAsia="zh-CN"/>
    </w:rPr>
  </w:style>
  <w:style w:type="character" w:customStyle="1" w:styleId="125">
    <w:name w:val="标题 2 Char1"/>
    <w:link w:val="8"/>
    <w:qFormat/>
    <w:uiPriority w:val="0"/>
    <w:rPr>
      <w:rFonts w:ascii="Arial" w:hAnsi="Arial" w:eastAsia="黑体"/>
      <w:b/>
      <w:kern w:val="2"/>
      <w:sz w:val="32"/>
      <w:lang w:val="en-US" w:eastAsia="zh-CN"/>
    </w:rPr>
  </w:style>
  <w:style w:type="character" w:customStyle="1" w:styleId="126">
    <w:name w:val="标题 4 Char"/>
    <w:link w:val="10"/>
    <w:qFormat/>
    <w:uiPriority w:val="99"/>
    <w:rPr>
      <w:rFonts w:ascii="Arial" w:hAnsi="Arial" w:eastAsia="黑体"/>
      <w:b/>
      <w:kern w:val="2"/>
      <w:sz w:val="28"/>
      <w:lang w:val="en-US" w:eastAsia="zh-CN"/>
    </w:rPr>
  </w:style>
  <w:style w:type="character" w:customStyle="1" w:styleId="127">
    <w:name w:val="标题 5 Char2"/>
    <w:link w:val="12"/>
    <w:qFormat/>
    <w:uiPriority w:val="0"/>
    <w:rPr>
      <w:rFonts w:ascii="宋体" w:hAnsi="Tms Rmn" w:eastAsia="宋体"/>
      <w:b/>
      <w:sz w:val="28"/>
      <w:lang w:val="en-US" w:eastAsia="zh-CN"/>
    </w:rPr>
  </w:style>
  <w:style w:type="character" w:customStyle="1" w:styleId="128">
    <w:name w:val="正文缩进 Char1"/>
    <w:link w:val="11"/>
    <w:qFormat/>
    <w:uiPriority w:val="0"/>
    <w:rPr>
      <w:rFonts w:eastAsia="宋体"/>
      <w:kern w:val="2"/>
      <w:sz w:val="21"/>
      <w:lang w:val="en-US" w:eastAsia="zh-CN"/>
    </w:rPr>
  </w:style>
  <w:style w:type="character" w:customStyle="1" w:styleId="129">
    <w:name w:val="标题 6 Char"/>
    <w:link w:val="13"/>
    <w:qFormat/>
    <w:uiPriority w:val="0"/>
    <w:rPr>
      <w:rFonts w:ascii="Arial" w:hAnsi="Arial" w:eastAsia="黑体"/>
      <w:b/>
      <w:sz w:val="24"/>
      <w:lang w:val="en-US" w:eastAsia="zh-CN"/>
    </w:rPr>
  </w:style>
  <w:style w:type="character" w:customStyle="1" w:styleId="130">
    <w:name w:val="标题 7 Char"/>
    <w:link w:val="14"/>
    <w:qFormat/>
    <w:uiPriority w:val="0"/>
    <w:rPr>
      <w:rFonts w:ascii="宋体" w:hAnsi="Tms Rmn" w:eastAsia="宋体"/>
      <w:b/>
      <w:sz w:val="24"/>
      <w:lang w:val="en-US" w:eastAsia="zh-CN"/>
    </w:rPr>
  </w:style>
  <w:style w:type="character" w:customStyle="1" w:styleId="131">
    <w:name w:val="标题 8 Char"/>
    <w:link w:val="15"/>
    <w:qFormat/>
    <w:uiPriority w:val="0"/>
    <w:rPr>
      <w:rFonts w:ascii="Arial" w:hAnsi="Arial" w:eastAsia="黑体"/>
      <w:sz w:val="24"/>
      <w:lang w:val="en-US" w:eastAsia="zh-CN"/>
    </w:rPr>
  </w:style>
  <w:style w:type="character" w:customStyle="1" w:styleId="132">
    <w:name w:val="标题 9 Char"/>
    <w:link w:val="16"/>
    <w:qFormat/>
    <w:uiPriority w:val="0"/>
    <w:rPr>
      <w:rFonts w:ascii="Arial" w:hAnsi="Arial" w:eastAsia="黑体"/>
      <w:sz w:val="21"/>
      <w:lang w:val="en-US" w:eastAsia="zh-CN"/>
    </w:rPr>
  </w:style>
  <w:style w:type="character" w:customStyle="1" w:styleId="133">
    <w:name w:val="注释标题 Char"/>
    <w:link w:val="21"/>
    <w:qFormat/>
    <w:uiPriority w:val="0"/>
    <w:rPr>
      <w:rFonts w:ascii="黑体" w:hAnsi="宋体" w:eastAsia="黑体"/>
      <w:kern w:val="2"/>
      <w:sz w:val="21"/>
      <w:lang w:val="en-US" w:eastAsia="zh-CN" w:bidi="ar-SA"/>
    </w:rPr>
  </w:style>
  <w:style w:type="character" w:customStyle="1" w:styleId="134">
    <w:name w:val="电子邮件签名 Char"/>
    <w:link w:val="24"/>
    <w:qFormat/>
    <w:uiPriority w:val="0"/>
    <w:rPr>
      <w:kern w:val="2"/>
      <w:sz w:val="24"/>
      <w:szCs w:val="24"/>
    </w:rPr>
  </w:style>
  <w:style w:type="character" w:customStyle="1" w:styleId="135">
    <w:name w:val="题注 Char"/>
    <w:link w:val="33"/>
    <w:qFormat/>
    <w:uiPriority w:val="0"/>
    <w:rPr>
      <w:rFonts w:ascii="华文行楷" w:eastAsia="华文行楷"/>
      <w:i/>
      <w:iCs/>
      <w:color w:val="FF0000"/>
      <w:kern w:val="2"/>
      <w:sz w:val="32"/>
      <w:szCs w:val="24"/>
      <w:lang w:val="en-US" w:eastAsia="zh-CN" w:bidi="ar-SA"/>
    </w:rPr>
  </w:style>
  <w:style w:type="character" w:customStyle="1" w:styleId="136">
    <w:name w:val="文档结构图 Char"/>
    <w:link w:val="37"/>
    <w:qFormat/>
    <w:uiPriority w:val="99"/>
    <w:rPr>
      <w:kern w:val="2"/>
      <w:sz w:val="21"/>
      <w:shd w:val="clear" w:color="auto" w:fill="000080"/>
    </w:rPr>
  </w:style>
  <w:style w:type="character" w:customStyle="1" w:styleId="137">
    <w:name w:val="批注文字 Char"/>
    <w:link w:val="39"/>
    <w:qFormat/>
    <w:uiPriority w:val="99"/>
    <w:rPr>
      <w:rFonts w:eastAsia="宋体"/>
      <w:kern w:val="2"/>
      <w:sz w:val="21"/>
      <w:lang w:val="en-US" w:eastAsia="zh-CN" w:bidi="ar-SA"/>
    </w:rPr>
  </w:style>
  <w:style w:type="character" w:customStyle="1" w:styleId="138">
    <w:name w:val="称呼 Char"/>
    <w:link w:val="41"/>
    <w:qFormat/>
    <w:uiPriority w:val="0"/>
    <w:rPr>
      <w:rFonts w:eastAsia="仿宋_GB2312"/>
      <w:kern w:val="2"/>
      <w:sz w:val="28"/>
      <w:szCs w:val="28"/>
    </w:rPr>
  </w:style>
  <w:style w:type="character" w:customStyle="1" w:styleId="139">
    <w:name w:val="正文文本 3 Char"/>
    <w:link w:val="42"/>
    <w:qFormat/>
    <w:uiPriority w:val="0"/>
    <w:rPr>
      <w:rFonts w:ascii="幼圆" w:hAnsi="宋体" w:eastAsia="幼圆"/>
      <w:snapToGrid/>
      <w:sz w:val="24"/>
    </w:rPr>
  </w:style>
  <w:style w:type="character" w:customStyle="1" w:styleId="140">
    <w:name w:val="结束语 Char"/>
    <w:link w:val="43"/>
    <w:qFormat/>
    <w:uiPriority w:val="0"/>
    <w:rPr>
      <w:rFonts w:eastAsia="宋体"/>
      <w:kern w:val="2"/>
      <w:sz w:val="24"/>
      <w:szCs w:val="24"/>
      <w:lang w:val="en-US" w:eastAsia="zh-CN" w:bidi="ar-SA"/>
    </w:rPr>
  </w:style>
  <w:style w:type="character" w:customStyle="1" w:styleId="141">
    <w:name w:val="正文文本 Char"/>
    <w:link w:val="3"/>
    <w:qFormat/>
    <w:uiPriority w:val="0"/>
    <w:rPr>
      <w:kern w:val="2"/>
      <w:sz w:val="21"/>
    </w:rPr>
  </w:style>
  <w:style w:type="character" w:customStyle="1" w:styleId="142">
    <w:name w:val="正文文本缩进 2 Char"/>
    <w:link w:val="5"/>
    <w:qFormat/>
    <w:uiPriority w:val="0"/>
    <w:rPr>
      <w:sz w:val="24"/>
    </w:rPr>
  </w:style>
  <w:style w:type="character" w:customStyle="1" w:styleId="143">
    <w:name w:val="正文文本缩进 Char"/>
    <w:link w:val="26"/>
    <w:qFormat/>
    <w:uiPriority w:val="99"/>
    <w:rPr>
      <w:rFonts w:ascii="宋体" w:hAnsi="宋体" w:eastAsia="宋体"/>
      <w:kern w:val="2"/>
      <w:sz w:val="24"/>
      <w:lang w:val="en-US" w:eastAsia="zh-CN" w:bidi="ar-SA"/>
    </w:rPr>
  </w:style>
  <w:style w:type="character" w:customStyle="1" w:styleId="144">
    <w:name w:val="列表 2 Char"/>
    <w:link w:val="46"/>
    <w:qFormat/>
    <w:uiPriority w:val="0"/>
    <w:rPr>
      <w:rFonts w:eastAsia="宋体"/>
      <w:kern w:val="2"/>
      <w:sz w:val="21"/>
      <w:lang w:val="en-US" w:eastAsia="zh-CN" w:bidi="ar-SA"/>
    </w:rPr>
  </w:style>
  <w:style w:type="character" w:customStyle="1" w:styleId="145">
    <w:name w:val="HTML 地址 Char"/>
    <w:link w:val="49"/>
    <w:qFormat/>
    <w:uiPriority w:val="0"/>
    <w:rPr>
      <w:i/>
      <w:iCs/>
      <w:kern w:val="2"/>
      <w:sz w:val="24"/>
      <w:szCs w:val="24"/>
    </w:rPr>
  </w:style>
  <w:style w:type="character" w:customStyle="1" w:styleId="146">
    <w:name w:val="纯文本 Char"/>
    <w:link w:val="53"/>
    <w:qFormat/>
    <w:uiPriority w:val="0"/>
    <w:rPr>
      <w:rFonts w:ascii="宋体" w:hAnsi="Courier New" w:eastAsia="宋体"/>
      <w:kern w:val="2"/>
      <w:sz w:val="21"/>
      <w:lang w:val="en-US" w:eastAsia="zh-CN"/>
    </w:rPr>
  </w:style>
  <w:style w:type="character" w:customStyle="1" w:styleId="147">
    <w:name w:val="日期 Char"/>
    <w:link w:val="58"/>
    <w:qFormat/>
    <w:uiPriority w:val="0"/>
    <w:rPr>
      <w:b/>
      <w:kern w:val="2"/>
      <w:sz w:val="30"/>
    </w:rPr>
  </w:style>
  <w:style w:type="character" w:customStyle="1" w:styleId="148">
    <w:name w:val="尾注文本 Char"/>
    <w:link w:val="59"/>
    <w:qFormat/>
    <w:uiPriority w:val="0"/>
    <w:rPr>
      <w:sz w:val="21"/>
    </w:rPr>
  </w:style>
  <w:style w:type="character" w:customStyle="1" w:styleId="149">
    <w:name w:val="批注框文本 Char"/>
    <w:link w:val="61"/>
    <w:qFormat/>
    <w:uiPriority w:val="99"/>
    <w:rPr>
      <w:rFonts w:eastAsia="宋体"/>
      <w:kern w:val="2"/>
      <w:sz w:val="18"/>
      <w:lang w:val="en-US" w:eastAsia="zh-CN" w:bidi="ar-SA"/>
    </w:rPr>
  </w:style>
  <w:style w:type="character" w:customStyle="1" w:styleId="150">
    <w:name w:val="页脚 Char"/>
    <w:link w:val="62"/>
    <w:qFormat/>
    <w:uiPriority w:val="99"/>
    <w:rPr>
      <w:rFonts w:eastAsia="宋体"/>
      <w:kern w:val="2"/>
      <w:sz w:val="18"/>
      <w:lang w:val="en-US" w:eastAsia="zh-CN" w:bidi="ar-SA"/>
    </w:rPr>
  </w:style>
  <w:style w:type="character" w:customStyle="1" w:styleId="151">
    <w:name w:val="页眉 Char"/>
    <w:link w:val="63"/>
    <w:qFormat/>
    <w:uiPriority w:val="99"/>
    <w:rPr>
      <w:rFonts w:eastAsia="宋体"/>
      <w:kern w:val="2"/>
      <w:sz w:val="18"/>
      <w:lang w:val="en-US" w:eastAsia="zh-CN"/>
    </w:rPr>
  </w:style>
  <w:style w:type="character" w:customStyle="1" w:styleId="152">
    <w:name w:val="签名 Char"/>
    <w:link w:val="64"/>
    <w:qFormat/>
    <w:uiPriority w:val="0"/>
    <w:rPr>
      <w:kern w:val="2"/>
      <w:sz w:val="24"/>
      <w:szCs w:val="24"/>
    </w:rPr>
  </w:style>
  <w:style w:type="character" w:customStyle="1" w:styleId="153">
    <w:name w:val="目录 1 Char1"/>
    <w:link w:val="65"/>
    <w:qFormat/>
    <w:uiPriority w:val="39"/>
    <w:rPr>
      <w:b/>
      <w:kern w:val="2"/>
      <w:sz w:val="28"/>
    </w:rPr>
  </w:style>
  <w:style w:type="character" w:customStyle="1" w:styleId="154">
    <w:name w:val="副标题 Char"/>
    <w:link w:val="70"/>
    <w:qFormat/>
    <w:uiPriority w:val="0"/>
    <w:rPr>
      <w:rFonts w:ascii="Arial" w:hAnsi="Arial" w:eastAsia="宋体" w:cs="Arial"/>
      <w:b/>
      <w:bCs/>
      <w:kern w:val="28"/>
      <w:sz w:val="24"/>
      <w:szCs w:val="32"/>
      <w:lang w:val="en-US" w:eastAsia="zh-CN" w:bidi="ar-SA"/>
    </w:rPr>
  </w:style>
  <w:style w:type="character" w:customStyle="1" w:styleId="155">
    <w:name w:val="脚注文本 Char"/>
    <w:link w:val="72"/>
    <w:qFormat/>
    <w:uiPriority w:val="0"/>
    <w:rPr>
      <w:rFonts w:ascii="宋体" w:hAnsi="宋体"/>
      <w:kern w:val="2"/>
      <w:sz w:val="18"/>
      <w:szCs w:val="18"/>
    </w:rPr>
  </w:style>
  <w:style w:type="character" w:customStyle="1" w:styleId="156">
    <w:name w:val="正文文本缩进 3 Char"/>
    <w:link w:val="75"/>
    <w:qFormat/>
    <w:uiPriority w:val="0"/>
    <w:rPr>
      <w:rFonts w:ascii="宋体" w:hAnsi="宋体"/>
      <w:kern w:val="2"/>
      <w:sz w:val="21"/>
    </w:rPr>
  </w:style>
  <w:style w:type="character" w:customStyle="1" w:styleId="157">
    <w:name w:val="正文文本 2 Char"/>
    <w:link w:val="81"/>
    <w:qFormat/>
    <w:uiPriority w:val="0"/>
    <w:rPr>
      <w:rFonts w:ascii="仿宋_GB2312" w:hAnsi="宋体" w:eastAsia="仿宋_GB2312"/>
      <w:kern w:val="2"/>
      <w:sz w:val="24"/>
      <w:lang w:val="en-US" w:eastAsia="zh-CN" w:bidi="ar-SA"/>
    </w:rPr>
  </w:style>
  <w:style w:type="character" w:customStyle="1" w:styleId="158">
    <w:name w:val="信息标题 Char"/>
    <w:link w:val="84"/>
    <w:qFormat/>
    <w:uiPriority w:val="0"/>
    <w:rPr>
      <w:rFonts w:ascii="Arial" w:hAnsi="Arial" w:cs="Arial"/>
      <w:kern w:val="2"/>
      <w:sz w:val="24"/>
      <w:szCs w:val="24"/>
      <w:shd w:val="pct20" w:color="auto" w:fill="auto"/>
    </w:rPr>
  </w:style>
  <w:style w:type="character" w:customStyle="1" w:styleId="159">
    <w:name w:val="HTML 预设格式 Char"/>
    <w:link w:val="85"/>
    <w:qFormat/>
    <w:uiPriority w:val="0"/>
    <w:rPr>
      <w:rFonts w:ascii="宋体" w:hAnsi="宋体" w:eastAsia="宋体"/>
      <w:sz w:val="24"/>
      <w:lang w:val="en-US" w:eastAsia="zh-CN"/>
    </w:rPr>
  </w:style>
  <w:style w:type="character" w:customStyle="1" w:styleId="160">
    <w:name w:val="标题 Char"/>
    <w:link w:val="89"/>
    <w:qFormat/>
    <w:uiPriority w:val="0"/>
    <w:rPr>
      <w:rFonts w:ascii="Arial" w:hAnsi="Arial" w:eastAsia="宋体"/>
      <w:b/>
      <w:snapToGrid w:val="0"/>
      <w:sz w:val="32"/>
      <w:lang w:val="en-US" w:eastAsia="zh-CN"/>
    </w:rPr>
  </w:style>
  <w:style w:type="character" w:customStyle="1" w:styleId="161">
    <w:name w:val="批注主题 Char"/>
    <w:link w:val="90"/>
    <w:qFormat/>
    <w:uiPriority w:val="0"/>
    <w:rPr>
      <w:rFonts w:eastAsia="宋体"/>
      <w:b/>
      <w:kern w:val="2"/>
      <w:sz w:val="21"/>
      <w:lang w:val="en-US" w:eastAsia="zh-CN" w:bidi="ar-SA"/>
    </w:rPr>
  </w:style>
  <w:style w:type="character" w:customStyle="1" w:styleId="162">
    <w:name w:val="正文首行缩进 Char1"/>
    <w:link w:val="2"/>
    <w:qFormat/>
    <w:uiPriority w:val="0"/>
    <w:rPr>
      <w:rFonts w:eastAsia="宋体"/>
      <w:sz w:val="28"/>
      <w:lang w:val="en-US" w:eastAsia="zh-CN" w:bidi="ar-SA"/>
    </w:rPr>
  </w:style>
  <w:style w:type="character" w:customStyle="1" w:styleId="163">
    <w:name w:val="正文首行缩进 2 Char"/>
    <w:link w:val="91"/>
    <w:qFormat/>
    <w:uiPriority w:val="0"/>
    <w:rPr>
      <w:rFonts w:eastAsia="宋体"/>
      <w:kern w:val="2"/>
      <w:sz w:val="21"/>
      <w:lang w:val="en-US" w:eastAsia="zh-CN" w:bidi="ar-SA"/>
    </w:rPr>
  </w:style>
  <w:style w:type="character" w:customStyle="1" w:styleId="164">
    <w:name w:val="结束语 Char1"/>
    <w:semiHidden/>
    <w:qFormat/>
    <w:uiPriority w:val="99"/>
    <w:rPr>
      <w:rFonts w:ascii="Times New Roman" w:hAnsi="Times New Roman" w:eastAsia="宋体" w:cs="Times New Roman"/>
      <w:szCs w:val="20"/>
    </w:rPr>
  </w:style>
  <w:style w:type="character" w:customStyle="1" w:styleId="165">
    <w:name w:val="Normal Char Char"/>
    <w:link w:val="166"/>
    <w:qFormat/>
    <w:uiPriority w:val="0"/>
    <w:rPr>
      <w:rFonts w:ascii="宋体"/>
      <w:kern w:val="2"/>
      <w:sz w:val="34"/>
      <w:szCs w:val="24"/>
      <w:lang w:val="en-US" w:eastAsia="zh-CN" w:bidi="ar-SA"/>
    </w:rPr>
  </w:style>
  <w:style w:type="paragraph" w:customStyle="1" w:styleId="166">
    <w:name w:val="Normal Char"/>
    <w:link w:val="165"/>
    <w:qFormat/>
    <w:uiPriority w:val="0"/>
    <w:pPr>
      <w:widowControl w:val="0"/>
      <w:adjustRightInd w:val="0"/>
      <w:spacing w:line="360" w:lineRule="atLeast"/>
      <w:textAlignment w:val="baseline"/>
    </w:pPr>
    <w:rPr>
      <w:rFonts w:ascii="宋体" w:hAnsi="Times New Roman" w:eastAsia="宋体" w:cs="Times New Roman"/>
      <w:kern w:val="2"/>
      <w:sz w:val="34"/>
      <w:szCs w:val="24"/>
      <w:lang w:val="en-US" w:eastAsia="zh-CN" w:bidi="ar-SA"/>
    </w:rPr>
  </w:style>
  <w:style w:type="character" w:customStyle="1" w:styleId="167">
    <w:name w:val="f915"/>
    <w:basedOn w:val="100"/>
    <w:qFormat/>
    <w:uiPriority w:val="0"/>
  </w:style>
  <w:style w:type="character" w:customStyle="1" w:styleId="168">
    <w:name w:val="tpc_content1"/>
    <w:qFormat/>
    <w:uiPriority w:val="0"/>
    <w:rPr>
      <w:sz w:val="36"/>
      <w:szCs w:val="36"/>
    </w:rPr>
  </w:style>
  <w:style w:type="character" w:customStyle="1" w:styleId="169">
    <w:name w:val="t_tag"/>
    <w:basedOn w:val="100"/>
    <w:qFormat/>
    <w:uiPriority w:val="0"/>
  </w:style>
  <w:style w:type="character" w:customStyle="1" w:styleId="170">
    <w:name w:val="bt_content"/>
    <w:basedOn w:val="100"/>
    <w:qFormat/>
    <w:uiPriority w:val="0"/>
  </w:style>
  <w:style w:type="character" w:customStyle="1" w:styleId="171">
    <w:name w:val="content1"/>
    <w:qFormat/>
    <w:uiPriority w:val="0"/>
    <w:rPr>
      <w:color w:val="000000"/>
      <w:sz w:val="21"/>
      <w:szCs w:val="21"/>
    </w:rPr>
  </w:style>
  <w:style w:type="character" w:customStyle="1" w:styleId="172">
    <w:name w:val="p4"/>
    <w:basedOn w:val="100"/>
    <w:qFormat/>
    <w:uiPriority w:val="0"/>
  </w:style>
  <w:style w:type="character" w:customStyle="1" w:styleId="173">
    <w:name w:val="text21"/>
    <w:qFormat/>
    <w:uiPriority w:val="0"/>
    <w:rPr>
      <w:color w:val="000000"/>
      <w:sz w:val="21"/>
      <w:u w:val="none"/>
    </w:rPr>
  </w:style>
  <w:style w:type="character" w:customStyle="1" w:styleId="174">
    <w:name w:val="样式 标准文本 首行缩进:2 字符 行距1.5倍 + 首行缩进:  2 字符1 Char"/>
    <w:basedOn w:val="175"/>
    <w:link w:val="177"/>
    <w:qFormat/>
    <w:uiPriority w:val="0"/>
  </w:style>
  <w:style w:type="character" w:customStyle="1" w:styleId="175">
    <w:name w:val="标准文本 首行缩进:2 字符 行距1.5倍 Char"/>
    <w:link w:val="176"/>
    <w:qFormat/>
    <w:uiPriority w:val="0"/>
    <w:rPr>
      <w:rFonts w:eastAsia="宋体" w:cs="宋体"/>
      <w:kern w:val="2"/>
      <w:sz w:val="24"/>
      <w:szCs w:val="24"/>
      <w:lang w:val="en-US" w:eastAsia="zh-CN" w:bidi="ar-SA"/>
    </w:rPr>
  </w:style>
  <w:style w:type="paragraph" w:customStyle="1" w:styleId="176">
    <w:name w:val="标准文本 首行缩进:2 字符 行距1.5倍"/>
    <w:basedOn w:val="1"/>
    <w:link w:val="175"/>
    <w:qFormat/>
    <w:uiPriority w:val="0"/>
    <w:pPr>
      <w:adjustRightInd w:val="0"/>
      <w:snapToGrid w:val="0"/>
      <w:spacing w:line="360" w:lineRule="auto"/>
      <w:ind w:firstLine="200" w:firstLineChars="200"/>
      <w:textAlignment w:val="center"/>
    </w:pPr>
    <w:rPr>
      <w:rFonts w:cs="宋体"/>
      <w:sz w:val="24"/>
      <w:szCs w:val="24"/>
    </w:rPr>
  </w:style>
  <w:style w:type="paragraph" w:customStyle="1" w:styleId="177">
    <w:name w:val="样式 标准文本 首行缩进:2 字符 行距1.5倍 + 首行缩进:  2 字符1"/>
    <w:basedOn w:val="176"/>
    <w:link w:val="174"/>
    <w:qFormat/>
    <w:uiPriority w:val="0"/>
    <w:pPr>
      <w:spacing w:line="240" w:lineRule="auto"/>
    </w:pPr>
  </w:style>
  <w:style w:type="character" w:customStyle="1" w:styleId="178">
    <w:name w:val="songtt1"/>
    <w:qFormat/>
    <w:uiPriority w:val="0"/>
    <w:rPr>
      <w:b/>
      <w:bCs/>
      <w:color w:val="03366B"/>
      <w:sz w:val="27"/>
      <w:szCs w:val="27"/>
      <w:u w:val="none"/>
    </w:rPr>
  </w:style>
  <w:style w:type="character" w:customStyle="1" w:styleId="179">
    <w:name w:val="样式 表头 + 宋体 Char"/>
    <w:link w:val="180"/>
    <w:qFormat/>
    <w:uiPriority w:val="0"/>
    <w:rPr>
      <w:rFonts w:eastAsia="黑体"/>
      <w:b/>
      <w:sz w:val="21"/>
      <w:szCs w:val="21"/>
      <w:lang w:val="en-US" w:eastAsia="zh-CN" w:bidi="ar-SA"/>
    </w:rPr>
  </w:style>
  <w:style w:type="paragraph" w:customStyle="1" w:styleId="180">
    <w:name w:val="样式 表头 + 宋体"/>
    <w:basedOn w:val="1"/>
    <w:link w:val="179"/>
    <w:qFormat/>
    <w:uiPriority w:val="0"/>
    <w:pPr>
      <w:widowControl/>
      <w:adjustRightInd w:val="0"/>
      <w:snapToGrid w:val="0"/>
      <w:spacing w:line="360" w:lineRule="auto"/>
      <w:jc w:val="center"/>
    </w:pPr>
    <w:rPr>
      <w:rFonts w:eastAsia="黑体"/>
      <w:b/>
      <w:kern w:val="0"/>
      <w:szCs w:val="21"/>
    </w:rPr>
  </w:style>
  <w:style w:type="character" w:customStyle="1" w:styleId="181">
    <w:name w:val="纯文本 Char1 Char"/>
    <w:qFormat/>
    <w:uiPriority w:val="0"/>
    <w:rPr>
      <w:rFonts w:ascii="宋体" w:hAnsi="Courier New" w:eastAsia="宋体" w:cs="Courier New"/>
      <w:kern w:val="2"/>
      <w:sz w:val="21"/>
      <w:szCs w:val="21"/>
      <w:lang w:val="en-US" w:eastAsia="zh-CN" w:bidi="ar-SA"/>
    </w:rPr>
  </w:style>
  <w:style w:type="character" w:customStyle="1" w:styleId="182">
    <w:name w:val="title31"/>
    <w:qFormat/>
    <w:uiPriority w:val="0"/>
    <w:rPr>
      <w:rFonts w:hint="eastAsia" w:ascii="黑体" w:eastAsia="黑体"/>
      <w:sz w:val="36"/>
      <w:szCs w:val="36"/>
    </w:rPr>
  </w:style>
  <w:style w:type="character" w:customStyle="1" w:styleId="183">
    <w:name w:val="表格 Char Char"/>
    <w:qFormat/>
    <w:uiPriority w:val="0"/>
    <w:rPr>
      <w:rFonts w:eastAsia="仿宋_GB2312"/>
      <w:snapToGrid/>
      <w:sz w:val="24"/>
    </w:rPr>
  </w:style>
  <w:style w:type="character" w:customStyle="1" w:styleId="184">
    <w:name w:val="mai"/>
    <w:basedOn w:val="100"/>
    <w:qFormat/>
    <w:uiPriority w:val="0"/>
  </w:style>
  <w:style w:type="character" w:customStyle="1" w:styleId="185">
    <w:name w:val="公式 首行缩进:  2 字符 Char"/>
    <w:link w:val="186"/>
    <w:qFormat/>
    <w:uiPriority w:val="0"/>
    <w:rPr>
      <w:rFonts w:eastAsia="宋体" w:cs="宋体"/>
      <w:kern w:val="2"/>
      <w:sz w:val="24"/>
      <w:szCs w:val="24"/>
      <w:lang w:val="en-US" w:eastAsia="zh-CN" w:bidi="ar-SA"/>
    </w:rPr>
  </w:style>
  <w:style w:type="paragraph" w:customStyle="1" w:styleId="186">
    <w:name w:val="公式 首行缩进:  2 字符"/>
    <w:basedOn w:val="1"/>
    <w:link w:val="185"/>
    <w:qFormat/>
    <w:uiPriority w:val="0"/>
    <w:pPr>
      <w:ind w:firstLine="200" w:firstLineChars="200"/>
      <w:textAlignment w:val="center"/>
    </w:pPr>
    <w:rPr>
      <w:rFonts w:cs="宋体"/>
      <w:sz w:val="24"/>
      <w:szCs w:val="24"/>
    </w:rPr>
  </w:style>
  <w:style w:type="character" w:customStyle="1" w:styleId="187">
    <w:name w:val="表名称 Char"/>
    <w:qFormat/>
    <w:uiPriority w:val="0"/>
    <w:rPr>
      <w:rFonts w:hAnsi="宋体" w:eastAsia="宋体"/>
      <w:b/>
      <w:kern w:val="2"/>
      <w:sz w:val="24"/>
      <w:szCs w:val="24"/>
      <w:lang w:val="en-US" w:eastAsia="zh-CN" w:bidi="ar-SA"/>
    </w:rPr>
  </w:style>
  <w:style w:type="character" w:customStyle="1" w:styleId="188">
    <w:name w:val="apple-converted-space"/>
    <w:basedOn w:val="100"/>
    <w:qFormat/>
    <w:uiPriority w:val="0"/>
  </w:style>
  <w:style w:type="character" w:customStyle="1" w:styleId="189">
    <w:name w:val="样式 (西文) Arial (中文) 楷体_GB2312"/>
    <w:qFormat/>
    <w:uiPriority w:val="0"/>
    <w:rPr>
      <w:rFonts w:ascii="宋体" w:hAnsi="Arial" w:eastAsia="宋体"/>
      <w:color w:val="auto"/>
      <w:spacing w:val="8"/>
      <w:w w:val="100"/>
      <w:kern w:val="0"/>
      <w:position w:val="0"/>
      <w:sz w:val="24"/>
      <w:szCs w:val="24"/>
      <w:u w:val="none"/>
      <w:vertAlign w:val="baseline"/>
    </w:rPr>
  </w:style>
  <w:style w:type="character" w:customStyle="1" w:styleId="190">
    <w:name w:val="css1"/>
    <w:qFormat/>
    <w:uiPriority w:val="0"/>
    <w:rPr>
      <w:rFonts w:hint="default" w:ascii="Arial" w:hAnsi="Arial" w:cs="Arial"/>
      <w:color w:val="000000"/>
      <w:sz w:val="20"/>
      <w:szCs w:val="20"/>
      <w:u w:val="none"/>
    </w:rPr>
  </w:style>
  <w:style w:type="character" w:customStyle="1" w:styleId="191">
    <w:name w:val="标准文本 首行缩进:2 字符 行距1倍 Char Char Char Char Char"/>
    <w:qFormat/>
    <w:uiPriority w:val="0"/>
    <w:rPr>
      <w:rFonts w:eastAsia="宋体" w:cs="宋体"/>
      <w:kern w:val="2"/>
      <w:sz w:val="24"/>
      <w:szCs w:val="24"/>
      <w:lang w:val="en-US" w:eastAsia="zh-CN" w:bidi="ar-SA"/>
    </w:rPr>
  </w:style>
  <w:style w:type="character" w:customStyle="1" w:styleId="192">
    <w:name w:val="9p1"/>
    <w:qFormat/>
    <w:uiPriority w:val="0"/>
    <w:rPr>
      <w:sz w:val="18"/>
      <w:szCs w:val="18"/>
    </w:rPr>
  </w:style>
  <w:style w:type="character" w:customStyle="1" w:styleId="193">
    <w:name w:val="td2"/>
    <w:basedOn w:val="100"/>
    <w:qFormat/>
    <w:uiPriority w:val="0"/>
  </w:style>
  <w:style w:type="character" w:customStyle="1" w:styleId="194">
    <w:name w:val="postbody1"/>
    <w:qFormat/>
    <w:uiPriority w:val="0"/>
    <w:rPr>
      <w:sz w:val="18"/>
      <w:szCs w:val="18"/>
    </w:rPr>
  </w:style>
  <w:style w:type="character" w:customStyle="1" w:styleId="195">
    <w:name w:val="样式 标题 2标题21.1H2节标题 1.11.1标题2b2节标题h2第一层条4.1二级标题标题 lxb... Char"/>
    <w:link w:val="196"/>
    <w:qFormat/>
    <w:uiPriority w:val="0"/>
    <w:rPr>
      <w:rFonts w:ascii="Arial" w:hAnsi="Arial" w:eastAsia="黑体"/>
      <w:b/>
      <w:bCs/>
      <w:kern w:val="2"/>
      <w:sz w:val="32"/>
      <w:szCs w:val="32"/>
      <w:lang w:val="en-US" w:eastAsia="zh-CN" w:bidi="ar-SA"/>
    </w:rPr>
  </w:style>
  <w:style w:type="paragraph" w:customStyle="1" w:styleId="196">
    <w:name w:val="样式 标题 2标题21.1H2节标题 1.11.1标题2b2节标题h2第一层条4.1二级标题标题 lxb..."/>
    <w:basedOn w:val="8"/>
    <w:link w:val="195"/>
    <w:qFormat/>
    <w:uiPriority w:val="0"/>
    <w:pPr>
      <w:spacing w:before="320" w:after="320" w:line="240" w:lineRule="auto"/>
    </w:pPr>
    <w:rPr>
      <w:bCs/>
      <w:szCs w:val="32"/>
    </w:rPr>
  </w:style>
  <w:style w:type="character" w:customStyle="1" w:styleId="197">
    <w:name w:val="grame"/>
    <w:basedOn w:val="100"/>
    <w:qFormat/>
    <w:uiPriority w:val="0"/>
  </w:style>
  <w:style w:type="character" w:customStyle="1" w:styleId="198">
    <w:name w:val="振文 Char"/>
    <w:link w:val="199"/>
    <w:qFormat/>
    <w:uiPriority w:val="0"/>
    <w:rPr>
      <w:rFonts w:ascii="宋体" w:hAnsi="宋体" w:eastAsia="宋体"/>
      <w:kern w:val="2"/>
      <w:sz w:val="24"/>
      <w:szCs w:val="24"/>
      <w:lang w:bidi="ar-SA"/>
    </w:rPr>
  </w:style>
  <w:style w:type="paragraph" w:customStyle="1" w:styleId="199">
    <w:name w:val="振文"/>
    <w:basedOn w:val="1"/>
    <w:link w:val="198"/>
    <w:qFormat/>
    <w:uiPriority w:val="0"/>
    <w:pPr>
      <w:spacing w:line="360" w:lineRule="auto"/>
      <w:ind w:firstLine="420"/>
    </w:pPr>
    <w:rPr>
      <w:rFonts w:ascii="宋体" w:hAnsi="宋体"/>
      <w:sz w:val="24"/>
      <w:szCs w:val="24"/>
    </w:rPr>
  </w:style>
  <w:style w:type="character" w:customStyle="1" w:styleId="200">
    <w:name w:val="zi"/>
    <w:basedOn w:val="100"/>
    <w:qFormat/>
    <w:uiPriority w:val="0"/>
  </w:style>
  <w:style w:type="character" w:customStyle="1" w:styleId="201">
    <w:name w:val="图标题 Char"/>
    <w:qFormat/>
    <w:uiPriority w:val="0"/>
    <w:rPr>
      <w:rFonts w:ascii="Arial" w:hAnsi="Arial" w:eastAsia="黑体"/>
      <w:b/>
      <w:bCs/>
      <w:kern w:val="2"/>
      <w:sz w:val="24"/>
      <w:szCs w:val="24"/>
      <w:lang w:val="en-US" w:eastAsia="zh-CN" w:bidi="ar-SA"/>
    </w:rPr>
  </w:style>
  <w:style w:type="character" w:customStyle="1" w:styleId="202">
    <w:name w:val="10p"/>
    <w:basedOn w:val="100"/>
    <w:qFormat/>
    <w:uiPriority w:val="0"/>
  </w:style>
  <w:style w:type="character" w:customStyle="1" w:styleId="203">
    <w:name w:val="f141"/>
    <w:qFormat/>
    <w:uiPriority w:val="0"/>
    <w:rPr>
      <w:rFonts w:hint="default" w:ascii="_x000B__x000C_" w:hAnsi="_x000B__x000C_"/>
      <w:sz w:val="21"/>
      <w:szCs w:val="21"/>
    </w:rPr>
  </w:style>
  <w:style w:type="character" w:customStyle="1" w:styleId="204">
    <w:name w:val="red1"/>
    <w:qFormat/>
    <w:uiPriority w:val="0"/>
    <w:rPr>
      <w:color w:val="FF0000"/>
      <w:sz w:val="20"/>
      <w:szCs w:val="20"/>
    </w:rPr>
  </w:style>
  <w:style w:type="character" w:customStyle="1" w:styleId="205">
    <w:name w:val="标准文本 首行缩进:2 字符 行距1倍 Char Char Char Char"/>
    <w:link w:val="206"/>
    <w:qFormat/>
    <w:uiPriority w:val="0"/>
    <w:rPr>
      <w:rFonts w:eastAsia="宋体" w:cs="宋体"/>
      <w:kern w:val="2"/>
      <w:sz w:val="24"/>
      <w:szCs w:val="24"/>
      <w:lang w:val="en-US" w:eastAsia="zh-CN" w:bidi="ar-SA"/>
    </w:rPr>
  </w:style>
  <w:style w:type="paragraph" w:customStyle="1" w:styleId="206">
    <w:name w:val="标准文本 首行缩进:2 字符 行距1倍 Char Char Char"/>
    <w:basedOn w:val="1"/>
    <w:link w:val="205"/>
    <w:qFormat/>
    <w:uiPriority w:val="0"/>
    <w:pPr>
      <w:adjustRightInd w:val="0"/>
      <w:snapToGrid w:val="0"/>
      <w:ind w:firstLine="200" w:firstLineChars="200"/>
      <w:textAlignment w:val="center"/>
    </w:pPr>
    <w:rPr>
      <w:rFonts w:cs="宋体"/>
      <w:sz w:val="24"/>
      <w:szCs w:val="24"/>
    </w:rPr>
  </w:style>
  <w:style w:type="character" w:customStyle="1" w:styleId="207">
    <w:name w:val="articlelink1"/>
    <w:qFormat/>
    <w:uiPriority w:val="0"/>
    <w:rPr>
      <w:color w:val="080CBD"/>
      <w:sz w:val="21"/>
      <w:szCs w:val="21"/>
    </w:rPr>
  </w:style>
  <w:style w:type="character" w:customStyle="1" w:styleId="208">
    <w:name w:val="even Char Char"/>
    <w:qFormat/>
    <w:uiPriority w:val="0"/>
    <w:rPr>
      <w:rFonts w:eastAsia="宋体"/>
      <w:kern w:val="2"/>
      <w:sz w:val="18"/>
      <w:szCs w:val="18"/>
      <w:lang w:val="en-US" w:eastAsia="zh-CN" w:bidi="ar-SA"/>
    </w:rPr>
  </w:style>
  <w:style w:type="character" w:customStyle="1" w:styleId="209">
    <w:name w:val="标题 1 Char Char Char Char"/>
    <w:qFormat/>
    <w:uiPriority w:val="0"/>
    <w:rPr>
      <w:rFonts w:eastAsia="宋体"/>
      <w:b/>
      <w:bCs/>
      <w:kern w:val="44"/>
      <w:sz w:val="44"/>
      <w:szCs w:val="44"/>
      <w:lang w:val="en-US" w:eastAsia="zh-CN" w:bidi="ar-SA"/>
    </w:rPr>
  </w:style>
  <w:style w:type="character" w:customStyle="1" w:styleId="210">
    <w:name w:val="孙普文字 Char Char"/>
    <w:qFormat/>
    <w:uiPriority w:val="0"/>
    <w:rPr>
      <w:rFonts w:ascii="宋体" w:hAnsi="Courier New" w:eastAsia="宋体"/>
      <w:kern w:val="2"/>
      <w:sz w:val="24"/>
      <w:lang w:val="en-US" w:eastAsia="zh-CN"/>
    </w:rPr>
  </w:style>
  <w:style w:type="character" w:customStyle="1" w:styleId="211">
    <w:name w:val="lr2"/>
    <w:qFormat/>
    <w:uiPriority w:val="0"/>
  </w:style>
  <w:style w:type="character" w:customStyle="1" w:styleId="212">
    <w:name w:val="C4 Char"/>
    <w:link w:val="213"/>
    <w:qFormat/>
    <w:uiPriority w:val="0"/>
    <w:rPr>
      <w:rFonts w:ascii="宋体" w:hAnsi="宋体"/>
      <w:b/>
      <w:bCs/>
      <w:sz w:val="24"/>
      <w:szCs w:val="24"/>
      <w:lang w:eastAsia="en-US" w:bidi="en-US"/>
    </w:rPr>
  </w:style>
  <w:style w:type="paragraph" w:customStyle="1" w:styleId="213">
    <w:name w:val="C4"/>
    <w:basedOn w:val="1"/>
    <w:link w:val="212"/>
    <w:qFormat/>
    <w:uiPriority w:val="0"/>
    <w:pPr>
      <w:keepNext/>
      <w:widowControl/>
      <w:spacing w:before="240" w:after="60"/>
      <w:jc w:val="left"/>
      <w:outlineLvl w:val="2"/>
    </w:pPr>
    <w:rPr>
      <w:rFonts w:ascii="宋体" w:hAnsi="宋体"/>
      <w:b/>
      <w:bCs/>
      <w:kern w:val="0"/>
      <w:sz w:val="24"/>
      <w:szCs w:val="24"/>
      <w:lang w:eastAsia="en-US" w:bidi="en-US"/>
    </w:rPr>
  </w:style>
  <w:style w:type="character" w:customStyle="1" w:styleId="214">
    <w:name w:val="Char Char16"/>
    <w:qFormat/>
    <w:uiPriority w:val="0"/>
    <w:rPr>
      <w:rFonts w:eastAsia="宋体"/>
      <w:bCs/>
      <w:kern w:val="44"/>
      <w:sz w:val="44"/>
      <w:szCs w:val="44"/>
      <w:lang w:val="en-US" w:eastAsia="zh-CN" w:bidi="ar-SA"/>
    </w:rPr>
  </w:style>
  <w:style w:type="character" w:customStyle="1" w:styleId="215">
    <w:name w:val="jb2"/>
    <w:qFormat/>
    <w:uiPriority w:val="0"/>
  </w:style>
  <w:style w:type="character" w:customStyle="1" w:styleId="216">
    <w:name w:val="证书6"/>
    <w:qFormat/>
    <w:uiPriority w:val="0"/>
    <w:rPr>
      <w:rFonts w:ascii="隶书" w:hAnsi="隶书" w:eastAsia="隶书"/>
      <w:b/>
      <w:bCs/>
      <w:sz w:val="32"/>
    </w:rPr>
  </w:style>
  <w:style w:type="character" w:customStyle="1" w:styleId="217">
    <w:name w:val="样式 标题 41.1.1.1 Char1.1.1.1标题 4.1.1.1.1标题 4 Char款标4段H4H4... Char"/>
    <w:link w:val="218"/>
    <w:qFormat/>
    <w:uiPriority w:val="0"/>
    <w:rPr>
      <w:rFonts w:ascii="宋体" w:hAnsi="宋体" w:eastAsia="宋体"/>
      <w:b/>
      <w:bCs/>
      <w:sz w:val="24"/>
      <w:szCs w:val="24"/>
      <w:lang w:val="en-US" w:eastAsia="zh-CN" w:bidi="ar-SA"/>
    </w:rPr>
  </w:style>
  <w:style w:type="paragraph" w:customStyle="1" w:styleId="218">
    <w:name w:val="样式 标题 41.1.1.1 Char1.1.1.1标题 4.1.1.1.1标题 4 Char款标4段H4H4..."/>
    <w:basedOn w:val="10"/>
    <w:link w:val="217"/>
    <w:qFormat/>
    <w:uiPriority w:val="0"/>
    <w:pPr>
      <w:spacing w:before="120" w:after="120" w:line="360" w:lineRule="auto"/>
    </w:pPr>
    <w:rPr>
      <w:rFonts w:ascii="宋体" w:hAnsi="宋体" w:eastAsia="宋体"/>
      <w:bCs/>
      <w:kern w:val="0"/>
      <w:sz w:val="24"/>
      <w:szCs w:val="24"/>
    </w:rPr>
  </w:style>
  <w:style w:type="character" w:customStyle="1" w:styleId="219">
    <w:name w:val="章 Char"/>
    <w:qFormat/>
    <w:uiPriority w:val="0"/>
    <w:rPr>
      <w:rFonts w:eastAsia="宋体"/>
      <w:b/>
      <w:kern w:val="44"/>
      <w:sz w:val="44"/>
      <w:lang w:val="en-US" w:eastAsia="zh-CN" w:bidi="ar-SA"/>
    </w:rPr>
  </w:style>
  <w:style w:type="character" w:customStyle="1" w:styleId="220">
    <w:name w:val="3zw1"/>
    <w:qFormat/>
    <w:uiPriority w:val="0"/>
    <w:rPr>
      <w:color w:val="000000"/>
      <w:sz w:val="21"/>
      <w:szCs w:val="21"/>
    </w:rPr>
  </w:style>
  <w:style w:type="character" w:customStyle="1" w:styleId="221">
    <w:name w:val="style131"/>
    <w:qFormat/>
    <w:uiPriority w:val="0"/>
    <w:rPr>
      <w:color w:val="333333"/>
      <w:sz w:val="24"/>
      <w:szCs w:val="24"/>
    </w:rPr>
  </w:style>
  <w:style w:type="character" w:customStyle="1" w:styleId="222">
    <w:name w:val="正文首行缩进 Char5 Char"/>
    <w:link w:val="223"/>
    <w:qFormat/>
    <w:uiPriority w:val="0"/>
    <w:rPr>
      <w:rFonts w:eastAsia="宋体"/>
      <w:kern w:val="2"/>
      <w:sz w:val="24"/>
      <w:lang w:val="en-US" w:eastAsia="zh-CN" w:bidi="ar-SA"/>
    </w:rPr>
  </w:style>
  <w:style w:type="paragraph" w:customStyle="1" w:styleId="223">
    <w:name w:val="Body Text First Indent"/>
    <w:basedOn w:val="3"/>
    <w:link w:val="222"/>
    <w:qFormat/>
    <w:uiPriority w:val="0"/>
    <w:pPr>
      <w:ind w:firstLine="420"/>
      <w:jc w:val="both"/>
    </w:pPr>
    <w:rPr>
      <w:sz w:val="24"/>
      <w:lang w:val="en-US" w:eastAsia="zh-CN"/>
    </w:rPr>
  </w:style>
  <w:style w:type="character" w:customStyle="1" w:styleId="224">
    <w:name w:val=" Char Char18"/>
    <w:qFormat/>
    <w:uiPriority w:val="0"/>
    <w:rPr>
      <w:rFonts w:ascii="Arial" w:hAnsi="Arial" w:eastAsia="宋体" w:cs="Arial"/>
      <w:sz w:val="21"/>
      <w:szCs w:val="21"/>
      <w:lang w:val="en-US" w:eastAsia="zh-CN" w:bidi="ar-SA"/>
    </w:rPr>
  </w:style>
  <w:style w:type="character" w:customStyle="1" w:styleId="225">
    <w:name w:val="题注 Char1"/>
    <w:qFormat/>
    <w:uiPriority w:val="0"/>
    <w:rPr>
      <w:rFonts w:ascii="华文行楷" w:eastAsia="华文行楷"/>
      <w:i/>
      <w:iCs/>
      <w:color w:val="FF0000"/>
      <w:kern w:val="2"/>
      <w:sz w:val="32"/>
      <w:szCs w:val="24"/>
      <w:lang w:val="en-US" w:eastAsia="zh-CN" w:bidi="ar-SA"/>
    </w:rPr>
  </w:style>
  <w:style w:type="character" w:customStyle="1" w:styleId="226">
    <w:name w:val="表蕊 Char"/>
    <w:link w:val="227"/>
    <w:qFormat/>
    <w:uiPriority w:val="0"/>
    <w:rPr>
      <w:rFonts w:eastAsia="华文楷体"/>
      <w:szCs w:val="21"/>
      <w:lang w:bidi="ar-SA"/>
    </w:rPr>
  </w:style>
  <w:style w:type="paragraph" w:customStyle="1" w:styleId="227">
    <w:name w:val="表蕊"/>
    <w:basedOn w:val="1"/>
    <w:link w:val="226"/>
    <w:qFormat/>
    <w:uiPriority w:val="0"/>
    <w:pPr>
      <w:spacing w:line="360" w:lineRule="exact"/>
      <w:jc w:val="center"/>
      <w:textAlignment w:val="center"/>
      <w:outlineLvl w:val="8"/>
    </w:pPr>
    <w:rPr>
      <w:rFonts w:eastAsia="华文楷体"/>
      <w:kern w:val="0"/>
      <w:sz w:val="20"/>
      <w:szCs w:val="21"/>
    </w:rPr>
  </w:style>
  <w:style w:type="character" w:customStyle="1" w:styleId="228">
    <w:name w:val="FollowedHyperlink"/>
    <w:qFormat/>
    <w:uiPriority w:val="0"/>
    <w:rPr>
      <w:rFonts w:hint="default" w:ascii="Times New Roman"/>
      <w:color w:val="800080"/>
      <w:u w:val="single"/>
    </w:rPr>
  </w:style>
  <w:style w:type="character" w:customStyle="1" w:styleId="229">
    <w:name w:val=" Char Char20"/>
    <w:qFormat/>
    <w:uiPriority w:val="0"/>
    <w:rPr>
      <w:rFonts w:eastAsia="宋体"/>
      <w:b/>
      <w:bCs/>
      <w:kern w:val="2"/>
      <w:sz w:val="21"/>
      <w:szCs w:val="24"/>
      <w:lang w:val="en-US" w:eastAsia="zh-CN" w:bidi="ar-SA"/>
    </w:rPr>
  </w:style>
  <w:style w:type="character" w:customStyle="1" w:styleId="230">
    <w:name w:val="font51"/>
    <w:qFormat/>
    <w:uiPriority w:val="0"/>
    <w:rPr>
      <w:rFonts w:hint="default" w:ascii="Times New Roman" w:hAnsi="Times New Roman" w:cs="Times New Roman"/>
      <w:color w:val="000000"/>
      <w:sz w:val="21"/>
      <w:szCs w:val="21"/>
      <w:u w:val="none"/>
      <w:vertAlign w:val="subscript"/>
    </w:rPr>
  </w:style>
  <w:style w:type="character" w:customStyle="1" w:styleId="231">
    <w:name w:val=" Char Char19"/>
    <w:qFormat/>
    <w:uiPriority w:val="0"/>
    <w:rPr>
      <w:rFonts w:ascii="Arial" w:hAnsi="Arial" w:eastAsia="仿宋_GB2312" w:cs="Arial"/>
      <w:b/>
      <w:bCs/>
      <w:kern w:val="2"/>
      <w:sz w:val="44"/>
      <w:szCs w:val="32"/>
      <w:lang w:val="en-US" w:eastAsia="zh-CN" w:bidi="ar-SA"/>
    </w:rPr>
  </w:style>
  <w:style w:type="character" w:customStyle="1" w:styleId="232">
    <w:name w:val="表格A Char"/>
    <w:link w:val="233"/>
    <w:qFormat/>
    <w:uiPriority w:val="0"/>
    <w:rPr>
      <w:kern w:val="2"/>
      <w:sz w:val="21"/>
      <w:lang w:bidi="ar-SA"/>
    </w:rPr>
  </w:style>
  <w:style w:type="paragraph" w:customStyle="1" w:styleId="233">
    <w:name w:val="表格A"/>
    <w:basedOn w:val="1"/>
    <w:link w:val="232"/>
    <w:qFormat/>
    <w:uiPriority w:val="0"/>
    <w:pPr>
      <w:adjustRightInd w:val="0"/>
      <w:snapToGrid w:val="0"/>
      <w:spacing w:before="93" w:beforeLines="30" w:after="93" w:afterLines="30"/>
      <w:jc w:val="center"/>
    </w:pPr>
  </w:style>
  <w:style w:type="character" w:customStyle="1" w:styleId="234">
    <w:name w:val="正文1 Char Char5"/>
    <w:qFormat/>
    <w:uiPriority w:val="0"/>
    <w:rPr>
      <w:rFonts w:eastAsia="仿宋_GB2312"/>
      <w:color w:val="000000"/>
      <w:kern w:val="2"/>
      <w:sz w:val="18"/>
      <w:lang w:val="en-US" w:eastAsia="zh-CN"/>
    </w:rPr>
  </w:style>
  <w:style w:type="character" w:customStyle="1" w:styleId="235">
    <w:name w:val="timu1"/>
    <w:qFormat/>
    <w:uiPriority w:val="0"/>
    <w:rPr>
      <w:rFonts w:eastAsia="黑体"/>
      <w:kern w:val="2"/>
      <w:sz w:val="24"/>
      <w:lang w:val="en-US" w:eastAsia="zh-CN"/>
    </w:rPr>
  </w:style>
  <w:style w:type="character" w:customStyle="1" w:styleId="236">
    <w:name w:val="样式1 Char Char"/>
    <w:qFormat/>
    <w:uiPriority w:val="0"/>
    <w:rPr>
      <w:rFonts w:ascii="Arial" w:hAnsi="Arial" w:eastAsia="宋体"/>
      <w:kern w:val="2"/>
      <w:sz w:val="24"/>
      <w:szCs w:val="24"/>
      <w:lang w:val="en-US" w:eastAsia="zh-CN" w:bidi="ar-SA"/>
    </w:rPr>
  </w:style>
  <w:style w:type="character" w:customStyle="1" w:styleId="237">
    <w:name w:val="列表1 C"/>
    <w:qFormat/>
    <w:uiPriority w:val="0"/>
    <w:rPr>
      <w:rFonts w:eastAsia="黑体"/>
      <w:kern w:val="2"/>
      <w:sz w:val="22"/>
      <w:lang w:val="en-US" w:eastAsia="zh-CN"/>
    </w:rPr>
  </w:style>
  <w:style w:type="character" w:customStyle="1" w:styleId="238">
    <w:name w:val="表格文字1 Char Char Char Char Char"/>
    <w:qFormat/>
    <w:uiPriority w:val="0"/>
    <w:rPr>
      <w:rFonts w:ascii="宋体" w:hAnsi="宋体" w:eastAsia="宋体-方正超大字符集"/>
      <w:kern w:val="2"/>
      <w:sz w:val="21"/>
      <w:lang w:val="en-US" w:eastAsia="zh-CN"/>
    </w:rPr>
  </w:style>
  <w:style w:type="character" w:customStyle="1" w:styleId="239">
    <w:name w:val="正文1 Char Char2"/>
    <w:qFormat/>
    <w:uiPriority w:val="0"/>
    <w:rPr>
      <w:rFonts w:eastAsia="仿宋_GB2312"/>
      <w:kern w:val="2"/>
      <w:sz w:val="28"/>
      <w:lang w:val="en-US" w:eastAsia="zh-CN"/>
    </w:rPr>
  </w:style>
  <w:style w:type="character" w:customStyle="1" w:styleId="240">
    <w:name w:val="列表 Char1"/>
    <w:qFormat/>
    <w:uiPriority w:val="0"/>
    <w:rPr>
      <w:rFonts w:eastAsia="黑体"/>
      <w:kern w:val="2"/>
      <w:sz w:val="22"/>
      <w:lang w:val="en-US" w:eastAsia="zh-CN"/>
    </w:rPr>
  </w:style>
  <w:style w:type="character" w:customStyle="1" w:styleId="241">
    <w:name w:val="样式 正文1 Char Char + 字距调整七号 Char Char Char"/>
    <w:qFormat/>
    <w:uiPriority w:val="0"/>
    <w:rPr>
      <w:rFonts w:eastAsia="宋体"/>
      <w:kern w:val="11"/>
      <w:sz w:val="24"/>
      <w:lang w:val="en-US" w:eastAsia="zh-CN"/>
    </w:rPr>
  </w:style>
  <w:style w:type="character" w:customStyle="1" w:styleId="242">
    <w:name w:val="正文1 Char Char1"/>
    <w:qFormat/>
    <w:uiPriority w:val="0"/>
    <w:rPr>
      <w:rFonts w:eastAsia="仿宋_GB2312"/>
      <w:snapToGrid w:val="0"/>
      <w:kern w:val="2"/>
      <w:sz w:val="28"/>
      <w:lang w:val="en-US" w:eastAsia="zh-CN"/>
    </w:rPr>
  </w:style>
  <w:style w:type="character" w:customStyle="1" w:styleId="243">
    <w:name w:val="列表 Char Char"/>
    <w:qFormat/>
    <w:uiPriority w:val="0"/>
    <w:rPr>
      <w:rFonts w:eastAsia="黑体"/>
      <w:kern w:val="2"/>
      <w:sz w:val="24"/>
      <w:lang w:val="en-US" w:eastAsia="zh-CN"/>
    </w:rPr>
  </w:style>
  <w:style w:type="character" w:customStyle="1" w:styleId="244">
    <w:name w:val="正文（首行缩进两字）1 Char Char Char Char Char Char"/>
    <w:qFormat/>
    <w:uiPriority w:val="0"/>
    <w:rPr>
      <w:rFonts w:eastAsia="仿宋_GB2312"/>
      <w:kern w:val="2"/>
      <w:sz w:val="28"/>
      <w:lang w:val="en-US" w:eastAsia="zh-CN"/>
    </w:rPr>
  </w:style>
  <w:style w:type="character" w:customStyle="1" w:styleId="245">
    <w:name w:val="表名 Char Char"/>
    <w:link w:val="246"/>
    <w:qFormat/>
    <w:uiPriority w:val="0"/>
    <w:rPr>
      <w:rFonts w:eastAsia="黑体"/>
      <w:kern w:val="2"/>
      <w:sz w:val="24"/>
      <w:lang w:val="en-US" w:eastAsia="zh-CN" w:bidi="ar-SA"/>
    </w:rPr>
  </w:style>
  <w:style w:type="paragraph" w:customStyle="1" w:styleId="246">
    <w:name w:val="表名 Char"/>
    <w:basedOn w:val="1"/>
    <w:link w:val="245"/>
    <w:qFormat/>
    <w:uiPriority w:val="0"/>
    <w:pPr>
      <w:spacing w:line="480" w:lineRule="exact"/>
      <w:jc w:val="center"/>
    </w:pPr>
    <w:rPr>
      <w:rFonts w:eastAsia="黑体"/>
      <w:sz w:val="24"/>
    </w:rPr>
  </w:style>
  <w:style w:type="character" w:customStyle="1" w:styleId="247">
    <w:name w:val="dectext1"/>
    <w:qFormat/>
    <w:uiPriority w:val="0"/>
    <w:rPr>
      <w:rFonts w:hint="eastAsia" w:ascii="宋体" w:hAnsi="宋体" w:eastAsia="宋体"/>
      <w:color w:val="333333"/>
      <w:kern w:val="2"/>
      <w:sz w:val="21"/>
      <w:u w:val="none"/>
      <w:lang w:val="en-US" w:eastAsia="zh-CN"/>
    </w:rPr>
  </w:style>
  <w:style w:type="character" w:customStyle="1" w:styleId="248">
    <w:name w:val="样式 样式 红色 行距: 1.5 倍行距 + 字符缩放: 102% Char"/>
    <w:link w:val="249"/>
    <w:qFormat/>
    <w:uiPriority w:val="0"/>
    <w:rPr>
      <w:rFonts w:ascii="仿宋_GB2312" w:hAnsi="宋体" w:eastAsia="仿宋_GB2312"/>
      <w:color w:val="0000FF"/>
      <w:spacing w:val="6"/>
      <w:w w:val="102"/>
      <w:kern w:val="2"/>
      <w:sz w:val="32"/>
      <w:lang w:val="en-US" w:eastAsia="zh-CN" w:bidi="ar-SA"/>
    </w:rPr>
  </w:style>
  <w:style w:type="paragraph" w:customStyle="1" w:styleId="249">
    <w:name w:val="样式 样式 红色 行距: 1.5 倍行距 + 字符缩放: 102%"/>
    <w:basedOn w:val="1"/>
    <w:link w:val="248"/>
    <w:qFormat/>
    <w:uiPriority w:val="0"/>
    <w:pPr>
      <w:spacing w:line="440" w:lineRule="exact"/>
      <w:ind w:firstLine="664" w:firstLineChars="200"/>
      <w:jc w:val="left"/>
    </w:pPr>
    <w:rPr>
      <w:rFonts w:ascii="仿宋_GB2312" w:hAnsi="宋体" w:eastAsia="仿宋_GB2312"/>
      <w:color w:val="0000FF"/>
      <w:spacing w:val="6"/>
      <w:w w:val="102"/>
      <w:sz w:val="32"/>
    </w:rPr>
  </w:style>
  <w:style w:type="character" w:customStyle="1" w:styleId="250">
    <w:name w:val="正文小四缩进 Char Char"/>
    <w:link w:val="251"/>
    <w:qFormat/>
    <w:uiPriority w:val="0"/>
    <w:rPr>
      <w:rFonts w:eastAsia="宋体"/>
      <w:kern w:val="2"/>
      <w:sz w:val="24"/>
      <w:lang w:val="en-US" w:eastAsia="zh-CN" w:bidi="ar-SA"/>
    </w:rPr>
  </w:style>
  <w:style w:type="paragraph" w:customStyle="1" w:styleId="251">
    <w:name w:val="正文小四缩进"/>
    <w:basedOn w:val="1"/>
    <w:link w:val="250"/>
    <w:qFormat/>
    <w:uiPriority w:val="0"/>
    <w:pPr>
      <w:spacing w:line="500" w:lineRule="exact"/>
      <w:ind w:firstLine="480" w:firstLineChars="200"/>
      <w:jc w:val="left"/>
    </w:pPr>
    <w:rPr>
      <w:sz w:val="24"/>
    </w:rPr>
  </w:style>
  <w:style w:type="character" w:customStyle="1" w:styleId="252">
    <w:name w:val="样式3 Char2"/>
    <w:link w:val="253"/>
    <w:qFormat/>
    <w:uiPriority w:val="0"/>
    <w:rPr>
      <w:rFonts w:ascii="楷体_GB2312"/>
      <w:spacing w:val="20"/>
      <w:kern w:val="2"/>
      <w:sz w:val="21"/>
    </w:rPr>
  </w:style>
  <w:style w:type="paragraph" w:customStyle="1" w:styleId="253">
    <w:name w:val="样式3"/>
    <w:basedOn w:val="1"/>
    <w:link w:val="252"/>
    <w:qFormat/>
    <w:uiPriority w:val="0"/>
    <w:rPr>
      <w:rFonts w:ascii="楷体_GB2312"/>
      <w:spacing w:val="20"/>
    </w:rPr>
  </w:style>
  <w:style w:type="character" w:customStyle="1" w:styleId="254">
    <w:name w:val="正文程 Char Char"/>
    <w:link w:val="255"/>
    <w:qFormat/>
    <w:uiPriority w:val="0"/>
    <w:rPr>
      <w:rFonts w:ascii="Calibri" w:hAnsi="Calibri" w:cs="宋体"/>
      <w:sz w:val="24"/>
      <w:lang w:eastAsia="en-US" w:bidi="en-US"/>
    </w:rPr>
  </w:style>
  <w:style w:type="paragraph" w:customStyle="1" w:styleId="255">
    <w:name w:val="正文程"/>
    <w:basedOn w:val="1"/>
    <w:link w:val="254"/>
    <w:qFormat/>
    <w:uiPriority w:val="0"/>
    <w:pPr>
      <w:widowControl/>
      <w:spacing w:line="360" w:lineRule="auto"/>
      <w:ind w:firstLine="480" w:firstLineChars="200"/>
      <w:jc w:val="left"/>
    </w:pPr>
    <w:rPr>
      <w:rFonts w:ascii="Calibri" w:hAnsi="Calibri" w:cs="宋体"/>
      <w:kern w:val="0"/>
      <w:sz w:val="24"/>
      <w:lang w:eastAsia="en-US" w:bidi="en-US"/>
    </w:rPr>
  </w:style>
  <w:style w:type="character" w:customStyle="1" w:styleId="256">
    <w:name w:val="表内格式 Char1"/>
    <w:link w:val="257"/>
    <w:qFormat/>
    <w:uiPriority w:val="0"/>
    <w:rPr>
      <w:kern w:val="2"/>
      <w:sz w:val="18"/>
    </w:rPr>
  </w:style>
  <w:style w:type="paragraph" w:customStyle="1" w:styleId="257">
    <w:name w:val="表内格式"/>
    <w:basedOn w:val="1"/>
    <w:link w:val="256"/>
    <w:qFormat/>
    <w:uiPriority w:val="0"/>
    <w:pPr>
      <w:snapToGrid w:val="0"/>
      <w:jc w:val="center"/>
    </w:pPr>
    <w:rPr>
      <w:sz w:val="18"/>
    </w:rPr>
  </w:style>
  <w:style w:type="character" w:customStyle="1" w:styleId="258">
    <w:name w:val="标题 2 Char2"/>
    <w:qFormat/>
    <w:uiPriority w:val="0"/>
    <w:rPr>
      <w:rFonts w:ascii="Arial" w:hAnsi="Arial" w:eastAsia="黑体"/>
      <w:b/>
      <w:kern w:val="2"/>
      <w:sz w:val="32"/>
      <w:lang w:val="en-US" w:eastAsia="zh-CN"/>
    </w:rPr>
  </w:style>
  <w:style w:type="character" w:customStyle="1" w:styleId="259">
    <w:name w:val="z-窗体顶端 Char"/>
    <w:link w:val="260"/>
    <w:qFormat/>
    <w:uiPriority w:val="0"/>
    <w:rPr>
      <w:rFonts w:ascii="Arial" w:hAnsi="Arial" w:cs="Arial"/>
      <w:vanish/>
      <w:kern w:val="2"/>
      <w:sz w:val="16"/>
      <w:szCs w:val="16"/>
    </w:rPr>
  </w:style>
  <w:style w:type="paragraph" w:customStyle="1" w:styleId="260">
    <w:name w:val="_Style 251"/>
    <w:basedOn w:val="1"/>
    <w:next w:val="1"/>
    <w:link w:val="259"/>
    <w:qFormat/>
    <w:uiPriority w:val="0"/>
    <w:pPr>
      <w:pBdr>
        <w:bottom w:val="single" w:color="auto" w:sz="6" w:space="1"/>
      </w:pBdr>
      <w:jc w:val="center"/>
    </w:pPr>
    <w:rPr>
      <w:rFonts w:ascii="Arial" w:hAnsi="Arial"/>
      <w:vanish/>
      <w:sz w:val="16"/>
      <w:szCs w:val="16"/>
    </w:rPr>
  </w:style>
  <w:style w:type="character" w:customStyle="1" w:styleId="261">
    <w:name w:val="HTML 代码1"/>
    <w:qFormat/>
    <w:uiPriority w:val="0"/>
    <w:rPr>
      <w:rFonts w:hint="eastAsia" w:ascii="黑体" w:hAnsi="Courier New" w:eastAsia="黑体"/>
      <w:sz w:val="24"/>
    </w:rPr>
  </w:style>
  <w:style w:type="character" w:customStyle="1" w:styleId="262">
    <w:name w:val="访问过的超链接1"/>
    <w:qFormat/>
    <w:uiPriority w:val="0"/>
    <w:rPr>
      <w:rFonts w:hint="default" w:ascii="Times New Roman"/>
      <w:color w:val="800080"/>
      <w:u w:val="single"/>
    </w:rPr>
  </w:style>
  <w:style w:type="character" w:customStyle="1" w:styleId="263">
    <w:name w:val="批注主题 Char1"/>
    <w:qFormat/>
    <w:uiPriority w:val="99"/>
    <w:rPr>
      <w:b/>
      <w:bCs/>
      <w:kern w:val="2"/>
      <w:sz w:val="21"/>
      <w:szCs w:val="24"/>
    </w:rPr>
  </w:style>
  <w:style w:type="character" w:customStyle="1" w:styleId="264">
    <w:name w:val="c lh15"/>
    <w:qFormat/>
    <w:uiPriority w:val="0"/>
  </w:style>
  <w:style w:type="character" w:customStyle="1" w:styleId="265">
    <w:name w:val="表头样式1 Char1"/>
    <w:link w:val="266"/>
    <w:qFormat/>
    <w:uiPriority w:val="0"/>
    <w:rPr>
      <w:rFonts w:eastAsia="黑体"/>
      <w:b/>
      <w:kern w:val="2"/>
      <w:sz w:val="24"/>
    </w:rPr>
  </w:style>
  <w:style w:type="paragraph" w:customStyle="1" w:styleId="266">
    <w:name w:val="表头样式1"/>
    <w:basedOn w:val="1"/>
    <w:link w:val="265"/>
    <w:qFormat/>
    <w:uiPriority w:val="0"/>
    <w:pPr>
      <w:spacing w:before="240" w:after="120" w:line="380" w:lineRule="atLeast"/>
      <w:jc w:val="center"/>
    </w:pPr>
    <w:rPr>
      <w:rFonts w:eastAsia="黑体"/>
      <w:b/>
      <w:sz w:val="24"/>
    </w:rPr>
  </w:style>
  <w:style w:type="paragraph" w:customStyle="1" w:styleId="267">
    <w:name w:val="1-正文"/>
    <w:basedOn w:val="1"/>
    <w:link w:val="2653"/>
    <w:qFormat/>
    <w:uiPriority w:val="0"/>
    <w:pPr>
      <w:widowControl w:val="0"/>
      <w:spacing w:line="360" w:lineRule="auto"/>
      <w:ind w:firstLine="482" w:firstLineChars="200"/>
      <w:jc w:val="both"/>
    </w:pPr>
    <w:rPr>
      <w:kern w:val="0"/>
      <w:sz w:val="24"/>
      <w:szCs w:val="24"/>
    </w:rPr>
  </w:style>
  <w:style w:type="character" w:customStyle="1" w:styleId="268">
    <w:name w:val="表一 Char Char"/>
    <w:link w:val="269"/>
    <w:qFormat/>
    <w:uiPriority w:val="0"/>
    <w:rPr>
      <w:sz w:val="18"/>
      <w:szCs w:val="18"/>
    </w:rPr>
  </w:style>
  <w:style w:type="paragraph" w:customStyle="1" w:styleId="269">
    <w:name w:val="表一"/>
    <w:basedOn w:val="1"/>
    <w:link w:val="268"/>
    <w:qFormat/>
    <w:uiPriority w:val="0"/>
    <w:pPr>
      <w:jc w:val="center"/>
    </w:pPr>
    <w:rPr>
      <w:kern w:val="0"/>
      <w:sz w:val="18"/>
      <w:szCs w:val="18"/>
    </w:rPr>
  </w:style>
  <w:style w:type="character" w:customStyle="1" w:styleId="270">
    <w:name w:val="hb1 Char"/>
    <w:link w:val="271"/>
    <w:qFormat/>
    <w:uiPriority w:val="0"/>
    <w:rPr>
      <w:rFonts w:ascii="宋体" w:hAnsi="宋体"/>
      <w:color w:val="000000"/>
      <w:kern w:val="2"/>
      <w:sz w:val="24"/>
    </w:rPr>
  </w:style>
  <w:style w:type="paragraph" w:customStyle="1" w:styleId="271">
    <w:name w:val="hb1"/>
    <w:basedOn w:val="3"/>
    <w:link w:val="270"/>
    <w:qFormat/>
    <w:uiPriority w:val="0"/>
    <w:pPr>
      <w:spacing w:line="460" w:lineRule="exact"/>
      <w:ind w:firstLine="482"/>
      <w:jc w:val="both"/>
    </w:pPr>
    <w:rPr>
      <w:rFonts w:ascii="宋体" w:hAnsi="宋体"/>
      <w:color w:val="000000"/>
      <w:sz w:val="24"/>
    </w:rPr>
  </w:style>
  <w:style w:type="character" w:customStyle="1" w:styleId="272">
    <w:name w:val="表头样式1 Char"/>
    <w:qFormat/>
    <w:uiPriority w:val="0"/>
    <w:rPr>
      <w:rFonts w:eastAsia="黑体"/>
      <w:b/>
      <w:kern w:val="2"/>
      <w:sz w:val="24"/>
    </w:rPr>
  </w:style>
  <w:style w:type="character" w:customStyle="1" w:styleId="273">
    <w:name w:val="Char Char14"/>
    <w:qFormat/>
    <w:uiPriority w:val="0"/>
    <w:rPr>
      <w:rFonts w:eastAsia="宋体"/>
      <w:b/>
      <w:color w:val="000000"/>
      <w:sz w:val="24"/>
      <w:lang w:val="en-US" w:eastAsia="zh-CN"/>
    </w:rPr>
  </w:style>
  <w:style w:type="character" w:customStyle="1" w:styleId="274">
    <w:name w:val="Char Char11"/>
    <w:qFormat/>
    <w:uiPriority w:val="0"/>
    <w:rPr>
      <w:rFonts w:eastAsia="宋体"/>
      <w:b/>
      <w:color w:val="000000"/>
      <w:sz w:val="24"/>
      <w:lang w:val="en-US" w:eastAsia="zh-CN"/>
    </w:rPr>
  </w:style>
  <w:style w:type="character" w:customStyle="1" w:styleId="275">
    <w:name w:val="Char Char62"/>
    <w:qFormat/>
    <w:uiPriority w:val="0"/>
    <w:rPr>
      <w:rFonts w:ascii="华文行楷" w:eastAsia="华文行楷"/>
      <w:i/>
      <w:iCs/>
      <w:color w:val="FF0000"/>
      <w:kern w:val="2"/>
      <w:sz w:val="32"/>
      <w:szCs w:val="24"/>
      <w:lang w:val="en-US" w:eastAsia="zh-CN" w:bidi="ar-SA"/>
    </w:rPr>
  </w:style>
  <w:style w:type="character" w:customStyle="1" w:styleId="276">
    <w:name w:val="HTML 代码12"/>
    <w:qFormat/>
    <w:uiPriority w:val="0"/>
    <w:rPr>
      <w:rFonts w:hint="eastAsia" w:ascii="黑体" w:hAnsi="Courier New" w:eastAsia="黑体"/>
      <w:sz w:val="24"/>
    </w:rPr>
  </w:style>
  <w:style w:type="character" w:customStyle="1" w:styleId="277">
    <w:name w:val="标题51"/>
    <w:qFormat/>
    <w:uiPriority w:val="0"/>
  </w:style>
  <w:style w:type="character" w:customStyle="1" w:styleId="278">
    <w:name w:val="页码11"/>
    <w:qFormat/>
    <w:uiPriority w:val="0"/>
  </w:style>
  <w:style w:type="character" w:customStyle="1" w:styleId="279">
    <w:name w:val="Char Char12"/>
    <w:qFormat/>
    <w:uiPriority w:val="0"/>
    <w:rPr>
      <w:rFonts w:eastAsia="宋体"/>
      <w:b/>
      <w:color w:val="000000"/>
      <w:sz w:val="24"/>
      <w:lang w:val="en-US" w:eastAsia="zh-CN"/>
    </w:rPr>
  </w:style>
  <w:style w:type="character" w:customStyle="1" w:styleId="280">
    <w:name w:val="HTML 代码11"/>
    <w:qFormat/>
    <w:uiPriority w:val="0"/>
    <w:rPr>
      <w:rFonts w:hint="eastAsia" w:ascii="黑体" w:hAnsi="Courier New" w:eastAsia="黑体"/>
      <w:sz w:val="24"/>
    </w:rPr>
  </w:style>
  <w:style w:type="character" w:customStyle="1" w:styleId="281">
    <w:name w:val="访问过的超链接11"/>
    <w:qFormat/>
    <w:uiPriority w:val="0"/>
    <w:rPr>
      <w:rFonts w:hint="default" w:ascii="Times New Roman"/>
      <w:color w:val="800080"/>
      <w:u w:val="single"/>
    </w:rPr>
  </w:style>
  <w:style w:type="character" w:customStyle="1" w:styleId="282">
    <w:name w:val="web-item2"/>
    <w:qFormat/>
    <w:uiPriority w:val="0"/>
    <w:rPr>
      <w:rFonts w:hint="default" w:ascii="Times New Roman" w:hAnsi="Times New Roman" w:cs="Times New Roman"/>
      <w:sz w:val="18"/>
      <w:szCs w:val="18"/>
    </w:rPr>
  </w:style>
  <w:style w:type="character" w:customStyle="1" w:styleId="283">
    <w:name w:val="魏秀珍   正文 Char"/>
    <w:link w:val="284"/>
    <w:qFormat/>
    <w:uiPriority w:val="0"/>
    <w:rPr>
      <w:rFonts w:eastAsia="仿宋_GB2312"/>
      <w:color w:val="0000FF"/>
      <w:kern w:val="2"/>
      <w:sz w:val="24"/>
    </w:rPr>
  </w:style>
  <w:style w:type="paragraph" w:customStyle="1" w:styleId="284">
    <w:name w:val="魏秀珍   正文"/>
    <w:basedOn w:val="11"/>
    <w:link w:val="283"/>
    <w:qFormat/>
    <w:uiPriority w:val="0"/>
    <w:pPr>
      <w:adjustRightInd w:val="0"/>
      <w:snapToGrid w:val="0"/>
      <w:spacing w:line="360" w:lineRule="auto"/>
      <w:ind w:firstLine="480"/>
    </w:pPr>
    <w:rPr>
      <w:rFonts w:eastAsia="仿宋_GB2312"/>
      <w:color w:val="0000FF"/>
      <w:sz w:val="24"/>
    </w:rPr>
  </w:style>
  <w:style w:type="character" w:customStyle="1" w:styleId="285">
    <w:name w:val="样式10 Char"/>
    <w:link w:val="286"/>
    <w:qFormat/>
    <w:uiPriority w:val="0"/>
    <w:rPr>
      <w:rFonts w:ascii="宋体"/>
      <w:b/>
      <w:bCs/>
      <w:sz w:val="24"/>
    </w:rPr>
  </w:style>
  <w:style w:type="paragraph" w:customStyle="1" w:styleId="286">
    <w:name w:val="样式10"/>
    <w:basedOn w:val="287"/>
    <w:link w:val="285"/>
    <w:qFormat/>
    <w:uiPriority w:val="0"/>
    <w:pPr>
      <w:tabs>
        <w:tab w:val="left" w:pos="360"/>
        <w:tab w:val="left" w:pos="6300"/>
      </w:tabs>
      <w:autoSpaceDE w:val="0"/>
      <w:autoSpaceDN w:val="0"/>
      <w:adjustRightInd w:val="0"/>
      <w:spacing w:before="0" w:after="0" w:line="360" w:lineRule="auto"/>
      <w:textAlignment w:val="baseline"/>
    </w:pPr>
    <w:rPr>
      <w:rFonts w:ascii="宋体" w:hAnsi="Times New Roman" w:eastAsia="宋体"/>
      <w:bCs/>
      <w:color w:val="auto"/>
      <w:kern w:val="0"/>
      <w:sz w:val="24"/>
    </w:rPr>
  </w:style>
  <w:style w:type="paragraph" w:customStyle="1" w:styleId="287">
    <w:name w:val="表头"/>
    <w:basedOn w:val="288"/>
    <w:link w:val="290"/>
    <w:qFormat/>
    <w:uiPriority w:val="0"/>
    <w:pPr>
      <w:tabs>
        <w:tab w:val="left" w:pos="360"/>
        <w:tab w:val="left" w:pos="6300"/>
      </w:tabs>
      <w:spacing w:before="72" w:beforeLines="0" w:beforeAutospacing="0" w:after="31" w:afterLines="0" w:afterAutospacing="0" w:line="440" w:lineRule="exact"/>
      <w:ind w:firstLine="0" w:firstLineChars="0"/>
      <w:jc w:val="center"/>
    </w:pPr>
    <w:rPr>
      <w:rFonts w:ascii="黑体" w:hAnsi="宋体" w:eastAsia="黑体"/>
      <w:b/>
      <w:color w:val="000000"/>
      <w:sz w:val="21"/>
    </w:rPr>
  </w:style>
  <w:style w:type="paragraph" w:customStyle="1" w:styleId="288">
    <w:name w:val="样式1"/>
    <w:basedOn w:val="1"/>
    <w:link w:val="289"/>
    <w:qFormat/>
    <w:uiPriority w:val="0"/>
    <w:pPr>
      <w:spacing w:line="500" w:lineRule="exact"/>
      <w:ind w:firstLine="480" w:firstLineChars="200"/>
    </w:pPr>
    <w:rPr>
      <w:sz w:val="24"/>
    </w:rPr>
  </w:style>
  <w:style w:type="character" w:customStyle="1" w:styleId="289">
    <w:name w:val="样式1 Char"/>
    <w:link w:val="288"/>
    <w:qFormat/>
    <w:uiPriority w:val="0"/>
    <w:rPr>
      <w:rFonts w:eastAsia="宋体"/>
      <w:kern w:val="2"/>
      <w:sz w:val="24"/>
      <w:lang w:val="en-US" w:eastAsia="zh-CN"/>
    </w:rPr>
  </w:style>
  <w:style w:type="character" w:customStyle="1" w:styleId="290">
    <w:name w:val="表头 Char"/>
    <w:link w:val="287"/>
    <w:qFormat/>
    <w:uiPriority w:val="0"/>
    <w:rPr>
      <w:rFonts w:ascii="黑体" w:hAnsi="宋体" w:eastAsia="黑体"/>
      <w:b/>
      <w:color w:val="000000"/>
      <w:kern w:val="2"/>
      <w:sz w:val="21"/>
      <w:lang w:val="en-US" w:eastAsia="zh-CN"/>
    </w:rPr>
  </w:style>
  <w:style w:type="character" w:customStyle="1" w:styleId="291">
    <w:name w:val="样式7 Char"/>
    <w:link w:val="292"/>
    <w:qFormat/>
    <w:uiPriority w:val="0"/>
    <w:rPr>
      <w:snapToGrid/>
      <w:sz w:val="24"/>
    </w:rPr>
  </w:style>
  <w:style w:type="paragraph" w:customStyle="1" w:styleId="292">
    <w:name w:val="样式7"/>
    <w:basedOn w:val="10"/>
    <w:link w:val="291"/>
    <w:qFormat/>
    <w:uiPriority w:val="0"/>
    <w:pPr>
      <w:numPr>
        <w:ilvl w:val="3"/>
        <w:numId w:val="0"/>
      </w:numPr>
      <w:tabs>
        <w:tab w:val="left" w:pos="864"/>
      </w:tabs>
      <w:adjustRightInd w:val="0"/>
      <w:snapToGrid w:val="0"/>
      <w:spacing w:before="0" w:beforeLines="0" w:beforeAutospacing="0" w:after="0" w:afterLines="0" w:afterAutospacing="0" w:line="360" w:lineRule="auto"/>
      <w:ind w:left="864" w:hanging="864"/>
    </w:pPr>
    <w:rPr>
      <w:rFonts w:ascii="Times New Roman" w:hAnsi="Times New Roman" w:eastAsia="宋体"/>
      <w:b w:val="0"/>
      <w:kern w:val="0"/>
      <w:sz w:val="24"/>
    </w:rPr>
  </w:style>
  <w:style w:type="character" w:customStyle="1" w:styleId="293">
    <w:name w:val="批注文字 Char1"/>
    <w:semiHidden/>
    <w:qFormat/>
    <w:uiPriority w:val="99"/>
    <w:rPr>
      <w:rFonts w:ascii="Times New Roman" w:hAnsi="Times New Roman" w:eastAsia="宋体" w:cs="Times New Roman"/>
      <w:szCs w:val="20"/>
    </w:rPr>
  </w:style>
  <w:style w:type="character" w:customStyle="1" w:styleId="294">
    <w:name w:val="标题 Char1"/>
    <w:qFormat/>
    <w:uiPriority w:val="0"/>
    <w:rPr>
      <w:rFonts w:ascii="Cambria" w:hAnsi="Cambria" w:eastAsia="宋体" w:cs="Times New Roman"/>
      <w:b/>
      <w:bCs/>
      <w:sz w:val="32"/>
      <w:szCs w:val="32"/>
    </w:rPr>
  </w:style>
  <w:style w:type="character" w:customStyle="1" w:styleId="295">
    <w:name w:val="正文文本 2 Char1"/>
    <w:semiHidden/>
    <w:qFormat/>
    <w:uiPriority w:val="99"/>
    <w:rPr>
      <w:rFonts w:ascii="Times New Roman" w:hAnsi="Times New Roman" w:eastAsia="宋体" w:cs="Times New Roman"/>
      <w:szCs w:val="20"/>
    </w:rPr>
  </w:style>
  <w:style w:type="character" w:customStyle="1" w:styleId="296">
    <w:name w:val="副标题 Char1"/>
    <w:qFormat/>
    <w:uiPriority w:val="11"/>
    <w:rPr>
      <w:rFonts w:ascii="Cambria" w:hAnsi="Cambria" w:eastAsia="宋体" w:cs="Times New Roman"/>
      <w:b/>
      <w:bCs/>
      <w:kern w:val="28"/>
      <w:sz w:val="32"/>
      <w:szCs w:val="32"/>
    </w:rPr>
  </w:style>
  <w:style w:type="character" w:customStyle="1" w:styleId="297">
    <w:name w:val="正文首行缩进 2 Char1"/>
    <w:semiHidden/>
    <w:qFormat/>
    <w:uiPriority w:val="99"/>
    <w:rPr>
      <w:rFonts w:ascii="Times New Roman" w:hAnsi="Times New Roman" w:eastAsia="宋体" w:cs="Times New Roman"/>
      <w:szCs w:val="20"/>
    </w:rPr>
  </w:style>
  <w:style w:type="character" w:customStyle="1" w:styleId="298">
    <w:name w:val="Char Char22"/>
    <w:qFormat/>
    <w:uiPriority w:val="0"/>
    <w:rPr>
      <w:rFonts w:ascii="华文行楷" w:eastAsia="华文行楷"/>
      <w:i/>
      <w:iCs/>
      <w:color w:val="FF0000"/>
      <w:kern w:val="2"/>
      <w:sz w:val="32"/>
      <w:szCs w:val="24"/>
      <w:lang w:val="en-US" w:eastAsia="zh-CN" w:bidi="ar-SA"/>
    </w:rPr>
  </w:style>
  <w:style w:type="character" w:customStyle="1" w:styleId="299">
    <w:name w:val="Char Char19"/>
    <w:qFormat/>
    <w:uiPriority w:val="0"/>
    <w:rPr>
      <w:rFonts w:ascii="Arial" w:hAnsi="Arial" w:eastAsia="仿宋_GB2312" w:cs="Arial"/>
      <w:b/>
      <w:bCs/>
      <w:kern w:val="2"/>
      <w:sz w:val="44"/>
      <w:szCs w:val="32"/>
      <w:lang w:val="en-US" w:eastAsia="zh-CN" w:bidi="ar-SA"/>
    </w:rPr>
  </w:style>
  <w:style w:type="character" w:customStyle="1" w:styleId="300">
    <w:name w:val="Char Char20"/>
    <w:qFormat/>
    <w:uiPriority w:val="0"/>
    <w:rPr>
      <w:rFonts w:eastAsia="宋体"/>
      <w:b/>
      <w:bCs/>
      <w:kern w:val="2"/>
      <w:sz w:val="21"/>
      <w:szCs w:val="24"/>
      <w:lang w:val="en-US" w:eastAsia="zh-CN" w:bidi="ar-SA"/>
    </w:rPr>
  </w:style>
  <w:style w:type="character" w:customStyle="1" w:styleId="301">
    <w:name w:val="Char Char121"/>
    <w:qFormat/>
    <w:uiPriority w:val="0"/>
    <w:rPr>
      <w:rFonts w:eastAsia="宋体"/>
      <w:b/>
      <w:color w:val="000000"/>
      <w:sz w:val="24"/>
      <w:lang w:val="en-US" w:eastAsia="zh-CN"/>
    </w:rPr>
  </w:style>
  <w:style w:type="character" w:customStyle="1" w:styleId="302">
    <w:name w:val="Char Char111"/>
    <w:qFormat/>
    <w:uiPriority w:val="0"/>
    <w:rPr>
      <w:rFonts w:eastAsia="宋体"/>
      <w:b/>
      <w:color w:val="000000"/>
      <w:sz w:val="24"/>
      <w:lang w:val="en-US" w:eastAsia="zh-CN"/>
    </w:rPr>
  </w:style>
  <w:style w:type="character" w:customStyle="1" w:styleId="303">
    <w:name w:val=" Char Char16"/>
    <w:qFormat/>
    <w:uiPriority w:val="0"/>
    <w:rPr>
      <w:rFonts w:eastAsia="宋体"/>
      <w:bCs/>
      <w:kern w:val="44"/>
      <w:sz w:val="44"/>
      <w:szCs w:val="44"/>
      <w:lang w:val="en-US" w:eastAsia="zh-CN" w:bidi="ar-SA"/>
    </w:rPr>
  </w:style>
  <w:style w:type="character" w:customStyle="1" w:styleId="304">
    <w:name w:val=" Char Char4"/>
    <w:link w:val="305"/>
    <w:qFormat/>
    <w:uiPriority w:val="0"/>
    <w:rPr>
      <w:kern w:val="2"/>
      <w:sz w:val="18"/>
      <w:szCs w:val="18"/>
    </w:rPr>
  </w:style>
  <w:style w:type="paragraph" w:customStyle="1" w:styleId="305">
    <w:name w:val="Balloon Text"/>
    <w:basedOn w:val="1"/>
    <w:link w:val="304"/>
    <w:qFormat/>
    <w:uiPriority w:val="0"/>
    <w:rPr>
      <w:sz w:val="18"/>
      <w:szCs w:val="18"/>
    </w:rPr>
  </w:style>
  <w:style w:type="character" w:customStyle="1" w:styleId="306">
    <w:name w:val="表内格式 Char"/>
    <w:qFormat/>
    <w:uiPriority w:val="0"/>
    <w:rPr>
      <w:kern w:val="2"/>
      <w:sz w:val="18"/>
    </w:rPr>
  </w:style>
  <w:style w:type="character" w:customStyle="1" w:styleId="307">
    <w:name w:val="_Style 297"/>
    <w:qFormat/>
    <w:uiPriority w:val="31"/>
    <w:rPr>
      <w:smallCaps/>
      <w:color w:val="C0504D"/>
      <w:u w:val="single"/>
    </w:rPr>
  </w:style>
  <w:style w:type="character" w:customStyle="1" w:styleId="308">
    <w:name w:val="表格文字 Char Char"/>
    <w:qFormat/>
    <w:uiPriority w:val="0"/>
    <w:rPr>
      <w:rFonts w:ascii="仿宋_GB2312" w:hAnsi="Arial Black" w:eastAsia="仿宋_GB2312"/>
      <w:kern w:val="44"/>
      <w:sz w:val="24"/>
      <w:lang w:val="en-US" w:eastAsia="zh-CN" w:bidi="ar-SA"/>
    </w:rPr>
  </w:style>
  <w:style w:type="character" w:customStyle="1" w:styleId="309">
    <w:name w:val="MTConvertedEquation"/>
    <w:qFormat/>
    <w:uiPriority w:val="0"/>
    <w:rPr>
      <w:sz w:val="24"/>
    </w:rPr>
  </w:style>
  <w:style w:type="character" w:customStyle="1" w:styleId="310">
    <w:name w:val="君邦正文 Char1"/>
    <w:qFormat/>
    <w:uiPriority w:val="0"/>
    <w:rPr>
      <w:kern w:val="2"/>
      <w:sz w:val="24"/>
    </w:rPr>
  </w:style>
  <w:style w:type="character" w:customStyle="1" w:styleId="311">
    <w:name w:val="表格 Char"/>
    <w:link w:val="312"/>
    <w:qFormat/>
    <w:uiPriority w:val="0"/>
    <w:rPr>
      <w:rFonts w:ascii="宋体" w:hAnsi="宋体" w:eastAsia="宋体"/>
      <w:color w:val="000000"/>
      <w:kern w:val="2"/>
      <w:sz w:val="21"/>
      <w:lang w:val="en-US" w:eastAsia="zh-CN"/>
    </w:rPr>
  </w:style>
  <w:style w:type="paragraph" w:customStyle="1" w:styleId="312">
    <w:name w:val="表格"/>
    <w:basedOn w:val="1"/>
    <w:next w:val="1"/>
    <w:link w:val="311"/>
    <w:qFormat/>
    <w:uiPriority w:val="0"/>
    <w:pPr>
      <w:tabs>
        <w:tab w:val="left" w:pos="360"/>
        <w:tab w:val="left" w:pos="6300"/>
      </w:tabs>
      <w:spacing w:line="400" w:lineRule="exact"/>
      <w:ind w:left="-57" w:right="-57"/>
      <w:jc w:val="center"/>
    </w:pPr>
    <w:rPr>
      <w:rFonts w:ascii="宋体" w:hAnsi="宋体"/>
      <w:color w:val="000000"/>
    </w:rPr>
  </w:style>
  <w:style w:type="character" w:customStyle="1" w:styleId="313">
    <w:name w:val="style291"/>
    <w:qFormat/>
    <w:uiPriority w:val="0"/>
    <w:rPr>
      <w:rFonts w:hint="eastAsia" w:ascii="宋体" w:hAnsi="宋体" w:eastAsia="宋体"/>
    </w:rPr>
  </w:style>
  <w:style w:type="character" w:customStyle="1" w:styleId="314">
    <w:name w:val="bt21"/>
    <w:qFormat/>
    <w:uiPriority w:val="0"/>
    <w:rPr>
      <w:rFonts w:hint="eastAsia" w:ascii="黑体" w:eastAsia="黑体"/>
      <w:sz w:val="24"/>
      <w:szCs w:val="24"/>
    </w:rPr>
  </w:style>
  <w:style w:type="character" w:customStyle="1" w:styleId="315">
    <w:name w:val="样式3正文 Char"/>
    <w:link w:val="316"/>
    <w:qFormat/>
    <w:uiPriority w:val="0"/>
    <w:rPr>
      <w:rFonts w:eastAsia="宋体"/>
      <w:kern w:val="2"/>
      <w:sz w:val="24"/>
      <w:lang w:val="en-US" w:eastAsia="zh-CN"/>
    </w:rPr>
  </w:style>
  <w:style w:type="paragraph" w:customStyle="1" w:styleId="316">
    <w:name w:val="样式3正文"/>
    <w:basedOn w:val="1"/>
    <w:link w:val="315"/>
    <w:qFormat/>
    <w:uiPriority w:val="0"/>
    <w:pPr>
      <w:spacing w:line="360" w:lineRule="auto"/>
      <w:ind w:firstLine="480" w:firstLineChars="200"/>
    </w:pPr>
    <w:rPr>
      <w:sz w:val="24"/>
    </w:rPr>
  </w:style>
  <w:style w:type="character" w:customStyle="1" w:styleId="317">
    <w:name w:val="样式5二级 Char"/>
    <w:link w:val="318"/>
    <w:qFormat/>
    <w:uiPriority w:val="0"/>
    <w:rPr>
      <w:rFonts w:eastAsia="宋体"/>
      <w:b/>
      <w:bCs/>
      <w:kern w:val="2"/>
      <w:sz w:val="28"/>
      <w:szCs w:val="24"/>
      <w:lang w:val="en-US" w:eastAsia="zh-CN" w:bidi="ar-SA"/>
    </w:rPr>
  </w:style>
  <w:style w:type="paragraph" w:customStyle="1" w:styleId="318">
    <w:name w:val="样式5二级"/>
    <w:basedOn w:val="1"/>
    <w:link w:val="317"/>
    <w:qFormat/>
    <w:uiPriority w:val="0"/>
    <w:pPr>
      <w:spacing w:line="360" w:lineRule="auto"/>
    </w:pPr>
    <w:rPr>
      <w:b/>
      <w:bCs/>
      <w:sz w:val="28"/>
      <w:szCs w:val="24"/>
    </w:rPr>
  </w:style>
  <w:style w:type="character" w:customStyle="1" w:styleId="319">
    <w:name w:val="3zw"/>
    <w:basedOn w:val="100"/>
    <w:qFormat/>
    <w:uiPriority w:val="0"/>
  </w:style>
  <w:style w:type="character" w:customStyle="1" w:styleId="320">
    <w:name w:val="表 头 Char"/>
    <w:link w:val="321"/>
    <w:qFormat/>
    <w:uiPriority w:val="0"/>
    <w:rPr>
      <w:rFonts w:ascii="Arial" w:eastAsia="黑体"/>
      <w:b/>
      <w:color w:val="000000"/>
      <w:kern w:val="2"/>
      <w:sz w:val="21"/>
      <w:lang w:val="en-US" w:eastAsia="zh-CN" w:bidi="ar-SA"/>
    </w:rPr>
  </w:style>
  <w:style w:type="paragraph" w:customStyle="1" w:styleId="321">
    <w:name w:val="表 头"/>
    <w:basedOn w:val="1"/>
    <w:link w:val="320"/>
    <w:qFormat/>
    <w:uiPriority w:val="0"/>
    <w:pPr>
      <w:adjustRightInd w:val="0"/>
      <w:spacing w:before="120" w:after="120" w:line="360" w:lineRule="atLeast"/>
      <w:jc w:val="center"/>
    </w:pPr>
    <w:rPr>
      <w:rFonts w:ascii="Arial" w:eastAsia="黑体"/>
      <w:b/>
      <w:color w:val="000000"/>
    </w:rPr>
  </w:style>
  <w:style w:type="character" w:customStyle="1" w:styleId="322">
    <w:name w:val="title"/>
    <w:basedOn w:val="100"/>
    <w:qFormat/>
    <w:uiPriority w:val="0"/>
  </w:style>
  <w:style w:type="character" w:customStyle="1" w:styleId="323">
    <w:name w:val="style111"/>
    <w:qFormat/>
    <w:uiPriority w:val="0"/>
    <w:rPr>
      <w:rFonts w:hint="default" w:ascii="Verdana" w:hAnsi="Verdana"/>
    </w:rPr>
  </w:style>
  <w:style w:type="character" w:customStyle="1" w:styleId="324">
    <w:name w:val="干标题(a) Char Char"/>
    <w:qFormat/>
    <w:uiPriority w:val="0"/>
    <w:rPr>
      <w:rFonts w:ascii="Arial" w:hAnsi="Arial" w:eastAsia="黑体"/>
      <w:kern w:val="2"/>
      <w:sz w:val="21"/>
      <w:szCs w:val="21"/>
      <w:lang w:val="en-US" w:eastAsia="zh-CN" w:bidi="ar-SA"/>
    </w:rPr>
  </w:style>
  <w:style w:type="character" w:customStyle="1" w:styleId="325">
    <w:name w:val="title41"/>
    <w:qFormat/>
    <w:uiPriority w:val="0"/>
    <w:rPr>
      <w:rFonts w:hint="eastAsia" w:ascii="宋体" w:hAnsi="宋体" w:eastAsia="宋体"/>
      <w:color w:val="FF6600"/>
      <w:sz w:val="36"/>
      <w:szCs w:val="36"/>
    </w:rPr>
  </w:style>
  <w:style w:type="character" w:customStyle="1" w:styleId="326">
    <w:name w:val="表格 32 Char"/>
    <w:link w:val="327"/>
    <w:qFormat/>
    <w:uiPriority w:val="0"/>
    <w:rPr>
      <w:rFonts w:eastAsia="宋体"/>
      <w:sz w:val="21"/>
      <w:lang w:bidi="ar-SA"/>
    </w:rPr>
  </w:style>
  <w:style w:type="paragraph" w:customStyle="1" w:styleId="327">
    <w:name w:val="表格 32"/>
    <w:basedOn w:val="1"/>
    <w:link w:val="326"/>
    <w:qFormat/>
    <w:uiPriority w:val="0"/>
    <w:pPr>
      <w:autoSpaceDE w:val="0"/>
      <w:autoSpaceDN w:val="0"/>
      <w:adjustRightInd w:val="0"/>
      <w:snapToGrid w:val="0"/>
      <w:jc w:val="center"/>
      <w:textAlignment w:val="baseline"/>
    </w:pPr>
    <w:rPr>
      <w:kern w:val="0"/>
    </w:rPr>
  </w:style>
  <w:style w:type="character" w:customStyle="1" w:styleId="328">
    <w:name w:val="正文首行缩进 Char"/>
    <w:qFormat/>
    <w:uiPriority w:val="0"/>
    <w:rPr>
      <w:rFonts w:eastAsia="宋体"/>
      <w:kern w:val="2"/>
      <w:sz w:val="24"/>
      <w:szCs w:val="24"/>
      <w:lang w:val="en-US" w:eastAsia="zh-CN" w:bidi="ar-SA"/>
    </w:rPr>
  </w:style>
  <w:style w:type="character" w:customStyle="1" w:styleId="329">
    <w:name w:val="样式 四号 右侧:  -0.26 厘米 Char"/>
    <w:link w:val="330"/>
    <w:qFormat/>
    <w:uiPriority w:val="0"/>
    <w:rPr>
      <w:rFonts w:eastAsia="宋体" w:cs="宋体"/>
      <w:kern w:val="2"/>
      <w:sz w:val="28"/>
      <w:lang w:val="en-US" w:eastAsia="zh-CN" w:bidi="ar-SA"/>
    </w:rPr>
  </w:style>
  <w:style w:type="paragraph" w:customStyle="1" w:styleId="330">
    <w:name w:val="样式 四号 右侧:  -0.26 厘米"/>
    <w:basedOn w:val="1"/>
    <w:link w:val="329"/>
    <w:qFormat/>
    <w:uiPriority w:val="0"/>
    <w:pPr>
      <w:ind w:firstLine="200" w:firstLineChars="200"/>
    </w:pPr>
    <w:rPr>
      <w:rFonts w:cs="宋体"/>
      <w:sz w:val="28"/>
    </w:rPr>
  </w:style>
  <w:style w:type="character" w:customStyle="1" w:styleId="331">
    <w:name w:val="Heading 3 Char"/>
    <w:qFormat/>
    <w:uiPriority w:val="0"/>
    <w:rPr>
      <w:rFonts w:eastAsia="宋体"/>
      <w:b/>
      <w:bCs/>
      <w:kern w:val="2"/>
      <w:sz w:val="32"/>
      <w:szCs w:val="32"/>
      <w:lang w:val="en-US" w:eastAsia="zh-CN" w:bidi="ar-SA"/>
    </w:rPr>
  </w:style>
  <w:style w:type="character" w:customStyle="1" w:styleId="332">
    <w:name w:val="px141"/>
    <w:qFormat/>
    <w:uiPriority w:val="0"/>
    <w:rPr>
      <w:sz w:val="21"/>
      <w:szCs w:val="21"/>
    </w:rPr>
  </w:style>
  <w:style w:type="character" w:customStyle="1" w:styleId="333">
    <w:name w:val="册除格式 Char Char Char"/>
    <w:qFormat/>
    <w:uiPriority w:val="0"/>
    <w:rPr>
      <w:rFonts w:ascii="黑体" w:hAnsi="Arial" w:eastAsia="宋体" w:cs="Arial"/>
      <w:snapToGrid w:val="0"/>
      <w:spacing w:val="4"/>
      <w:kern w:val="18"/>
      <w:sz w:val="24"/>
      <w:szCs w:val="28"/>
      <w:lang w:val="en-US" w:eastAsia="zh-CN" w:bidi="ar-SA"/>
    </w:rPr>
  </w:style>
  <w:style w:type="character" w:customStyle="1" w:styleId="334">
    <w:name w:val="表格标题 Char Char"/>
    <w:qFormat/>
    <w:uiPriority w:val="0"/>
    <w:rPr>
      <w:rFonts w:ascii="宋体" w:hAnsi="宋体" w:eastAsia="宋体" w:cs="宋体"/>
      <w:b/>
      <w:bCs/>
      <w:kern w:val="2"/>
      <w:sz w:val="24"/>
      <w:szCs w:val="24"/>
      <w:lang w:val="en-US" w:eastAsia="zh-CN" w:bidi="ar-SA"/>
    </w:rPr>
  </w:style>
  <w:style w:type="character" w:customStyle="1" w:styleId="335">
    <w:name w:val="正文小四 Char"/>
    <w:link w:val="336"/>
    <w:qFormat/>
    <w:uiPriority w:val="0"/>
    <w:rPr>
      <w:rFonts w:eastAsia="宋体"/>
      <w:kern w:val="2"/>
      <w:sz w:val="24"/>
      <w:lang w:val="en-US" w:eastAsia="zh-CN" w:bidi="ar-SA"/>
    </w:rPr>
  </w:style>
  <w:style w:type="paragraph" w:customStyle="1" w:styleId="336">
    <w:name w:val="正文小四"/>
    <w:basedOn w:val="1"/>
    <w:link w:val="335"/>
    <w:qFormat/>
    <w:uiPriority w:val="0"/>
    <w:pPr>
      <w:spacing w:line="360" w:lineRule="auto"/>
      <w:ind w:firstLine="360" w:firstLineChars="150"/>
      <w:jc w:val="left"/>
    </w:pPr>
    <w:rPr>
      <w:sz w:val="24"/>
    </w:rPr>
  </w:style>
  <w:style w:type="character" w:customStyle="1" w:styleId="337">
    <w:name w:val="style31"/>
    <w:qFormat/>
    <w:uiPriority w:val="0"/>
    <w:rPr>
      <w:b/>
      <w:color w:val="3795D2"/>
      <w:sz w:val="14"/>
    </w:rPr>
  </w:style>
  <w:style w:type="character" w:customStyle="1" w:styleId="338">
    <w:name w:val=" Char Char11"/>
    <w:qFormat/>
    <w:uiPriority w:val="0"/>
    <w:rPr>
      <w:snapToGrid w:val="0"/>
      <w:sz w:val="24"/>
    </w:rPr>
  </w:style>
  <w:style w:type="character" w:customStyle="1" w:styleId="339">
    <w:name w:val="样式3四级 Char"/>
    <w:link w:val="340"/>
    <w:qFormat/>
    <w:uiPriority w:val="0"/>
    <w:rPr>
      <w:rFonts w:ascii="仿宋_GB2312" w:hAnsi="宋体" w:eastAsia="仿宋_GB2312"/>
      <w:kern w:val="2"/>
      <w:sz w:val="28"/>
      <w:lang w:val="en-US" w:eastAsia="zh-CN"/>
    </w:rPr>
  </w:style>
  <w:style w:type="paragraph" w:customStyle="1" w:styleId="340">
    <w:name w:val="样式3四级"/>
    <w:basedOn w:val="1"/>
    <w:next w:val="1"/>
    <w:link w:val="339"/>
    <w:qFormat/>
    <w:uiPriority w:val="0"/>
    <w:pPr>
      <w:spacing w:line="360" w:lineRule="auto"/>
    </w:pPr>
    <w:rPr>
      <w:rFonts w:ascii="仿宋_GB2312" w:hAnsi="宋体" w:eastAsia="仿宋_GB2312"/>
      <w:sz w:val="28"/>
    </w:rPr>
  </w:style>
  <w:style w:type="character" w:customStyle="1" w:styleId="341">
    <w:name w:val="节 Char"/>
    <w:qFormat/>
    <w:uiPriority w:val="0"/>
    <w:rPr>
      <w:rFonts w:ascii="Arial" w:hAnsi="Arial" w:eastAsia="黑体"/>
      <w:b/>
      <w:kern w:val="2"/>
      <w:sz w:val="32"/>
      <w:lang w:val="en-US" w:eastAsia="zh-CN"/>
    </w:rPr>
  </w:style>
  <w:style w:type="character" w:customStyle="1" w:styleId="342">
    <w:name w:val=" Char Char12"/>
    <w:qFormat/>
    <w:uiPriority w:val="0"/>
    <w:rPr>
      <w:snapToGrid w:val="0"/>
      <w:sz w:val="24"/>
    </w:rPr>
  </w:style>
  <w:style w:type="character" w:customStyle="1" w:styleId="343">
    <w:name w:val="标准文本 居中 行距1.5倍 Char"/>
    <w:link w:val="344"/>
    <w:qFormat/>
    <w:uiPriority w:val="0"/>
    <w:rPr>
      <w:rFonts w:eastAsia="宋体" w:cs="宋体"/>
      <w:kern w:val="2"/>
      <w:sz w:val="24"/>
      <w:szCs w:val="24"/>
      <w:lang w:val="en-US" w:eastAsia="zh-CN" w:bidi="ar-SA"/>
    </w:rPr>
  </w:style>
  <w:style w:type="paragraph" w:customStyle="1" w:styleId="344">
    <w:name w:val="标准文本 居中 行距1.5倍"/>
    <w:basedOn w:val="1"/>
    <w:link w:val="343"/>
    <w:qFormat/>
    <w:uiPriority w:val="0"/>
    <w:pPr>
      <w:spacing w:line="360" w:lineRule="auto"/>
      <w:jc w:val="center"/>
      <w:textAlignment w:val="center"/>
    </w:pPr>
    <w:rPr>
      <w:rFonts w:cs="宋体"/>
      <w:sz w:val="24"/>
      <w:szCs w:val="24"/>
    </w:rPr>
  </w:style>
  <w:style w:type="character" w:customStyle="1" w:styleId="345">
    <w:name w:val="black_14_25hg1"/>
    <w:qFormat/>
    <w:uiPriority w:val="0"/>
    <w:rPr>
      <w:rFonts w:hint="default" w:ascii="_x000B__x000C_" w:hAnsi="_x000B__x000C_"/>
      <w:color w:val="000000"/>
      <w:sz w:val="21"/>
      <w:szCs w:val="21"/>
      <w:u w:val="none"/>
    </w:rPr>
  </w:style>
  <w:style w:type="character" w:customStyle="1" w:styleId="346">
    <w:name w:val="hangju"/>
    <w:basedOn w:val="100"/>
    <w:qFormat/>
    <w:uiPriority w:val="0"/>
  </w:style>
  <w:style w:type="character" w:customStyle="1" w:styleId="347">
    <w:name w:val="ct Char"/>
    <w:link w:val="348"/>
    <w:qFormat/>
    <w:uiPriority w:val="0"/>
    <w:rPr>
      <w:rFonts w:eastAsia="黑体"/>
      <w:b/>
      <w:sz w:val="21"/>
      <w:szCs w:val="21"/>
      <w:lang w:val="en-US" w:eastAsia="zh-CN" w:bidi="en-US"/>
    </w:rPr>
  </w:style>
  <w:style w:type="paragraph" w:customStyle="1" w:styleId="348">
    <w:name w:val="ct"/>
    <w:link w:val="347"/>
    <w:qFormat/>
    <w:uiPriority w:val="0"/>
    <w:pPr>
      <w:jc w:val="center"/>
    </w:pPr>
    <w:rPr>
      <w:rFonts w:ascii="Times New Roman" w:hAnsi="Times New Roman" w:eastAsia="黑体" w:cs="Times New Roman"/>
      <w:b/>
      <w:sz w:val="21"/>
      <w:szCs w:val="21"/>
      <w:lang w:val="en-US" w:eastAsia="zh-CN" w:bidi="en-US"/>
    </w:rPr>
  </w:style>
  <w:style w:type="character" w:customStyle="1" w:styleId="349">
    <w:name w:val="正文样式1 Char"/>
    <w:link w:val="350"/>
    <w:qFormat/>
    <w:uiPriority w:val="0"/>
    <w:rPr>
      <w:rFonts w:ascii="宋体" w:hAnsi="Courier New" w:eastAsia="宋体" w:cs="Courier New"/>
      <w:sz w:val="24"/>
      <w:szCs w:val="21"/>
      <w:lang w:val="en-US" w:eastAsia="zh-CN" w:bidi="ar-SA"/>
    </w:rPr>
  </w:style>
  <w:style w:type="paragraph" w:customStyle="1" w:styleId="350">
    <w:name w:val="正文样式1"/>
    <w:basedOn w:val="1"/>
    <w:link w:val="349"/>
    <w:qFormat/>
    <w:uiPriority w:val="0"/>
    <w:pPr>
      <w:adjustRightInd w:val="0"/>
      <w:spacing w:line="288" w:lineRule="auto"/>
      <w:ind w:left="479" w:leftChars="228" w:firstLine="420"/>
      <w:textAlignment w:val="baseline"/>
    </w:pPr>
    <w:rPr>
      <w:rFonts w:ascii="宋体" w:hAnsi="Courier New" w:cs="Courier New"/>
      <w:kern w:val="0"/>
      <w:sz w:val="24"/>
      <w:szCs w:val="21"/>
    </w:rPr>
  </w:style>
  <w:style w:type="character" w:customStyle="1" w:styleId="351">
    <w:name w:val="标题样式3 Char Char"/>
    <w:qFormat/>
    <w:uiPriority w:val="0"/>
    <w:rPr>
      <w:rFonts w:ascii="黑体" w:hAnsi="宋体" w:eastAsia="黑体" w:cs="黑体"/>
      <w:bCs/>
      <w:color w:val="000000"/>
      <w:kern w:val="2"/>
      <w:sz w:val="24"/>
      <w:szCs w:val="24"/>
      <w:lang w:val="zh-CN" w:eastAsia="zh-CN" w:bidi="ar-SA"/>
    </w:rPr>
  </w:style>
  <w:style w:type="character" w:customStyle="1" w:styleId="352">
    <w:name w:val="style211"/>
    <w:qFormat/>
    <w:uiPriority w:val="0"/>
    <w:rPr>
      <w:color w:val="000000"/>
    </w:rPr>
  </w:style>
  <w:style w:type="character" w:customStyle="1" w:styleId="353">
    <w:name w:val="报告表正文 Char"/>
    <w:link w:val="354"/>
    <w:qFormat/>
    <w:uiPriority w:val="0"/>
    <w:rPr>
      <w:rFonts w:eastAsia="楷体_GB2312"/>
      <w:kern w:val="2"/>
      <w:sz w:val="24"/>
      <w:szCs w:val="24"/>
      <w:lang w:val="en-US" w:eastAsia="zh-CN" w:bidi="ar-SA"/>
    </w:rPr>
  </w:style>
  <w:style w:type="paragraph" w:customStyle="1" w:styleId="354">
    <w:name w:val="报告表正文"/>
    <w:basedOn w:val="1"/>
    <w:link w:val="353"/>
    <w:qFormat/>
    <w:uiPriority w:val="0"/>
    <w:pPr>
      <w:spacing w:line="360" w:lineRule="auto"/>
      <w:ind w:firstLine="200" w:firstLineChars="200"/>
    </w:pPr>
    <w:rPr>
      <w:rFonts w:eastAsia="楷体_GB2312"/>
      <w:sz w:val="24"/>
      <w:szCs w:val="24"/>
    </w:rPr>
  </w:style>
  <w:style w:type="character" w:customStyle="1" w:styleId="355">
    <w:name w:val="图名称 Char Char Char Char Char Char Char Char Char Char Char"/>
    <w:qFormat/>
    <w:uiPriority w:val="0"/>
    <w:rPr>
      <w:rFonts w:ascii="黑体" w:eastAsia="黑体"/>
      <w:b/>
      <w:bCs/>
      <w:spacing w:val="16"/>
      <w:sz w:val="28"/>
      <w:szCs w:val="28"/>
      <w:lang w:val="en-US" w:eastAsia="zh-CN" w:bidi="ar-SA"/>
    </w:rPr>
  </w:style>
  <w:style w:type="character" w:customStyle="1" w:styleId="356">
    <w:name w:val="bb1"/>
    <w:qFormat/>
    <w:uiPriority w:val="0"/>
    <w:rPr>
      <w:sz w:val="30"/>
      <w:szCs w:val="30"/>
    </w:rPr>
  </w:style>
  <w:style w:type="character" w:customStyle="1" w:styleId="357">
    <w:name w:val="正文缩进 Char"/>
    <w:qFormat/>
    <w:uiPriority w:val="0"/>
    <w:rPr>
      <w:rFonts w:ascii="宋体" w:hAnsi="宋体" w:eastAsia="宋体"/>
      <w:snapToGrid w:val="0"/>
      <w:kern w:val="28"/>
      <w:sz w:val="24"/>
      <w:lang w:val="en-US" w:eastAsia="zh-CN" w:bidi="ar-SA"/>
    </w:rPr>
  </w:style>
  <w:style w:type="character" w:customStyle="1" w:styleId="358">
    <w:name w:val="页眉2 Char"/>
    <w:qFormat/>
    <w:uiPriority w:val="0"/>
    <w:rPr>
      <w:rFonts w:ascii="仿宋_GB2312" w:eastAsia="仿宋_GB2312"/>
      <w:b/>
      <w:kern w:val="2"/>
      <w:sz w:val="21"/>
      <w:szCs w:val="21"/>
      <w:lang w:val="zh-CN"/>
    </w:rPr>
  </w:style>
  <w:style w:type="character" w:customStyle="1" w:styleId="359">
    <w:name w:val="content_jr1"/>
    <w:qFormat/>
    <w:uiPriority w:val="0"/>
    <w:rPr>
      <w:b/>
      <w:bCs/>
      <w:color w:val="333333"/>
      <w:sz w:val="21"/>
      <w:szCs w:val="21"/>
    </w:rPr>
  </w:style>
  <w:style w:type="character" w:customStyle="1" w:styleId="360">
    <w:name w:val="表底说明 Char"/>
    <w:link w:val="361"/>
    <w:qFormat/>
    <w:uiPriority w:val="0"/>
    <w:rPr>
      <w:rFonts w:eastAsia="宋体"/>
      <w:kern w:val="2"/>
      <w:sz w:val="18"/>
      <w:szCs w:val="24"/>
      <w:lang w:val="en-US" w:eastAsia="zh-CN" w:bidi="ar-SA"/>
    </w:rPr>
  </w:style>
  <w:style w:type="paragraph" w:customStyle="1" w:styleId="361">
    <w:name w:val="表底说明"/>
    <w:basedOn w:val="1"/>
    <w:link w:val="360"/>
    <w:qFormat/>
    <w:uiPriority w:val="0"/>
    <w:rPr>
      <w:sz w:val="18"/>
      <w:szCs w:val="24"/>
    </w:rPr>
  </w:style>
  <w:style w:type="character" w:customStyle="1" w:styleId="362">
    <w:name w:val="标题 7 表 Char"/>
    <w:qFormat/>
    <w:uiPriority w:val="0"/>
    <w:rPr>
      <w:rFonts w:eastAsia="宋体"/>
      <w:b/>
      <w:bCs/>
      <w:kern w:val="2"/>
      <w:sz w:val="24"/>
      <w:szCs w:val="24"/>
      <w:lang w:val="en-US" w:eastAsia="zh-CN" w:bidi="ar-SA"/>
    </w:rPr>
  </w:style>
  <w:style w:type="character" w:customStyle="1" w:styleId="363">
    <w:name w:val="td91"/>
    <w:qFormat/>
    <w:uiPriority w:val="0"/>
    <w:rPr>
      <w:color w:val="666666"/>
      <w:sz w:val="14"/>
      <w:szCs w:val="14"/>
      <w:u w:val="none"/>
    </w:rPr>
  </w:style>
  <w:style w:type="character" w:customStyle="1" w:styleId="364">
    <w:name w:val="缩进 Char Char"/>
    <w:link w:val="365"/>
    <w:qFormat/>
    <w:uiPriority w:val="0"/>
    <w:rPr>
      <w:rFonts w:ascii="仿宋_GB2312" w:eastAsia="仿宋_GB2312"/>
      <w:sz w:val="24"/>
      <w:szCs w:val="24"/>
      <w:lang w:val="en-US" w:eastAsia="zh-CN" w:bidi="ar-SA"/>
    </w:rPr>
  </w:style>
  <w:style w:type="paragraph" w:customStyle="1" w:styleId="365">
    <w:name w:val="缩进 Char"/>
    <w:basedOn w:val="1"/>
    <w:link w:val="364"/>
    <w:qFormat/>
    <w:uiPriority w:val="0"/>
    <w:pPr>
      <w:spacing w:line="360" w:lineRule="auto"/>
      <w:ind w:firstLine="480" w:firstLineChars="200"/>
    </w:pPr>
    <w:rPr>
      <w:rFonts w:ascii="仿宋_GB2312" w:eastAsia="仿宋_GB2312"/>
      <w:kern w:val="0"/>
      <w:sz w:val="24"/>
      <w:szCs w:val="24"/>
    </w:rPr>
  </w:style>
  <w:style w:type="character" w:customStyle="1" w:styleId="366">
    <w:name w:val="标准文本 居中 单倍行距 Char Char Char"/>
    <w:link w:val="367"/>
    <w:qFormat/>
    <w:uiPriority w:val="0"/>
    <w:rPr>
      <w:rFonts w:eastAsia="宋体" w:cs="宋体"/>
      <w:kern w:val="2"/>
      <w:sz w:val="24"/>
      <w:szCs w:val="24"/>
      <w:lang w:val="en-US" w:eastAsia="zh-CN" w:bidi="ar-SA"/>
    </w:rPr>
  </w:style>
  <w:style w:type="paragraph" w:customStyle="1" w:styleId="367">
    <w:name w:val="标准文本 居中 单倍行距 Char Char"/>
    <w:basedOn w:val="1"/>
    <w:link w:val="366"/>
    <w:qFormat/>
    <w:uiPriority w:val="0"/>
    <w:pPr>
      <w:adjustRightInd w:val="0"/>
      <w:snapToGrid w:val="0"/>
      <w:jc w:val="center"/>
      <w:textAlignment w:val="center"/>
    </w:pPr>
    <w:rPr>
      <w:rFonts w:cs="宋体"/>
      <w:sz w:val="24"/>
      <w:szCs w:val="24"/>
    </w:rPr>
  </w:style>
  <w:style w:type="character" w:customStyle="1" w:styleId="368">
    <w:name w:val="myfont11"/>
    <w:qFormat/>
    <w:uiPriority w:val="0"/>
    <w:rPr>
      <w:rFonts w:hint="default" w:ascii="_x000B__x000C_" w:hAnsi="_x000B__x000C_"/>
      <w:color w:val="000000"/>
      <w:sz w:val="18"/>
      <w:szCs w:val="18"/>
    </w:rPr>
  </w:style>
  <w:style w:type="character" w:customStyle="1" w:styleId="369">
    <w:name w:val="about-left1"/>
    <w:qFormat/>
    <w:uiPriority w:val="0"/>
    <w:rPr>
      <w:color w:val="3A3A3A"/>
      <w:spacing w:val="15"/>
      <w:sz w:val="18"/>
      <w:szCs w:val="18"/>
      <w:u w:val="none"/>
    </w:rPr>
  </w:style>
  <w:style w:type="character" w:customStyle="1" w:styleId="370">
    <w:name w:val="列表编号 5 Char"/>
    <w:qFormat/>
    <w:uiPriority w:val="0"/>
    <w:rPr>
      <w:rFonts w:eastAsia="宋体"/>
      <w:kern w:val="2"/>
      <w:sz w:val="24"/>
      <w:szCs w:val="24"/>
      <w:lang w:val="en-US" w:eastAsia="zh-CN" w:bidi="ar-SA"/>
    </w:rPr>
  </w:style>
  <w:style w:type="character" w:customStyle="1" w:styleId="371">
    <w:name w:val="标题 3 Char2 Char"/>
    <w:qFormat/>
    <w:uiPriority w:val="9"/>
    <w:rPr>
      <w:rFonts w:eastAsia="宋体"/>
      <w:b/>
      <w:kern w:val="2"/>
      <w:sz w:val="24"/>
      <w:lang w:val="en-US" w:eastAsia="zh-CN" w:bidi="ar-SA"/>
    </w:rPr>
  </w:style>
  <w:style w:type="character" w:customStyle="1" w:styleId="372">
    <w:name w:val="样式 首行缩进:  2 字符1 Char Char"/>
    <w:link w:val="373"/>
    <w:qFormat/>
    <w:uiPriority w:val="0"/>
    <w:rPr>
      <w:rFonts w:eastAsia="宋体" w:cs="宋体"/>
      <w:kern w:val="2"/>
      <w:sz w:val="24"/>
      <w:lang w:val="en-US" w:eastAsia="zh-CN" w:bidi="ar-SA"/>
    </w:rPr>
  </w:style>
  <w:style w:type="paragraph" w:customStyle="1" w:styleId="373">
    <w:name w:val="样式 首行缩进:  2 字符1"/>
    <w:basedOn w:val="1"/>
    <w:link w:val="372"/>
    <w:qFormat/>
    <w:uiPriority w:val="0"/>
    <w:pPr>
      <w:adjustRightInd w:val="0"/>
      <w:snapToGrid w:val="0"/>
      <w:spacing w:line="360" w:lineRule="auto"/>
      <w:ind w:firstLine="480" w:firstLineChars="200"/>
    </w:pPr>
    <w:rPr>
      <w:rFonts w:cs="宋体"/>
      <w:sz w:val="24"/>
    </w:rPr>
  </w:style>
  <w:style w:type="character" w:customStyle="1" w:styleId="374">
    <w:name w:val="9p"/>
    <w:basedOn w:val="100"/>
    <w:qFormat/>
    <w:uiPriority w:val="0"/>
  </w:style>
  <w:style w:type="character" w:customStyle="1" w:styleId="375">
    <w:name w:val="一、 Char"/>
    <w:link w:val="376"/>
    <w:qFormat/>
    <w:uiPriority w:val="0"/>
    <w:rPr>
      <w:rFonts w:eastAsia="黑体"/>
      <w:b/>
      <w:bCs/>
      <w:kern w:val="44"/>
      <w:sz w:val="48"/>
      <w:szCs w:val="48"/>
      <w:lang w:val="en-US" w:eastAsia="zh-CN" w:bidi="ar-SA"/>
    </w:rPr>
  </w:style>
  <w:style w:type="paragraph" w:customStyle="1" w:styleId="376">
    <w:name w:val="一级标题"/>
    <w:link w:val="375"/>
    <w:qFormat/>
    <w:uiPriority w:val="0"/>
    <w:pPr>
      <w:jc w:val="both"/>
    </w:pPr>
    <w:rPr>
      <w:rFonts w:ascii="Times New Roman" w:hAnsi="Times New Roman" w:eastAsia="黑体" w:cs="Times New Roman"/>
      <w:b/>
      <w:bCs/>
      <w:kern w:val="44"/>
      <w:sz w:val="48"/>
      <w:szCs w:val="48"/>
      <w:lang w:val="en-US" w:eastAsia="zh-CN" w:bidi="ar-SA"/>
    </w:rPr>
  </w:style>
  <w:style w:type="character" w:customStyle="1" w:styleId="377">
    <w:name w:val="title_font1"/>
    <w:qFormat/>
    <w:uiPriority w:val="0"/>
    <w:rPr>
      <w:b/>
      <w:bCs/>
      <w:color w:val="46A3DC"/>
      <w:sz w:val="21"/>
      <w:szCs w:val="21"/>
    </w:rPr>
  </w:style>
  <w:style w:type="character" w:customStyle="1" w:styleId="378">
    <w:name w:val="slink1"/>
    <w:qFormat/>
    <w:uiPriority w:val="0"/>
    <w:rPr>
      <w:rFonts w:hint="default" w:ascii="ˎ̥" w:hAnsi="ˎ̥"/>
      <w:sz w:val="18"/>
      <w:szCs w:val="18"/>
      <w:u w:val="none"/>
    </w:rPr>
  </w:style>
  <w:style w:type="character" w:customStyle="1" w:styleId="379">
    <w:name w:val="样式 (中文) 仿宋_GB2312 三号 加粗 黑色"/>
    <w:qFormat/>
    <w:uiPriority w:val="0"/>
    <w:rPr>
      <w:rFonts w:eastAsia="仿宋_GB2312"/>
      <w:b/>
      <w:bCs/>
      <w:color w:val="000000"/>
      <w:sz w:val="32"/>
    </w:rPr>
  </w:style>
  <w:style w:type="character" w:customStyle="1" w:styleId="380">
    <w:name w:val="red_141"/>
    <w:qFormat/>
    <w:uiPriority w:val="0"/>
    <w:rPr>
      <w:rFonts w:hint="default" w:ascii="_x000B__x000C_" w:hAnsi="_x000B__x000C_"/>
      <w:color w:val="FF0000"/>
      <w:sz w:val="21"/>
      <w:szCs w:val="21"/>
      <w:u w:val="none"/>
    </w:rPr>
  </w:style>
  <w:style w:type="character" w:customStyle="1" w:styleId="381">
    <w:name w:val="aspmaker1"/>
    <w:qFormat/>
    <w:uiPriority w:val="0"/>
    <w:rPr>
      <w:rFonts w:hint="default" w:ascii="Verdana" w:hAnsi="Verdana"/>
      <w:sz w:val="20"/>
      <w:szCs w:val="20"/>
    </w:rPr>
  </w:style>
  <w:style w:type="character" w:customStyle="1" w:styleId="382">
    <w:name w:val="正文样式 Char Char"/>
    <w:link w:val="383"/>
    <w:qFormat/>
    <w:uiPriority w:val="0"/>
    <w:rPr>
      <w:rFonts w:ascii="宋体" w:hAnsi="宋体" w:eastAsia="宋体"/>
      <w:color w:val="000000"/>
      <w:kern w:val="2"/>
      <w:sz w:val="24"/>
      <w:szCs w:val="24"/>
      <w:lang w:val="en-US" w:eastAsia="zh-CN" w:bidi="ar-SA"/>
    </w:rPr>
  </w:style>
  <w:style w:type="paragraph" w:customStyle="1" w:styleId="383">
    <w:name w:val="正文样式 Char"/>
    <w:basedOn w:val="1"/>
    <w:link w:val="382"/>
    <w:qFormat/>
    <w:uiPriority w:val="0"/>
    <w:pPr>
      <w:spacing w:line="360" w:lineRule="auto"/>
      <w:ind w:firstLine="480" w:firstLineChars="200"/>
    </w:pPr>
    <w:rPr>
      <w:rFonts w:ascii="宋体" w:hAnsi="宋体"/>
      <w:color w:val="000000"/>
      <w:sz w:val="24"/>
      <w:szCs w:val="24"/>
    </w:rPr>
  </w:style>
  <w:style w:type="character" w:customStyle="1" w:styleId="384">
    <w:name w:val="bt11"/>
    <w:qFormat/>
    <w:uiPriority w:val="0"/>
    <w:rPr>
      <w:rFonts w:hint="eastAsia" w:ascii="黑体" w:eastAsia="黑体"/>
      <w:color w:val="000000"/>
      <w:sz w:val="28"/>
      <w:szCs w:val="28"/>
    </w:rPr>
  </w:style>
  <w:style w:type="character" w:customStyle="1" w:styleId="385">
    <w:name w:val="font1"/>
    <w:qFormat/>
    <w:uiPriority w:val="0"/>
    <w:rPr>
      <w:sz w:val="18"/>
      <w:szCs w:val="18"/>
      <w:u w:val="none"/>
    </w:rPr>
  </w:style>
  <w:style w:type="character" w:customStyle="1" w:styleId="386">
    <w:name w:val="H5 Char"/>
    <w:qFormat/>
    <w:uiPriority w:val="0"/>
    <w:rPr>
      <w:rFonts w:eastAsia="宋体"/>
      <w:b/>
      <w:kern w:val="2"/>
      <w:sz w:val="28"/>
      <w:lang w:val="en-US" w:eastAsia="zh-CN" w:bidi="ar-SA"/>
    </w:rPr>
  </w:style>
  <w:style w:type="character" w:customStyle="1" w:styleId="387">
    <w:name w:val="题注 Char Char Char1"/>
    <w:qFormat/>
    <w:uiPriority w:val="0"/>
    <w:rPr>
      <w:rFonts w:ascii="华文行楷" w:eastAsia="华文行楷"/>
      <w:i/>
      <w:iCs/>
      <w:color w:val="FF0000"/>
      <w:kern w:val="2"/>
      <w:sz w:val="32"/>
      <w:szCs w:val="24"/>
      <w:lang w:val="en-US" w:eastAsia="zh-CN" w:bidi="ar-SA"/>
    </w:rPr>
  </w:style>
  <w:style w:type="character" w:customStyle="1" w:styleId="388">
    <w:name w:val="ft11"/>
    <w:qFormat/>
    <w:uiPriority w:val="0"/>
    <w:rPr>
      <w:rFonts w:hint="default" w:ascii="Arial" w:hAnsi="Arial" w:cs="Arial"/>
      <w:sz w:val="24"/>
      <w:szCs w:val="24"/>
    </w:rPr>
  </w:style>
  <w:style w:type="character" w:customStyle="1" w:styleId="389">
    <w:name w:val="样式5正文 Char"/>
    <w:link w:val="390"/>
    <w:qFormat/>
    <w:uiPriority w:val="0"/>
    <w:rPr>
      <w:rFonts w:eastAsia="宋体"/>
      <w:kern w:val="2"/>
      <w:sz w:val="24"/>
      <w:szCs w:val="24"/>
      <w:lang w:val="en-US" w:eastAsia="zh-CN" w:bidi="ar-SA"/>
    </w:rPr>
  </w:style>
  <w:style w:type="paragraph" w:customStyle="1" w:styleId="390">
    <w:name w:val="样式5正文"/>
    <w:basedOn w:val="1"/>
    <w:link w:val="389"/>
    <w:qFormat/>
    <w:uiPriority w:val="0"/>
    <w:pPr>
      <w:spacing w:line="360" w:lineRule="auto"/>
      <w:ind w:firstLine="480" w:firstLineChars="200"/>
    </w:pPr>
    <w:rPr>
      <w:sz w:val="24"/>
      <w:szCs w:val="24"/>
    </w:rPr>
  </w:style>
  <w:style w:type="character" w:customStyle="1" w:styleId="391">
    <w:name w:val="样式 标题 2 + 非加粗 Char"/>
    <w:qFormat/>
    <w:uiPriority w:val="0"/>
    <w:rPr>
      <w:rFonts w:eastAsia="黑体"/>
      <w:b/>
      <w:bCs/>
      <w:kern w:val="2"/>
      <w:sz w:val="24"/>
      <w:szCs w:val="32"/>
      <w:lang w:val="en-US" w:eastAsia="zh-CN" w:bidi="ar-SA"/>
    </w:rPr>
  </w:style>
  <w:style w:type="character" w:customStyle="1" w:styleId="392">
    <w:name w:val="unnamed31"/>
    <w:qFormat/>
    <w:uiPriority w:val="0"/>
    <w:rPr>
      <w:color w:val="000000"/>
      <w:sz w:val="20"/>
      <w:szCs w:val="20"/>
      <w:u w:val="none"/>
    </w:rPr>
  </w:style>
  <w:style w:type="character" w:customStyle="1" w:styleId="393">
    <w:name w:val="环科院表格标题 Char"/>
    <w:link w:val="394"/>
    <w:qFormat/>
    <w:uiPriority w:val="0"/>
    <w:rPr>
      <w:rFonts w:hAnsi="华文中宋" w:eastAsia="华文中宋"/>
      <w:b/>
      <w:kern w:val="2"/>
      <w:sz w:val="21"/>
      <w:lang w:val="en-US" w:eastAsia="zh-CN" w:bidi="ar-SA"/>
    </w:rPr>
  </w:style>
  <w:style w:type="paragraph" w:customStyle="1" w:styleId="394">
    <w:name w:val="环科院表格标题"/>
    <w:basedOn w:val="1"/>
    <w:link w:val="393"/>
    <w:qFormat/>
    <w:uiPriority w:val="0"/>
    <w:pPr>
      <w:spacing w:before="156" w:beforeLines="50"/>
      <w:jc w:val="center"/>
    </w:pPr>
    <w:rPr>
      <w:rFonts w:hAnsi="华文中宋" w:eastAsia="华文中宋"/>
      <w:b/>
    </w:rPr>
  </w:style>
  <w:style w:type="character" w:customStyle="1" w:styleId="395">
    <w:name w:val="表格名称 Char"/>
    <w:link w:val="396"/>
    <w:qFormat/>
    <w:uiPriority w:val="0"/>
    <w:rPr>
      <w:rFonts w:ascii="黑体" w:hAnsi="宋体" w:eastAsia="黑体"/>
      <w:snapToGrid w:val="0"/>
      <w:kern w:val="2"/>
      <w:sz w:val="21"/>
      <w:lang w:val="eu-ES" w:eastAsia="zh-CN" w:bidi="ar-SA"/>
    </w:rPr>
  </w:style>
  <w:style w:type="paragraph" w:customStyle="1" w:styleId="396">
    <w:name w:val="表格名称"/>
    <w:basedOn w:val="1"/>
    <w:link w:val="395"/>
    <w:qFormat/>
    <w:uiPriority w:val="0"/>
    <w:pPr>
      <w:keepNext/>
      <w:keepLines/>
      <w:widowControl/>
      <w:wordWrap w:val="0"/>
      <w:topLinePunct/>
      <w:spacing w:line="480" w:lineRule="exact"/>
      <w:ind w:firstLine="471"/>
    </w:pPr>
    <w:rPr>
      <w:rFonts w:ascii="黑体" w:hAnsi="宋体" w:eastAsia="黑体"/>
      <w:snapToGrid w:val="0"/>
      <w:lang w:val="eu-ES"/>
    </w:rPr>
  </w:style>
  <w:style w:type="character" w:customStyle="1" w:styleId="397">
    <w:name w:val="Char Char13"/>
    <w:qFormat/>
    <w:uiPriority w:val="0"/>
    <w:rPr>
      <w:rFonts w:eastAsia="宋体"/>
      <w:b/>
      <w:kern w:val="44"/>
      <w:sz w:val="44"/>
      <w:lang w:val="en-US" w:eastAsia="zh-CN"/>
    </w:rPr>
  </w:style>
  <w:style w:type="character" w:customStyle="1" w:styleId="398">
    <w:name w:val="t121"/>
    <w:qFormat/>
    <w:uiPriority w:val="0"/>
    <w:rPr>
      <w:sz w:val="18"/>
      <w:szCs w:val="18"/>
    </w:rPr>
  </w:style>
  <w:style w:type="character" w:customStyle="1" w:styleId="399">
    <w:name w:val="txt"/>
    <w:basedOn w:val="100"/>
    <w:qFormat/>
    <w:uiPriority w:val="0"/>
  </w:style>
  <w:style w:type="character" w:customStyle="1" w:styleId="400">
    <w:name w:val="表头1 Char"/>
    <w:link w:val="401"/>
    <w:qFormat/>
    <w:uiPriority w:val="0"/>
    <w:rPr>
      <w:rFonts w:eastAsia="黑体"/>
      <w:sz w:val="21"/>
      <w:szCs w:val="28"/>
      <w:lang w:val="en-US" w:eastAsia="zh-CN" w:bidi="ar-SA"/>
    </w:rPr>
  </w:style>
  <w:style w:type="paragraph" w:customStyle="1" w:styleId="401">
    <w:name w:val="表头1"/>
    <w:basedOn w:val="1"/>
    <w:next w:val="1"/>
    <w:link w:val="400"/>
    <w:qFormat/>
    <w:uiPriority w:val="0"/>
    <w:pPr>
      <w:tabs>
        <w:tab w:val="left" w:pos="605"/>
      </w:tabs>
      <w:adjustRightInd w:val="0"/>
      <w:snapToGrid w:val="0"/>
      <w:jc w:val="center"/>
    </w:pPr>
    <w:rPr>
      <w:rFonts w:eastAsia="黑体"/>
      <w:kern w:val="0"/>
      <w:szCs w:val="28"/>
    </w:rPr>
  </w:style>
  <w:style w:type="character" w:customStyle="1" w:styleId="402">
    <w:name w:val="环科院正文 Char"/>
    <w:link w:val="403"/>
    <w:qFormat/>
    <w:uiPriority w:val="0"/>
    <w:rPr>
      <w:rFonts w:eastAsia="宋体"/>
      <w:snapToGrid w:val="0"/>
      <w:color w:val="000000"/>
      <w:sz w:val="24"/>
      <w:lang w:val="en-US" w:eastAsia="zh-CN" w:bidi="ar-SA"/>
    </w:rPr>
  </w:style>
  <w:style w:type="paragraph" w:customStyle="1" w:styleId="403">
    <w:name w:val="环科院正文"/>
    <w:basedOn w:val="1"/>
    <w:link w:val="402"/>
    <w:qFormat/>
    <w:uiPriority w:val="0"/>
    <w:pPr>
      <w:spacing w:line="400" w:lineRule="exact"/>
      <w:ind w:firstLine="480" w:firstLineChars="200"/>
    </w:pPr>
    <w:rPr>
      <w:snapToGrid w:val="0"/>
      <w:color w:val="000000"/>
      <w:kern w:val="0"/>
      <w:sz w:val="24"/>
    </w:rPr>
  </w:style>
  <w:style w:type="character" w:customStyle="1" w:styleId="404">
    <w:name w:val="标题4 Char"/>
    <w:link w:val="405"/>
    <w:qFormat/>
    <w:uiPriority w:val="0"/>
    <w:rPr>
      <w:rFonts w:ascii="Arial" w:hAnsi="Arial" w:eastAsia="黑体"/>
      <w:b/>
      <w:kern w:val="2"/>
      <w:sz w:val="24"/>
      <w:lang w:val="en-US" w:eastAsia="zh-CN" w:bidi="ar-SA"/>
    </w:rPr>
  </w:style>
  <w:style w:type="paragraph" w:customStyle="1" w:styleId="405">
    <w:name w:val="标题4"/>
    <w:basedOn w:val="10"/>
    <w:next w:val="10"/>
    <w:link w:val="404"/>
    <w:qFormat/>
    <w:uiPriority w:val="0"/>
    <w:rPr>
      <w:sz w:val="24"/>
    </w:rPr>
  </w:style>
  <w:style w:type="character" w:customStyle="1" w:styleId="406">
    <w:name w:val=" Char Char22"/>
    <w:qFormat/>
    <w:uiPriority w:val="0"/>
    <w:rPr>
      <w:rFonts w:ascii="华文行楷" w:eastAsia="华文行楷"/>
      <w:i/>
      <w:iCs/>
      <w:color w:val="FF0000"/>
      <w:kern w:val="2"/>
      <w:sz w:val="32"/>
      <w:szCs w:val="24"/>
      <w:lang w:val="en-US" w:eastAsia="zh-CN" w:bidi="ar-SA"/>
    </w:rPr>
  </w:style>
  <w:style w:type="character" w:customStyle="1" w:styleId="407">
    <w:name w:val="123YJ Char Char1"/>
    <w:qFormat/>
    <w:uiPriority w:val="0"/>
    <w:rPr>
      <w:rFonts w:eastAsia="宋体"/>
      <w:kern w:val="2"/>
      <w:sz w:val="18"/>
      <w:szCs w:val="18"/>
      <w:lang w:val="en-US" w:eastAsia="zh-CN" w:bidi="ar-SA"/>
    </w:rPr>
  </w:style>
  <w:style w:type="character" w:customStyle="1" w:styleId="408">
    <w:name w:val="HTML Code"/>
    <w:qFormat/>
    <w:uiPriority w:val="0"/>
    <w:rPr>
      <w:rFonts w:hint="eastAsia" w:ascii="黑体" w:hAnsi="Courier New" w:eastAsia="黑体"/>
      <w:sz w:val="24"/>
    </w:rPr>
  </w:style>
  <w:style w:type="character" w:customStyle="1" w:styleId="409">
    <w:name w:val="font31"/>
    <w:qFormat/>
    <w:uiPriority w:val="0"/>
    <w:rPr>
      <w:rFonts w:hint="default" w:ascii="Times New Roman" w:hAnsi="Times New Roman" w:cs="Times New Roman"/>
      <w:color w:val="000000"/>
      <w:sz w:val="21"/>
      <w:szCs w:val="21"/>
      <w:u w:val="none"/>
      <w:vertAlign w:val="subscript"/>
    </w:rPr>
  </w:style>
  <w:style w:type="character" w:customStyle="1" w:styleId="410">
    <w:name w:val="font21"/>
    <w:qFormat/>
    <w:uiPriority w:val="0"/>
    <w:rPr>
      <w:rFonts w:hint="default" w:ascii="Times New Roman" w:hAnsi="Times New Roman" w:cs="Times New Roman"/>
      <w:color w:val="000000"/>
      <w:sz w:val="21"/>
      <w:szCs w:val="21"/>
      <w:u w:val="none"/>
    </w:rPr>
  </w:style>
  <w:style w:type="character" w:customStyle="1" w:styleId="411">
    <w:name w:val="正文 1 Char"/>
    <w:link w:val="412"/>
    <w:qFormat/>
    <w:uiPriority w:val="0"/>
    <w:rPr>
      <w:rFonts w:eastAsia="宋体"/>
      <w:kern w:val="2"/>
      <w:sz w:val="24"/>
      <w:szCs w:val="24"/>
      <w:lang w:val="en-US" w:eastAsia="zh-CN" w:bidi="ar-SA"/>
    </w:rPr>
  </w:style>
  <w:style w:type="paragraph" w:customStyle="1" w:styleId="412">
    <w:name w:val="正文 1"/>
    <w:basedOn w:val="1"/>
    <w:link w:val="411"/>
    <w:qFormat/>
    <w:uiPriority w:val="0"/>
    <w:pPr>
      <w:spacing w:line="420" w:lineRule="atLeast"/>
      <w:ind w:firstLine="510"/>
    </w:pPr>
    <w:rPr>
      <w:sz w:val="24"/>
      <w:szCs w:val="24"/>
    </w:rPr>
  </w:style>
  <w:style w:type="character" w:customStyle="1" w:styleId="413">
    <w:name w:val="标题 5 Char Char Char"/>
    <w:qFormat/>
    <w:uiPriority w:val="0"/>
    <w:rPr>
      <w:rFonts w:eastAsia="宋体"/>
      <w:kern w:val="2"/>
      <w:sz w:val="24"/>
      <w:lang w:val="en-US" w:eastAsia="zh-CN" w:bidi="ar-SA"/>
    </w:rPr>
  </w:style>
  <w:style w:type="character" w:customStyle="1" w:styleId="414">
    <w:name w:val=" Char Char28"/>
    <w:qFormat/>
    <w:uiPriority w:val="0"/>
    <w:rPr>
      <w:rFonts w:ascii="华文行楷" w:eastAsia="华文行楷"/>
      <w:i/>
      <w:iCs/>
      <w:color w:val="FF0000"/>
      <w:kern w:val="2"/>
      <w:sz w:val="32"/>
      <w:szCs w:val="24"/>
      <w:lang w:val="en-US" w:eastAsia="zh-CN" w:bidi="ar-SA"/>
    </w:rPr>
  </w:style>
  <w:style w:type="character" w:customStyle="1" w:styleId="415">
    <w:name w:val="未命名11"/>
    <w:qFormat/>
    <w:uiPriority w:val="0"/>
    <w:rPr>
      <w:rFonts w:hint="eastAsia" w:ascii="宋体" w:hAnsi="宋体" w:eastAsia="宋体"/>
      <w:sz w:val="18"/>
    </w:rPr>
  </w:style>
  <w:style w:type="character" w:customStyle="1" w:styleId="416">
    <w:name w:val="页码1"/>
    <w:qFormat/>
    <w:uiPriority w:val="0"/>
  </w:style>
  <w:style w:type="character" w:customStyle="1" w:styleId="417">
    <w:name w:val="列表名称 Char Char Char"/>
    <w:qFormat/>
    <w:uiPriority w:val="0"/>
    <w:rPr>
      <w:rFonts w:eastAsia="黑体"/>
      <w:kern w:val="2"/>
      <w:sz w:val="24"/>
      <w:lang w:val="en-US" w:eastAsia="zh-CN"/>
    </w:rPr>
  </w:style>
  <w:style w:type="character" w:customStyle="1" w:styleId="418">
    <w:name w:val="样式 列表列表 Char列表 Char Char Char Char Char1列表 Char Char Char Cha... Char Char"/>
    <w:qFormat/>
    <w:uiPriority w:val="0"/>
    <w:rPr>
      <w:rFonts w:eastAsia="黑体"/>
      <w:kern w:val="2"/>
      <w:sz w:val="24"/>
      <w:lang w:val="en-US" w:eastAsia="zh-CN"/>
    </w:rPr>
  </w:style>
  <w:style w:type="character" w:customStyle="1" w:styleId="419">
    <w:name w:val="标题 5 Char"/>
    <w:qFormat/>
    <w:uiPriority w:val="0"/>
    <w:rPr>
      <w:rFonts w:eastAsia="仿宋_GB2312"/>
      <w:color w:val="000000"/>
      <w:kern w:val="2"/>
      <w:sz w:val="28"/>
      <w:lang w:val="en-US" w:eastAsia="zh-CN"/>
    </w:rPr>
  </w:style>
  <w:style w:type="character" w:customStyle="1" w:styleId="420">
    <w:name w:val="f12"/>
    <w:basedOn w:val="100"/>
    <w:qFormat/>
    <w:uiPriority w:val="0"/>
  </w:style>
  <w:style w:type="character" w:customStyle="1" w:styleId="421">
    <w:name w:val="表格、图表名称 Char"/>
    <w:link w:val="422"/>
    <w:qFormat/>
    <w:uiPriority w:val="0"/>
    <w:rPr>
      <w:rFonts w:ascii="宋体" w:hAnsi="宋体"/>
      <w:b/>
      <w:sz w:val="24"/>
    </w:rPr>
  </w:style>
  <w:style w:type="paragraph" w:customStyle="1" w:styleId="422">
    <w:name w:val="表格、图表名称"/>
    <w:basedOn w:val="1"/>
    <w:link w:val="421"/>
    <w:qFormat/>
    <w:uiPriority w:val="0"/>
    <w:pPr>
      <w:spacing w:line="360" w:lineRule="auto"/>
      <w:jc w:val="center"/>
    </w:pPr>
    <w:rPr>
      <w:rFonts w:ascii="宋体" w:hAnsi="宋体"/>
      <w:b/>
      <w:kern w:val="0"/>
      <w:sz w:val="24"/>
    </w:rPr>
  </w:style>
  <w:style w:type="character" w:customStyle="1" w:styleId="423">
    <w:name w:val="纯文本 Char1"/>
    <w:qFormat/>
    <w:uiPriority w:val="0"/>
    <w:rPr>
      <w:rFonts w:ascii="宋体" w:hAnsi="Courier New" w:eastAsia="宋体" w:cs="Courier New"/>
      <w:szCs w:val="21"/>
    </w:rPr>
  </w:style>
  <w:style w:type="character" w:customStyle="1" w:styleId="424">
    <w:name w:val="样式 样式 样式 首行缩进:  2 字符 + 居中 + 行距: 固定值 17 磅 Char"/>
    <w:link w:val="425"/>
    <w:qFormat/>
    <w:uiPriority w:val="0"/>
    <w:rPr>
      <w:rFonts w:cs="宋体"/>
      <w:color w:val="000000"/>
    </w:rPr>
  </w:style>
  <w:style w:type="paragraph" w:customStyle="1" w:styleId="425">
    <w:name w:val="样式 样式 样式 首行缩进:  2 字符 + 居中 + 行距: 固定值 17 磅"/>
    <w:basedOn w:val="1"/>
    <w:link w:val="424"/>
    <w:qFormat/>
    <w:uiPriority w:val="0"/>
    <w:pPr>
      <w:adjustRightInd w:val="0"/>
      <w:snapToGrid w:val="0"/>
      <w:spacing w:line="340" w:lineRule="exact"/>
      <w:jc w:val="center"/>
      <w:outlineLvl w:val="2"/>
    </w:pPr>
    <w:rPr>
      <w:color w:val="000000"/>
      <w:kern w:val="0"/>
      <w:sz w:val="20"/>
    </w:rPr>
  </w:style>
  <w:style w:type="character" w:customStyle="1" w:styleId="426">
    <w:name w:val="123YJ Char Char"/>
    <w:qFormat/>
    <w:uiPriority w:val="0"/>
    <w:rPr>
      <w:sz w:val="18"/>
    </w:rPr>
  </w:style>
  <w:style w:type="character" w:customStyle="1" w:styleId="427">
    <w:name w:val="Char Char6"/>
    <w:qFormat/>
    <w:uiPriority w:val="0"/>
    <w:rPr>
      <w:rFonts w:ascii="华文行楷" w:eastAsia="华文行楷"/>
      <w:i/>
      <w:iCs/>
      <w:color w:val="FF0000"/>
      <w:kern w:val="2"/>
      <w:sz w:val="32"/>
      <w:szCs w:val="24"/>
      <w:lang w:val="en-US" w:eastAsia="zh-CN" w:bidi="ar-SA"/>
    </w:rPr>
  </w:style>
  <w:style w:type="character" w:customStyle="1" w:styleId="428">
    <w:name w:val="Char Char4"/>
    <w:link w:val="429"/>
    <w:qFormat/>
    <w:uiPriority w:val="0"/>
    <w:rPr>
      <w:kern w:val="2"/>
      <w:sz w:val="18"/>
      <w:szCs w:val="18"/>
    </w:rPr>
  </w:style>
  <w:style w:type="paragraph" w:customStyle="1" w:styleId="429">
    <w:name w:val="批注框文本1"/>
    <w:basedOn w:val="1"/>
    <w:link w:val="428"/>
    <w:qFormat/>
    <w:uiPriority w:val="0"/>
    <w:rPr>
      <w:sz w:val="18"/>
      <w:szCs w:val="18"/>
    </w:rPr>
  </w:style>
  <w:style w:type="character" w:customStyle="1" w:styleId="430">
    <w:name w:val="君邦正文 Char"/>
    <w:qFormat/>
    <w:uiPriority w:val="0"/>
    <w:rPr>
      <w:rFonts w:eastAsia="宋体"/>
      <w:bCs/>
      <w:sz w:val="24"/>
      <w:lang w:val="en-US" w:eastAsia="zh-CN" w:bidi="ar-SA"/>
    </w:rPr>
  </w:style>
  <w:style w:type="character" w:customStyle="1" w:styleId="431">
    <w:name w:val="注释标题 Char1"/>
    <w:qFormat/>
    <w:uiPriority w:val="0"/>
    <w:rPr>
      <w:kern w:val="2"/>
      <w:sz w:val="21"/>
      <w:szCs w:val="24"/>
    </w:rPr>
  </w:style>
  <w:style w:type="character" w:customStyle="1" w:styleId="432">
    <w:name w:val="正文首行缩进 Char2"/>
    <w:semiHidden/>
    <w:qFormat/>
    <w:uiPriority w:val="99"/>
  </w:style>
  <w:style w:type="character" w:customStyle="1" w:styleId="433">
    <w:name w:val="标题6"/>
    <w:qFormat/>
    <w:uiPriority w:val="0"/>
  </w:style>
  <w:style w:type="character" w:customStyle="1" w:styleId="434">
    <w:name w:val="日期 Char1"/>
    <w:qFormat/>
    <w:uiPriority w:val="99"/>
    <w:rPr>
      <w:rFonts w:ascii="Times New Roman" w:hAnsi="Times New Roman" w:eastAsia="宋体" w:cs="Times New Roman"/>
      <w:szCs w:val="24"/>
    </w:rPr>
  </w:style>
  <w:style w:type="character" w:customStyle="1" w:styleId="435">
    <w:name w:val="Char Char131"/>
    <w:qFormat/>
    <w:uiPriority w:val="0"/>
    <w:rPr>
      <w:rFonts w:eastAsia="宋体"/>
      <w:b/>
      <w:kern w:val="44"/>
      <w:sz w:val="44"/>
      <w:lang w:val="en-US" w:eastAsia="zh-CN"/>
    </w:rPr>
  </w:style>
  <w:style w:type="character" w:customStyle="1" w:styleId="436">
    <w:name w:val="Char Char41"/>
    <w:link w:val="437"/>
    <w:qFormat/>
    <w:uiPriority w:val="0"/>
    <w:rPr>
      <w:kern w:val="2"/>
      <w:sz w:val="18"/>
      <w:szCs w:val="18"/>
    </w:rPr>
  </w:style>
  <w:style w:type="paragraph" w:customStyle="1" w:styleId="437">
    <w:name w:val="批注框文本11"/>
    <w:basedOn w:val="1"/>
    <w:link w:val="436"/>
    <w:qFormat/>
    <w:uiPriority w:val="0"/>
    <w:rPr>
      <w:sz w:val="18"/>
      <w:szCs w:val="18"/>
    </w:rPr>
  </w:style>
  <w:style w:type="character" w:customStyle="1" w:styleId="438">
    <w:name w:val="Char Char61"/>
    <w:qFormat/>
    <w:uiPriority w:val="0"/>
    <w:rPr>
      <w:rFonts w:ascii="华文行楷" w:eastAsia="华文行楷"/>
      <w:i/>
      <w:iCs/>
      <w:color w:val="FF0000"/>
      <w:kern w:val="2"/>
      <w:sz w:val="32"/>
      <w:szCs w:val="24"/>
      <w:lang w:val="en-US" w:eastAsia="zh-CN" w:bidi="ar-SA"/>
    </w:rPr>
  </w:style>
  <w:style w:type="character" w:styleId="439">
    <w:name w:val="Placeholder Text"/>
    <w:semiHidden/>
    <w:qFormat/>
    <w:uiPriority w:val="99"/>
    <w:rPr>
      <w:color w:val="808080"/>
    </w:rPr>
  </w:style>
  <w:style w:type="character" w:customStyle="1" w:styleId="440">
    <w:name w:val="标题 4 Char2"/>
    <w:qFormat/>
    <w:uiPriority w:val="0"/>
    <w:rPr>
      <w:rFonts w:ascii="Arial" w:hAnsi="Arial" w:eastAsia="黑体"/>
      <w:b/>
      <w:kern w:val="2"/>
      <w:sz w:val="28"/>
      <w:lang w:val="en-US" w:eastAsia="zh-CN"/>
    </w:rPr>
  </w:style>
  <w:style w:type="character" w:customStyle="1" w:styleId="441">
    <w:name w:val="表头 Char Char"/>
    <w:qFormat/>
    <w:uiPriority w:val="0"/>
    <w:rPr>
      <w:rFonts w:eastAsia="宋体"/>
      <w:b/>
      <w:kern w:val="2"/>
      <w:sz w:val="21"/>
      <w:szCs w:val="24"/>
      <w:lang w:val="en-US" w:eastAsia="zh-CN" w:bidi="ar-SA"/>
    </w:rPr>
  </w:style>
  <w:style w:type="character" w:customStyle="1" w:styleId="442">
    <w:name w:val="表头2 Char"/>
    <w:link w:val="443"/>
    <w:qFormat/>
    <w:uiPriority w:val="0"/>
    <w:rPr>
      <w:rFonts w:ascii="黑体" w:eastAsia="黑体"/>
      <w:b/>
      <w:kern w:val="2"/>
      <w:sz w:val="24"/>
      <w:szCs w:val="24"/>
    </w:rPr>
  </w:style>
  <w:style w:type="paragraph" w:customStyle="1" w:styleId="443">
    <w:name w:val="表头2"/>
    <w:basedOn w:val="1"/>
    <w:link w:val="442"/>
    <w:qFormat/>
    <w:uiPriority w:val="0"/>
    <w:pPr>
      <w:spacing w:line="360" w:lineRule="auto"/>
      <w:ind w:firstLine="482"/>
      <w:jc w:val="center"/>
    </w:pPr>
    <w:rPr>
      <w:rFonts w:ascii="黑体" w:eastAsia="黑体"/>
      <w:b/>
      <w:sz w:val="24"/>
      <w:szCs w:val="24"/>
    </w:rPr>
  </w:style>
  <w:style w:type="character" w:customStyle="1" w:styleId="444">
    <w:name w:val="digest1"/>
    <w:qFormat/>
    <w:uiPriority w:val="0"/>
    <w:rPr>
      <w:color w:val="3A4343"/>
      <w:sz w:val="20"/>
      <w:szCs w:val="20"/>
    </w:rPr>
  </w:style>
  <w:style w:type="character" w:customStyle="1" w:styleId="445">
    <w:name w:val="Char Char5"/>
    <w:qFormat/>
    <w:uiPriority w:val="0"/>
    <w:rPr>
      <w:rFonts w:ascii="宋体" w:hAnsi="Courier New"/>
      <w:snapToGrid/>
      <w:sz w:val="21"/>
    </w:rPr>
  </w:style>
  <w:style w:type="character" w:customStyle="1" w:styleId="446">
    <w:name w:val="HTML 预设格式 Char1"/>
    <w:semiHidden/>
    <w:qFormat/>
    <w:uiPriority w:val="99"/>
    <w:rPr>
      <w:rFonts w:ascii="Courier New" w:hAnsi="Courier New" w:eastAsia="宋体" w:cs="Courier New"/>
      <w:sz w:val="20"/>
      <w:szCs w:val="20"/>
    </w:rPr>
  </w:style>
  <w:style w:type="character" w:customStyle="1" w:styleId="447">
    <w:name w:val="正文文本缩进 Char1"/>
    <w:semiHidden/>
    <w:qFormat/>
    <w:uiPriority w:val="99"/>
    <w:rPr>
      <w:rFonts w:ascii="Times New Roman" w:hAnsi="Times New Roman" w:eastAsia="宋体" w:cs="Times New Roman"/>
      <w:szCs w:val="20"/>
    </w:rPr>
  </w:style>
  <w:style w:type="character" w:customStyle="1" w:styleId="448">
    <w:name w:val="HTML 代码13"/>
    <w:qFormat/>
    <w:uiPriority w:val="0"/>
    <w:rPr>
      <w:rFonts w:hint="eastAsia" w:ascii="黑体" w:hAnsi="Courier New" w:eastAsia="黑体"/>
      <w:sz w:val="24"/>
    </w:rPr>
  </w:style>
  <w:style w:type="character" w:customStyle="1" w:styleId="449">
    <w:name w:val="访问过的超链接13"/>
    <w:qFormat/>
    <w:uiPriority w:val="0"/>
    <w:rPr>
      <w:rFonts w:hint="default" w:ascii="Times New Roman"/>
      <w:color w:val="800080"/>
      <w:u w:val="single"/>
    </w:rPr>
  </w:style>
  <w:style w:type="character" w:customStyle="1" w:styleId="450">
    <w:name w:val=" Char Char1"/>
    <w:qFormat/>
    <w:uiPriority w:val="0"/>
    <w:rPr>
      <w:rFonts w:eastAsia="宋体"/>
      <w:b/>
      <w:color w:val="000000"/>
      <w:sz w:val="24"/>
      <w:lang w:val="en-US" w:eastAsia="zh-CN"/>
    </w:rPr>
  </w:style>
  <w:style w:type="character" w:customStyle="1" w:styleId="451">
    <w:name w:val="page number"/>
    <w:qFormat/>
    <w:uiPriority w:val="0"/>
  </w:style>
  <w:style w:type="character" w:customStyle="1" w:styleId="452">
    <w:name w:val=" Char Char6"/>
    <w:qFormat/>
    <w:uiPriority w:val="0"/>
    <w:rPr>
      <w:rFonts w:ascii="华文行楷" w:eastAsia="华文行楷"/>
      <w:i/>
      <w:iCs/>
      <w:color w:val="FF0000"/>
      <w:kern w:val="2"/>
      <w:sz w:val="32"/>
      <w:szCs w:val="24"/>
      <w:lang w:val="en-US" w:eastAsia="zh-CN" w:bidi="ar-SA"/>
    </w:rPr>
  </w:style>
  <w:style w:type="character" w:customStyle="1" w:styleId="453">
    <w:name w:val=" Char Char13"/>
    <w:qFormat/>
    <w:uiPriority w:val="0"/>
    <w:rPr>
      <w:rFonts w:eastAsia="宋体"/>
      <w:b/>
      <w:kern w:val="44"/>
      <w:sz w:val="44"/>
      <w:lang w:val="en-US" w:eastAsia="zh-CN"/>
    </w:rPr>
  </w:style>
  <w:style w:type="character" w:customStyle="1" w:styleId="454">
    <w:name w:val="正文1 Char1"/>
    <w:link w:val="455"/>
    <w:qFormat/>
    <w:uiPriority w:val="0"/>
    <w:rPr>
      <w:rFonts w:eastAsia="宋体"/>
      <w:snapToGrid w:val="0"/>
      <w:sz w:val="24"/>
      <w:szCs w:val="24"/>
      <w:lang w:val="en-US" w:eastAsia="zh-CN" w:bidi="ar-SA"/>
    </w:rPr>
  </w:style>
  <w:style w:type="paragraph" w:customStyle="1" w:styleId="455">
    <w:name w:val="正文1"/>
    <w:basedOn w:val="1"/>
    <w:link w:val="454"/>
    <w:qFormat/>
    <w:uiPriority w:val="0"/>
    <w:pPr>
      <w:spacing w:line="360" w:lineRule="auto"/>
      <w:ind w:firstLine="480" w:firstLineChars="200"/>
    </w:pPr>
    <w:rPr>
      <w:snapToGrid w:val="0"/>
      <w:kern w:val="0"/>
      <w:sz w:val="24"/>
      <w:szCs w:val="24"/>
    </w:rPr>
  </w:style>
  <w:style w:type="character" w:customStyle="1" w:styleId="456">
    <w:name w:val="无节款 Char"/>
    <w:qFormat/>
    <w:uiPriority w:val="0"/>
    <w:rPr>
      <w:rFonts w:ascii="Arial" w:hAnsi="Arial" w:eastAsia="黑体"/>
      <w:kern w:val="2"/>
      <w:sz w:val="24"/>
      <w:szCs w:val="24"/>
      <w:lang w:val="en-US" w:eastAsia="zh-CN" w:bidi="ar-SA"/>
    </w:rPr>
  </w:style>
  <w:style w:type="character" w:customStyle="1" w:styleId="457">
    <w:name w:val="正文啊 Char"/>
    <w:link w:val="458"/>
    <w:qFormat/>
    <w:uiPriority w:val="0"/>
    <w:rPr>
      <w:rFonts w:ascii="Calibri" w:hAnsi="Calibri" w:eastAsia="宋体"/>
      <w:kern w:val="2"/>
      <w:sz w:val="24"/>
      <w:szCs w:val="22"/>
      <w:lang w:val="en-US" w:eastAsia="zh-CN" w:bidi="ar-SA"/>
    </w:rPr>
  </w:style>
  <w:style w:type="paragraph" w:customStyle="1" w:styleId="458">
    <w:name w:val="正文啊"/>
    <w:basedOn w:val="1"/>
    <w:link w:val="457"/>
    <w:qFormat/>
    <w:uiPriority w:val="0"/>
    <w:pPr>
      <w:spacing w:line="360" w:lineRule="auto"/>
      <w:ind w:firstLine="420"/>
    </w:pPr>
    <w:rPr>
      <w:rFonts w:ascii="Calibri" w:hAnsi="Calibri"/>
      <w:sz w:val="24"/>
      <w:szCs w:val="22"/>
    </w:rPr>
  </w:style>
  <w:style w:type="character" w:customStyle="1" w:styleId="459">
    <w:name w:val="14"/>
    <w:basedOn w:val="100"/>
    <w:qFormat/>
    <w:uiPriority w:val="0"/>
  </w:style>
  <w:style w:type="character" w:customStyle="1" w:styleId="460">
    <w:name w:val="标题 5 Char1"/>
    <w:qFormat/>
    <w:uiPriority w:val="0"/>
    <w:rPr>
      <w:rFonts w:eastAsia="宋体"/>
      <w:b/>
      <w:bCs/>
      <w:kern w:val="2"/>
      <w:sz w:val="28"/>
      <w:szCs w:val="28"/>
      <w:lang w:val="en-US" w:eastAsia="zh-CN" w:bidi="ar-SA"/>
    </w:rPr>
  </w:style>
  <w:style w:type="character" w:customStyle="1" w:styleId="461">
    <w:name w:val="style151"/>
    <w:qFormat/>
    <w:uiPriority w:val="0"/>
    <w:rPr>
      <w:b/>
      <w:bCs/>
      <w:color w:val="FFFFFF"/>
      <w:sz w:val="24"/>
      <w:szCs w:val="24"/>
    </w:rPr>
  </w:style>
  <w:style w:type="character" w:customStyle="1" w:styleId="462">
    <w:name w:val="t_blue_01"/>
    <w:basedOn w:val="100"/>
    <w:qFormat/>
    <w:uiPriority w:val="0"/>
  </w:style>
  <w:style w:type="character" w:customStyle="1" w:styleId="463">
    <w:name w:val="headline-content2"/>
    <w:basedOn w:val="100"/>
    <w:qFormat/>
    <w:uiPriority w:val="0"/>
  </w:style>
  <w:style w:type="character" w:customStyle="1" w:styleId="464">
    <w:name w:val="sp"/>
    <w:basedOn w:val="100"/>
    <w:qFormat/>
    <w:uiPriority w:val="0"/>
  </w:style>
  <w:style w:type="character" w:customStyle="1" w:styleId="465">
    <w:name w:val="px14"/>
    <w:basedOn w:val="100"/>
    <w:qFormat/>
    <w:uiPriority w:val="0"/>
  </w:style>
  <w:style w:type="character" w:customStyle="1" w:styleId="466">
    <w:name w:val="正文(首行缩进) Char"/>
    <w:link w:val="467"/>
    <w:qFormat/>
    <w:uiPriority w:val="0"/>
    <w:rPr>
      <w:rFonts w:eastAsia="宋体"/>
      <w:snapToGrid w:val="0"/>
      <w:sz w:val="24"/>
      <w:szCs w:val="24"/>
      <w:lang w:val="en-US" w:eastAsia="zh-CN" w:bidi="ar-SA"/>
    </w:rPr>
  </w:style>
  <w:style w:type="paragraph" w:customStyle="1" w:styleId="467">
    <w:name w:val="正文(首行缩进)"/>
    <w:basedOn w:val="1"/>
    <w:link w:val="466"/>
    <w:qFormat/>
    <w:uiPriority w:val="0"/>
    <w:pPr>
      <w:adjustRightInd w:val="0"/>
      <w:snapToGrid w:val="0"/>
      <w:spacing w:line="360" w:lineRule="auto"/>
      <w:ind w:firstLine="200" w:firstLineChars="200"/>
    </w:pPr>
    <w:rPr>
      <w:snapToGrid w:val="0"/>
      <w:kern w:val="0"/>
      <w:sz w:val="24"/>
      <w:szCs w:val="24"/>
    </w:rPr>
  </w:style>
  <w:style w:type="character" w:customStyle="1" w:styleId="468">
    <w:name w:val="main_tdbg_760"/>
    <w:basedOn w:val="100"/>
    <w:qFormat/>
    <w:uiPriority w:val="0"/>
  </w:style>
  <w:style w:type="character" w:customStyle="1" w:styleId="469">
    <w:name w:val="标题样式2 Char"/>
    <w:link w:val="470"/>
    <w:qFormat/>
    <w:uiPriority w:val="0"/>
    <w:rPr>
      <w:rFonts w:ascii="黑体" w:hAnsi="Arial" w:eastAsia="黑体"/>
      <w:b/>
      <w:bCs/>
      <w:kern w:val="2"/>
      <w:sz w:val="28"/>
      <w:szCs w:val="28"/>
      <w:lang w:val="en-US" w:eastAsia="zh-CN" w:bidi="ar-SA"/>
    </w:rPr>
  </w:style>
  <w:style w:type="paragraph" w:customStyle="1" w:styleId="470">
    <w:name w:val="标题样式2"/>
    <w:basedOn w:val="8"/>
    <w:link w:val="469"/>
    <w:qFormat/>
    <w:uiPriority w:val="0"/>
    <w:pPr>
      <w:spacing w:before="0" w:after="0" w:line="360" w:lineRule="auto"/>
    </w:pPr>
    <w:rPr>
      <w:rFonts w:ascii="黑体"/>
      <w:bCs/>
      <w:sz w:val="28"/>
      <w:szCs w:val="28"/>
    </w:rPr>
  </w:style>
  <w:style w:type="character" w:customStyle="1" w:styleId="471">
    <w:name w:val="标题样式1 Char"/>
    <w:link w:val="472"/>
    <w:qFormat/>
    <w:uiPriority w:val="0"/>
    <w:rPr>
      <w:rFonts w:ascii="黑体" w:eastAsia="黑体"/>
      <w:b/>
      <w:bCs/>
      <w:kern w:val="44"/>
      <w:sz w:val="28"/>
      <w:szCs w:val="28"/>
      <w:lang w:val="en-US" w:eastAsia="zh-CN" w:bidi="ar-SA"/>
    </w:rPr>
  </w:style>
  <w:style w:type="paragraph" w:customStyle="1" w:styleId="472">
    <w:name w:val="标题样式1"/>
    <w:basedOn w:val="7"/>
    <w:link w:val="471"/>
    <w:qFormat/>
    <w:uiPriority w:val="0"/>
    <w:pPr>
      <w:spacing w:before="0" w:after="0" w:line="360" w:lineRule="auto"/>
    </w:pPr>
    <w:rPr>
      <w:rFonts w:ascii="黑体" w:eastAsia="黑体"/>
      <w:bCs/>
      <w:sz w:val="28"/>
      <w:szCs w:val="28"/>
    </w:rPr>
  </w:style>
  <w:style w:type="character" w:customStyle="1" w:styleId="473">
    <w:name w:val="postbody"/>
    <w:basedOn w:val="100"/>
    <w:qFormat/>
    <w:uiPriority w:val="0"/>
  </w:style>
  <w:style w:type="character" w:customStyle="1" w:styleId="474">
    <w:name w:val="copyright1"/>
    <w:qFormat/>
    <w:uiPriority w:val="0"/>
    <w:rPr>
      <w:rFonts w:hint="default" w:ascii="_x000B__x000C_" w:hAnsi="_x000B__x000C_"/>
      <w:color w:val="000000"/>
    </w:rPr>
  </w:style>
  <w:style w:type="character" w:customStyle="1" w:styleId="475">
    <w:name w:val="p181"/>
    <w:qFormat/>
    <w:uiPriority w:val="0"/>
    <w:rPr>
      <w:b/>
      <w:bCs/>
      <w:color w:val="000066"/>
      <w:spacing w:val="31680"/>
      <w:sz w:val="34"/>
      <w:szCs w:val="34"/>
    </w:rPr>
  </w:style>
  <w:style w:type="character" w:customStyle="1" w:styleId="476">
    <w:name w:val="javascript"/>
    <w:basedOn w:val="100"/>
    <w:qFormat/>
    <w:uiPriority w:val="0"/>
  </w:style>
  <w:style w:type="character" w:customStyle="1" w:styleId="477">
    <w:name w:val="样式 首行缩进:  2 字符 Char"/>
    <w:link w:val="478"/>
    <w:qFormat/>
    <w:uiPriority w:val="0"/>
    <w:rPr>
      <w:rFonts w:eastAsia="宋体" w:cs="宋体"/>
      <w:kern w:val="2"/>
      <w:sz w:val="24"/>
      <w:lang w:val="en-US" w:eastAsia="zh-CN" w:bidi="ar-SA"/>
    </w:rPr>
  </w:style>
  <w:style w:type="paragraph" w:customStyle="1" w:styleId="478">
    <w:name w:val="样式 首行缩进:  2 字符"/>
    <w:basedOn w:val="1"/>
    <w:link w:val="477"/>
    <w:qFormat/>
    <w:uiPriority w:val="0"/>
    <w:pPr>
      <w:ind w:firstLine="200" w:firstLineChars="200"/>
    </w:pPr>
    <w:rPr>
      <w:rFonts w:cs="宋体"/>
      <w:sz w:val="24"/>
    </w:rPr>
  </w:style>
  <w:style w:type="character" w:customStyle="1" w:styleId="479">
    <w:name w:val="brown2"/>
    <w:basedOn w:val="100"/>
    <w:qFormat/>
    <w:uiPriority w:val="0"/>
  </w:style>
  <w:style w:type="character" w:customStyle="1" w:styleId="480">
    <w:name w:val="highlight1"/>
    <w:qFormat/>
    <w:uiPriority w:val="0"/>
    <w:rPr>
      <w:sz w:val="21"/>
      <w:szCs w:val="21"/>
    </w:rPr>
  </w:style>
  <w:style w:type="character" w:customStyle="1" w:styleId="481">
    <w:name w:val="表格文本 五号 居中 单倍行距 Char Char Char"/>
    <w:link w:val="482"/>
    <w:qFormat/>
    <w:uiPriority w:val="0"/>
    <w:rPr>
      <w:rFonts w:eastAsia="宋体" w:cs="宋体"/>
      <w:kern w:val="2"/>
      <w:sz w:val="21"/>
      <w:szCs w:val="21"/>
      <w:lang w:val="en-US" w:eastAsia="zh-CN" w:bidi="ar-SA"/>
    </w:rPr>
  </w:style>
  <w:style w:type="paragraph" w:customStyle="1" w:styleId="482">
    <w:name w:val="表格文本 五号 居中 单倍行距 Char Char"/>
    <w:basedOn w:val="1"/>
    <w:link w:val="481"/>
    <w:qFormat/>
    <w:uiPriority w:val="0"/>
    <w:pPr>
      <w:keepNext/>
      <w:adjustRightInd w:val="0"/>
      <w:snapToGrid w:val="0"/>
      <w:jc w:val="center"/>
      <w:textAlignment w:val="baseline"/>
    </w:pPr>
    <w:rPr>
      <w:rFonts w:cs="宋体"/>
      <w:szCs w:val="21"/>
    </w:rPr>
  </w:style>
  <w:style w:type="character" w:customStyle="1" w:styleId="483">
    <w:name w:val="font002"/>
    <w:basedOn w:val="100"/>
    <w:qFormat/>
    <w:uiPriority w:val="0"/>
  </w:style>
  <w:style w:type="character" w:customStyle="1" w:styleId="484">
    <w:name w:val="表头 Char1"/>
    <w:qFormat/>
    <w:uiPriority w:val="0"/>
    <w:rPr>
      <w:rFonts w:eastAsia="黑体"/>
      <w:bCs/>
      <w:color w:val="000000"/>
      <w:sz w:val="24"/>
      <w:szCs w:val="24"/>
      <w:lang w:val="en-US" w:eastAsia="zh-CN" w:bidi="ar-SA"/>
    </w:rPr>
  </w:style>
  <w:style w:type="character" w:customStyle="1" w:styleId="485">
    <w:name w:val="a14nr1"/>
    <w:qFormat/>
    <w:uiPriority w:val="0"/>
    <w:rPr>
      <w:sz w:val="23"/>
      <w:szCs w:val="23"/>
    </w:rPr>
  </w:style>
  <w:style w:type="character" w:customStyle="1" w:styleId="486">
    <w:name w:val="style5"/>
    <w:basedOn w:val="100"/>
    <w:qFormat/>
    <w:uiPriority w:val="0"/>
  </w:style>
  <w:style w:type="character" w:customStyle="1" w:styleId="487">
    <w:name w:val="15"/>
    <w:qFormat/>
    <w:uiPriority w:val="0"/>
    <w:rPr>
      <w:rFonts w:hint="default" w:ascii="Times New Roman" w:hAnsi="Times New Roman"/>
      <w:color w:val="0000FF"/>
      <w:sz w:val="20"/>
      <w:u w:val="single"/>
    </w:rPr>
  </w:style>
  <w:style w:type="character" w:customStyle="1" w:styleId="488">
    <w:name w:val="style11"/>
    <w:qFormat/>
    <w:uiPriority w:val="0"/>
    <w:rPr>
      <w:rFonts w:hint="default" w:ascii="Verdana" w:hAnsi="Verdana"/>
      <w:sz w:val="23"/>
    </w:rPr>
  </w:style>
  <w:style w:type="character" w:customStyle="1" w:styleId="489">
    <w:name w:val="正文样式 Char Char Char Char"/>
    <w:link w:val="490"/>
    <w:qFormat/>
    <w:uiPriority w:val="0"/>
    <w:rPr>
      <w:rFonts w:ascii="宋体" w:hAnsi="宋体" w:eastAsia="宋体"/>
      <w:color w:val="000000"/>
      <w:kern w:val="2"/>
      <w:sz w:val="24"/>
      <w:szCs w:val="24"/>
      <w:lang w:val="en-US" w:eastAsia="zh-CN" w:bidi="ar-SA"/>
    </w:rPr>
  </w:style>
  <w:style w:type="paragraph" w:customStyle="1" w:styleId="490">
    <w:name w:val="正文样式 Char Char Char"/>
    <w:basedOn w:val="1"/>
    <w:link w:val="489"/>
    <w:qFormat/>
    <w:uiPriority w:val="0"/>
    <w:pPr>
      <w:spacing w:line="360" w:lineRule="auto"/>
      <w:ind w:firstLine="480" w:firstLineChars="200"/>
    </w:pPr>
    <w:rPr>
      <w:rFonts w:ascii="宋体" w:hAnsi="宋体"/>
      <w:color w:val="000000"/>
      <w:sz w:val="24"/>
      <w:szCs w:val="24"/>
    </w:rPr>
  </w:style>
  <w:style w:type="character" w:customStyle="1" w:styleId="491">
    <w:name w:val="样式2 Char"/>
    <w:link w:val="492"/>
    <w:qFormat/>
    <w:uiPriority w:val="0"/>
    <w:rPr>
      <w:rFonts w:ascii="黑体" w:hAnsi="宋体" w:eastAsia="黑体"/>
      <w:b/>
      <w:kern w:val="2"/>
      <w:sz w:val="24"/>
      <w:lang w:val="en-US" w:eastAsia="zh-CN"/>
    </w:rPr>
  </w:style>
  <w:style w:type="paragraph" w:customStyle="1" w:styleId="492">
    <w:name w:val="样式2"/>
    <w:basedOn w:val="288"/>
    <w:link w:val="491"/>
    <w:qFormat/>
    <w:uiPriority w:val="0"/>
    <w:pPr>
      <w:spacing w:before="40" w:beforeLines="0" w:beforeAutospacing="0" w:after="40" w:afterLines="0" w:afterAutospacing="0"/>
      <w:ind w:firstLine="562"/>
    </w:pPr>
    <w:rPr>
      <w:rFonts w:ascii="黑体" w:hAnsi="宋体" w:eastAsia="黑体"/>
      <w:b/>
    </w:rPr>
  </w:style>
  <w:style w:type="character" w:customStyle="1" w:styleId="493">
    <w:name w:val="Char Char Char Char Char"/>
    <w:link w:val="494"/>
    <w:qFormat/>
    <w:uiPriority w:val="0"/>
    <w:rPr>
      <w:rFonts w:ascii="Verdana" w:hAnsi="Verdana" w:eastAsia="宋体"/>
      <w:lang w:val="en-US" w:eastAsia="en-US" w:bidi="ar-SA"/>
    </w:rPr>
  </w:style>
  <w:style w:type="paragraph" w:customStyle="1" w:styleId="494">
    <w:name w:val="Char Char Char Char"/>
    <w:basedOn w:val="1"/>
    <w:link w:val="493"/>
    <w:qFormat/>
    <w:uiPriority w:val="0"/>
    <w:pPr>
      <w:widowControl/>
      <w:spacing w:after="160" w:line="240" w:lineRule="atLeast"/>
      <w:jc w:val="left"/>
    </w:pPr>
    <w:rPr>
      <w:rFonts w:ascii="Verdana" w:hAnsi="Verdana"/>
      <w:kern w:val="0"/>
      <w:sz w:val="20"/>
      <w:lang w:eastAsia="en-US"/>
    </w:rPr>
  </w:style>
  <w:style w:type="character" w:customStyle="1" w:styleId="495">
    <w:name w:val="defaultfont1"/>
    <w:basedOn w:val="100"/>
    <w:qFormat/>
    <w:uiPriority w:val="0"/>
  </w:style>
  <w:style w:type="character" w:customStyle="1" w:styleId="496">
    <w:name w:val="style13"/>
    <w:qFormat/>
    <w:uiPriority w:val="0"/>
    <w:rPr>
      <w:sz w:val="23"/>
    </w:rPr>
  </w:style>
  <w:style w:type="character" w:customStyle="1" w:styleId="497">
    <w:name w:val="样式3三级 Char"/>
    <w:link w:val="498"/>
    <w:qFormat/>
    <w:uiPriority w:val="0"/>
    <w:rPr>
      <w:rFonts w:ascii="黑体" w:hAnsi="宋体" w:eastAsia="黑体"/>
      <w:sz w:val="30"/>
      <w:lang w:val="en-US" w:eastAsia="zh-CN"/>
    </w:rPr>
  </w:style>
  <w:style w:type="paragraph" w:customStyle="1" w:styleId="498">
    <w:name w:val="样式3三级"/>
    <w:basedOn w:val="1"/>
    <w:link w:val="497"/>
    <w:qFormat/>
    <w:uiPriority w:val="0"/>
    <w:pPr>
      <w:spacing w:line="360" w:lineRule="auto"/>
    </w:pPr>
    <w:rPr>
      <w:rFonts w:ascii="黑体" w:hAnsi="宋体" w:eastAsia="黑体"/>
      <w:kern w:val="0"/>
      <w:sz w:val="30"/>
    </w:rPr>
  </w:style>
  <w:style w:type="character" w:customStyle="1" w:styleId="499">
    <w:name w:val="neiyetest1"/>
    <w:qFormat/>
    <w:uiPriority w:val="0"/>
    <w:rPr>
      <w:rFonts w:hint="default" w:ascii="ˎ̥" w:hAnsi="ˎ̥"/>
      <w:color w:val="000000"/>
      <w:sz w:val="20"/>
      <w:szCs w:val="20"/>
    </w:rPr>
  </w:style>
  <w:style w:type="character" w:customStyle="1" w:styleId="500">
    <w:name w:val="正文（首行缩进两字） Char"/>
    <w:qFormat/>
    <w:uiPriority w:val="0"/>
    <w:rPr>
      <w:rFonts w:ascii="宋体" w:eastAsia="宋体"/>
      <w:kern w:val="2"/>
      <w:sz w:val="24"/>
      <w:lang w:val="en-US" w:eastAsia="zh-CN"/>
    </w:rPr>
  </w:style>
  <w:style w:type="character" w:customStyle="1" w:styleId="501">
    <w:name w:val="样式1正文 Char"/>
    <w:qFormat/>
    <w:uiPriority w:val="0"/>
    <w:rPr>
      <w:rFonts w:ascii="仿宋_GB2312" w:hAnsi="仿宋_GB2312" w:eastAsia="仿宋_GB2312" w:cs="宋体"/>
      <w:kern w:val="2"/>
      <w:sz w:val="28"/>
      <w:lang w:val="en-US" w:eastAsia="zh-CN" w:bidi="ar-SA"/>
    </w:rPr>
  </w:style>
  <w:style w:type="character" w:customStyle="1" w:styleId="502">
    <w:name w:val="样式 标题 2Chapter Heading2nd levelh22Titre2l2H2Header 2UND...2 Char"/>
    <w:link w:val="503"/>
    <w:qFormat/>
    <w:uiPriority w:val="0"/>
    <w:rPr>
      <w:rFonts w:ascii="Arial" w:hAnsi="Arial" w:eastAsia="黑体"/>
      <w:kern w:val="2"/>
      <w:sz w:val="24"/>
      <w:lang w:val="en-US" w:eastAsia="zh-CN" w:bidi="ar-SA"/>
    </w:rPr>
  </w:style>
  <w:style w:type="paragraph" w:customStyle="1" w:styleId="503">
    <w:name w:val="样式 标题 2Chapter Heading2nd levelh22Titre2l2H2Header 2UND...2"/>
    <w:basedOn w:val="8"/>
    <w:link w:val="502"/>
    <w:qFormat/>
    <w:uiPriority w:val="0"/>
    <w:pPr>
      <w:tabs>
        <w:tab w:val="left" w:pos="576"/>
      </w:tabs>
      <w:spacing w:before="120" w:after="120" w:line="360" w:lineRule="auto"/>
    </w:pPr>
    <w:rPr>
      <w:b w:val="0"/>
      <w:sz w:val="24"/>
    </w:rPr>
  </w:style>
  <w:style w:type="character" w:customStyle="1" w:styleId="504">
    <w:name w:val=" Char Char5"/>
    <w:qFormat/>
    <w:uiPriority w:val="0"/>
    <w:rPr>
      <w:rFonts w:ascii="宋体" w:hAnsi="Courier New"/>
      <w:snapToGrid w:val="0"/>
      <w:sz w:val="21"/>
    </w:rPr>
  </w:style>
  <w:style w:type="character" w:customStyle="1" w:styleId="505">
    <w:name w:val="css-text3"/>
    <w:basedOn w:val="100"/>
    <w:qFormat/>
    <w:uiPriority w:val="0"/>
  </w:style>
  <w:style w:type="character" w:customStyle="1" w:styleId="506">
    <w:name w:val="f_heading1"/>
    <w:basedOn w:val="100"/>
    <w:qFormat/>
    <w:uiPriority w:val="0"/>
  </w:style>
  <w:style w:type="character" w:customStyle="1" w:styleId="507">
    <w:name w:val="desctext1"/>
    <w:qFormat/>
    <w:uiPriority w:val="0"/>
    <w:rPr>
      <w:spacing w:val="15"/>
      <w:sz w:val="18"/>
      <w:szCs w:val="18"/>
    </w:rPr>
  </w:style>
  <w:style w:type="character" w:customStyle="1" w:styleId="508">
    <w:name w:val="标题 2 Char"/>
    <w:qFormat/>
    <w:uiPriority w:val="9"/>
    <w:rPr>
      <w:rFonts w:ascii="Arial" w:hAnsi="Arial" w:eastAsia="黑体"/>
      <w:b/>
      <w:kern w:val="2"/>
      <w:sz w:val="32"/>
      <w:lang w:val="en-US" w:eastAsia="zh-CN"/>
    </w:rPr>
  </w:style>
  <w:style w:type="character" w:customStyle="1" w:styleId="509">
    <w:name w:val="节 Char1"/>
    <w:qFormat/>
    <w:uiPriority w:val="0"/>
    <w:rPr>
      <w:rFonts w:ascii="Arial" w:hAnsi="Arial" w:eastAsia="黑体"/>
      <w:b/>
      <w:kern w:val="2"/>
      <w:sz w:val="32"/>
      <w:lang w:val="en-US" w:eastAsia="zh-CN"/>
    </w:rPr>
  </w:style>
  <w:style w:type="character" w:customStyle="1" w:styleId="510">
    <w:name w:val="z2"/>
    <w:basedOn w:val="100"/>
    <w:qFormat/>
    <w:uiPriority w:val="0"/>
  </w:style>
  <w:style w:type="character" w:customStyle="1" w:styleId="511">
    <w:name w:val="style4"/>
    <w:basedOn w:val="100"/>
    <w:qFormat/>
    <w:uiPriority w:val="0"/>
  </w:style>
  <w:style w:type="character" w:customStyle="1" w:styleId="512">
    <w:name w:val="lh22px1"/>
    <w:qFormat/>
    <w:uiPriority w:val="0"/>
    <w:rPr>
      <w:rFonts w:hint="eastAsia" w:ascii="宋体" w:hAnsi="宋体" w:eastAsia="宋体"/>
      <w:sz w:val="21"/>
      <w:szCs w:val="21"/>
    </w:rPr>
  </w:style>
  <w:style w:type="character" w:customStyle="1" w:styleId="513">
    <w:name w:val="style61"/>
    <w:qFormat/>
    <w:uiPriority w:val="0"/>
    <w:rPr>
      <w:rFonts w:hint="default" w:ascii="Verdana" w:hAnsi="Verdana"/>
    </w:rPr>
  </w:style>
  <w:style w:type="character" w:customStyle="1" w:styleId="514">
    <w:name w:val="td21"/>
    <w:qFormat/>
    <w:uiPriority w:val="0"/>
    <w:rPr>
      <w:color w:val="000000"/>
      <w:sz w:val="20"/>
      <w:szCs w:val="20"/>
      <w:u w:val="none"/>
    </w:rPr>
  </w:style>
  <w:style w:type="character" w:customStyle="1" w:styleId="515">
    <w:name w:val="puntext"/>
    <w:basedOn w:val="100"/>
    <w:qFormat/>
    <w:uiPriority w:val="0"/>
  </w:style>
  <w:style w:type="character" w:customStyle="1" w:styleId="516">
    <w:name w:val="样式 标题 2 Char Char Char标题 2 Char Char Char Char Char Char Char C..."/>
    <w:qFormat/>
    <w:uiPriority w:val="0"/>
    <w:rPr>
      <w:rFonts w:ascii="宋体" w:hAnsi="宋体" w:eastAsia="黑体"/>
      <w:b/>
      <w:bCs/>
      <w:sz w:val="36"/>
      <w:szCs w:val="29"/>
    </w:rPr>
  </w:style>
  <w:style w:type="character" w:customStyle="1" w:styleId="517">
    <w:name w:val="样式3表头 Char"/>
    <w:link w:val="518"/>
    <w:qFormat/>
    <w:uiPriority w:val="0"/>
    <w:rPr>
      <w:rFonts w:ascii="宋体" w:hAnsi="宋体" w:eastAsia="黑体"/>
      <w:color w:val="000000"/>
      <w:sz w:val="24"/>
      <w:lang w:val="en-US" w:eastAsia="zh-CN"/>
    </w:rPr>
  </w:style>
  <w:style w:type="paragraph" w:customStyle="1" w:styleId="518">
    <w:name w:val="样式3表头"/>
    <w:basedOn w:val="1"/>
    <w:link w:val="517"/>
    <w:qFormat/>
    <w:uiPriority w:val="0"/>
    <w:pPr>
      <w:spacing w:line="440" w:lineRule="exact"/>
      <w:ind w:firstLine="1320" w:firstLineChars="550"/>
      <w:jc w:val="left"/>
    </w:pPr>
    <w:rPr>
      <w:rFonts w:ascii="宋体" w:hAnsi="宋体" w:eastAsia="黑体"/>
      <w:color w:val="000000"/>
      <w:kern w:val="0"/>
      <w:sz w:val="24"/>
    </w:rPr>
  </w:style>
  <w:style w:type="character" w:customStyle="1" w:styleId="519">
    <w:name w:val="标题 4 Char1"/>
    <w:qFormat/>
    <w:uiPriority w:val="0"/>
    <w:rPr>
      <w:rFonts w:ascii="宋体" w:hAnsi="宋体" w:eastAsia="宋体"/>
      <w:kern w:val="2"/>
      <w:sz w:val="24"/>
      <w:szCs w:val="24"/>
      <w:lang w:val="en-US" w:eastAsia="zh-CN" w:bidi="ar-SA"/>
    </w:rPr>
  </w:style>
  <w:style w:type="character" w:customStyle="1" w:styleId="520">
    <w:name w:val=" Char Char2"/>
    <w:qFormat/>
    <w:uiPriority w:val="0"/>
    <w:rPr>
      <w:rFonts w:ascii="宋体" w:hAnsi="宋体" w:eastAsia="宋体"/>
      <w:snapToGrid w:val="0"/>
      <w:sz w:val="32"/>
      <w:lang w:val="en-US" w:eastAsia="zh-CN"/>
    </w:rPr>
  </w:style>
  <w:style w:type="character" w:customStyle="1" w:styleId="521">
    <w:name w:val="little"/>
    <w:basedOn w:val="100"/>
    <w:qFormat/>
    <w:uiPriority w:val="0"/>
  </w:style>
  <w:style w:type="character" w:customStyle="1" w:styleId="522">
    <w:name w:val="css-text31"/>
    <w:qFormat/>
    <w:uiPriority w:val="0"/>
    <w:rPr>
      <w:sz w:val="18"/>
      <w:szCs w:val="18"/>
      <w:u w:val="none"/>
    </w:rPr>
  </w:style>
  <w:style w:type="character" w:customStyle="1" w:styleId="523">
    <w:name w:val="style21"/>
    <w:qFormat/>
    <w:uiPriority w:val="0"/>
    <w:rPr>
      <w:sz w:val="28"/>
    </w:rPr>
  </w:style>
  <w:style w:type="character" w:customStyle="1" w:styleId="524">
    <w:name w:val="表格标题 Char"/>
    <w:link w:val="525"/>
    <w:qFormat/>
    <w:uiPriority w:val="0"/>
    <w:rPr>
      <w:rFonts w:ascii="Arial" w:hAnsi="Arial" w:eastAsia="黑体"/>
      <w:snapToGrid w:val="0"/>
      <w:sz w:val="24"/>
      <w:lang w:bidi="ar-SA"/>
    </w:rPr>
  </w:style>
  <w:style w:type="paragraph" w:customStyle="1" w:styleId="525">
    <w:name w:val="表格标题"/>
    <w:basedOn w:val="1"/>
    <w:next w:val="526"/>
    <w:link w:val="524"/>
    <w:qFormat/>
    <w:uiPriority w:val="0"/>
    <w:pPr>
      <w:keepNext/>
      <w:widowControl/>
      <w:overflowPunct w:val="0"/>
      <w:adjustRightInd w:val="0"/>
      <w:snapToGrid w:val="0"/>
      <w:spacing w:before="360" w:beforeLines="0" w:beforeAutospacing="0" w:after="120" w:afterLines="0" w:afterAutospacing="0" w:line="480" w:lineRule="exact"/>
      <w:jc w:val="center"/>
      <w:textAlignment w:val="baseline"/>
    </w:pPr>
    <w:rPr>
      <w:rFonts w:ascii="Arial" w:hAnsi="Arial" w:eastAsia="黑体"/>
      <w:snapToGrid w:val="0"/>
      <w:kern w:val="0"/>
      <w:sz w:val="24"/>
    </w:rPr>
  </w:style>
  <w:style w:type="paragraph" w:customStyle="1" w:styleId="526">
    <w:name w:val="表格内容"/>
    <w:basedOn w:val="1"/>
    <w:next w:val="53"/>
    <w:qFormat/>
    <w:uiPriority w:val="0"/>
    <w:rPr>
      <w:rFonts w:ascii="宋体" w:hAnsi="Courier New"/>
    </w:rPr>
  </w:style>
  <w:style w:type="character" w:customStyle="1" w:styleId="527">
    <w:name w:val="图表 Char"/>
    <w:link w:val="528"/>
    <w:qFormat/>
    <w:uiPriority w:val="0"/>
    <w:rPr>
      <w:rFonts w:eastAsia="宋体"/>
      <w:snapToGrid w:val="0"/>
      <w:sz w:val="21"/>
      <w:szCs w:val="21"/>
      <w:lang w:val="en-US" w:eastAsia="zh-CN" w:bidi="ar-SA"/>
    </w:rPr>
  </w:style>
  <w:style w:type="paragraph" w:customStyle="1" w:styleId="528">
    <w:name w:val="图表"/>
    <w:basedOn w:val="1"/>
    <w:link w:val="527"/>
    <w:qFormat/>
    <w:uiPriority w:val="0"/>
    <w:pPr>
      <w:adjustRightInd w:val="0"/>
      <w:snapToGrid w:val="0"/>
      <w:jc w:val="center"/>
    </w:pPr>
    <w:rPr>
      <w:snapToGrid w:val="0"/>
      <w:kern w:val="0"/>
      <w:szCs w:val="21"/>
    </w:rPr>
  </w:style>
  <w:style w:type="character" w:customStyle="1" w:styleId="529">
    <w:name w:val="11p1"/>
    <w:qFormat/>
    <w:uiPriority w:val="0"/>
    <w:rPr>
      <w:spacing w:val="375"/>
      <w:sz w:val="23"/>
    </w:rPr>
  </w:style>
  <w:style w:type="character" w:customStyle="1" w:styleId="530">
    <w:name w:val="标题2 Char1"/>
    <w:qFormat/>
    <w:uiPriority w:val="0"/>
    <w:rPr>
      <w:rFonts w:ascii="华文细黑" w:hAnsi="宋体" w:eastAsia="华文细黑"/>
      <w:snapToGrid w:val="0"/>
      <w:sz w:val="24"/>
    </w:rPr>
  </w:style>
  <w:style w:type="character" w:customStyle="1" w:styleId="531">
    <w:name w:val="unnamed1"/>
    <w:basedOn w:val="100"/>
    <w:qFormat/>
    <w:uiPriority w:val="0"/>
  </w:style>
  <w:style w:type="character" w:customStyle="1" w:styleId="532">
    <w:name w:val="正文样式 Char Char Char Char Char Char"/>
    <w:link w:val="533"/>
    <w:qFormat/>
    <w:uiPriority w:val="0"/>
    <w:rPr>
      <w:rFonts w:ascii="宋体" w:hAnsi="宋体" w:eastAsia="宋体"/>
      <w:color w:val="000000"/>
      <w:kern w:val="2"/>
      <w:sz w:val="24"/>
      <w:szCs w:val="24"/>
      <w:lang w:val="en-US" w:eastAsia="zh-CN" w:bidi="ar-SA"/>
    </w:rPr>
  </w:style>
  <w:style w:type="paragraph" w:customStyle="1" w:styleId="533">
    <w:name w:val="正文样式 Char Char Char Char Char"/>
    <w:basedOn w:val="1"/>
    <w:link w:val="532"/>
    <w:qFormat/>
    <w:uiPriority w:val="0"/>
    <w:pPr>
      <w:spacing w:line="360" w:lineRule="auto"/>
      <w:ind w:firstLine="480" w:firstLineChars="200"/>
    </w:pPr>
    <w:rPr>
      <w:rFonts w:ascii="宋体" w:hAnsi="宋体"/>
      <w:color w:val="000000"/>
      <w:sz w:val="24"/>
      <w:szCs w:val="24"/>
    </w:rPr>
  </w:style>
  <w:style w:type="character" w:customStyle="1" w:styleId="534">
    <w:name w:val="contenttext11"/>
    <w:qFormat/>
    <w:uiPriority w:val="0"/>
    <w:rPr>
      <w:rFonts w:hint="eastAsia" w:ascii="宋体" w:hAnsi="宋体" w:eastAsia="宋体"/>
      <w:color w:val="000000"/>
      <w:sz w:val="24"/>
      <w:szCs w:val="24"/>
    </w:rPr>
  </w:style>
  <w:style w:type="character" w:customStyle="1" w:styleId="535">
    <w:name w:val="tpc_content"/>
    <w:basedOn w:val="100"/>
    <w:qFormat/>
    <w:uiPriority w:val="0"/>
  </w:style>
  <w:style w:type="character" w:customStyle="1" w:styleId="536">
    <w:name w:val="标题2 Char"/>
    <w:qFormat/>
    <w:uiPriority w:val="0"/>
    <w:rPr>
      <w:rFonts w:ascii="华文细黑" w:hAnsi="宋体" w:eastAsia="华文细黑"/>
      <w:snapToGrid w:val="0"/>
      <w:sz w:val="24"/>
      <w:lang w:val="en-US" w:eastAsia="zh-CN"/>
    </w:rPr>
  </w:style>
  <w:style w:type="character" w:customStyle="1" w:styleId="537">
    <w:name w:val="列出段落 Char"/>
    <w:link w:val="538"/>
    <w:qFormat/>
    <w:uiPriority w:val="0"/>
    <w:rPr>
      <w:rFonts w:ascii="Calibri" w:hAnsi="Calibri" w:eastAsia="宋体"/>
      <w:snapToGrid w:val="0"/>
      <w:sz w:val="24"/>
      <w:lang w:val="en-US" w:eastAsia="zh-CN"/>
    </w:rPr>
  </w:style>
  <w:style w:type="paragraph" w:styleId="538">
    <w:name w:val="List Paragraph"/>
    <w:basedOn w:val="1"/>
    <w:link w:val="537"/>
    <w:qFormat/>
    <w:uiPriority w:val="0"/>
    <w:pPr>
      <w:adjustRightInd w:val="0"/>
      <w:snapToGrid w:val="0"/>
      <w:spacing w:line="360" w:lineRule="auto"/>
      <w:ind w:firstLine="420" w:firstLineChars="200"/>
    </w:pPr>
    <w:rPr>
      <w:rFonts w:ascii="Calibri" w:hAnsi="Calibri"/>
      <w:snapToGrid w:val="0"/>
      <w:kern w:val="0"/>
      <w:sz w:val="24"/>
    </w:rPr>
  </w:style>
  <w:style w:type="character" w:customStyle="1" w:styleId="539">
    <w:name w:val="标题 1 Char"/>
    <w:qFormat/>
    <w:uiPriority w:val="9"/>
    <w:rPr>
      <w:rFonts w:eastAsia="黑体"/>
      <w:kern w:val="44"/>
      <w:sz w:val="36"/>
      <w:lang w:val="en-US" w:eastAsia="zh-CN"/>
    </w:rPr>
  </w:style>
  <w:style w:type="character" w:customStyle="1" w:styleId="540">
    <w:name w:val="标题 2 Char Char"/>
    <w:qFormat/>
    <w:uiPriority w:val="0"/>
    <w:rPr>
      <w:rFonts w:ascii="Arial" w:hAnsi="Arial" w:eastAsia="黑体"/>
      <w:b/>
      <w:kern w:val="2"/>
      <w:sz w:val="32"/>
      <w:lang w:val="en-US" w:eastAsia="zh-CN"/>
    </w:rPr>
  </w:style>
  <w:style w:type="character" w:customStyle="1" w:styleId="541">
    <w:name w:val="cn_0021"/>
    <w:qFormat/>
    <w:uiPriority w:val="0"/>
    <w:rPr>
      <w:rFonts w:hint="default" w:ascii="_x000B__x000C_" w:hAnsi="_x000B__x000C_"/>
      <w:sz w:val="18"/>
    </w:rPr>
  </w:style>
  <w:style w:type="character" w:customStyle="1" w:styleId="542">
    <w:name w:val="zw style1"/>
    <w:basedOn w:val="100"/>
    <w:qFormat/>
    <w:uiPriority w:val="0"/>
  </w:style>
  <w:style w:type="character" w:customStyle="1" w:styleId="543">
    <w:name w:val="表格文字 Char"/>
    <w:link w:val="544"/>
    <w:qFormat/>
    <w:uiPriority w:val="0"/>
    <w:rPr>
      <w:rFonts w:eastAsia="宋体"/>
      <w:kern w:val="2"/>
      <w:sz w:val="24"/>
      <w:lang w:val="en-US" w:eastAsia="zh-CN" w:bidi="ar-SA"/>
    </w:rPr>
  </w:style>
  <w:style w:type="paragraph" w:customStyle="1" w:styleId="544">
    <w:name w:val="表格文字"/>
    <w:basedOn w:val="1"/>
    <w:link w:val="543"/>
    <w:qFormat/>
    <w:uiPriority w:val="0"/>
    <w:pPr>
      <w:spacing w:before="60" w:beforeLines="0" w:beforeAutospacing="0" w:after="60" w:afterLines="0" w:afterAutospacing="0"/>
    </w:pPr>
    <w:rPr>
      <w:sz w:val="24"/>
    </w:rPr>
  </w:style>
  <w:style w:type="character" w:customStyle="1" w:styleId="545">
    <w:name w:val="页眉zxl Char"/>
    <w:qFormat/>
    <w:uiPriority w:val="0"/>
    <w:rPr>
      <w:kern w:val="2"/>
      <w:sz w:val="18"/>
      <w:szCs w:val="18"/>
    </w:rPr>
  </w:style>
  <w:style w:type="character" w:customStyle="1" w:styleId="546">
    <w:name w:val="style261"/>
    <w:qFormat/>
    <w:uiPriority w:val="0"/>
    <w:rPr>
      <w:b/>
      <w:bCs/>
      <w:color w:val="257007"/>
      <w:sz w:val="21"/>
      <w:szCs w:val="21"/>
    </w:rPr>
  </w:style>
  <w:style w:type="character" w:customStyle="1" w:styleId="547">
    <w:name w:val="标题样式2 Char Char"/>
    <w:qFormat/>
    <w:uiPriority w:val="0"/>
    <w:rPr>
      <w:rFonts w:ascii="黑体" w:hAnsi="Arial" w:eastAsia="黑体"/>
      <w:b/>
      <w:bCs/>
      <w:kern w:val="2"/>
      <w:sz w:val="28"/>
      <w:szCs w:val="28"/>
      <w:lang w:val="en-US" w:eastAsia="zh-CN" w:bidi="ar-SA"/>
    </w:rPr>
  </w:style>
  <w:style w:type="character" w:customStyle="1" w:styleId="548">
    <w:name w:val="居中 Char"/>
    <w:link w:val="549"/>
    <w:qFormat/>
    <w:uiPriority w:val="0"/>
    <w:rPr>
      <w:kern w:val="2"/>
      <w:sz w:val="24"/>
      <w:szCs w:val="24"/>
      <w:lang w:val="en-US" w:eastAsia="zh-CN" w:bidi="ar-SA"/>
    </w:rPr>
  </w:style>
  <w:style w:type="paragraph" w:customStyle="1" w:styleId="549">
    <w:name w:val="居中"/>
    <w:link w:val="548"/>
    <w:qFormat/>
    <w:uiPriority w:val="0"/>
    <w:pPr>
      <w:jc w:val="center"/>
    </w:pPr>
    <w:rPr>
      <w:rFonts w:ascii="Times New Roman" w:hAnsi="Times New Roman" w:eastAsia="宋体" w:cs="Times New Roman"/>
      <w:kern w:val="2"/>
      <w:sz w:val="24"/>
      <w:szCs w:val="24"/>
      <w:lang w:val="en-US" w:eastAsia="zh-CN" w:bidi="ar-SA"/>
    </w:rPr>
  </w:style>
  <w:style w:type="character" w:customStyle="1" w:styleId="550">
    <w:name w:val="apple-style-span"/>
    <w:basedOn w:val="100"/>
    <w:qFormat/>
    <w:uiPriority w:val="0"/>
  </w:style>
  <w:style w:type="character" w:customStyle="1" w:styleId="551">
    <w:name w:val="hottext1"/>
    <w:qFormat/>
    <w:uiPriority w:val="0"/>
    <w:rPr>
      <w:rFonts w:hint="eastAsia" w:ascii="宋体" w:hAnsi="宋体" w:eastAsia="宋体"/>
      <w:color w:val="333333"/>
      <w:sz w:val="20"/>
      <w:u w:val="none"/>
    </w:rPr>
  </w:style>
  <w:style w:type="character" w:customStyle="1" w:styleId="552">
    <w:name w:val="unnamed81"/>
    <w:basedOn w:val="100"/>
    <w:qFormat/>
    <w:uiPriority w:val="0"/>
  </w:style>
  <w:style w:type="character" w:customStyle="1" w:styleId="553">
    <w:name w:val="style41"/>
    <w:qFormat/>
    <w:uiPriority w:val="0"/>
    <w:rPr>
      <w:color w:val="000000"/>
    </w:rPr>
  </w:style>
  <w:style w:type="character" w:customStyle="1" w:styleId="554">
    <w:name w:val="style171"/>
    <w:qFormat/>
    <w:uiPriority w:val="0"/>
    <w:rPr>
      <w:rFonts w:hint="eastAsia" w:ascii="宋体" w:hAnsi="宋体" w:eastAsia="宋体"/>
      <w:sz w:val="14"/>
    </w:rPr>
  </w:style>
  <w:style w:type="character" w:customStyle="1" w:styleId="555">
    <w:name w:val="zw1"/>
    <w:qFormat/>
    <w:uiPriority w:val="0"/>
    <w:rPr>
      <w:sz w:val="23"/>
    </w:rPr>
  </w:style>
  <w:style w:type="character" w:customStyle="1" w:styleId="556">
    <w:name w:val="unnamed1131"/>
    <w:qFormat/>
    <w:uiPriority w:val="0"/>
    <w:rPr>
      <w:b/>
      <w:color w:val="0E6898"/>
      <w:sz w:val="21"/>
    </w:rPr>
  </w:style>
  <w:style w:type="character" w:customStyle="1" w:styleId="557">
    <w:name w:val="君邦正文 Char2"/>
    <w:link w:val="558"/>
    <w:qFormat/>
    <w:uiPriority w:val="0"/>
    <w:rPr>
      <w:rFonts w:eastAsia="宋体"/>
      <w:kern w:val="2"/>
      <w:sz w:val="24"/>
      <w:lang w:val="en-US" w:eastAsia="zh-CN" w:bidi="ar-SA"/>
    </w:rPr>
  </w:style>
  <w:style w:type="paragraph" w:customStyle="1" w:styleId="558">
    <w:name w:val="君邦正文"/>
    <w:basedOn w:val="1"/>
    <w:link w:val="557"/>
    <w:qFormat/>
    <w:uiPriority w:val="0"/>
    <w:pPr>
      <w:spacing w:after="60" w:afterLines="0" w:afterAutospacing="0" w:line="360" w:lineRule="auto"/>
      <w:ind w:firstLine="200" w:firstLineChars="200"/>
    </w:pPr>
    <w:rPr>
      <w:sz w:val="24"/>
    </w:rPr>
  </w:style>
  <w:style w:type="character" w:customStyle="1" w:styleId="559">
    <w:name w:val="段落 Char"/>
    <w:link w:val="560"/>
    <w:qFormat/>
    <w:uiPriority w:val="0"/>
    <w:rPr>
      <w:rFonts w:ascii="宋体" w:hAnsi="宋体" w:eastAsia="宋体"/>
      <w:kern w:val="2"/>
      <w:sz w:val="28"/>
      <w:lang w:val="en-US" w:eastAsia="zh-CN" w:bidi="ar-SA"/>
    </w:rPr>
  </w:style>
  <w:style w:type="paragraph" w:customStyle="1" w:styleId="560">
    <w:name w:val="段落"/>
    <w:basedOn w:val="1"/>
    <w:link w:val="559"/>
    <w:qFormat/>
    <w:uiPriority w:val="0"/>
    <w:pPr>
      <w:adjustRightInd w:val="0"/>
      <w:spacing w:after="120" w:afterLines="0" w:afterAutospacing="0" w:line="360" w:lineRule="auto"/>
      <w:ind w:left="318" w:firstLine="567"/>
    </w:pPr>
    <w:rPr>
      <w:rFonts w:ascii="宋体" w:hAnsi="宋体"/>
      <w:sz w:val="28"/>
    </w:rPr>
  </w:style>
  <w:style w:type="character" w:customStyle="1" w:styleId="561">
    <w:name w:val="标题样式3 Char"/>
    <w:link w:val="562"/>
    <w:qFormat/>
    <w:uiPriority w:val="0"/>
    <w:rPr>
      <w:rFonts w:ascii="黑体" w:eastAsia="黑体" w:cs="黑体"/>
      <w:b/>
      <w:bCs/>
      <w:color w:val="000000"/>
      <w:kern w:val="2"/>
      <w:sz w:val="24"/>
      <w:szCs w:val="28"/>
      <w:lang w:val="zh-CN" w:eastAsia="zh-CN" w:bidi="ar-SA"/>
    </w:rPr>
  </w:style>
  <w:style w:type="paragraph" w:customStyle="1" w:styleId="562">
    <w:name w:val="标题样式3"/>
    <w:basedOn w:val="9"/>
    <w:link w:val="561"/>
    <w:qFormat/>
    <w:uiPriority w:val="0"/>
    <w:pPr>
      <w:keepNext w:val="0"/>
      <w:spacing w:before="0" w:after="0" w:line="360" w:lineRule="auto"/>
    </w:pPr>
    <w:rPr>
      <w:rFonts w:ascii="黑体" w:eastAsia="黑体" w:cs="黑体"/>
      <w:bCs/>
      <w:color w:val="000000"/>
      <w:sz w:val="24"/>
      <w:szCs w:val="28"/>
      <w:lang w:val="zh-CN"/>
    </w:rPr>
  </w:style>
  <w:style w:type="character" w:customStyle="1" w:styleId="563">
    <w:name w:val="at1"/>
    <w:basedOn w:val="100"/>
    <w:qFormat/>
    <w:uiPriority w:val="0"/>
  </w:style>
  <w:style w:type="character" w:customStyle="1" w:styleId="564">
    <w:name w:val="样式 题注 + (西文) Times New Roman (中文) 宋体 Char"/>
    <w:link w:val="565"/>
    <w:qFormat/>
    <w:uiPriority w:val="0"/>
    <w:rPr>
      <w:rFonts w:eastAsia="宋体" w:cs="仿宋_GB2312"/>
      <w:b/>
      <w:bCs/>
      <w:kern w:val="2"/>
      <w:sz w:val="24"/>
      <w:szCs w:val="21"/>
      <w:lang w:val="en-US" w:eastAsia="zh-CN" w:bidi="ar-SA"/>
    </w:rPr>
  </w:style>
  <w:style w:type="paragraph" w:customStyle="1" w:styleId="565">
    <w:name w:val="样式 题注 + (西文) Times New Roman (中文) 宋体"/>
    <w:basedOn w:val="33"/>
    <w:link w:val="564"/>
    <w:qFormat/>
    <w:uiPriority w:val="0"/>
    <w:pPr>
      <w:keepNext/>
      <w:adjustRightInd/>
      <w:snapToGrid/>
      <w:spacing w:before="152" w:after="160" w:line="240" w:lineRule="auto"/>
      <w:ind w:firstLine="0" w:firstLineChars="0"/>
      <w:jc w:val="center"/>
    </w:pPr>
    <w:rPr>
      <w:rFonts w:ascii="Times New Roman" w:eastAsia="宋体" w:cs="仿宋_GB2312"/>
      <w:b/>
      <w:bCs/>
      <w:i w:val="0"/>
      <w:iCs w:val="0"/>
      <w:color w:val="auto"/>
      <w:sz w:val="24"/>
      <w:szCs w:val="21"/>
    </w:rPr>
  </w:style>
  <w:style w:type="character" w:customStyle="1" w:styleId="566">
    <w:name w:val="title1"/>
    <w:qFormat/>
    <w:uiPriority w:val="0"/>
    <w:rPr>
      <w:b/>
      <w:bCs/>
      <w:color w:val="333333"/>
      <w:sz w:val="18"/>
      <w:szCs w:val="18"/>
      <w:u w:val="none"/>
    </w:rPr>
  </w:style>
  <w:style w:type="character" w:customStyle="1" w:styleId="567">
    <w:name w:val="环科院标题2 Char"/>
    <w:link w:val="568"/>
    <w:qFormat/>
    <w:uiPriority w:val="0"/>
    <w:rPr>
      <w:rFonts w:eastAsia="黑体"/>
      <w:b/>
      <w:bCs/>
      <w:kern w:val="2"/>
      <w:sz w:val="32"/>
      <w:szCs w:val="32"/>
      <w:lang w:val="en-US" w:eastAsia="zh-CN" w:bidi="ar-SA"/>
    </w:rPr>
  </w:style>
  <w:style w:type="paragraph" w:customStyle="1" w:styleId="568">
    <w:name w:val="环科院标题2"/>
    <w:basedOn w:val="8"/>
    <w:link w:val="567"/>
    <w:qFormat/>
    <w:uiPriority w:val="0"/>
    <w:pPr>
      <w:spacing w:before="240" w:after="120" w:line="360" w:lineRule="auto"/>
      <w:jc w:val="left"/>
    </w:pPr>
    <w:rPr>
      <w:rFonts w:ascii="Times New Roman" w:hAnsi="Times New Roman"/>
      <w:bCs/>
      <w:szCs w:val="32"/>
    </w:rPr>
  </w:style>
  <w:style w:type="character" w:customStyle="1" w:styleId="569">
    <w:name w:val="d11"/>
    <w:qFormat/>
    <w:uiPriority w:val="0"/>
    <w:rPr>
      <w:sz w:val="20"/>
      <w:szCs w:val="20"/>
    </w:rPr>
  </w:style>
  <w:style w:type="character" w:customStyle="1" w:styleId="570">
    <w:name w:val="h31"/>
    <w:qFormat/>
    <w:uiPriority w:val="0"/>
    <w:rPr>
      <w:spacing w:val="330"/>
      <w:sz w:val="21"/>
      <w:szCs w:val="21"/>
    </w:rPr>
  </w:style>
  <w:style w:type="character" w:customStyle="1" w:styleId="571">
    <w:name w:val="标题 1 Char1"/>
    <w:qFormat/>
    <w:uiPriority w:val="0"/>
    <w:rPr>
      <w:rFonts w:eastAsia="宋体"/>
      <w:b/>
      <w:kern w:val="44"/>
      <w:sz w:val="44"/>
      <w:lang w:val="en-US" w:eastAsia="zh-CN" w:bidi="ar-SA"/>
    </w:rPr>
  </w:style>
  <w:style w:type="character" w:customStyle="1" w:styleId="572">
    <w:name w:val="rsdesckey1"/>
    <w:qFormat/>
    <w:uiPriority w:val="0"/>
    <w:rPr>
      <w:color w:val="FF0000"/>
    </w:rPr>
  </w:style>
  <w:style w:type="character" w:customStyle="1" w:styleId="573">
    <w:name w:val="keyword"/>
    <w:basedOn w:val="100"/>
    <w:qFormat/>
    <w:uiPriority w:val="0"/>
  </w:style>
  <w:style w:type="character" w:customStyle="1" w:styleId="574">
    <w:name w:val="样式 表格 + 宋体 五号 Char"/>
    <w:qFormat/>
    <w:uiPriority w:val="0"/>
    <w:rPr>
      <w:rFonts w:ascii="宋体" w:hAnsi="宋体" w:eastAsia="宋体"/>
      <w:snapToGrid w:val="0"/>
      <w:sz w:val="21"/>
      <w:lang w:val="en-US" w:eastAsia="zh-CN" w:bidi="ar-SA"/>
    </w:rPr>
  </w:style>
  <w:style w:type="character" w:customStyle="1" w:styleId="575">
    <w:name w:val="列表名称 Char Char Char Char Char"/>
    <w:qFormat/>
    <w:uiPriority w:val="0"/>
    <w:rPr>
      <w:rFonts w:eastAsia="黑体"/>
      <w:kern w:val="2"/>
      <w:sz w:val="24"/>
      <w:lang w:val="en-US" w:eastAsia="zh-CN"/>
    </w:rPr>
  </w:style>
  <w:style w:type="character" w:customStyle="1" w:styleId="576">
    <w:name w:val="xxxxxx"/>
    <w:qFormat/>
    <w:uiPriority w:val="0"/>
    <w:rPr>
      <w:rFonts w:eastAsia="黑体"/>
      <w:kern w:val="2"/>
      <w:sz w:val="30"/>
      <w:lang w:val="en-US" w:eastAsia="zh-CN"/>
    </w:rPr>
  </w:style>
  <w:style w:type="character" w:customStyle="1" w:styleId="577">
    <w:name w:val="正文1 Char Char Char1"/>
    <w:qFormat/>
    <w:uiPriority w:val="0"/>
    <w:rPr>
      <w:rFonts w:eastAsia="仿宋_GB2312"/>
      <w:color w:val="000000"/>
      <w:kern w:val="2"/>
      <w:sz w:val="28"/>
      <w:lang w:val="en-US" w:eastAsia="zh-CN"/>
    </w:rPr>
  </w:style>
  <w:style w:type="character" w:customStyle="1" w:styleId="578">
    <w:name w:val="正文1 Char Char Char Char Char Char"/>
    <w:qFormat/>
    <w:uiPriority w:val="0"/>
    <w:rPr>
      <w:rFonts w:eastAsia="宋体"/>
      <w:kern w:val="2"/>
      <w:sz w:val="24"/>
      <w:lang w:val="en-US" w:eastAsia="zh-CN"/>
    </w:rPr>
  </w:style>
  <w:style w:type="character" w:customStyle="1" w:styleId="579">
    <w:name w:val="正文1 Char Char3"/>
    <w:qFormat/>
    <w:uiPriority w:val="0"/>
    <w:rPr>
      <w:rFonts w:eastAsia="仿宋_GB2312"/>
      <w:kern w:val="2"/>
      <w:sz w:val="28"/>
      <w:lang w:val="en-US" w:eastAsia="zh-CN"/>
    </w:rPr>
  </w:style>
  <w:style w:type="character" w:customStyle="1" w:styleId="580">
    <w:name w:val="样式 正文1 Char Char + 字距调整七号 Char1 Char Char"/>
    <w:qFormat/>
    <w:uiPriority w:val="0"/>
    <w:rPr>
      <w:rFonts w:eastAsia="宋体"/>
      <w:kern w:val="11"/>
      <w:sz w:val="24"/>
      <w:lang w:val="en-US" w:eastAsia="zh-CN"/>
    </w:rPr>
  </w:style>
  <w:style w:type="character" w:customStyle="1" w:styleId="581">
    <w:name w:val="正文1 Char Char Char Char1 Char Char"/>
    <w:qFormat/>
    <w:uiPriority w:val="0"/>
    <w:rPr>
      <w:rFonts w:eastAsia="宋体"/>
      <w:kern w:val="2"/>
      <w:sz w:val="24"/>
      <w:lang w:val="en-US" w:eastAsia="zh-CN"/>
    </w:rPr>
  </w:style>
  <w:style w:type="character" w:customStyle="1" w:styleId="582">
    <w:name w:val="正文1 Char Char4"/>
    <w:qFormat/>
    <w:uiPriority w:val="0"/>
    <w:rPr>
      <w:rFonts w:eastAsia="宋体"/>
      <w:kern w:val="2"/>
      <w:sz w:val="24"/>
      <w:lang w:val="en-US" w:eastAsia="zh-CN"/>
    </w:rPr>
  </w:style>
  <w:style w:type="character" w:customStyle="1" w:styleId="583">
    <w:name w:val="1.1标题 1 Char Char"/>
    <w:qFormat/>
    <w:uiPriority w:val="0"/>
    <w:rPr>
      <w:rFonts w:eastAsia="宋体"/>
      <w:b/>
      <w:kern w:val="44"/>
      <w:sz w:val="44"/>
      <w:lang w:val="en-US" w:eastAsia="zh-CN"/>
    </w:rPr>
  </w:style>
  <w:style w:type="character" w:customStyle="1" w:styleId="584">
    <w:name w:val="正文文本1"/>
    <w:qFormat/>
    <w:uiPriority w:val="0"/>
    <w:rPr>
      <w:rFonts w:eastAsia="宋体"/>
      <w:kern w:val="2"/>
      <w:sz w:val="28"/>
      <w:szCs w:val="28"/>
      <w:lang w:val="en-US" w:eastAsia="zh-CN" w:bidi="ar-SA"/>
    </w:rPr>
  </w:style>
  <w:style w:type="character" w:customStyle="1" w:styleId="585">
    <w:name w:val="正文小四 Char Char"/>
    <w:qFormat/>
    <w:uiPriority w:val="0"/>
    <w:rPr>
      <w:rFonts w:eastAsia="仿宋_GB2312"/>
      <w:kern w:val="2"/>
      <w:sz w:val="24"/>
    </w:rPr>
  </w:style>
  <w:style w:type="character" w:customStyle="1" w:styleId="586">
    <w:name w:val="标题 3 Char1"/>
    <w:qFormat/>
    <w:uiPriority w:val="0"/>
    <w:rPr>
      <w:rFonts w:eastAsia="宋体"/>
      <w:b/>
      <w:kern w:val="2"/>
      <w:sz w:val="32"/>
      <w:lang w:val="en-US" w:eastAsia="zh-CN"/>
    </w:rPr>
  </w:style>
  <w:style w:type="character" w:customStyle="1" w:styleId="587">
    <w:name w:val="z-窗体底端 Char"/>
    <w:link w:val="588"/>
    <w:qFormat/>
    <w:uiPriority w:val="0"/>
    <w:rPr>
      <w:rFonts w:ascii="Arial" w:hAnsi="Arial" w:cs="Arial"/>
      <w:vanish/>
      <w:kern w:val="2"/>
      <w:sz w:val="16"/>
      <w:szCs w:val="16"/>
    </w:rPr>
  </w:style>
  <w:style w:type="paragraph" w:customStyle="1" w:styleId="588">
    <w:name w:val="_Style 578"/>
    <w:basedOn w:val="1"/>
    <w:next w:val="1"/>
    <w:link w:val="587"/>
    <w:qFormat/>
    <w:uiPriority w:val="0"/>
    <w:pPr>
      <w:pBdr>
        <w:top w:val="single" w:color="auto" w:sz="6" w:space="1"/>
      </w:pBdr>
      <w:jc w:val="center"/>
    </w:pPr>
    <w:rPr>
      <w:rFonts w:ascii="Arial" w:hAnsi="Arial"/>
      <w:vanish/>
      <w:sz w:val="16"/>
      <w:szCs w:val="16"/>
    </w:rPr>
  </w:style>
  <w:style w:type="character" w:customStyle="1" w:styleId="589">
    <w:name w:val="Char Char1"/>
    <w:qFormat/>
    <w:uiPriority w:val="0"/>
    <w:rPr>
      <w:rFonts w:eastAsia="宋体"/>
      <w:b/>
      <w:color w:val="000000"/>
      <w:sz w:val="24"/>
      <w:lang w:val="en-US" w:eastAsia="zh-CN"/>
    </w:rPr>
  </w:style>
  <w:style w:type="character" w:customStyle="1" w:styleId="590">
    <w:name w:val="Char Char2"/>
    <w:qFormat/>
    <w:uiPriority w:val="0"/>
    <w:rPr>
      <w:rFonts w:ascii="宋体" w:hAnsi="宋体" w:eastAsia="宋体"/>
      <w:b/>
      <w:kern w:val="2"/>
      <w:sz w:val="24"/>
      <w:lang w:val="en-US" w:eastAsia="zh-CN"/>
    </w:rPr>
  </w:style>
  <w:style w:type="character" w:customStyle="1" w:styleId="591">
    <w:name w:val="td71"/>
    <w:qFormat/>
    <w:uiPriority w:val="0"/>
    <w:rPr>
      <w:color w:val="3B3B3B"/>
      <w:sz w:val="21"/>
      <w:szCs w:val="21"/>
    </w:rPr>
  </w:style>
  <w:style w:type="character" w:customStyle="1" w:styleId="592">
    <w:name w:val="题注 Char Char Char"/>
    <w:qFormat/>
    <w:uiPriority w:val="0"/>
    <w:rPr>
      <w:rFonts w:ascii="华文行楷" w:eastAsia="华文行楷"/>
      <w:i/>
      <w:iCs/>
      <w:color w:val="FF0000"/>
      <w:kern w:val="2"/>
      <w:sz w:val="32"/>
      <w:szCs w:val="24"/>
      <w:lang w:val="en-US" w:eastAsia="zh-CN" w:bidi="ar-SA"/>
    </w:rPr>
  </w:style>
  <w:style w:type="character" w:customStyle="1" w:styleId="593">
    <w:name w:val="c6 Char"/>
    <w:link w:val="594"/>
    <w:qFormat/>
    <w:uiPriority w:val="0"/>
    <w:rPr>
      <w:b/>
      <w:sz w:val="24"/>
      <w:szCs w:val="24"/>
      <w:lang w:bidi="en-US"/>
    </w:rPr>
  </w:style>
  <w:style w:type="paragraph" w:customStyle="1" w:styleId="594">
    <w:name w:val="c6"/>
    <w:basedOn w:val="1"/>
    <w:link w:val="593"/>
    <w:qFormat/>
    <w:uiPriority w:val="0"/>
    <w:pPr>
      <w:widowControl/>
      <w:spacing w:line="360" w:lineRule="auto"/>
      <w:ind w:firstLine="420"/>
    </w:pPr>
    <w:rPr>
      <w:b/>
      <w:kern w:val="0"/>
      <w:sz w:val="24"/>
      <w:szCs w:val="24"/>
      <w:lang w:bidi="en-US"/>
    </w:rPr>
  </w:style>
  <w:style w:type="character" w:customStyle="1" w:styleId="595">
    <w:name w:val="市环科院正文 Char"/>
    <w:link w:val="596"/>
    <w:qFormat/>
    <w:uiPriority w:val="0"/>
    <w:rPr>
      <w:sz w:val="24"/>
      <w:szCs w:val="24"/>
    </w:rPr>
  </w:style>
  <w:style w:type="paragraph" w:customStyle="1" w:styleId="596">
    <w:name w:val="市环科院正文"/>
    <w:basedOn w:val="1"/>
    <w:link w:val="595"/>
    <w:qFormat/>
    <w:uiPriority w:val="0"/>
    <w:pPr>
      <w:spacing w:line="300" w:lineRule="auto"/>
      <w:ind w:firstLine="480" w:firstLineChars="200"/>
    </w:pPr>
    <w:rPr>
      <w:kern w:val="0"/>
      <w:sz w:val="24"/>
      <w:szCs w:val="24"/>
    </w:rPr>
  </w:style>
  <w:style w:type="character" w:customStyle="1" w:styleId="597">
    <w:name w:val="表格1 Char"/>
    <w:link w:val="598"/>
    <w:qFormat/>
    <w:uiPriority w:val="0"/>
    <w:rPr>
      <w:kern w:val="2"/>
      <w:sz w:val="21"/>
      <w:szCs w:val="24"/>
    </w:rPr>
  </w:style>
  <w:style w:type="paragraph" w:customStyle="1" w:styleId="598">
    <w:name w:val="表格1"/>
    <w:basedOn w:val="1"/>
    <w:link w:val="597"/>
    <w:qFormat/>
    <w:uiPriority w:val="0"/>
    <w:rPr>
      <w:szCs w:val="24"/>
    </w:rPr>
  </w:style>
  <w:style w:type="character" w:customStyle="1" w:styleId="599">
    <w:name w:val="标题52"/>
    <w:qFormat/>
    <w:uiPriority w:val="0"/>
  </w:style>
  <w:style w:type="character" w:customStyle="1" w:styleId="600">
    <w:name w:val="Char Char42"/>
    <w:link w:val="601"/>
    <w:qFormat/>
    <w:uiPriority w:val="0"/>
    <w:rPr>
      <w:kern w:val="2"/>
      <w:sz w:val="18"/>
      <w:szCs w:val="18"/>
    </w:rPr>
  </w:style>
  <w:style w:type="paragraph" w:customStyle="1" w:styleId="601">
    <w:name w:val="批注框文本12"/>
    <w:basedOn w:val="1"/>
    <w:link w:val="600"/>
    <w:qFormat/>
    <w:uiPriority w:val="0"/>
    <w:rPr>
      <w:sz w:val="18"/>
      <w:szCs w:val="18"/>
    </w:rPr>
  </w:style>
  <w:style w:type="character" w:customStyle="1" w:styleId="602">
    <w:name w:val="访问过的超链接12"/>
    <w:qFormat/>
    <w:uiPriority w:val="0"/>
    <w:rPr>
      <w:rFonts w:hint="default" w:ascii="Times New Roman"/>
      <w:color w:val="800080"/>
      <w:u w:val="single"/>
    </w:rPr>
  </w:style>
  <w:style w:type="character" w:customStyle="1" w:styleId="603">
    <w:name w:val="Char Char161"/>
    <w:qFormat/>
    <w:uiPriority w:val="0"/>
    <w:rPr>
      <w:rFonts w:eastAsia="宋体"/>
      <w:bCs/>
      <w:kern w:val="44"/>
      <w:sz w:val="44"/>
      <w:szCs w:val="44"/>
      <w:lang w:val="en-US" w:eastAsia="zh-CN" w:bidi="ar-SA"/>
    </w:rPr>
  </w:style>
  <w:style w:type="character" w:customStyle="1" w:styleId="604">
    <w:name w:val="批注框文本 Char1"/>
    <w:qFormat/>
    <w:uiPriority w:val="0"/>
    <w:rPr>
      <w:rFonts w:ascii="Times New Roman" w:hAnsi="Times New Roman" w:eastAsia="宋体" w:cs="Times New Roman"/>
      <w:sz w:val="18"/>
      <w:szCs w:val="18"/>
    </w:rPr>
  </w:style>
  <w:style w:type="character" w:customStyle="1" w:styleId="605">
    <w:name w:val="Char Char18"/>
    <w:qFormat/>
    <w:uiPriority w:val="0"/>
    <w:rPr>
      <w:rFonts w:ascii="Arial" w:hAnsi="Arial" w:eastAsia="宋体" w:cs="Arial"/>
      <w:sz w:val="21"/>
      <w:szCs w:val="21"/>
      <w:lang w:val="en-US" w:eastAsia="zh-CN" w:bidi="ar-SA"/>
    </w:rPr>
  </w:style>
  <w:style w:type="character" w:customStyle="1" w:styleId="606">
    <w:name w:val="Char Char28"/>
    <w:qFormat/>
    <w:uiPriority w:val="0"/>
    <w:rPr>
      <w:rFonts w:ascii="华文行楷" w:eastAsia="华文行楷"/>
      <w:i/>
      <w:iCs/>
      <w:color w:val="FF0000"/>
      <w:kern w:val="2"/>
      <w:sz w:val="32"/>
      <w:szCs w:val="24"/>
      <w:lang w:val="en-US" w:eastAsia="zh-CN" w:bidi="ar-SA"/>
    </w:rPr>
  </w:style>
  <w:style w:type="paragraph" w:customStyle="1" w:styleId="607">
    <w:name w:val="样式 标题 4 + 宋体 段前: 6 磅 段后: 6 磅"/>
    <w:basedOn w:val="10"/>
    <w:qFormat/>
    <w:uiPriority w:val="0"/>
    <w:pPr>
      <w:keepNext w:val="0"/>
      <w:keepLines w:val="0"/>
      <w:adjustRightInd w:val="0"/>
      <w:spacing w:before="156" w:beforeLines="50" w:after="156" w:afterLines="50" w:line="490" w:lineRule="exact"/>
      <w:textAlignment w:val="baseline"/>
    </w:pPr>
    <w:rPr>
      <w:rFonts w:ascii="宋体" w:hAnsi="宋体" w:eastAsia="宋体"/>
      <w:kern w:val="0"/>
      <w:sz w:val="24"/>
    </w:rPr>
  </w:style>
  <w:style w:type="paragraph" w:customStyle="1" w:styleId="608">
    <w:name w:val="Char Char Char Char4"/>
    <w:basedOn w:val="1"/>
    <w:qFormat/>
    <w:uiPriority w:val="0"/>
    <w:rPr>
      <w:sz w:val="24"/>
    </w:rPr>
  </w:style>
  <w:style w:type="paragraph" w:customStyle="1" w:styleId="609">
    <w:name w:val=" Char Char Char Char Char Char1 Char Char Char1 Char Char Char1 Char Char Char Char Char Char Char Char Char Char"/>
    <w:basedOn w:val="1"/>
    <w:next w:val="1"/>
    <w:qFormat/>
    <w:uiPriority w:val="0"/>
    <w:pPr>
      <w:spacing w:line="360" w:lineRule="auto"/>
      <w:ind w:firstLine="200" w:firstLineChars="200"/>
    </w:pPr>
    <w:rPr>
      <w:rFonts w:ascii="宋体" w:hAnsi="宋体" w:cs="宋体"/>
      <w:sz w:val="24"/>
      <w:szCs w:val="24"/>
    </w:rPr>
  </w:style>
  <w:style w:type="paragraph" w:customStyle="1" w:styleId="610">
    <w:name w:val="xl56"/>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611">
    <w:name w:val="样式 样式 首行缩进:  2 字符2 + 首行缩进:  2 字符"/>
    <w:basedOn w:val="612"/>
    <w:qFormat/>
    <w:uiPriority w:val="0"/>
    <w:pPr>
      <w:spacing w:line="360" w:lineRule="auto"/>
    </w:pPr>
  </w:style>
  <w:style w:type="paragraph" w:customStyle="1" w:styleId="612">
    <w:name w:val="样式 首行缩进:  2 字符2"/>
    <w:basedOn w:val="1"/>
    <w:qFormat/>
    <w:uiPriority w:val="0"/>
    <w:pPr>
      <w:ind w:firstLine="200" w:firstLineChars="200"/>
    </w:pPr>
    <w:rPr>
      <w:rFonts w:cs="宋体"/>
      <w:sz w:val="24"/>
    </w:rPr>
  </w:style>
  <w:style w:type="paragraph" w:customStyle="1" w:styleId="613">
    <w:name w:val="正文居中五号"/>
    <w:basedOn w:val="1"/>
    <w:qFormat/>
    <w:uiPriority w:val="0"/>
    <w:pPr>
      <w:spacing w:line="400" w:lineRule="exact"/>
      <w:jc w:val="center"/>
    </w:pPr>
    <w:rPr>
      <w:rFonts w:cs="宋体"/>
    </w:rPr>
  </w:style>
  <w:style w:type="paragraph" w:customStyle="1" w:styleId="614">
    <w:name w:val="附录章标题"/>
    <w:next w:val="10"/>
    <w:qFormat/>
    <w:uiPriority w:val="0"/>
    <w:pPr>
      <w:wordWrap w:val="0"/>
      <w:overflowPunct w:val="0"/>
      <w:autoSpaceDE w:val="0"/>
      <w:spacing w:before="156" w:beforeLines="50" w:after="156"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615">
    <w:name w:val="xl46"/>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360" w:lineRule="auto"/>
      <w:ind w:firstLine="200" w:firstLineChars="200"/>
      <w:jc w:val="left"/>
    </w:pPr>
    <w:rPr>
      <w:rFonts w:ascii="Arial Unicode MS" w:hAnsi="Arial Unicode MS" w:eastAsia="Arial Unicode MS" w:cs="Arial Unicode MS"/>
      <w:kern w:val="0"/>
      <w:sz w:val="24"/>
      <w:szCs w:val="28"/>
    </w:rPr>
  </w:style>
  <w:style w:type="paragraph" w:customStyle="1" w:styleId="616">
    <w:name w:val="封面5"/>
    <w:basedOn w:val="1"/>
    <w:qFormat/>
    <w:uiPriority w:val="0"/>
    <w:pPr>
      <w:snapToGrid w:val="0"/>
    </w:pPr>
    <w:rPr>
      <w:szCs w:val="24"/>
    </w:rPr>
  </w:style>
  <w:style w:type="paragraph" w:customStyle="1" w:styleId="617">
    <w:name w:val="字元 字元 Char Char 字元 字元13"/>
    <w:basedOn w:val="1"/>
    <w:qFormat/>
    <w:uiPriority w:val="0"/>
    <w:rPr>
      <w:sz w:val="24"/>
      <w:szCs w:val="24"/>
    </w:rPr>
  </w:style>
  <w:style w:type="paragraph" w:customStyle="1" w:styleId="618">
    <w:name w:val="表内5S"/>
    <w:basedOn w:val="1"/>
    <w:qFormat/>
    <w:uiPriority w:val="0"/>
    <w:pPr>
      <w:spacing w:line="300" w:lineRule="exact"/>
    </w:pPr>
    <w:rPr>
      <w:rFonts w:eastAsia="方正宋三简体"/>
    </w:rPr>
  </w:style>
  <w:style w:type="paragraph" w:customStyle="1" w:styleId="619">
    <w:name w:val="xl40"/>
    <w:basedOn w:val="1"/>
    <w:qFormat/>
    <w:uiPriority w:val="0"/>
    <w:pPr>
      <w:widowControl/>
      <w:pBdr>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color w:val="000000"/>
      <w:kern w:val="0"/>
      <w:sz w:val="24"/>
    </w:rPr>
  </w:style>
  <w:style w:type="paragraph" w:customStyle="1" w:styleId="620">
    <w:name w:val="样式11"/>
    <w:basedOn w:val="53"/>
    <w:qFormat/>
    <w:uiPriority w:val="0"/>
    <w:pPr>
      <w:spacing w:line="300" w:lineRule="auto"/>
      <w:jc w:val="center"/>
    </w:pPr>
    <w:rPr>
      <w:rFonts w:hAnsi="Times New Roman"/>
      <w:szCs w:val="24"/>
    </w:rPr>
  </w:style>
  <w:style w:type="paragraph" w:customStyle="1" w:styleId="621">
    <w:name w:val="NF3正文"/>
    <w:basedOn w:val="1"/>
    <w:qFormat/>
    <w:uiPriority w:val="0"/>
    <w:pPr>
      <w:snapToGrid w:val="0"/>
      <w:spacing w:line="500" w:lineRule="exact"/>
      <w:ind w:firstLine="200" w:firstLineChars="200"/>
    </w:pPr>
    <w:rPr>
      <w:rFonts w:ascii="宋体" w:hAnsi="宋体"/>
      <w:sz w:val="28"/>
      <w:szCs w:val="28"/>
    </w:rPr>
  </w:style>
  <w:style w:type="paragraph" w:customStyle="1" w:styleId="622">
    <w:name w:val="标题样式5"/>
    <w:basedOn w:val="12"/>
    <w:qFormat/>
    <w:uiPriority w:val="0"/>
    <w:pPr>
      <w:tabs>
        <w:tab w:val="clear" w:pos="1008"/>
      </w:tabs>
      <w:autoSpaceDE/>
      <w:autoSpaceDN/>
      <w:adjustRightInd/>
      <w:spacing w:before="0" w:after="0" w:line="360" w:lineRule="auto"/>
      <w:ind w:left="0" w:firstLine="0"/>
    </w:pPr>
    <w:rPr>
      <w:rFonts w:ascii="黑体" w:hAnsi="Times New Roman" w:eastAsia="黑体"/>
      <w:bCs/>
      <w:szCs w:val="28"/>
    </w:rPr>
  </w:style>
  <w:style w:type="paragraph" w:customStyle="1" w:styleId="623">
    <w:name w:val="file"/>
    <w:basedOn w:val="1"/>
    <w:qFormat/>
    <w:uiPriority w:val="0"/>
    <w:pPr>
      <w:widowControl/>
      <w:spacing w:before="100" w:beforeAutospacing="1" w:after="100" w:afterAutospacing="1" w:line="360" w:lineRule="auto"/>
      <w:ind w:firstLine="540"/>
      <w:jc w:val="left"/>
    </w:pPr>
    <w:rPr>
      <w:rFonts w:ascii="_x000B__x000C_" w:hAnsi="_x000B__x000C_"/>
      <w:kern w:val="0"/>
      <w:sz w:val="18"/>
    </w:rPr>
  </w:style>
  <w:style w:type="paragraph" w:customStyle="1" w:styleId="624">
    <w:name w:val="样式 标题 3条标题1.1.13h33rd levelH3l3CT标题 3 Char Char头level_...1"/>
    <w:basedOn w:val="9"/>
    <w:qFormat/>
    <w:uiPriority w:val="0"/>
    <w:pPr>
      <w:numPr>
        <w:ilvl w:val="2"/>
        <w:numId w:val="0"/>
      </w:numPr>
      <w:tabs>
        <w:tab w:val="left" w:pos="1323"/>
      </w:tabs>
      <w:adjustRightInd w:val="0"/>
      <w:snapToGrid w:val="0"/>
      <w:spacing w:before="156" w:beforeLines="50" w:beforeAutospacing="0" w:after="156" w:afterLines="50" w:afterAutospacing="0" w:line="360" w:lineRule="auto"/>
      <w:ind w:left="603"/>
    </w:pPr>
    <w:rPr>
      <w:rFonts w:ascii="宋体" w:hAnsi="宋体"/>
      <w:b w:val="0"/>
      <w:color w:val="000000"/>
      <w:sz w:val="24"/>
    </w:rPr>
  </w:style>
  <w:style w:type="paragraph" w:customStyle="1" w:styleId="625">
    <w:name w:val="reader-word-layer reader-word-s1-39"/>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626">
    <w:name w:val="样式"/>
    <w:basedOn w:val="1"/>
    <w:next w:val="75"/>
    <w:link w:val="627"/>
    <w:qFormat/>
    <w:uiPriority w:val="0"/>
    <w:pPr>
      <w:tabs>
        <w:tab w:val="left" w:pos="6720"/>
      </w:tabs>
      <w:spacing w:line="360" w:lineRule="auto"/>
      <w:ind w:firstLine="480" w:firstLineChars="200"/>
    </w:pPr>
    <w:rPr>
      <w:rFonts w:ascii="楷体_GB2312" w:eastAsia="楷体_GB2312"/>
      <w:sz w:val="24"/>
      <w:szCs w:val="24"/>
    </w:rPr>
  </w:style>
  <w:style w:type="character" w:customStyle="1" w:styleId="627">
    <w:name w:val="样式 Char"/>
    <w:link w:val="626"/>
    <w:qFormat/>
    <w:uiPriority w:val="0"/>
    <w:rPr>
      <w:rFonts w:ascii="楷体_GB2312" w:eastAsia="楷体_GB2312"/>
      <w:kern w:val="2"/>
      <w:sz w:val="24"/>
      <w:szCs w:val="24"/>
    </w:rPr>
  </w:style>
  <w:style w:type="paragraph" w:customStyle="1" w:styleId="628">
    <w:name w:val="ST20_1"/>
    <w:basedOn w:val="1"/>
    <w:qFormat/>
    <w:uiPriority w:val="0"/>
    <w:pPr>
      <w:autoSpaceDE w:val="0"/>
      <w:autoSpaceDN w:val="0"/>
      <w:adjustRightInd w:val="0"/>
      <w:spacing w:line="312" w:lineRule="atLeast"/>
      <w:jc w:val="center"/>
      <w:textAlignment w:val="baseline"/>
    </w:pPr>
    <w:rPr>
      <w:rFonts w:ascii="宋体" w:hAnsi="Tms Rmn"/>
      <w:kern w:val="0"/>
      <w:sz w:val="24"/>
    </w:rPr>
  </w:style>
  <w:style w:type="paragraph" w:customStyle="1" w:styleId="629">
    <w:name w:val="圆点"/>
    <w:qFormat/>
    <w:uiPriority w:val="0"/>
    <w:pPr>
      <w:tabs>
        <w:tab w:val="left" w:pos="-6"/>
      </w:tabs>
      <w:snapToGrid w:val="0"/>
      <w:spacing w:line="360" w:lineRule="auto"/>
      <w:ind w:leftChars="-3" w:hanging="7" w:hangingChars="3"/>
    </w:pPr>
    <w:rPr>
      <w:rFonts w:ascii="Times New Roman" w:hAnsi="Times New Roman" w:eastAsia="宋体" w:cs="Times New Roman"/>
      <w:snapToGrid w:val="0"/>
      <w:sz w:val="24"/>
      <w:lang w:val="en-US" w:eastAsia="zh-CN" w:bidi="ar-SA"/>
    </w:rPr>
  </w:style>
  <w:style w:type="paragraph" w:customStyle="1" w:styleId="630">
    <w:name w:val="一级条标题"/>
    <w:basedOn w:val="631"/>
    <w:next w:val="1"/>
    <w:link w:val="632"/>
    <w:qFormat/>
    <w:uiPriority w:val="0"/>
    <w:pPr>
      <w:numPr>
        <w:ilvl w:val="0"/>
        <w:numId w:val="0"/>
      </w:numPr>
      <w:tabs>
        <w:tab w:val="left" w:pos="360"/>
        <w:tab w:val="left" w:pos="903"/>
      </w:tabs>
      <w:spacing w:before="0" w:after="0"/>
      <w:outlineLvl w:val="2"/>
    </w:pPr>
  </w:style>
  <w:style w:type="paragraph" w:customStyle="1" w:styleId="631">
    <w:name w:val="章标题"/>
    <w:next w:val="1"/>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character" w:customStyle="1" w:styleId="632">
    <w:name w:val="一级条标题 Char"/>
    <w:link w:val="630"/>
    <w:qFormat/>
    <w:locked/>
    <w:uiPriority w:val="0"/>
    <w:rPr>
      <w:rFonts w:ascii="黑体" w:eastAsia="黑体"/>
      <w:sz w:val="21"/>
    </w:rPr>
  </w:style>
  <w:style w:type="paragraph" w:customStyle="1" w:styleId="633">
    <w:name w:val="HTML 预设格式1"/>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634">
    <w:name w:val="定表"/>
    <w:basedOn w:val="1"/>
    <w:qFormat/>
    <w:uiPriority w:val="0"/>
    <w:pPr>
      <w:snapToGrid w:val="0"/>
      <w:spacing w:after="156" w:afterLines="50"/>
    </w:pPr>
    <w:rPr>
      <w:szCs w:val="24"/>
    </w:rPr>
  </w:style>
  <w:style w:type="paragraph" w:customStyle="1" w:styleId="635">
    <w:name w:val="In Table"/>
    <w:basedOn w:val="1"/>
    <w:qFormat/>
    <w:uiPriority w:val="0"/>
    <w:pPr>
      <w:tabs>
        <w:tab w:val="left" w:pos="2200"/>
        <w:tab w:val="left" w:pos="3960"/>
        <w:tab w:val="left" w:pos="5280"/>
      </w:tabs>
      <w:spacing w:before="96" w:beforeLines="0" w:beforeAutospacing="0" w:after="96" w:afterLines="0" w:afterAutospacing="0" w:line="0" w:lineRule="atLeast"/>
      <w:jc w:val="center"/>
    </w:pPr>
    <w:rPr>
      <w:rFonts w:ascii="Tahoma" w:hAnsi="Tahoma" w:eastAsia="华文中宋"/>
    </w:rPr>
  </w:style>
  <w:style w:type="paragraph" w:customStyle="1" w:styleId="636">
    <w:name w:val="五级无标题条"/>
    <w:basedOn w:val="1"/>
    <w:qFormat/>
    <w:uiPriority w:val="0"/>
    <w:pPr>
      <w:tabs>
        <w:tab w:val="left" w:pos="360"/>
      </w:tabs>
      <w:ind w:firstLine="200"/>
    </w:pPr>
    <w:rPr>
      <w:szCs w:val="24"/>
    </w:rPr>
  </w:style>
  <w:style w:type="paragraph" w:customStyle="1" w:styleId="637">
    <w:name w:val="证书2"/>
    <w:basedOn w:val="1"/>
    <w:qFormat/>
    <w:uiPriority w:val="0"/>
    <w:pPr>
      <w:spacing w:before="156" w:line="400" w:lineRule="exact"/>
      <w:jc w:val="distribute"/>
    </w:pPr>
    <w:rPr>
      <w:rFonts w:ascii="隶书" w:eastAsia="隶书" w:cs="宋体"/>
      <w:b/>
      <w:bCs/>
      <w:sz w:val="32"/>
    </w:rPr>
  </w:style>
  <w:style w:type="paragraph" w:customStyle="1" w:styleId="638">
    <w:name w:val="表格新"/>
    <w:basedOn w:val="312"/>
    <w:qFormat/>
    <w:uiPriority w:val="0"/>
    <w:pPr>
      <w:widowControl/>
      <w:tabs>
        <w:tab w:val="clear" w:pos="360"/>
        <w:tab w:val="clear" w:pos="6300"/>
      </w:tabs>
      <w:spacing w:line="360" w:lineRule="exact"/>
      <w:ind w:left="0" w:right="0"/>
    </w:pPr>
    <w:rPr>
      <w:rFonts w:hAnsi="Times New Roman"/>
      <w:color w:val="auto"/>
      <w:kern w:val="0"/>
      <w:szCs w:val="24"/>
    </w:rPr>
  </w:style>
  <w:style w:type="paragraph" w:customStyle="1" w:styleId="639">
    <w:name w:val=" Char4"/>
    <w:basedOn w:val="1"/>
    <w:qFormat/>
    <w:uiPriority w:val="0"/>
    <w:pPr>
      <w:spacing w:line="360" w:lineRule="auto"/>
      <w:ind w:firstLine="200" w:firstLineChars="200"/>
    </w:pPr>
  </w:style>
  <w:style w:type="paragraph" w:customStyle="1" w:styleId="640">
    <w:name w:val="流程图"/>
    <w:basedOn w:val="1"/>
    <w:qFormat/>
    <w:uiPriority w:val="0"/>
    <w:pPr>
      <w:tabs>
        <w:tab w:val="left" w:pos="0"/>
      </w:tabs>
      <w:autoSpaceDE w:val="0"/>
      <w:autoSpaceDN w:val="0"/>
      <w:adjustRightInd w:val="0"/>
      <w:spacing w:line="240" w:lineRule="atLeast"/>
      <w:jc w:val="center"/>
      <w:textAlignment w:val="bottom"/>
    </w:pPr>
    <w:rPr>
      <w:rFonts w:ascii="宋体"/>
    </w:rPr>
  </w:style>
  <w:style w:type="paragraph" w:customStyle="1" w:styleId="641">
    <w:name w:val="证书5"/>
    <w:basedOn w:val="1"/>
    <w:qFormat/>
    <w:uiPriority w:val="0"/>
    <w:pPr>
      <w:spacing w:line="500" w:lineRule="exact"/>
      <w:jc w:val="center"/>
    </w:pPr>
    <w:rPr>
      <w:rFonts w:ascii="隶书" w:eastAsia="隶书" w:cs="宋体"/>
      <w:b/>
      <w:bCs/>
      <w:sz w:val="44"/>
    </w:rPr>
  </w:style>
  <w:style w:type="paragraph" w:customStyle="1" w:styleId="642">
    <w:name w:val="列表 Char列表"/>
    <w:basedOn w:val="28"/>
    <w:next w:val="46"/>
    <w:qFormat/>
    <w:uiPriority w:val="0"/>
    <w:pPr>
      <w:spacing w:line="480" w:lineRule="exact"/>
      <w:ind w:left="0" w:firstLine="0" w:firstLineChars="0"/>
      <w:jc w:val="center"/>
    </w:pPr>
    <w:rPr>
      <w:rFonts w:eastAsia="黑体"/>
      <w:sz w:val="24"/>
    </w:rPr>
  </w:style>
  <w:style w:type="paragraph" w:customStyle="1" w:styleId="643">
    <w:name w:val="样式 标题 2 + 段前: 1 行 段后: 1 行"/>
    <w:basedOn w:val="8"/>
    <w:qFormat/>
    <w:uiPriority w:val="0"/>
    <w:pPr>
      <w:pageBreakBefore/>
      <w:tabs>
        <w:tab w:val="left" w:pos="1080"/>
        <w:tab w:val="left" w:pos="2534"/>
      </w:tabs>
      <w:adjustRightInd w:val="0"/>
      <w:snapToGrid w:val="0"/>
      <w:spacing w:before="100" w:beforeLines="100" w:beforeAutospacing="1" w:after="312" w:afterLines="100" w:line="240" w:lineRule="auto"/>
      <w:jc w:val="center"/>
    </w:pPr>
    <w:rPr>
      <w:rFonts w:ascii="Times New Roman" w:hAnsi="Times New Roman" w:cs="宋体"/>
      <w:b w:val="0"/>
      <w:color w:val="000000"/>
      <w:kern w:val="0"/>
      <w:sz w:val="36"/>
    </w:rPr>
  </w:style>
  <w:style w:type="paragraph" w:customStyle="1" w:styleId="644">
    <w:name w:val="Plain Text1"/>
    <w:basedOn w:val="1"/>
    <w:qFormat/>
    <w:uiPriority w:val="0"/>
    <w:pPr>
      <w:autoSpaceDE w:val="0"/>
      <w:autoSpaceDN w:val="0"/>
      <w:adjustRightInd w:val="0"/>
      <w:textAlignment w:val="baseline"/>
    </w:pPr>
    <w:rPr>
      <w:rFonts w:ascii="宋体" w:hAnsi="Tms Rmn"/>
      <w:kern w:val="0"/>
    </w:rPr>
  </w:style>
  <w:style w:type="paragraph" w:customStyle="1" w:styleId="645">
    <w:name w:val="l15"/>
    <w:basedOn w:val="1"/>
    <w:qFormat/>
    <w:uiPriority w:val="0"/>
    <w:pPr>
      <w:widowControl/>
      <w:spacing w:before="100" w:beforeAutospacing="1" w:after="100" w:afterAutospacing="1" w:line="360" w:lineRule="auto"/>
      <w:jc w:val="left"/>
    </w:pPr>
    <w:rPr>
      <w:rFonts w:ascii="宋体" w:hAnsi="宋体" w:cs="宋体"/>
      <w:color w:val="2B2B2B"/>
      <w:kern w:val="0"/>
      <w:szCs w:val="21"/>
    </w:rPr>
  </w:style>
  <w:style w:type="paragraph" w:customStyle="1" w:styleId="646">
    <w:name w:val="CM14"/>
    <w:basedOn w:val="117"/>
    <w:next w:val="117"/>
    <w:qFormat/>
    <w:uiPriority w:val="0"/>
    <w:pPr>
      <w:spacing w:line="468" w:lineRule="atLeast"/>
    </w:pPr>
    <w:rPr>
      <w:rFonts w:ascii="仿宋_GB2312" w:eastAsia="仿宋_GB2312" w:cs="Times New Roman"/>
      <w:color w:val="auto"/>
    </w:rPr>
  </w:style>
  <w:style w:type="paragraph" w:customStyle="1" w:styleId="647">
    <w:name w:val="表格内容1"/>
    <w:basedOn w:val="1"/>
    <w:qFormat/>
    <w:uiPriority w:val="0"/>
    <w:pPr>
      <w:tabs>
        <w:tab w:val="left" w:pos="1535"/>
        <w:tab w:val="left" w:pos="3105"/>
        <w:tab w:val="left" w:pos="4676"/>
        <w:tab w:val="left" w:pos="6247"/>
        <w:tab w:val="left" w:pos="7740"/>
        <w:tab w:val="left" w:pos="9288"/>
      </w:tabs>
      <w:snapToGrid w:val="0"/>
      <w:spacing w:line="240" w:lineRule="exact"/>
      <w:ind w:left="-30" w:leftChars="-12"/>
      <w:jc w:val="center"/>
      <w:textAlignment w:val="baseline"/>
    </w:pPr>
    <w:rPr>
      <w:rFonts w:ascii="宋体" w:hAnsi="宋体"/>
      <w:snapToGrid w:val="0"/>
      <w:color w:val="FF0000"/>
      <w:kern w:val="0"/>
      <w:sz w:val="24"/>
      <w:szCs w:val="24"/>
    </w:rPr>
  </w:style>
  <w:style w:type="paragraph" w:customStyle="1" w:styleId="648">
    <w:name w:val="四级目录"/>
    <w:basedOn w:val="1"/>
    <w:qFormat/>
    <w:uiPriority w:val="0"/>
    <w:pPr>
      <w:spacing w:line="440" w:lineRule="exact"/>
      <w:ind w:firstLine="664" w:firstLineChars="200"/>
    </w:pPr>
    <w:rPr>
      <w:rFonts w:ascii="仿宋_GB2312" w:hAnsi="宋体"/>
      <w:b/>
      <w:color w:val="000000"/>
      <w:spacing w:val="6"/>
      <w:sz w:val="28"/>
    </w:rPr>
  </w:style>
  <w:style w:type="paragraph" w:customStyle="1" w:styleId="649">
    <w:name w:val="自制表格"/>
    <w:basedOn w:val="1"/>
    <w:next w:val="1"/>
    <w:qFormat/>
    <w:uiPriority w:val="0"/>
    <w:pPr>
      <w:spacing w:after="120"/>
    </w:pPr>
    <w:rPr>
      <w:rFonts w:ascii="宋体"/>
      <w:kern w:val="10"/>
      <w:sz w:val="28"/>
    </w:rPr>
  </w:style>
  <w:style w:type="paragraph" w:customStyle="1" w:styleId="650">
    <w:name w:val="徐正生  标题3"/>
    <w:basedOn w:val="1"/>
    <w:qFormat/>
    <w:uiPriority w:val="0"/>
    <w:pPr>
      <w:spacing w:line="360" w:lineRule="auto"/>
    </w:pPr>
    <w:rPr>
      <w:rFonts w:cs="宋体"/>
      <w:sz w:val="24"/>
    </w:rPr>
  </w:style>
  <w:style w:type="paragraph" w:customStyle="1" w:styleId="651">
    <w:name w:val="咨询公司名称"/>
    <w:basedOn w:val="1"/>
    <w:qFormat/>
    <w:uiPriority w:val="0"/>
    <w:pPr>
      <w:jc w:val="center"/>
    </w:pPr>
    <w:rPr>
      <w:rFonts w:ascii="黑体" w:eastAsia="黑体" w:cs="宋体"/>
      <w:sz w:val="32"/>
    </w:rPr>
  </w:style>
  <w:style w:type="paragraph" w:customStyle="1" w:styleId="652">
    <w:name w:val="标准标题4"/>
    <w:basedOn w:val="10"/>
    <w:qFormat/>
    <w:uiPriority w:val="0"/>
    <w:pPr>
      <w:numPr>
        <w:ilvl w:val="3"/>
        <w:numId w:val="0"/>
      </w:numPr>
      <w:adjustRightInd w:val="0"/>
      <w:snapToGrid w:val="0"/>
      <w:spacing w:before="0" w:after="0" w:line="360" w:lineRule="auto"/>
      <w:jc w:val="left"/>
    </w:pPr>
    <w:rPr>
      <w:rFonts w:ascii="Times New Roman" w:hAnsi="Times New Roman" w:eastAsia="宋体" w:cs="仿宋_GB2312"/>
      <w:b w:val="0"/>
      <w:sz w:val="24"/>
      <w:szCs w:val="24"/>
    </w:rPr>
  </w:style>
  <w:style w:type="paragraph" w:customStyle="1" w:styleId="653">
    <w:name w:val="张小雄五"/>
    <w:basedOn w:val="1"/>
    <w:qFormat/>
    <w:uiPriority w:val="0"/>
    <w:pPr>
      <w:adjustRightInd w:val="0"/>
      <w:snapToGrid w:val="0"/>
      <w:spacing w:line="360" w:lineRule="auto"/>
      <w:ind w:firstLine="200" w:firstLineChars="200"/>
    </w:pPr>
    <w:rPr>
      <w:rFonts w:ascii="宋体"/>
      <w:snapToGrid w:val="0"/>
      <w:spacing w:val="4"/>
      <w:sz w:val="28"/>
      <w:szCs w:val="24"/>
    </w:rPr>
  </w:style>
  <w:style w:type="paragraph" w:customStyle="1" w:styleId="654">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655">
    <w:name w:val="图名称"/>
    <w:basedOn w:val="1"/>
    <w:qFormat/>
    <w:uiPriority w:val="0"/>
    <w:pPr>
      <w:tabs>
        <w:tab w:val="left" w:pos="-120"/>
      </w:tabs>
      <w:overflowPunct w:val="0"/>
      <w:topLinePunct/>
      <w:autoSpaceDE w:val="0"/>
      <w:adjustRightInd w:val="0"/>
      <w:snapToGrid w:val="0"/>
      <w:spacing w:before="50" w:line="240" w:lineRule="atLeast"/>
      <w:jc w:val="center"/>
      <w:textAlignment w:val="baseline"/>
    </w:pPr>
    <w:rPr>
      <w:rFonts w:eastAsia="黑体"/>
      <w:b/>
      <w:kern w:val="0"/>
      <w:sz w:val="24"/>
    </w:rPr>
  </w:style>
  <w:style w:type="paragraph" w:customStyle="1" w:styleId="656">
    <w:name w:val="标准标题2"/>
    <w:basedOn w:val="8"/>
    <w:qFormat/>
    <w:uiPriority w:val="0"/>
    <w:pPr>
      <w:numPr>
        <w:ilvl w:val="1"/>
        <w:numId w:val="0"/>
      </w:numPr>
      <w:adjustRightInd w:val="0"/>
      <w:snapToGrid w:val="0"/>
      <w:spacing w:before="156" w:beforeLines="50" w:after="156" w:afterLines="50" w:line="360" w:lineRule="auto"/>
      <w:jc w:val="left"/>
    </w:pPr>
    <w:rPr>
      <w:rFonts w:ascii="Times New Roman" w:hAnsi="Times New Roman" w:eastAsia="宋体" w:cs="Arial"/>
      <w:bCs/>
      <w:sz w:val="30"/>
      <w:szCs w:val="30"/>
    </w:rPr>
  </w:style>
  <w:style w:type="paragraph" w:customStyle="1" w:styleId="657">
    <w:name w:val="宏福3"/>
    <w:basedOn w:val="9"/>
    <w:qFormat/>
    <w:uiPriority w:val="0"/>
    <w:pPr>
      <w:snapToGrid w:val="0"/>
      <w:spacing w:before="240" w:after="0" w:line="240" w:lineRule="auto"/>
    </w:pPr>
    <w:rPr>
      <w:b w:val="0"/>
      <w:sz w:val="24"/>
    </w:rPr>
  </w:style>
  <w:style w:type="paragraph" w:customStyle="1" w:styleId="658">
    <w:name w:val="样式 列表列表 Char列表 Char Char Char Char Char1列表 Char Char Char Cha..."/>
    <w:basedOn w:val="28"/>
    <w:qFormat/>
    <w:uiPriority w:val="0"/>
    <w:pPr>
      <w:spacing w:line="500" w:lineRule="exact"/>
      <w:ind w:left="0" w:firstLine="200" w:firstLineChars="200"/>
      <w:jc w:val="center"/>
    </w:pPr>
    <w:rPr>
      <w:rFonts w:eastAsia="黑体"/>
      <w:sz w:val="24"/>
    </w:rPr>
  </w:style>
  <w:style w:type="paragraph" w:customStyle="1" w:styleId="659">
    <w:name w:val="xl42"/>
    <w:basedOn w:val="1"/>
    <w:qFormat/>
    <w:uiPriority w:val="0"/>
    <w:pPr>
      <w:widowControl/>
      <w:pBdr>
        <w:top w:val="single" w:color="auto" w:sz="4" w:space="0"/>
        <w:left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660">
    <w:name w:val="样式 小四 行距: 1.5 倍行距 首行缩进:  2 字符"/>
    <w:basedOn w:val="1"/>
    <w:qFormat/>
    <w:uiPriority w:val="0"/>
    <w:pPr>
      <w:adjustRightInd w:val="0"/>
      <w:spacing w:before="120" w:line="360" w:lineRule="auto"/>
      <w:ind w:firstLine="480" w:firstLineChars="200"/>
      <w:jc w:val="left"/>
      <w:textAlignment w:val="baseline"/>
    </w:pPr>
    <w:rPr>
      <w:rFonts w:cs="宋体"/>
      <w:sz w:val="24"/>
    </w:rPr>
  </w:style>
  <w:style w:type="paragraph" w:customStyle="1" w:styleId="661">
    <w:name w:val="样式 首行缩进:  0.85 厘米 段后: 0.5 行 行距: 固定值 22 磅"/>
    <w:basedOn w:val="1"/>
    <w:qFormat/>
    <w:uiPriority w:val="0"/>
    <w:pPr>
      <w:spacing w:after="156" w:line="440" w:lineRule="exact"/>
      <w:ind w:firstLine="480"/>
    </w:pPr>
    <w:rPr>
      <w:szCs w:val="24"/>
    </w:rPr>
  </w:style>
  <w:style w:type="paragraph" w:customStyle="1" w:styleId="662">
    <w:name w:val="佛表"/>
    <w:basedOn w:val="28"/>
    <w:qFormat/>
    <w:uiPriority w:val="0"/>
    <w:pPr>
      <w:ind w:left="0" w:firstLine="0" w:firstLineChars="0"/>
      <w:jc w:val="center"/>
    </w:pPr>
    <w:rPr>
      <w:rFonts w:ascii="仿宋_GB2312" w:eastAsia="仿宋_GB2312"/>
      <w:color w:val="000000"/>
      <w:sz w:val="24"/>
      <w:szCs w:val="24"/>
    </w:rPr>
  </w:style>
  <w:style w:type="paragraph" w:customStyle="1" w:styleId="663">
    <w:name w:val="表格，内容"/>
    <w:basedOn w:val="1"/>
    <w:qFormat/>
    <w:uiPriority w:val="0"/>
    <w:pPr>
      <w:jc w:val="center"/>
    </w:pPr>
    <w:rPr>
      <w:spacing w:val="-6"/>
      <w:kern w:val="44"/>
      <w:szCs w:val="24"/>
    </w:rPr>
  </w:style>
  <w:style w:type="paragraph" w:customStyle="1" w:styleId="664">
    <w:name w:val="大纲封面"/>
    <w:basedOn w:val="1"/>
    <w:qFormat/>
    <w:uiPriority w:val="0"/>
    <w:pPr>
      <w:spacing w:line="360" w:lineRule="auto"/>
      <w:jc w:val="center"/>
    </w:pPr>
    <w:rPr>
      <w:rFonts w:ascii="宋体" w:hAnsi="Arial Black" w:eastAsia="楷体_GB2312"/>
      <w:b/>
      <w:spacing w:val="100"/>
      <w:kern w:val="44"/>
      <w:sz w:val="72"/>
    </w:rPr>
  </w:style>
  <w:style w:type="paragraph" w:customStyle="1" w:styleId="665">
    <w:name w:val="我的表头"/>
    <w:basedOn w:val="1"/>
    <w:qFormat/>
    <w:uiPriority w:val="0"/>
    <w:pPr>
      <w:spacing w:before="156"/>
      <w:jc w:val="center"/>
    </w:pPr>
    <w:rPr>
      <w:rFonts w:ascii="黑体" w:eastAsia="黑体" w:cs="宋体"/>
      <w:b/>
      <w:bCs/>
      <w:sz w:val="24"/>
    </w:rPr>
  </w:style>
  <w:style w:type="paragraph" w:customStyle="1" w:styleId="666">
    <w:name w:val="CM30"/>
    <w:basedOn w:val="117"/>
    <w:next w:val="117"/>
    <w:qFormat/>
    <w:uiPriority w:val="0"/>
    <w:pPr>
      <w:spacing w:line="468" w:lineRule="atLeast"/>
    </w:pPr>
    <w:rPr>
      <w:rFonts w:ascii="仿宋_GB2312" w:eastAsia="仿宋_GB2312" w:cs="Times New Roman"/>
      <w:color w:val="auto"/>
    </w:rPr>
  </w:style>
  <w:style w:type="paragraph" w:customStyle="1" w:styleId="667">
    <w:name w:val="font13"/>
    <w:basedOn w:val="1"/>
    <w:qFormat/>
    <w:uiPriority w:val="0"/>
    <w:pPr>
      <w:widowControl/>
      <w:spacing w:before="100" w:beforeAutospacing="1" w:after="100" w:afterAutospacing="1"/>
      <w:jc w:val="left"/>
    </w:pPr>
    <w:rPr>
      <w:rFonts w:ascii="Arial" w:hAnsi="Arial" w:cs="Arial"/>
      <w:color w:val="000000"/>
      <w:kern w:val="0"/>
      <w:sz w:val="16"/>
      <w:szCs w:val="16"/>
    </w:rPr>
  </w:style>
  <w:style w:type="paragraph" w:customStyle="1" w:styleId="668">
    <w:name w:val="四级无标题条"/>
    <w:basedOn w:val="1"/>
    <w:qFormat/>
    <w:uiPriority w:val="0"/>
    <w:pPr>
      <w:tabs>
        <w:tab w:val="left" w:pos="360"/>
      </w:tabs>
      <w:ind w:firstLine="200"/>
    </w:pPr>
    <w:rPr>
      <w:szCs w:val="24"/>
    </w:rPr>
  </w:style>
  <w:style w:type="paragraph" w:customStyle="1" w:styleId="669">
    <w:name w:val="000 正文 首行缩进2字符"/>
    <w:basedOn w:val="1"/>
    <w:qFormat/>
    <w:uiPriority w:val="0"/>
    <w:pPr>
      <w:adjustRightInd w:val="0"/>
      <w:spacing w:line="288" w:lineRule="auto"/>
      <w:ind w:firstLine="360" w:firstLineChars="200"/>
      <w:textAlignment w:val="baseline"/>
    </w:pPr>
    <w:rPr>
      <w:rFonts w:cs="宋体"/>
      <w:kern w:val="0"/>
      <w:sz w:val="18"/>
    </w:rPr>
  </w:style>
  <w:style w:type="paragraph" w:customStyle="1" w:styleId="670">
    <w:name w:val="样式 标题 3 + 左侧:  0.5 字符1"/>
    <w:basedOn w:val="9"/>
    <w:qFormat/>
    <w:uiPriority w:val="0"/>
    <w:pPr>
      <w:tabs>
        <w:tab w:val="left" w:pos="1575"/>
      </w:tabs>
      <w:spacing w:before="120" w:after="120"/>
      <w:ind w:leftChars="50"/>
      <w:jc w:val="left"/>
    </w:pPr>
    <w:rPr>
      <w:rFonts w:ascii="Arial" w:hAnsi="Arial" w:eastAsia="黑体"/>
      <w:b w:val="0"/>
      <w:bCs/>
      <w:sz w:val="28"/>
    </w:rPr>
  </w:style>
  <w:style w:type="paragraph" w:customStyle="1" w:styleId="671">
    <w:name w:val="正文小五居中"/>
    <w:basedOn w:val="1"/>
    <w:qFormat/>
    <w:uiPriority w:val="0"/>
    <w:pPr>
      <w:jc w:val="center"/>
    </w:pPr>
    <w:rPr>
      <w:rFonts w:cs="宋体"/>
      <w:sz w:val="18"/>
    </w:rPr>
  </w:style>
  <w:style w:type="paragraph" w:customStyle="1" w:styleId="672">
    <w:name w:val=" Char Char3 Char Char Char1 Char"/>
    <w:basedOn w:val="1"/>
    <w:qFormat/>
    <w:uiPriority w:val="0"/>
  </w:style>
  <w:style w:type="paragraph" w:customStyle="1" w:styleId="673">
    <w:name w:val="表注"/>
    <w:basedOn w:val="1"/>
    <w:next w:val="2"/>
    <w:qFormat/>
    <w:uiPriority w:val="0"/>
    <w:rPr>
      <w:szCs w:val="24"/>
    </w:rPr>
  </w:style>
  <w:style w:type="paragraph" w:customStyle="1" w:styleId="674">
    <w:name w:val="封面单位"/>
    <w:basedOn w:val="1"/>
    <w:qFormat/>
    <w:uiPriority w:val="0"/>
    <w:pPr>
      <w:tabs>
        <w:tab w:val="right" w:leader="middleDot" w:pos="8222"/>
      </w:tabs>
      <w:spacing w:line="360" w:lineRule="auto"/>
      <w:jc w:val="center"/>
    </w:pPr>
    <w:rPr>
      <w:rFonts w:ascii="楷体_GB2312" w:hAnsi="Arial Black" w:eastAsia="楷体_GB2312"/>
      <w:b/>
      <w:kern w:val="44"/>
      <w:sz w:val="36"/>
    </w:rPr>
  </w:style>
  <w:style w:type="paragraph" w:customStyle="1" w:styleId="675">
    <w:name w:val="样式 表名1 + 段前: 0.3 行2"/>
    <w:basedOn w:val="1"/>
    <w:qFormat/>
    <w:uiPriority w:val="0"/>
    <w:pPr>
      <w:adjustRightInd w:val="0"/>
      <w:snapToGrid w:val="0"/>
      <w:spacing w:before="93" w:beforeLines="30" w:after="62" w:afterLines="20"/>
      <w:jc w:val="center"/>
    </w:pPr>
    <w:rPr>
      <w:rFonts w:eastAsia="黑体"/>
      <w:color w:val="000000"/>
      <w:sz w:val="24"/>
    </w:rPr>
  </w:style>
  <w:style w:type="paragraph" w:customStyle="1" w:styleId="676">
    <w:name w:val="我的样式（正文）"/>
    <w:basedOn w:val="1"/>
    <w:qFormat/>
    <w:uiPriority w:val="0"/>
    <w:pPr>
      <w:spacing w:line="440" w:lineRule="exact"/>
    </w:pPr>
    <w:rPr>
      <w:rFonts w:ascii="宋体"/>
      <w:sz w:val="28"/>
    </w:rPr>
  </w:style>
  <w:style w:type="paragraph" w:customStyle="1" w:styleId="677">
    <w:name w:val="7"/>
    <w:basedOn w:val="1"/>
    <w:next w:val="1"/>
    <w:qFormat/>
    <w:uiPriority w:val="0"/>
    <w:pPr>
      <w:widowControl/>
      <w:spacing w:line="360" w:lineRule="auto"/>
      <w:ind w:firstLine="420" w:firstLineChars="200"/>
      <w:jc w:val="left"/>
    </w:pPr>
    <w:rPr>
      <w:kern w:val="0"/>
      <w:sz w:val="20"/>
    </w:rPr>
  </w:style>
  <w:style w:type="paragraph" w:customStyle="1" w:styleId="678">
    <w:name w:val="样式 四号 行距: 1.5 倍行距 首行缩进:  2 字符"/>
    <w:basedOn w:val="1"/>
    <w:qFormat/>
    <w:uiPriority w:val="0"/>
    <w:pPr>
      <w:spacing w:line="360" w:lineRule="auto"/>
      <w:ind w:firstLine="560" w:firstLineChars="200"/>
    </w:pPr>
    <w:rPr>
      <w:sz w:val="28"/>
    </w:rPr>
  </w:style>
  <w:style w:type="paragraph" w:customStyle="1" w:styleId="679">
    <w:name w:val="正文 + 四号"/>
    <w:basedOn w:val="86"/>
    <w:qFormat/>
    <w:uiPriority w:val="0"/>
    <w:pPr>
      <w:widowControl/>
      <w:ind w:firstLine="538" w:firstLineChars="192"/>
      <w:jc w:val="left"/>
    </w:pPr>
    <w:rPr>
      <w:kern w:val="0"/>
      <w:sz w:val="28"/>
      <w:szCs w:val="28"/>
    </w:rPr>
  </w:style>
  <w:style w:type="paragraph" w:customStyle="1" w:styleId="680">
    <w:name w:val="Char Char Char Char1"/>
    <w:basedOn w:val="1"/>
    <w:qFormat/>
    <w:uiPriority w:val="0"/>
    <w:pPr>
      <w:tabs>
        <w:tab w:val="left" w:pos="840"/>
      </w:tabs>
      <w:adjustRightInd w:val="0"/>
      <w:snapToGrid w:val="0"/>
      <w:spacing w:line="500" w:lineRule="atLeast"/>
      <w:ind w:left="840" w:hanging="420"/>
    </w:pPr>
    <w:rPr>
      <w:sz w:val="28"/>
      <w:szCs w:val="24"/>
    </w:rPr>
  </w:style>
  <w:style w:type="paragraph" w:customStyle="1" w:styleId="681">
    <w:name w:val="6"/>
    <w:basedOn w:val="1"/>
    <w:next w:val="26"/>
    <w:qFormat/>
    <w:uiPriority w:val="0"/>
    <w:pPr>
      <w:spacing w:line="300" w:lineRule="auto"/>
      <w:ind w:firstLine="480" w:firstLineChars="200"/>
    </w:pPr>
    <w:rPr>
      <w:sz w:val="24"/>
      <w:szCs w:val="24"/>
    </w:rPr>
  </w:style>
  <w:style w:type="paragraph" w:customStyle="1" w:styleId="682">
    <w:name w:val="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683">
    <w:name w:val="标准文本 居中 单倍行距 Char"/>
    <w:basedOn w:val="1"/>
    <w:qFormat/>
    <w:uiPriority w:val="0"/>
    <w:pPr>
      <w:adjustRightInd w:val="0"/>
      <w:snapToGrid w:val="0"/>
      <w:spacing w:before="120" w:line="480" w:lineRule="exact"/>
      <w:jc w:val="center"/>
      <w:textAlignment w:val="center"/>
    </w:pPr>
    <w:rPr>
      <w:rFonts w:ascii="黑体" w:eastAsia="黑体" w:cs="宋体"/>
      <w:b/>
      <w:sz w:val="24"/>
      <w:szCs w:val="24"/>
    </w:rPr>
  </w:style>
  <w:style w:type="paragraph" w:customStyle="1" w:styleId="684">
    <w:name w:val="样式 样式 标题 4 + (中文) 黑体 四号 加粗 两端对齐 行距: 固定值 21 磅 + 字距调整小四"/>
    <w:basedOn w:val="685"/>
    <w:qFormat/>
    <w:uiPriority w:val="0"/>
    <w:pPr>
      <w:tabs>
        <w:tab w:val="left" w:pos="1440"/>
      </w:tabs>
      <w:ind w:firstLine="454"/>
    </w:pPr>
    <w:rPr>
      <w:bCs w:val="0"/>
      <w:kern w:val="24"/>
    </w:rPr>
  </w:style>
  <w:style w:type="paragraph" w:customStyle="1" w:styleId="685">
    <w:name w:val="样式 标题 4 + (中文) 黑体 四号 加粗 两端对齐 行距: 固定值 21 磅"/>
    <w:basedOn w:val="10"/>
    <w:qFormat/>
    <w:uiPriority w:val="0"/>
    <w:pPr>
      <w:numPr>
        <w:ilvl w:val="3"/>
        <w:numId w:val="0"/>
      </w:numPr>
      <w:tabs>
        <w:tab w:val="left" w:pos="1440"/>
      </w:tabs>
      <w:adjustRightInd w:val="0"/>
      <w:spacing w:before="0" w:after="0" w:line="500" w:lineRule="exact"/>
      <w:ind w:left="851"/>
      <w:textAlignment w:val="baseline"/>
    </w:pPr>
    <w:rPr>
      <w:rFonts w:ascii="宋体" w:hAnsi="宋体" w:eastAsia="宋体" w:cs="宋体"/>
      <w:bCs/>
      <w:sz w:val="24"/>
      <w:szCs w:val="24"/>
    </w:rPr>
  </w:style>
  <w:style w:type="paragraph" w:customStyle="1" w:styleId="686">
    <w:name w:val="图表题"/>
    <w:next w:val="1"/>
    <w:qFormat/>
    <w:uiPriority w:val="0"/>
    <w:pPr>
      <w:spacing w:before="156" w:after="156" w:line="360" w:lineRule="exact"/>
      <w:jc w:val="center"/>
      <w:textAlignment w:val="center"/>
    </w:pPr>
    <w:rPr>
      <w:rFonts w:ascii="宋体" w:hAnsi="宋体" w:eastAsia="宋体" w:cs="Times New Roman"/>
      <w:b/>
      <w:kern w:val="2"/>
      <w:sz w:val="24"/>
      <w:lang w:val="en-US" w:eastAsia="zh-CN" w:bidi="ar-SA"/>
    </w:rPr>
  </w:style>
  <w:style w:type="paragraph" w:customStyle="1" w:styleId="687">
    <w:name w:val="font8"/>
    <w:basedOn w:val="1"/>
    <w:qFormat/>
    <w:uiPriority w:val="0"/>
    <w:pPr>
      <w:widowControl/>
      <w:spacing w:before="100" w:beforeLines="0" w:beforeAutospacing="1" w:after="100" w:afterLines="0" w:afterAutospacing="1"/>
      <w:jc w:val="left"/>
    </w:pPr>
    <w:rPr>
      <w:rFonts w:hint="eastAsia" w:ascii="宋体" w:hAnsi="宋体"/>
      <w:kern w:val="0"/>
      <w:sz w:val="18"/>
    </w:rPr>
  </w:style>
  <w:style w:type="paragraph" w:customStyle="1" w:styleId="688">
    <w:name w:val="L表正文3"/>
    <w:basedOn w:val="26"/>
    <w:qFormat/>
    <w:uiPriority w:val="0"/>
    <w:pPr>
      <w:spacing w:after="60" w:line="300" w:lineRule="auto"/>
      <w:ind w:firstLine="0"/>
      <w:jc w:val="center"/>
    </w:pPr>
    <w:rPr>
      <w:rFonts w:ascii="Times New Roman" w:hAnsi="Times New Roman"/>
      <w:sz w:val="21"/>
    </w:rPr>
  </w:style>
  <w:style w:type="paragraph" w:customStyle="1" w:styleId="689">
    <w:name w:val="style28"/>
    <w:basedOn w:val="1"/>
    <w:qFormat/>
    <w:uiPriority w:val="0"/>
    <w:pPr>
      <w:widowControl/>
      <w:spacing w:before="100" w:beforeLines="0" w:beforeAutospacing="1" w:after="100" w:afterLines="0" w:afterAutospacing="1"/>
      <w:jc w:val="left"/>
    </w:pPr>
    <w:rPr>
      <w:rFonts w:ascii="宋体" w:hAnsi="宋体"/>
      <w:kern w:val="0"/>
      <w:sz w:val="14"/>
    </w:rPr>
  </w:style>
  <w:style w:type="paragraph" w:customStyle="1" w:styleId="690">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hint="eastAsia" w:ascii="仿宋_GB2312" w:hAnsi="Arial Unicode MS" w:eastAsia="仿宋_GB2312"/>
      <w:kern w:val="0"/>
      <w:sz w:val="24"/>
    </w:rPr>
  </w:style>
  <w:style w:type="paragraph" w:customStyle="1" w:styleId="691">
    <w:name w:val="标题 2."/>
    <w:next w:val="3"/>
    <w:qFormat/>
    <w:uiPriority w:val="0"/>
    <w:pPr>
      <w:spacing w:before="120" w:after="120" w:line="360" w:lineRule="auto"/>
    </w:pPr>
    <w:rPr>
      <w:rFonts w:ascii="Times New Roman" w:hAnsi="Times New Roman" w:eastAsia="黑体" w:cs="宋体"/>
      <w:b/>
      <w:bCs/>
      <w:kern w:val="2"/>
      <w:sz w:val="32"/>
      <w:lang w:val="en-US" w:eastAsia="zh-CN" w:bidi="ar-SA"/>
    </w:rPr>
  </w:style>
  <w:style w:type="paragraph" w:customStyle="1" w:styleId="692">
    <w:name w:val="默认段落字体 Para Char"/>
    <w:basedOn w:val="1"/>
    <w:next w:val="1"/>
    <w:qFormat/>
    <w:uiPriority w:val="0"/>
    <w:pPr>
      <w:spacing w:line="360" w:lineRule="auto"/>
      <w:ind w:firstLine="200" w:firstLineChars="200"/>
    </w:pPr>
    <w:rPr>
      <w:sz w:val="24"/>
    </w:rPr>
  </w:style>
  <w:style w:type="paragraph" w:customStyle="1" w:styleId="693">
    <w:name w:val="表内小四黑中"/>
    <w:basedOn w:val="694"/>
    <w:qFormat/>
    <w:uiPriority w:val="0"/>
    <w:pPr>
      <w:overflowPunct w:val="0"/>
      <w:topLinePunct/>
      <w:autoSpaceDE w:val="0"/>
      <w:adjustRightInd w:val="0"/>
      <w:snapToGrid w:val="0"/>
      <w:spacing w:before="60" w:after="156" w:afterLines="50" w:line="360" w:lineRule="exact"/>
      <w:jc w:val="center"/>
    </w:pPr>
    <w:rPr>
      <w:sz w:val="24"/>
    </w:rPr>
  </w:style>
  <w:style w:type="paragraph" w:customStyle="1" w:styleId="694">
    <w:name w:val="表内五"/>
    <w:basedOn w:val="1"/>
    <w:qFormat/>
    <w:uiPriority w:val="0"/>
    <w:rPr>
      <w:spacing w:val="20"/>
    </w:rPr>
  </w:style>
  <w:style w:type="paragraph" w:customStyle="1" w:styleId="695">
    <w:name w:val="内容样式1"/>
    <w:basedOn w:val="1"/>
    <w:qFormat/>
    <w:uiPriority w:val="0"/>
    <w:pPr>
      <w:ind w:firstLine="560" w:firstLineChars="200"/>
    </w:pPr>
    <w:rPr>
      <w:rFonts w:ascii="宋体" w:hAnsi="宋体"/>
      <w:sz w:val="28"/>
    </w:rPr>
  </w:style>
  <w:style w:type="paragraph" w:customStyle="1" w:styleId="696">
    <w:name w:val="表题"/>
    <w:basedOn w:val="1"/>
    <w:link w:val="697"/>
    <w:qFormat/>
    <w:uiPriority w:val="0"/>
    <w:pPr>
      <w:autoSpaceDE w:val="0"/>
      <w:autoSpaceDN w:val="0"/>
      <w:adjustRightInd w:val="0"/>
      <w:spacing w:line="480" w:lineRule="atLeast"/>
      <w:jc w:val="center"/>
      <w:textAlignment w:val="baseline"/>
    </w:pPr>
    <w:rPr>
      <w:rFonts w:ascii="黑体" w:eastAsia="黑体"/>
      <w:kern w:val="16"/>
    </w:rPr>
  </w:style>
  <w:style w:type="character" w:customStyle="1" w:styleId="697">
    <w:name w:val="表题 Char"/>
    <w:link w:val="696"/>
    <w:qFormat/>
    <w:uiPriority w:val="0"/>
    <w:rPr>
      <w:rFonts w:ascii="黑体" w:eastAsia="黑体"/>
      <w:kern w:val="16"/>
      <w:sz w:val="21"/>
    </w:rPr>
  </w:style>
  <w:style w:type="paragraph" w:customStyle="1" w:styleId="698">
    <w:name w:val="List Paragraph1"/>
    <w:basedOn w:val="1"/>
    <w:qFormat/>
    <w:uiPriority w:val="0"/>
    <w:pPr>
      <w:ind w:firstLine="420" w:firstLineChars="200"/>
    </w:pPr>
    <w:rPr>
      <w:rFonts w:ascii="Calibri" w:hAnsi="Calibri"/>
      <w:szCs w:val="22"/>
    </w:rPr>
  </w:style>
  <w:style w:type="paragraph" w:customStyle="1" w:styleId="699">
    <w:name w:val="表头4"/>
    <w:basedOn w:val="1"/>
    <w:qFormat/>
    <w:uiPriority w:val="0"/>
    <w:pPr>
      <w:tabs>
        <w:tab w:val="left" w:pos="360"/>
        <w:tab w:val="left" w:pos="432"/>
      </w:tabs>
      <w:adjustRightInd w:val="0"/>
      <w:snapToGrid w:val="0"/>
      <w:spacing w:before="312" w:beforeLines="100" w:after="156" w:afterLines="50" w:line="240" w:lineRule="atLeast"/>
      <w:ind w:left="360" w:leftChars="250" w:hanging="360"/>
    </w:pPr>
    <w:rPr>
      <w:b/>
      <w:sz w:val="24"/>
      <w:szCs w:val="24"/>
    </w:rPr>
  </w:style>
  <w:style w:type="paragraph" w:customStyle="1" w:styleId="700">
    <w:name w:val="我的正文"/>
    <w:qFormat/>
    <w:uiPriority w:val="0"/>
    <w:pPr>
      <w:spacing w:line="360" w:lineRule="auto"/>
      <w:ind w:firstLine="200" w:firstLineChars="200"/>
    </w:pPr>
    <w:rPr>
      <w:rFonts w:ascii="Times New Roman" w:hAnsi="Times New Roman" w:eastAsia="仿宋_GB2312" w:cs="Times New Roman"/>
      <w:kern w:val="2"/>
      <w:sz w:val="24"/>
      <w:lang w:val="en-US" w:eastAsia="zh-CN" w:bidi="ar-SA"/>
    </w:rPr>
  </w:style>
  <w:style w:type="paragraph" w:customStyle="1" w:styleId="701">
    <w:name w:val="CM162"/>
    <w:basedOn w:val="117"/>
    <w:next w:val="117"/>
    <w:qFormat/>
    <w:uiPriority w:val="0"/>
    <w:pPr>
      <w:spacing w:after="1708"/>
    </w:pPr>
    <w:rPr>
      <w:rFonts w:ascii="仿宋_GB2312" w:eastAsia="仿宋_GB2312" w:cs="仿宋_GB2312"/>
      <w:color w:val="auto"/>
    </w:rPr>
  </w:style>
  <w:style w:type="paragraph" w:customStyle="1" w:styleId="702">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paragraph" w:customStyle="1" w:styleId="703">
    <w:name w:val="Char Char1 Char Char Char Char"/>
    <w:basedOn w:val="1"/>
    <w:qFormat/>
    <w:uiPriority w:val="0"/>
  </w:style>
  <w:style w:type="paragraph" w:customStyle="1" w:styleId="704">
    <w:name w:val="样式 小五 首行缩进:  2 字符"/>
    <w:basedOn w:val="1"/>
    <w:qFormat/>
    <w:uiPriority w:val="0"/>
    <w:rPr>
      <w:sz w:val="18"/>
    </w:rPr>
  </w:style>
  <w:style w:type="paragraph" w:customStyle="1" w:styleId="705">
    <w:name w:val=" Char Char Char Char Char Char Char Char Char Char Char Char"/>
    <w:basedOn w:val="1"/>
    <w:qFormat/>
    <w:uiPriority w:val="0"/>
    <w:rPr>
      <w:szCs w:val="24"/>
    </w:rPr>
  </w:style>
  <w:style w:type="paragraph" w:customStyle="1" w:styleId="706">
    <w:name w:val="表1表2"/>
    <w:basedOn w:val="1"/>
    <w:qFormat/>
    <w:uiPriority w:val="0"/>
    <w:pPr>
      <w:autoSpaceDE w:val="0"/>
      <w:autoSpaceDN w:val="0"/>
      <w:adjustRightInd w:val="0"/>
      <w:spacing w:line="360" w:lineRule="auto"/>
      <w:ind w:firstLine="200" w:firstLineChars="200"/>
      <w:jc w:val="center"/>
      <w:textAlignment w:val="center"/>
    </w:pPr>
    <w:rPr>
      <w:rFonts w:eastAsia="仿宋_GB2312"/>
      <w:kern w:val="0"/>
      <w:sz w:val="24"/>
      <w:szCs w:val="24"/>
    </w:rPr>
  </w:style>
  <w:style w:type="paragraph" w:customStyle="1" w:styleId="707">
    <w:name w:val="表"/>
    <w:basedOn w:val="1"/>
    <w:qFormat/>
    <w:uiPriority w:val="0"/>
    <w:rPr>
      <w:rFonts w:eastAsia="仿宋_GB2312"/>
      <w:sz w:val="24"/>
    </w:rPr>
  </w:style>
  <w:style w:type="paragraph" w:customStyle="1" w:styleId="708">
    <w:name w:val="2"/>
    <w:basedOn w:val="1"/>
    <w:next w:val="81"/>
    <w:qFormat/>
    <w:uiPriority w:val="0"/>
    <w:pPr>
      <w:adjustRightInd w:val="0"/>
      <w:spacing w:line="360" w:lineRule="atLeast"/>
      <w:textAlignment w:val="baseline"/>
    </w:pPr>
    <w:rPr>
      <w:sz w:val="28"/>
      <w:szCs w:val="24"/>
    </w:rPr>
  </w:style>
  <w:style w:type="paragraph" w:customStyle="1" w:styleId="709">
    <w:name w:val="font11"/>
    <w:basedOn w:val="1"/>
    <w:qFormat/>
    <w:uiPriority w:val="0"/>
    <w:pPr>
      <w:widowControl/>
      <w:spacing w:before="100" w:beforeAutospacing="1" w:after="100" w:afterAutospacing="1" w:line="360" w:lineRule="auto"/>
      <w:ind w:firstLine="200" w:firstLineChars="200"/>
      <w:jc w:val="left"/>
    </w:pPr>
    <w:rPr>
      <w:rFonts w:eastAsia="Arial Unicode MS"/>
      <w:color w:val="000000"/>
      <w:kern w:val="0"/>
      <w:sz w:val="18"/>
      <w:szCs w:val="18"/>
    </w:rPr>
  </w:style>
  <w:style w:type="paragraph" w:customStyle="1" w:styleId="710">
    <w:name w:val="正文1 Char Char Char Char"/>
    <w:basedOn w:val="1"/>
    <w:qFormat/>
    <w:uiPriority w:val="0"/>
    <w:pPr>
      <w:suppressLineNumbers/>
      <w:suppressAutoHyphens/>
      <w:topLinePunct/>
      <w:adjustRightInd w:val="0"/>
      <w:snapToGrid w:val="0"/>
      <w:spacing w:line="360" w:lineRule="auto"/>
      <w:ind w:firstLine="480" w:firstLineChars="200"/>
    </w:pPr>
    <w:rPr>
      <w:sz w:val="24"/>
    </w:rPr>
  </w:style>
  <w:style w:type="paragraph" w:customStyle="1" w:styleId="711">
    <w:name w:val="样式 表头样式1 + 段前: 0.5 行 段后: 10.15 磅"/>
    <w:basedOn w:val="1"/>
    <w:qFormat/>
    <w:uiPriority w:val="0"/>
    <w:pPr>
      <w:adjustRightInd w:val="0"/>
      <w:snapToGrid w:val="0"/>
      <w:jc w:val="center"/>
    </w:pPr>
    <w:rPr>
      <w:rFonts w:eastAsia="黑体"/>
      <w:b/>
      <w:bCs/>
      <w:kern w:val="0"/>
      <w:szCs w:val="21"/>
    </w:rPr>
  </w:style>
  <w:style w:type="paragraph" w:customStyle="1" w:styleId="712">
    <w:name w:val="表尾"/>
    <w:basedOn w:val="1"/>
    <w:qFormat/>
    <w:uiPriority w:val="0"/>
    <w:pPr>
      <w:tabs>
        <w:tab w:val="left" w:pos="1021"/>
      </w:tabs>
      <w:spacing w:line="160" w:lineRule="atLeast"/>
    </w:pPr>
    <w:rPr>
      <w:sz w:val="10"/>
      <w:szCs w:val="24"/>
    </w:rPr>
  </w:style>
  <w:style w:type="paragraph" w:customStyle="1" w:styleId="713">
    <w:name w:val="xl28"/>
    <w:basedOn w:val="1"/>
    <w:qFormat/>
    <w:uiPriority w:val="0"/>
    <w:pPr>
      <w:widowControl/>
      <w:spacing w:before="100" w:beforeLines="0" w:beforeAutospacing="1" w:after="100" w:afterLines="0" w:afterAutospacing="1"/>
      <w:jc w:val="center"/>
    </w:pPr>
    <w:rPr>
      <w:rFonts w:ascii="Arial Unicode MS" w:hAnsi="Arial Unicode MS" w:eastAsia="Arial Unicode MS"/>
      <w:kern w:val="0"/>
      <w:sz w:val="18"/>
    </w:rPr>
  </w:style>
  <w:style w:type="paragraph" w:customStyle="1" w:styleId="714">
    <w:name w:val="备注"/>
    <w:qFormat/>
    <w:uiPriority w:val="0"/>
    <w:pPr>
      <w:spacing w:line="360" w:lineRule="auto"/>
      <w:ind w:firstLine="360" w:firstLineChars="200"/>
    </w:pPr>
    <w:rPr>
      <w:rFonts w:ascii="Times New Roman" w:hAnsi="Times New Roman" w:eastAsia="仿宋_GB2312" w:cs="Times New Roman"/>
      <w:kern w:val="2"/>
      <w:sz w:val="18"/>
      <w:szCs w:val="18"/>
      <w:lang w:val="en-US" w:eastAsia="zh-CN" w:bidi="ar-SA"/>
    </w:rPr>
  </w:style>
  <w:style w:type="paragraph" w:customStyle="1" w:styleId="715">
    <w:name w:val="标题3 Char Char Char"/>
    <w:basedOn w:val="1"/>
    <w:qFormat/>
    <w:uiPriority w:val="0"/>
    <w:pPr>
      <w:spacing w:after="156" w:afterLines="50" w:line="560" w:lineRule="exact"/>
    </w:pPr>
    <w:rPr>
      <w:rFonts w:eastAsia="黑体"/>
      <w:sz w:val="30"/>
    </w:rPr>
  </w:style>
  <w:style w:type="paragraph" w:customStyle="1" w:styleId="716">
    <w:name w:val=" Char Char Char Char Char Char Char Char Char Char"/>
    <w:basedOn w:val="1"/>
    <w:qFormat/>
    <w:uiPriority w:val="0"/>
    <w:pPr>
      <w:spacing w:line="360" w:lineRule="auto"/>
      <w:ind w:firstLine="200" w:firstLineChars="200"/>
    </w:pPr>
    <w:rPr>
      <w:sz w:val="24"/>
    </w:rPr>
  </w:style>
  <w:style w:type="paragraph" w:customStyle="1" w:styleId="717">
    <w:name w:val="样式 左侧:  0.85 厘米 首行缩进:  2 字符"/>
    <w:basedOn w:val="1"/>
    <w:qFormat/>
    <w:uiPriority w:val="0"/>
    <w:pPr>
      <w:spacing w:line="480" w:lineRule="exact"/>
      <w:ind w:firstLine="200" w:firstLineChars="200"/>
    </w:pPr>
    <w:rPr>
      <w:sz w:val="24"/>
    </w:rPr>
  </w:style>
  <w:style w:type="paragraph" w:customStyle="1" w:styleId="718">
    <w:name w:val="xl18"/>
    <w:basedOn w:val="1"/>
    <w:qFormat/>
    <w:uiPriority w:val="0"/>
    <w:pPr>
      <w:spacing w:before="102" w:after="102" w:line="408" w:lineRule="auto"/>
      <w:ind w:left="1"/>
      <w:jc w:val="center"/>
      <w:textAlignment w:val="bottom"/>
    </w:pPr>
    <w:rPr>
      <w:rFonts w:ascii="楷体_GB2312" w:hAnsi="楷体_GB2312" w:eastAsia="楷体_GB2312"/>
      <w:color w:val="000000"/>
      <w:kern w:val="0"/>
    </w:rPr>
  </w:style>
  <w:style w:type="paragraph" w:customStyle="1" w:styleId="719">
    <w:name w:val="Date1"/>
    <w:basedOn w:val="1"/>
    <w:next w:val="1"/>
    <w:qFormat/>
    <w:uiPriority w:val="0"/>
    <w:pPr>
      <w:adjustRightInd w:val="0"/>
      <w:textAlignment w:val="baseline"/>
    </w:pPr>
  </w:style>
  <w:style w:type="paragraph" w:customStyle="1" w:styleId="720">
    <w:name w:val="CM28"/>
    <w:basedOn w:val="117"/>
    <w:next w:val="117"/>
    <w:qFormat/>
    <w:uiPriority w:val="0"/>
    <w:pPr>
      <w:spacing w:line="468" w:lineRule="atLeast"/>
    </w:pPr>
    <w:rPr>
      <w:rFonts w:ascii="仿宋_GB2312" w:eastAsia="仿宋_GB2312" w:cs="仿宋_GB2312"/>
      <w:color w:val="auto"/>
    </w:rPr>
  </w:style>
  <w:style w:type="paragraph" w:customStyle="1" w:styleId="721">
    <w:name w:val="封面正文"/>
    <w:qFormat/>
    <w:uiPriority w:val="0"/>
    <w:pPr>
      <w:jc w:val="both"/>
    </w:pPr>
    <w:rPr>
      <w:rFonts w:ascii="Times New Roman" w:hAnsi="Times New Roman" w:eastAsia="宋体" w:cs="Times New Roman"/>
      <w:lang w:val="en-US" w:eastAsia="zh-CN" w:bidi="ar-SA"/>
    </w:rPr>
  </w:style>
  <w:style w:type="paragraph" w:customStyle="1" w:styleId="722">
    <w:name w:val="9"/>
    <w:basedOn w:val="1"/>
    <w:next w:val="3"/>
    <w:qFormat/>
    <w:uiPriority w:val="0"/>
    <w:rPr>
      <w:sz w:val="24"/>
      <w:szCs w:val="24"/>
    </w:rPr>
  </w:style>
  <w:style w:type="paragraph" w:customStyle="1" w:styleId="723">
    <w:name w:val="Puce fleche"/>
    <w:basedOn w:val="3"/>
    <w:qFormat/>
    <w:uiPriority w:val="0"/>
    <w:pPr>
      <w:widowControl/>
      <w:tabs>
        <w:tab w:val="left" w:pos="0"/>
        <w:tab w:val="left" w:pos="855"/>
      </w:tabs>
      <w:spacing w:before="60"/>
      <w:ind w:left="855" w:hanging="855"/>
      <w:jc w:val="both"/>
    </w:pPr>
    <w:rPr>
      <w:rFonts w:ascii="Arial" w:hAnsi="Arial"/>
      <w:kern w:val="0"/>
      <w:sz w:val="20"/>
      <w:lang w:val="en-GB" w:eastAsia="fr-FR"/>
    </w:rPr>
  </w:style>
  <w:style w:type="paragraph" w:customStyle="1" w:styleId="724">
    <w:name w:val="单位"/>
    <w:basedOn w:val="1"/>
    <w:qFormat/>
    <w:uiPriority w:val="0"/>
    <w:pPr>
      <w:adjustRightInd w:val="0"/>
      <w:snapToGrid w:val="0"/>
      <w:spacing w:before="50" w:line="312" w:lineRule="auto"/>
      <w:ind w:leftChars="100" w:rightChars="100"/>
      <w:jc w:val="center"/>
    </w:pPr>
  </w:style>
  <w:style w:type="paragraph" w:customStyle="1" w:styleId="725">
    <w:name w:val="默认段落字体 Para Char Char Char Char"/>
    <w:basedOn w:val="1"/>
    <w:qFormat/>
    <w:uiPriority w:val="0"/>
    <w:rPr>
      <w:rFonts w:ascii="楷体_GB2312" w:hAnsi="宋体" w:eastAsia="楷体_GB2312" w:cs="宋体"/>
      <w:sz w:val="24"/>
      <w:szCs w:val="24"/>
    </w:rPr>
  </w:style>
  <w:style w:type="paragraph" w:customStyle="1" w:styleId="726">
    <w:name w:val="表格文本 小五 居中"/>
    <w:basedOn w:val="1"/>
    <w:qFormat/>
    <w:uiPriority w:val="0"/>
    <w:pPr>
      <w:adjustRightInd w:val="0"/>
      <w:snapToGrid w:val="0"/>
      <w:jc w:val="center"/>
    </w:pPr>
    <w:rPr>
      <w:rFonts w:cs="宋体"/>
      <w:color w:val="FF0000"/>
      <w:sz w:val="18"/>
      <w:szCs w:val="18"/>
    </w:rPr>
  </w:style>
  <w:style w:type="paragraph" w:customStyle="1" w:styleId="727">
    <w:name w:val="样式 表格 + (中文) 宋体 两端对齐1"/>
    <w:basedOn w:val="312"/>
    <w:qFormat/>
    <w:uiPriority w:val="0"/>
    <w:pPr>
      <w:widowControl/>
      <w:tabs>
        <w:tab w:val="clear" w:pos="360"/>
        <w:tab w:val="clear" w:pos="6300"/>
      </w:tabs>
      <w:spacing w:line="340" w:lineRule="exact"/>
      <w:ind w:left="0" w:right="0"/>
      <w:jc w:val="both"/>
    </w:pPr>
    <w:rPr>
      <w:rFonts w:ascii="Times New Roman" w:hAnsi="Times New Roman" w:eastAsia="仿宋_GB2312" w:cs="宋体"/>
      <w:color w:val="auto"/>
    </w:rPr>
  </w:style>
  <w:style w:type="paragraph" w:customStyle="1" w:styleId="728">
    <w:name w:val="CM21"/>
    <w:basedOn w:val="117"/>
    <w:next w:val="117"/>
    <w:qFormat/>
    <w:uiPriority w:val="0"/>
    <w:pPr>
      <w:spacing w:line="468" w:lineRule="atLeast"/>
    </w:pPr>
    <w:rPr>
      <w:rFonts w:ascii="仿宋_GB2312" w:eastAsia="仿宋_GB2312" w:cs="仿宋_GB2312"/>
      <w:color w:val="auto"/>
    </w:rPr>
  </w:style>
  <w:style w:type="paragraph" w:customStyle="1" w:styleId="729">
    <w:name w:val="表文"/>
    <w:basedOn w:val="1"/>
    <w:link w:val="730"/>
    <w:qFormat/>
    <w:uiPriority w:val="0"/>
    <w:pPr>
      <w:widowControl/>
      <w:snapToGrid w:val="0"/>
      <w:ind w:left="85" w:right="85"/>
    </w:pPr>
    <w:rPr>
      <w:rFonts w:eastAsia="華康中明體"/>
      <w:kern w:val="0"/>
      <w:sz w:val="18"/>
      <w:lang w:eastAsia="zh-TW"/>
    </w:rPr>
  </w:style>
  <w:style w:type="character" w:customStyle="1" w:styleId="730">
    <w:name w:val="表文 Char Char"/>
    <w:link w:val="729"/>
    <w:qFormat/>
    <w:uiPriority w:val="0"/>
    <w:rPr>
      <w:rFonts w:eastAsia="華康中明體"/>
      <w:sz w:val="18"/>
      <w:lang w:eastAsia="zh-TW"/>
    </w:rPr>
  </w:style>
  <w:style w:type="paragraph" w:customStyle="1" w:styleId="731">
    <w:name w:val="标题 32"/>
    <w:basedOn w:val="1"/>
    <w:qFormat/>
    <w:uiPriority w:val="0"/>
    <w:pPr>
      <w:tabs>
        <w:tab w:val="left" w:pos="1740"/>
      </w:tabs>
      <w:adjustRightInd w:val="0"/>
      <w:snapToGrid w:val="0"/>
      <w:spacing w:line="500" w:lineRule="atLeast"/>
      <w:ind w:left="1740" w:hanging="420"/>
    </w:pPr>
    <w:rPr>
      <w:sz w:val="28"/>
      <w:szCs w:val="24"/>
    </w:rPr>
  </w:style>
  <w:style w:type="paragraph" w:customStyle="1" w:styleId="732">
    <w:name w:val="Char Char3 Char Char Char1 Char"/>
    <w:basedOn w:val="1"/>
    <w:qFormat/>
    <w:uiPriority w:val="0"/>
  </w:style>
  <w:style w:type="paragraph" w:customStyle="1" w:styleId="733">
    <w:name w:val="CM19"/>
    <w:basedOn w:val="117"/>
    <w:next w:val="117"/>
    <w:qFormat/>
    <w:uiPriority w:val="0"/>
    <w:pPr>
      <w:spacing w:line="466" w:lineRule="atLeast"/>
    </w:pPr>
    <w:rPr>
      <w:rFonts w:ascii="仿宋_GB2312" w:eastAsia="仿宋_GB2312" w:cs="Times New Roman"/>
      <w:color w:val="auto"/>
    </w:rPr>
  </w:style>
  <w:style w:type="paragraph" w:customStyle="1" w:styleId="734">
    <w:name w:val="新目录1"/>
    <w:qFormat/>
    <w:uiPriority w:val="0"/>
    <w:pPr>
      <w:spacing w:line="360" w:lineRule="auto"/>
    </w:pPr>
    <w:rPr>
      <w:rFonts w:ascii="Times New Roman" w:hAnsi="Times New Roman" w:eastAsia="黑体" w:cs="Times New Roman"/>
      <w:bCs/>
      <w:kern w:val="2"/>
      <w:sz w:val="24"/>
      <w:lang w:val="en-US" w:eastAsia="zh-CN" w:bidi="ar-SA"/>
    </w:rPr>
  </w:style>
  <w:style w:type="paragraph" w:customStyle="1" w:styleId="735">
    <w:name w:val="xl32"/>
    <w:basedOn w:val="1"/>
    <w:qFormat/>
    <w:uiPriority w:val="0"/>
    <w:pPr>
      <w:widowControl/>
      <w:pBdr>
        <w:top w:val="single" w:color="auto" w:sz="4" w:space="0"/>
        <w:left w:val="single" w:color="auto" w:sz="4" w:space="0"/>
        <w:right w:val="single" w:color="auto" w:sz="4" w:space="0"/>
      </w:pBdr>
      <w:spacing w:before="100" w:beforeLines="0" w:beforeAutospacing="1" w:after="100" w:afterLines="0" w:afterAutospacing="1"/>
      <w:jc w:val="center"/>
      <w:textAlignment w:val="center"/>
    </w:pPr>
    <w:rPr>
      <w:rFonts w:eastAsia="Arial Unicode MS"/>
      <w:color w:val="000000"/>
      <w:kern w:val="0"/>
      <w:sz w:val="24"/>
    </w:rPr>
  </w:style>
  <w:style w:type="paragraph" w:customStyle="1" w:styleId="736">
    <w:name w:val="title 01"/>
    <w:basedOn w:val="1"/>
    <w:qFormat/>
    <w:uiPriority w:val="0"/>
    <w:pPr>
      <w:jc w:val="center"/>
    </w:pPr>
    <w:rPr>
      <w:rFonts w:cs="宋体"/>
      <w:sz w:val="44"/>
    </w:rPr>
  </w:style>
  <w:style w:type="paragraph" w:customStyle="1" w:styleId="737">
    <w:name w:val="无缩正文"/>
    <w:basedOn w:val="1"/>
    <w:qFormat/>
    <w:uiPriority w:val="0"/>
    <w:pPr>
      <w:tabs>
        <w:tab w:val="left" w:pos="-120"/>
      </w:tabs>
      <w:spacing w:before="60" w:line="310" w:lineRule="atLeast"/>
      <w:jc w:val="center"/>
    </w:pPr>
    <w:rPr>
      <w:spacing w:val="20"/>
      <w:sz w:val="24"/>
    </w:rPr>
  </w:style>
  <w:style w:type="paragraph" w:customStyle="1" w:styleId="738">
    <w:name w:val="0"/>
    <w:basedOn w:val="1"/>
    <w:qFormat/>
    <w:uiPriority w:val="0"/>
    <w:pPr>
      <w:widowControl/>
      <w:spacing w:before="100" w:beforeLines="0" w:beforeAutospacing="1" w:after="100" w:afterLines="0" w:afterAutospacing="1"/>
      <w:jc w:val="left"/>
    </w:pPr>
    <w:rPr>
      <w:rFonts w:ascii="宋体" w:hAnsi="宋体"/>
      <w:kern w:val="0"/>
      <w:sz w:val="24"/>
    </w:rPr>
  </w:style>
  <w:style w:type="paragraph" w:customStyle="1" w:styleId="739">
    <w:name w:val="CM46"/>
    <w:basedOn w:val="117"/>
    <w:next w:val="117"/>
    <w:qFormat/>
    <w:uiPriority w:val="0"/>
    <w:pPr>
      <w:spacing w:line="500" w:lineRule="atLeast"/>
    </w:pPr>
    <w:rPr>
      <w:rFonts w:ascii="仿宋_GB2312" w:eastAsia="仿宋_GB2312" w:cs="Times New Roman"/>
      <w:color w:val="auto"/>
      <w:szCs w:val="20"/>
    </w:rPr>
  </w:style>
  <w:style w:type="paragraph" w:customStyle="1" w:styleId="740">
    <w:name w:val="样式 表名称 + 首行缩进:  2 字符 段前: 0.5 行 段后: 0.3 行"/>
    <w:basedOn w:val="741"/>
    <w:qFormat/>
    <w:uiPriority w:val="0"/>
    <w:pPr>
      <w:tabs>
        <w:tab w:val="left" w:pos="0"/>
      </w:tabs>
      <w:topLinePunct/>
      <w:spacing w:before="93" w:beforeLines="30" w:after="30" w:afterLines="0" w:line="240" w:lineRule="auto"/>
      <w:ind w:firstLine="200" w:firstLineChars="200"/>
      <w:jc w:val="both"/>
    </w:pPr>
    <w:rPr>
      <w:rFonts w:ascii="黑体" w:hAnsi="Times New Roman" w:eastAsia="黑体"/>
      <w:b w:val="0"/>
      <w:szCs w:val="20"/>
    </w:rPr>
  </w:style>
  <w:style w:type="paragraph" w:customStyle="1" w:styleId="741">
    <w:name w:val="表名称"/>
    <w:qFormat/>
    <w:uiPriority w:val="0"/>
    <w:pPr>
      <w:widowControl w:val="0"/>
      <w:tabs>
        <w:tab w:val="left" w:pos="0"/>
      </w:tabs>
      <w:adjustRightInd w:val="0"/>
      <w:snapToGrid w:val="0"/>
      <w:spacing w:before="156" w:beforeLines="50" w:after="156" w:afterLines="50" w:line="360" w:lineRule="auto"/>
      <w:jc w:val="center"/>
    </w:pPr>
    <w:rPr>
      <w:rFonts w:ascii="宋体" w:hAnsi="宋体" w:eastAsia="宋体" w:cs="Times New Roman"/>
      <w:b/>
      <w:kern w:val="2"/>
      <w:sz w:val="24"/>
      <w:szCs w:val="24"/>
      <w:lang w:val="en-US" w:eastAsia="zh-CN" w:bidi="ar-SA"/>
    </w:rPr>
  </w:style>
  <w:style w:type="paragraph" w:customStyle="1" w:styleId="742">
    <w:name w:val="CM87"/>
    <w:basedOn w:val="117"/>
    <w:next w:val="117"/>
    <w:qFormat/>
    <w:uiPriority w:val="0"/>
    <w:pPr>
      <w:spacing w:line="468" w:lineRule="atLeast"/>
    </w:pPr>
    <w:rPr>
      <w:rFonts w:ascii="仿宋_GB2312" w:eastAsia="仿宋_GB2312" w:cs="仿宋_GB2312"/>
      <w:color w:val="auto"/>
    </w:rPr>
  </w:style>
  <w:style w:type="paragraph" w:customStyle="1" w:styleId="743">
    <w:name w:val="样式 样式 目录 2 + 首行缩进:  2 字符 + 首行缩进:  2 字符"/>
    <w:basedOn w:val="744"/>
    <w:qFormat/>
    <w:uiPriority w:val="0"/>
    <w:pPr>
      <w:tabs>
        <w:tab w:val="left" w:pos="960"/>
        <w:tab w:val="left" w:pos="1200"/>
        <w:tab w:val="right" w:leader="dot" w:pos="8280"/>
      </w:tabs>
      <w:ind w:firstLine="400"/>
    </w:pPr>
  </w:style>
  <w:style w:type="paragraph" w:customStyle="1" w:styleId="744">
    <w:name w:val="样式 目录 2 + 首行缩进:  2 字符"/>
    <w:basedOn w:val="79"/>
    <w:qFormat/>
    <w:uiPriority w:val="0"/>
    <w:pPr>
      <w:tabs>
        <w:tab w:val="left" w:pos="1200"/>
        <w:tab w:val="right" w:leader="dot" w:pos="8280"/>
      </w:tabs>
      <w:spacing w:line="312" w:lineRule="auto"/>
      <w:ind w:left="210" w:leftChars="0"/>
      <w:jc w:val="left"/>
    </w:pPr>
    <w:rPr>
      <w:rFonts w:cs="宋体"/>
      <w:sz w:val="20"/>
    </w:rPr>
  </w:style>
  <w:style w:type="paragraph" w:customStyle="1" w:styleId="745">
    <w:name w:val="附录五级条标题"/>
    <w:basedOn w:val="746"/>
    <w:next w:val="10"/>
    <w:qFormat/>
    <w:uiPriority w:val="0"/>
    <w:pPr>
      <w:tabs>
        <w:tab w:val="left" w:pos="720"/>
        <w:tab w:val="left" w:pos="964"/>
        <w:tab w:val="left" w:pos="1008"/>
        <w:tab w:val="left" w:pos="1152"/>
        <w:tab w:val="left" w:pos="1296"/>
      </w:tabs>
      <w:ind w:left="1296" w:hanging="1296"/>
      <w:outlineLvl w:val="6"/>
    </w:pPr>
  </w:style>
  <w:style w:type="paragraph" w:customStyle="1" w:styleId="746">
    <w:name w:val="附录四级条标题"/>
    <w:basedOn w:val="747"/>
    <w:next w:val="10"/>
    <w:qFormat/>
    <w:uiPriority w:val="0"/>
    <w:pPr>
      <w:tabs>
        <w:tab w:val="left" w:pos="720"/>
        <w:tab w:val="left" w:pos="964"/>
        <w:tab w:val="left" w:pos="1008"/>
        <w:tab w:val="left" w:pos="1152"/>
      </w:tabs>
      <w:ind w:left="1152" w:hanging="1152"/>
      <w:outlineLvl w:val="5"/>
    </w:pPr>
  </w:style>
  <w:style w:type="paragraph" w:customStyle="1" w:styleId="747">
    <w:name w:val="附录三级条标题"/>
    <w:basedOn w:val="748"/>
    <w:next w:val="10"/>
    <w:qFormat/>
    <w:uiPriority w:val="0"/>
    <w:pPr>
      <w:tabs>
        <w:tab w:val="left" w:pos="720"/>
        <w:tab w:val="left" w:pos="964"/>
        <w:tab w:val="left" w:pos="1008"/>
      </w:tabs>
      <w:ind w:left="1008" w:hanging="1008"/>
      <w:outlineLvl w:val="4"/>
    </w:pPr>
  </w:style>
  <w:style w:type="paragraph" w:customStyle="1" w:styleId="748">
    <w:name w:val="附录二级条标题"/>
    <w:basedOn w:val="749"/>
    <w:next w:val="10"/>
    <w:qFormat/>
    <w:uiPriority w:val="0"/>
    <w:pPr>
      <w:tabs>
        <w:tab w:val="left" w:pos="720"/>
        <w:tab w:val="left" w:pos="964"/>
      </w:tabs>
      <w:ind w:left="964" w:hanging="964"/>
      <w:outlineLvl w:val="3"/>
    </w:pPr>
  </w:style>
  <w:style w:type="paragraph" w:customStyle="1" w:styleId="749">
    <w:name w:val="附录一级条标题"/>
    <w:basedOn w:val="614"/>
    <w:next w:val="10"/>
    <w:qFormat/>
    <w:uiPriority w:val="0"/>
    <w:pPr>
      <w:tabs>
        <w:tab w:val="left" w:pos="720"/>
      </w:tabs>
      <w:autoSpaceDN w:val="0"/>
      <w:spacing w:before="0" w:beforeLines="0" w:after="0" w:afterLines="0"/>
      <w:ind w:left="720" w:hanging="720"/>
      <w:outlineLvl w:val="2"/>
    </w:pPr>
  </w:style>
  <w:style w:type="paragraph" w:customStyle="1" w:styleId="750">
    <w:name w:val="font10"/>
    <w:basedOn w:val="1"/>
    <w:qFormat/>
    <w:uiPriority w:val="0"/>
    <w:pPr>
      <w:widowControl/>
      <w:spacing w:before="100" w:beforeAutospacing="1" w:after="100" w:afterAutospacing="1" w:line="360" w:lineRule="auto"/>
      <w:ind w:firstLine="200" w:firstLineChars="200"/>
      <w:jc w:val="left"/>
    </w:pPr>
    <w:rPr>
      <w:rFonts w:hint="eastAsia" w:ascii="宋体" w:hAnsi="宋体" w:cs="Arial Unicode MS"/>
      <w:color w:val="000000"/>
      <w:kern w:val="0"/>
      <w:sz w:val="18"/>
      <w:szCs w:val="18"/>
    </w:rPr>
  </w:style>
  <w:style w:type="paragraph" w:customStyle="1" w:styleId="751">
    <w:name w:val="二级条标题"/>
    <w:basedOn w:val="630"/>
    <w:next w:val="1"/>
    <w:qFormat/>
    <w:uiPriority w:val="0"/>
    <w:pPr>
      <w:outlineLvl w:val="3"/>
    </w:pPr>
  </w:style>
  <w:style w:type="paragraph" w:customStyle="1" w:styleId="752">
    <w:name w:val="证书4"/>
    <w:basedOn w:val="1"/>
    <w:qFormat/>
    <w:uiPriority w:val="0"/>
    <w:pPr>
      <w:spacing w:line="400" w:lineRule="exact"/>
      <w:jc w:val="center"/>
    </w:pPr>
    <w:rPr>
      <w:rFonts w:ascii="隶书" w:eastAsia="隶书" w:cs="宋体"/>
      <w:b/>
      <w:bCs/>
      <w:sz w:val="30"/>
    </w:rPr>
  </w:style>
  <w:style w:type="paragraph" w:customStyle="1" w:styleId="753">
    <w:name w:val="表字1"/>
    <w:basedOn w:val="1"/>
    <w:qFormat/>
    <w:uiPriority w:val="0"/>
    <w:pPr>
      <w:adjustRightInd w:val="0"/>
      <w:spacing w:line="360" w:lineRule="auto"/>
      <w:jc w:val="center"/>
      <w:textAlignment w:val="baseline"/>
    </w:pPr>
    <w:rPr>
      <w:rFonts w:ascii="宋体"/>
      <w:kern w:val="0"/>
    </w:rPr>
  </w:style>
  <w:style w:type="paragraph" w:customStyle="1" w:styleId="754">
    <w:name w:val="标准"/>
    <w:basedOn w:val="1"/>
    <w:qFormat/>
    <w:uiPriority w:val="0"/>
    <w:pPr>
      <w:adjustRightInd w:val="0"/>
      <w:spacing w:line="360" w:lineRule="auto"/>
      <w:textAlignment w:val="baseline"/>
    </w:pPr>
    <w:rPr>
      <w:rFonts w:ascii="宋体"/>
      <w:kern w:val="0"/>
      <w:sz w:val="28"/>
    </w:rPr>
  </w:style>
  <w:style w:type="paragraph" w:customStyle="1" w:styleId="755">
    <w:name w:val="样式 标题 3 + 首行缩进:  2 字符 段前: 8.15 磅 段后: 8.15 磅1"/>
    <w:basedOn w:val="9"/>
    <w:qFormat/>
    <w:uiPriority w:val="0"/>
    <w:pPr>
      <w:tabs>
        <w:tab w:val="left" w:pos="1575"/>
      </w:tabs>
      <w:spacing w:before="163" w:after="163" w:line="0" w:lineRule="atLeast"/>
      <w:ind w:firstLine="482" w:firstLineChars="200"/>
      <w:jc w:val="left"/>
    </w:pPr>
    <w:rPr>
      <w:rFonts w:ascii="Arial Unicode MS" w:hAnsi="Arial Unicode MS" w:eastAsia="黑体" w:cs="宋体"/>
      <w:bCs/>
      <w:sz w:val="24"/>
    </w:rPr>
  </w:style>
  <w:style w:type="paragraph" w:customStyle="1" w:styleId="756">
    <w:name w:val="reader-word-layer reader-word-s4-12"/>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757">
    <w:name w:val="f14"/>
    <w:basedOn w:val="1"/>
    <w:qFormat/>
    <w:uiPriority w:val="0"/>
    <w:pPr>
      <w:widowControl/>
      <w:spacing w:before="100" w:beforeAutospacing="1" w:after="100" w:afterAutospacing="1"/>
      <w:jc w:val="left"/>
    </w:pPr>
    <w:rPr>
      <w:rFonts w:ascii="Arial Unicode MS" w:hAnsi="Arial Unicode MS"/>
      <w:kern w:val="0"/>
      <w:szCs w:val="21"/>
    </w:rPr>
  </w:style>
  <w:style w:type="paragraph" w:customStyle="1" w:styleId="758">
    <w:name w:val="MTDisplayEquation"/>
    <w:basedOn w:val="26"/>
    <w:next w:val="1"/>
    <w:qFormat/>
    <w:uiPriority w:val="0"/>
    <w:pPr>
      <w:tabs>
        <w:tab w:val="center" w:pos="4160"/>
        <w:tab w:val="right" w:pos="8300"/>
      </w:tabs>
      <w:autoSpaceDE w:val="0"/>
      <w:autoSpaceDN w:val="0"/>
      <w:adjustRightInd w:val="0"/>
      <w:spacing w:line="360" w:lineRule="auto"/>
      <w:ind w:firstLine="540" w:firstLineChars="225"/>
      <w:jc w:val="left"/>
    </w:pPr>
    <w:rPr>
      <w:rFonts w:ascii="Times New Roman" w:hAnsi="Times New Roman" w:eastAsia="仿宋_GB2312"/>
      <w:szCs w:val="24"/>
    </w:rPr>
  </w:style>
  <w:style w:type="paragraph" w:customStyle="1" w:styleId="759">
    <w:name w:val="正文2"/>
    <w:basedOn w:val="1"/>
    <w:link w:val="760"/>
    <w:qFormat/>
    <w:uiPriority w:val="0"/>
    <w:pPr>
      <w:autoSpaceDE w:val="0"/>
      <w:autoSpaceDN w:val="0"/>
      <w:adjustRightInd w:val="0"/>
      <w:snapToGrid w:val="0"/>
      <w:spacing w:line="360" w:lineRule="atLeast"/>
      <w:jc w:val="center"/>
      <w:textAlignment w:val="baseline"/>
    </w:pPr>
    <w:rPr>
      <w:rFonts w:eastAsia="幼圆"/>
      <w:b/>
      <w:kern w:val="0"/>
    </w:rPr>
  </w:style>
  <w:style w:type="character" w:customStyle="1" w:styleId="760">
    <w:name w:val="正文2 Char"/>
    <w:link w:val="759"/>
    <w:qFormat/>
    <w:uiPriority w:val="0"/>
    <w:rPr>
      <w:rFonts w:eastAsia="幼圆"/>
      <w:b/>
      <w:sz w:val="21"/>
    </w:rPr>
  </w:style>
  <w:style w:type="paragraph" w:customStyle="1" w:styleId="761">
    <w:name w:val=" Char Char Char Char Char Char"/>
    <w:basedOn w:val="1"/>
    <w:qFormat/>
    <w:uiPriority w:val="0"/>
    <w:rPr>
      <w:sz w:val="24"/>
    </w:rPr>
  </w:style>
  <w:style w:type="paragraph" w:customStyle="1" w:styleId="762">
    <w:name w:val="首行缩进 Char Char"/>
    <w:basedOn w:val="1"/>
    <w:qFormat/>
    <w:uiPriority w:val="0"/>
    <w:pPr>
      <w:snapToGrid w:val="0"/>
      <w:spacing w:line="360" w:lineRule="auto"/>
      <w:ind w:firstLine="499"/>
    </w:pPr>
    <w:rPr>
      <w:sz w:val="24"/>
    </w:rPr>
  </w:style>
  <w:style w:type="paragraph" w:customStyle="1" w:styleId="763">
    <w:name w:val="Char13"/>
    <w:basedOn w:val="1"/>
    <w:qFormat/>
    <w:uiPriority w:val="0"/>
    <w:pPr>
      <w:spacing w:line="360" w:lineRule="auto"/>
      <w:ind w:firstLine="200" w:firstLineChars="200"/>
    </w:pPr>
  </w:style>
  <w:style w:type="paragraph" w:customStyle="1" w:styleId="764">
    <w:name w:val="封面"/>
    <w:basedOn w:val="1"/>
    <w:next w:val="3"/>
    <w:qFormat/>
    <w:uiPriority w:val="0"/>
    <w:pPr>
      <w:suppressLineNumbers/>
      <w:suppressAutoHyphens/>
      <w:topLinePunct/>
      <w:adjustRightInd w:val="0"/>
      <w:snapToGrid w:val="0"/>
      <w:spacing w:line="360" w:lineRule="auto"/>
      <w:ind w:firstLine="480" w:firstLineChars="200"/>
      <w:jc w:val="center"/>
    </w:pPr>
    <w:rPr>
      <w:rFonts w:ascii="宋体"/>
      <w:b/>
      <w:color w:val="000000"/>
      <w:sz w:val="32"/>
    </w:rPr>
  </w:style>
  <w:style w:type="paragraph" w:customStyle="1" w:styleId="765">
    <w:name w:val="样式 标题 3 + 首行缩进:  0.85 厘米"/>
    <w:basedOn w:val="9"/>
    <w:qFormat/>
    <w:uiPriority w:val="0"/>
    <w:pPr>
      <w:tabs>
        <w:tab w:val="left" w:pos="1575"/>
      </w:tabs>
    </w:pPr>
    <w:rPr>
      <w:rFonts w:hAnsi="宋体" w:eastAsia="仿宋_GB2312"/>
      <w:bCs/>
      <w:sz w:val="24"/>
      <w:szCs w:val="24"/>
    </w:rPr>
  </w:style>
  <w:style w:type="paragraph" w:customStyle="1" w:styleId="766">
    <w:name w:val="我的正文 Char Char Char"/>
    <w:basedOn w:val="1"/>
    <w:next w:val="1"/>
    <w:qFormat/>
    <w:uiPriority w:val="0"/>
    <w:pPr>
      <w:spacing w:line="520" w:lineRule="exact"/>
      <w:ind w:firstLine="540" w:firstLineChars="225"/>
    </w:pPr>
    <w:rPr>
      <w:sz w:val="24"/>
      <w:szCs w:val="24"/>
    </w:rPr>
  </w:style>
  <w:style w:type="paragraph" w:customStyle="1" w:styleId="767">
    <w:name w:val="CM25"/>
    <w:basedOn w:val="117"/>
    <w:next w:val="117"/>
    <w:qFormat/>
    <w:uiPriority w:val="0"/>
    <w:pPr>
      <w:spacing w:line="468" w:lineRule="atLeast"/>
    </w:pPr>
    <w:rPr>
      <w:rFonts w:ascii="仿宋_GB2312" w:eastAsia="仿宋_GB2312" w:cs="仿宋_GB2312"/>
      <w:color w:val="auto"/>
    </w:rPr>
  </w:style>
  <w:style w:type="paragraph" w:customStyle="1" w:styleId="768">
    <w:name w:val="样式 黑体 三号 居中 行距: 单倍行距"/>
    <w:basedOn w:val="1"/>
    <w:qFormat/>
    <w:uiPriority w:val="0"/>
    <w:pPr>
      <w:jc w:val="center"/>
    </w:pPr>
    <w:rPr>
      <w:rFonts w:ascii="黑体" w:eastAsia="黑体" w:cs="宋体"/>
      <w:sz w:val="32"/>
    </w:rPr>
  </w:style>
  <w:style w:type="paragraph" w:customStyle="1" w:styleId="769">
    <w:name w:val="样式 行距: 1.5 倍行距"/>
    <w:basedOn w:val="1"/>
    <w:qFormat/>
    <w:uiPriority w:val="0"/>
    <w:pPr>
      <w:spacing w:line="360" w:lineRule="auto"/>
      <w:ind w:firstLine="200" w:firstLineChars="200"/>
    </w:pPr>
    <w:rPr>
      <w:rFonts w:cs="宋体"/>
      <w:sz w:val="24"/>
    </w:rPr>
  </w:style>
  <w:style w:type="paragraph" w:customStyle="1" w:styleId="770">
    <w:name w:val="xl68"/>
    <w:basedOn w:val="1"/>
    <w:qFormat/>
    <w:uiPriority w:val="0"/>
    <w:pPr>
      <w:widowControl/>
      <w:pBdr>
        <w:bottom w:val="single" w:color="000000" w:sz="8" w:space="0"/>
        <w:right w:val="single" w:color="000000" w:sz="12" w:space="0"/>
      </w:pBdr>
      <w:spacing w:before="100" w:beforeAutospacing="1" w:after="100" w:afterAutospacing="1"/>
      <w:ind w:firstLine="100" w:firstLineChars="100"/>
      <w:jc w:val="left"/>
    </w:pPr>
    <w:rPr>
      <w:rFonts w:ascii="Arial Unicode MS" w:hAnsi="Arial Unicode MS" w:eastAsia="Arial Unicode MS" w:cs="Arial Unicode MS"/>
      <w:kern w:val="0"/>
      <w:sz w:val="18"/>
      <w:szCs w:val="18"/>
    </w:rPr>
  </w:style>
  <w:style w:type="paragraph" w:customStyle="1" w:styleId="771">
    <w:name w:val="段落2"/>
    <w:basedOn w:val="1"/>
    <w:qFormat/>
    <w:uiPriority w:val="0"/>
    <w:pPr>
      <w:adjustRightInd w:val="0"/>
      <w:spacing w:line="440" w:lineRule="atLeast"/>
    </w:pPr>
    <w:rPr>
      <w:spacing w:val="6"/>
      <w:sz w:val="28"/>
    </w:rPr>
  </w:style>
  <w:style w:type="paragraph" w:customStyle="1" w:styleId="772">
    <w:name w:val="标准文本 首行缩进:2 字符 行距1倍 Char Char"/>
    <w:basedOn w:val="1"/>
    <w:qFormat/>
    <w:uiPriority w:val="0"/>
    <w:pPr>
      <w:adjustRightInd w:val="0"/>
      <w:snapToGrid w:val="0"/>
      <w:ind w:firstLine="200" w:firstLineChars="200"/>
      <w:textAlignment w:val="center"/>
    </w:pPr>
    <w:rPr>
      <w:rFonts w:cs="宋体"/>
      <w:sz w:val="24"/>
      <w:szCs w:val="24"/>
    </w:rPr>
  </w:style>
  <w:style w:type="paragraph" w:customStyle="1" w:styleId="773">
    <w:name w:val="列表名称 Char Char Char Char"/>
    <w:basedOn w:val="1"/>
    <w:qFormat/>
    <w:uiPriority w:val="0"/>
    <w:pPr>
      <w:tabs>
        <w:tab w:val="left" w:pos="3777"/>
        <w:tab w:val="left" w:pos="5106"/>
        <w:tab w:val="left" w:pos="6313"/>
        <w:tab w:val="left" w:pos="7998"/>
        <w:tab w:val="left" w:pos="9238"/>
      </w:tabs>
      <w:spacing w:line="480" w:lineRule="exact"/>
      <w:jc w:val="center"/>
    </w:pPr>
    <w:rPr>
      <w:rFonts w:eastAsia="黑体"/>
      <w:sz w:val="24"/>
    </w:rPr>
  </w:style>
  <w:style w:type="paragraph" w:customStyle="1" w:styleId="774">
    <w:name w:val="HTML Bottom of Form"/>
    <w:basedOn w:val="1"/>
    <w:next w:val="1"/>
    <w:qFormat/>
    <w:uiPriority w:val="0"/>
    <w:pPr>
      <w:pBdr>
        <w:top w:val="single" w:color="auto" w:sz="6" w:space="1"/>
      </w:pBdr>
      <w:jc w:val="center"/>
    </w:pPr>
    <w:rPr>
      <w:rFonts w:hint="eastAsia" w:ascii="Arial" w:hAnsi="Arial"/>
      <w:vanish/>
      <w:sz w:val="16"/>
    </w:rPr>
  </w:style>
  <w:style w:type="paragraph" w:customStyle="1" w:styleId="775">
    <w:name w:val="环科院插图标题"/>
    <w:basedOn w:val="1"/>
    <w:link w:val="776"/>
    <w:qFormat/>
    <w:uiPriority w:val="0"/>
    <w:pPr>
      <w:spacing w:line="400" w:lineRule="exact"/>
      <w:jc w:val="center"/>
    </w:pPr>
    <w:rPr>
      <w:rFonts w:eastAsia="黑体"/>
      <w:b/>
    </w:rPr>
  </w:style>
  <w:style w:type="character" w:customStyle="1" w:styleId="776">
    <w:name w:val="环科院插图标题 Char Char"/>
    <w:link w:val="775"/>
    <w:qFormat/>
    <w:locked/>
    <w:uiPriority w:val="0"/>
    <w:rPr>
      <w:rFonts w:eastAsia="黑体"/>
      <w:b/>
      <w:kern w:val="2"/>
      <w:sz w:val="21"/>
    </w:rPr>
  </w:style>
  <w:style w:type="paragraph" w:customStyle="1" w:styleId="777">
    <w:name w:val="正文缩进2"/>
    <w:basedOn w:val="1"/>
    <w:qFormat/>
    <w:uiPriority w:val="0"/>
    <w:pPr>
      <w:spacing w:line="360" w:lineRule="auto"/>
      <w:ind w:firstLine="200" w:firstLineChars="200"/>
      <w:jc w:val="left"/>
    </w:pPr>
    <w:rPr>
      <w:rFonts w:cs="宋体"/>
    </w:rPr>
  </w:style>
  <w:style w:type="paragraph" w:customStyle="1" w:styleId="778">
    <w:name w:val="标准表格"/>
    <w:basedOn w:val="1"/>
    <w:qFormat/>
    <w:uiPriority w:val="0"/>
    <w:pPr>
      <w:spacing w:line="0" w:lineRule="atLeast"/>
    </w:pPr>
    <w:rPr>
      <w:sz w:val="24"/>
      <w:szCs w:val="28"/>
    </w:rPr>
  </w:style>
  <w:style w:type="paragraph" w:customStyle="1" w:styleId="779">
    <w:name w:val="默认段落字体 Para Char Char Char Char Char Char Char Char Char Char"/>
    <w:basedOn w:val="9"/>
    <w:qFormat/>
    <w:uiPriority w:val="0"/>
    <w:pPr>
      <w:tabs>
        <w:tab w:val="left" w:pos="360"/>
        <w:tab w:val="left" w:pos="900"/>
      </w:tabs>
      <w:snapToGrid w:val="0"/>
      <w:spacing w:before="120" w:after="120" w:line="240" w:lineRule="auto"/>
      <w:ind w:left="542" w:leftChars="-12" w:firstLine="200" w:firstLineChars="200"/>
      <w:jc w:val="left"/>
    </w:pPr>
    <w:rPr>
      <w:rFonts w:ascii="宋体" w:hAnsi="宋体" w:eastAsia="黑体"/>
      <w:b w:val="0"/>
      <w:bCs/>
      <w:snapToGrid w:val="0"/>
      <w:kern w:val="1"/>
      <w:sz w:val="24"/>
      <w:szCs w:val="24"/>
    </w:rPr>
  </w:style>
  <w:style w:type="paragraph" w:customStyle="1" w:styleId="780">
    <w:name w:val="报告"/>
    <w:basedOn w:val="1"/>
    <w:qFormat/>
    <w:uiPriority w:val="0"/>
    <w:pPr>
      <w:spacing w:line="360" w:lineRule="auto"/>
      <w:ind w:firstLine="482"/>
    </w:pPr>
    <w:rPr>
      <w:sz w:val="24"/>
      <w:szCs w:val="24"/>
    </w:rPr>
  </w:style>
  <w:style w:type="paragraph" w:customStyle="1" w:styleId="781">
    <w:name w:val="本文正文"/>
    <w:basedOn w:val="1"/>
    <w:qFormat/>
    <w:uiPriority w:val="0"/>
    <w:pPr>
      <w:autoSpaceDE w:val="0"/>
      <w:autoSpaceDN w:val="0"/>
      <w:adjustRightInd w:val="0"/>
      <w:spacing w:line="300" w:lineRule="auto"/>
      <w:ind w:firstLine="560" w:firstLineChars="200"/>
      <w:textAlignment w:val="baseline"/>
    </w:pPr>
    <w:rPr>
      <w:sz w:val="28"/>
    </w:rPr>
  </w:style>
  <w:style w:type="paragraph" w:customStyle="1" w:styleId="782">
    <w:name w:val="中气二级"/>
    <w:basedOn w:val="1"/>
    <w:next w:val="1"/>
    <w:qFormat/>
    <w:uiPriority w:val="0"/>
    <w:pPr>
      <w:keepNext/>
      <w:keepLines/>
      <w:spacing w:before="156" w:beforeLines="50" w:after="156" w:afterLines="50" w:line="360" w:lineRule="auto"/>
      <w:ind w:left="540"/>
      <w:jc w:val="left"/>
      <w:outlineLvl w:val="1"/>
    </w:pPr>
    <w:rPr>
      <w:rFonts w:ascii="Arial" w:hAnsi="Arial" w:eastAsia="黑体" w:cs="宋体"/>
      <w:bCs/>
      <w:sz w:val="30"/>
    </w:rPr>
  </w:style>
  <w:style w:type="paragraph" w:customStyle="1" w:styleId="783">
    <w:name w:val="表格wenben 小五 居中"/>
    <w:basedOn w:val="1"/>
    <w:qFormat/>
    <w:uiPriority w:val="0"/>
    <w:pPr>
      <w:adjustRightInd w:val="0"/>
      <w:snapToGrid w:val="0"/>
      <w:jc w:val="center"/>
    </w:pPr>
    <w:rPr>
      <w:rFonts w:cs="宋体"/>
      <w:sz w:val="18"/>
      <w:szCs w:val="18"/>
    </w:rPr>
  </w:style>
  <w:style w:type="paragraph" w:customStyle="1" w:styleId="784">
    <w:name w:val="5"/>
    <w:basedOn w:val="1"/>
    <w:next w:val="1"/>
    <w:qFormat/>
    <w:uiPriority w:val="0"/>
    <w:pPr>
      <w:spacing w:line="360" w:lineRule="auto"/>
      <w:ind w:firstLine="200" w:firstLineChars="200"/>
    </w:pPr>
    <w:rPr>
      <w:rFonts w:ascii="宋体"/>
      <w:color w:val="000000"/>
      <w:sz w:val="28"/>
    </w:rPr>
  </w:style>
  <w:style w:type="paragraph" w:customStyle="1" w:styleId="785">
    <w:name w:val="标记文字"/>
    <w:basedOn w:val="33"/>
    <w:qFormat/>
    <w:uiPriority w:val="0"/>
    <w:pPr>
      <w:adjustRightInd/>
      <w:snapToGrid/>
      <w:spacing w:line="240" w:lineRule="auto"/>
      <w:ind w:left="200" w:hanging="200" w:hangingChars="200"/>
    </w:pPr>
    <w:rPr>
      <w:rFonts w:ascii="Arial" w:hAnsi="Arial" w:eastAsia="黑体" w:cs="宋体"/>
      <w:i w:val="0"/>
      <w:iCs w:val="0"/>
      <w:color w:val="auto"/>
      <w:sz w:val="21"/>
      <w:szCs w:val="20"/>
    </w:rPr>
  </w:style>
  <w:style w:type="paragraph" w:customStyle="1" w:styleId="786">
    <w:name w:val="CM45"/>
    <w:basedOn w:val="117"/>
    <w:next w:val="117"/>
    <w:qFormat/>
    <w:uiPriority w:val="0"/>
    <w:pPr>
      <w:spacing w:line="500" w:lineRule="atLeast"/>
    </w:pPr>
    <w:rPr>
      <w:rFonts w:ascii="仿宋_GB2312" w:eastAsia="仿宋_GB2312" w:cs="Times New Roman"/>
      <w:color w:val="auto"/>
      <w:szCs w:val="20"/>
    </w:rPr>
  </w:style>
  <w:style w:type="paragraph" w:customStyle="1" w:styleId="787">
    <w:name w:val="表格五中"/>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788">
    <w:name w:val="TECHNICAL INFO"/>
    <w:basedOn w:val="1"/>
    <w:qFormat/>
    <w:uiPriority w:val="0"/>
    <w:pPr>
      <w:widowControl/>
    </w:pPr>
    <w:rPr>
      <w:sz w:val="24"/>
      <w:lang w:val="en-GB" w:eastAsia="en-US"/>
    </w:rPr>
  </w:style>
  <w:style w:type="paragraph" w:customStyle="1" w:styleId="789">
    <w:name w:val="....."/>
    <w:basedOn w:val="117"/>
    <w:next w:val="117"/>
    <w:qFormat/>
    <w:uiPriority w:val="0"/>
    <w:rPr>
      <w:rFonts w:ascii=".." w:eastAsia=".." w:cs="Times New Roman"/>
      <w:color w:val="auto"/>
      <w:szCs w:val="20"/>
    </w:rPr>
  </w:style>
  <w:style w:type="paragraph" w:customStyle="1" w:styleId="790">
    <w:name w:val="样式 正文1 Char Char + 字距调整七号 Char1"/>
    <w:basedOn w:val="1"/>
    <w:qFormat/>
    <w:uiPriority w:val="0"/>
    <w:pPr>
      <w:suppressLineNumbers/>
      <w:suppressAutoHyphens/>
      <w:topLinePunct/>
      <w:adjustRightInd w:val="0"/>
      <w:snapToGrid w:val="0"/>
      <w:spacing w:line="360" w:lineRule="auto"/>
      <w:ind w:firstLine="480" w:firstLineChars="200"/>
    </w:pPr>
    <w:rPr>
      <w:kern w:val="11"/>
      <w:sz w:val="24"/>
    </w:rPr>
  </w:style>
  <w:style w:type="paragraph" w:customStyle="1" w:styleId="791">
    <w:name w:val="湛江码头表"/>
    <w:basedOn w:val="1"/>
    <w:qFormat/>
    <w:uiPriority w:val="0"/>
    <w:pPr>
      <w:jc w:val="center"/>
    </w:pPr>
    <w:rPr>
      <w:rFonts w:eastAsia="仿宋_GB2312"/>
      <w:kern w:val="0"/>
      <w:szCs w:val="24"/>
      <w:lang w:eastAsia="zh-TW"/>
    </w:rPr>
  </w:style>
  <w:style w:type="paragraph" w:customStyle="1" w:styleId="792">
    <w:name w:val="Char Char Char Char Char Char3"/>
    <w:basedOn w:val="1"/>
    <w:qFormat/>
    <w:uiPriority w:val="0"/>
    <w:rPr>
      <w:szCs w:val="24"/>
    </w:rPr>
  </w:style>
  <w:style w:type="paragraph" w:customStyle="1" w:styleId="793">
    <w:name w:val="xl43"/>
    <w:basedOn w:val="1"/>
    <w:qFormat/>
    <w:uiPriority w:val="0"/>
    <w:pPr>
      <w:widowControl/>
      <w:pBdr>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794">
    <w:name w:val="Puce2-8pts"/>
    <w:basedOn w:val="1"/>
    <w:qFormat/>
    <w:uiPriority w:val="0"/>
    <w:pPr>
      <w:keepLines/>
      <w:widowControl/>
      <w:tabs>
        <w:tab w:val="left" w:pos="-283"/>
        <w:tab w:val="left" w:pos="257"/>
      </w:tabs>
      <w:spacing w:before="160"/>
      <w:ind w:left="1701" w:hanging="360"/>
    </w:pPr>
    <w:rPr>
      <w:rFonts w:ascii="Arial" w:hAnsi="Arial"/>
      <w:kern w:val="0"/>
      <w:sz w:val="20"/>
      <w:lang w:eastAsia="fr-FR"/>
    </w:rPr>
  </w:style>
  <w:style w:type="paragraph" w:customStyle="1" w:styleId="795">
    <w:name w:val="xl23"/>
    <w:basedOn w:val="1"/>
    <w:qFormat/>
    <w:uiPriority w:val="0"/>
    <w:pPr>
      <w:widowControl/>
      <w:spacing w:before="100" w:beforeAutospacing="1" w:after="100" w:afterAutospacing="1"/>
      <w:jc w:val="center"/>
    </w:pPr>
    <w:rPr>
      <w:rFonts w:eastAsia="Arial Unicode MS"/>
      <w:kern w:val="0"/>
      <w:sz w:val="24"/>
      <w:szCs w:val="24"/>
    </w:rPr>
  </w:style>
  <w:style w:type="paragraph" w:customStyle="1" w:styleId="796">
    <w:name w:val="正文01"/>
    <w:basedOn w:val="1"/>
    <w:link w:val="797"/>
    <w:qFormat/>
    <w:uiPriority w:val="0"/>
    <w:pPr>
      <w:spacing w:before="60" w:line="460" w:lineRule="exact"/>
      <w:ind w:firstLine="200" w:firstLineChars="200"/>
    </w:pPr>
    <w:rPr>
      <w:sz w:val="24"/>
      <w:szCs w:val="24"/>
    </w:rPr>
  </w:style>
  <w:style w:type="character" w:customStyle="1" w:styleId="797">
    <w:name w:val="正文01 Char Char"/>
    <w:link w:val="796"/>
    <w:qFormat/>
    <w:locked/>
    <w:uiPriority w:val="0"/>
    <w:rPr>
      <w:kern w:val="2"/>
      <w:sz w:val="24"/>
      <w:szCs w:val="24"/>
    </w:rPr>
  </w:style>
  <w:style w:type="paragraph" w:customStyle="1" w:styleId="798">
    <w:name w:val="名录"/>
    <w:basedOn w:val="1"/>
    <w:qFormat/>
    <w:uiPriority w:val="0"/>
    <w:pPr>
      <w:snapToGrid w:val="0"/>
      <w:ind w:left="-120" w:leftChars="-50" w:right="-120" w:rightChars="-50"/>
      <w:jc w:val="center"/>
    </w:pPr>
    <w:rPr>
      <w:rFonts w:cs="Arial Unicode MS"/>
      <w:i/>
      <w:iCs/>
      <w:color w:val="000000"/>
      <w:spacing w:val="20"/>
      <w:szCs w:val="18"/>
    </w:rPr>
  </w:style>
  <w:style w:type="paragraph" w:customStyle="1" w:styleId="799">
    <w:name w:val="4"/>
    <w:basedOn w:val="1"/>
    <w:next w:val="75"/>
    <w:qFormat/>
    <w:uiPriority w:val="0"/>
    <w:pPr>
      <w:adjustRightInd w:val="0"/>
      <w:snapToGrid w:val="0"/>
      <w:spacing w:line="360" w:lineRule="auto"/>
      <w:ind w:firstLine="480" w:firstLineChars="200"/>
    </w:pPr>
    <w:rPr>
      <w:rFonts w:ascii="宋体" w:hAnsi="宋体"/>
      <w:color w:val="999999"/>
      <w:sz w:val="24"/>
      <w:szCs w:val="24"/>
    </w:rPr>
  </w:style>
  <w:style w:type="paragraph" w:customStyle="1" w:styleId="800">
    <w:name w:val="CM39"/>
    <w:basedOn w:val="117"/>
    <w:next w:val="117"/>
    <w:qFormat/>
    <w:uiPriority w:val="0"/>
    <w:pPr>
      <w:spacing w:line="436" w:lineRule="atLeast"/>
    </w:pPr>
    <w:rPr>
      <w:rFonts w:ascii="仿宋_GB2312" w:eastAsia="仿宋_GB2312" w:cs="Times New Roman"/>
      <w:color w:val="auto"/>
    </w:rPr>
  </w:style>
  <w:style w:type="paragraph" w:customStyle="1" w:styleId="801">
    <w:name w:val="xl38"/>
    <w:basedOn w:val="1"/>
    <w:qFormat/>
    <w:uiPriority w:val="0"/>
    <w:pPr>
      <w:widowControl/>
      <w:pBdr>
        <w:top w:val="single" w:color="auto" w:sz="4" w:space="0"/>
        <w:left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color w:val="000000"/>
      <w:kern w:val="0"/>
      <w:sz w:val="24"/>
    </w:rPr>
  </w:style>
  <w:style w:type="paragraph" w:customStyle="1" w:styleId="802">
    <w:name w:val="階層2"/>
    <w:basedOn w:val="1"/>
    <w:qFormat/>
    <w:uiPriority w:val="0"/>
    <w:pPr>
      <w:widowControl/>
      <w:tabs>
        <w:tab w:val="left" w:pos="840"/>
        <w:tab w:val="left" w:pos="1080"/>
        <w:tab w:val="left" w:pos="1800"/>
      </w:tabs>
      <w:adjustRightInd w:val="0"/>
      <w:snapToGrid w:val="0"/>
      <w:spacing w:before="78" w:beforeLines="25" w:after="78" w:afterLines="25" w:line="400" w:lineRule="exact"/>
      <w:ind w:left="840" w:hanging="420"/>
      <w:jc w:val="left"/>
      <w:outlineLvl w:val="1"/>
    </w:pPr>
    <w:rPr>
      <w:rFonts w:eastAsia="DFKai-SB"/>
      <w:kern w:val="0"/>
      <w:sz w:val="28"/>
      <w:lang w:eastAsia="zh-TW"/>
    </w:rPr>
  </w:style>
  <w:style w:type="paragraph" w:customStyle="1" w:styleId="803">
    <w:name w:val="样式 正文1 Char Char + 字距调整七号"/>
    <w:basedOn w:val="1"/>
    <w:qFormat/>
    <w:uiPriority w:val="0"/>
    <w:pPr>
      <w:suppressLineNumbers/>
      <w:suppressAutoHyphens/>
      <w:topLinePunct/>
      <w:adjustRightInd w:val="0"/>
      <w:snapToGrid w:val="0"/>
      <w:spacing w:line="360" w:lineRule="auto"/>
      <w:ind w:firstLine="480" w:firstLineChars="200"/>
    </w:pPr>
    <w:rPr>
      <w:kern w:val="11"/>
      <w:sz w:val="24"/>
    </w:rPr>
  </w:style>
  <w:style w:type="paragraph" w:customStyle="1" w:styleId="804">
    <w:name w:val="样式 标题 1一、标题 111Head 1wsa纸业标题 1h1H1标题 1 CharPart'Documen..."/>
    <w:basedOn w:val="7"/>
    <w:qFormat/>
    <w:uiPriority w:val="0"/>
    <w:pPr>
      <w:spacing w:before="240" w:after="240" w:line="360" w:lineRule="auto"/>
      <w:jc w:val="center"/>
    </w:pPr>
    <w:rPr>
      <w:rFonts w:cs="宋体"/>
      <w:bCs/>
    </w:rPr>
  </w:style>
  <w:style w:type="paragraph" w:customStyle="1" w:styleId="805">
    <w:name w:val="表格（小）"/>
    <w:basedOn w:val="1"/>
    <w:qFormat/>
    <w:uiPriority w:val="0"/>
    <w:pPr>
      <w:adjustRightInd w:val="0"/>
      <w:snapToGrid w:val="0"/>
    </w:pPr>
    <w:rPr>
      <w:snapToGrid w:val="0"/>
      <w:kern w:val="0"/>
    </w:rPr>
  </w:style>
  <w:style w:type="paragraph" w:customStyle="1" w:styleId="806">
    <w:name w:val="表正文2"/>
    <w:basedOn w:val="1"/>
    <w:qFormat/>
    <w:uiPriority w:val="0"/>
    <w:pPr>
      <w:tabs>
        <w:tab w:val="left" w:pos="655"/>
        <w:tab w:val="left" w:pos="2947"/>
        <w:tab w:val="left" w:pos="6415"/>
        <w:tab w:val="left" w:pos="7495"/>
      </w:tabs>
      <w:adjustRightInd w:val="0"/>
      <w:snapToGrid w:val="0"/>
      <w:spacing w:line="300" w:lineRule="auto"/>
      <w:jc w:val="center"/>
    </w:pPr>
    <w:rPr>
      <w:rFonts w:ascii="宋体" w:hAnsi="宋体" w:cs="Arial"/>
      <w:spacing w:val="-6"/>
      <w:sz w:val="24"/>
      <w:szCs w:val="24"/>
      <w:lang w:val="ru-RU"/>
    </w:rPr>
  </w:style>
  <w:style w:type="paragraph" w:customStyle="1" w:styleId="807">
    <w:name w:val="表格32"/>
    <w:basedOn w:val="1"/>
    <w:qFormat/>
    <w:uiPriority w:val="0"/>
    <w:pPr>
      <w:adjustRightInd w:val="0"/>
      <w:ind w:firstLine="480" w:firstLineChars="200"/>
      <w:jc w:val="center"/>
      <w:textAlignment w:val="center"/>
    </w:pPr>
    <w:rPr>
      <w:rFonts w:eastAsia="仿宋_GB2312"/>
      <w:sz w:val="24"/>
    </w:rPr>
  </w:style>
  <w:style w:type="paragraph" w:customStyle="1" w:styleId="808">
    <w:name w:val="文献"/>
    <w:basedOn w:val="53"/>
    <w:qFormat/>
    <w:uiPriority w:val="0"/>
    <w:pPr>
      <w:tabs>
        <w:tab w:val="left" w:pos="420"/>
        <w:tab w:val="left" w:pos="1140"/>
      </w:tabs>
      <w:snapToGrid w:val="0"/>
      <w:spacing w:before="93" w:beforeLines="30" w:line="288" w:lineRule="auto"/>
      <w:ind w:left="737" w:hanging="317" w:hangingChars="200"/>
    </w:pPr>
    <w:rPr>
      <w:rFonts w:ascii="Times New Roman" w:hAnsi="Times New Roman"/>
      <w:spacing w:val="10"/>
    </w:rPr>
  </w:style>
  <w:style w:type="paragraph" w:customStyle="1" w:styleId="809">
    <w:name w:val="xl57"/>
    <w:basedOn w:val="1"/>
    <w:qFormat/>
    <w:uiPriority w:val="0"/>
    <w:pPr>
      <w:widowControl/>
      <w:pBdr>
        <w:top w:val="single" w:color="auto" w:sz="8" w:space="0"/>
      </w:pBdr>
      <w:spacing w:before="100" w:beforeAutospacing="1" w:after="100" w:afterAutospacing="1" w:line="360" w:lineRule="auto"/>
      <w:ind w:firstLine="200" w:firstLineChars="200"/>
      <w:jc w:val="left"/>
    </w:pPr>
    <w:rPr>
      <w:rFonts w:ascii="Arial Unicode MS" w:hAnsi="Arial Unicode MS" w:eastAsia="Arial Unicode MS" w:cs="Arial Unicode MS"/>
      <w:kern w:val="0"/>
      <w:sz w:val="18"/>
      <w:szCs w:val="18"/>
    </w:rPr>
  </w:style>
  <w:style w:type="paragraph" w:customStyle="1" w:styleId="810">
    <w:name w:val="Char Char Char Char Char Char1 Char"/>
    <w:basedOn w:val="1"/>
    <w:qFormat/>
    <w:uiPriority w:val="0"/>
    <w:pPr>
      <w:spacing w:line="360" w:lineRule="auto"/>
    </w:pPr>
    <w:rPr>
      <w:sz w:val="24"/>
      <w:szCs w:val="24"/>
    </w:rPr>
  </w:style>
  <w:style w:type="paragraph" w:customStyle="1" w:styleId="811">
    <w:name w:val="公式样式1"/>
    <w:basedOn w:val="1"/>
    <w:qFormat/>
    <w:uiPriority w:val="0"/>
    <w:pPr>
      <w:spacing w:line="360" w:lineRule="auto"/>
      <w:ind w:firstLine="235" w:firstLineChars="100"/>
    </w:pPr>
    <w:rPr>
      <w:rFonts w:ascii="宋体" w:hAnsi="宋体"/>
      <w:sz w:val="24"/>
    </w:rPr>
  </w:style>
  <w:style w:type="paragraph" w:customStyle="1" w:styleId="812">
    <w:name w:val="样式 正文1 Char Char + 字距调整七号 Char Char"/>
    <w:basedOn w:val="1"/>
    <w:qFormat/>
    <w:uiPriority w:val="0"/>
    <w:pPr>
      <w:suppressLineNumbers/>
      <w:suppressAutoHyphens/>
      <w:topLinePunct/>
      <w:adjustRightInd w:val="0"/>
      <w:snapToGrid w:val="0"/>
      <w:spacing w:line="360" w:lineRule="auto"/>
      <w:ind w:firstLine="480" w:firstLineChars="200"/>
    </w:pPr>
    <w:rPr>
      <w:kern w:val="11"/>
      <w:sz w:val="24"/>
    </w:rPr>
  </w:style>
  <w:style w:type="paragraph" w:customStyle="1" w:styleId="813">
    <w:name w:val="小点"/>
    <w:basedOn w:val="1"/>
    <w:qFormat/>
    <w:uiPriority w:val="0"/>
    <w:pPr>
      <w:tabs>
        <w:tab w:val="left" w:pos="1160"/>
      </w:tabs>
      <w:spacing w:line="360" w:lineRule="auto"/>
      <w:ind w:left="1160" w:hanging="510"/>
    </w:pPr>
    <w:rPr>
      <w:rFonts w:eastAsia="仿宋_GB2312"/>
      <w:sz w:val="24"/>
      <w:szCs w:val="24"/>
    </w:rPr>
  </w:style>
  <w:style w:type="paragraph" w:customStyle="1" w:styleId="814">
    <w:name w:val="样式 四号 行距: 固定值 25 磅"/>
    <w:basedOn w:val="10"/>
    <w:qFormat/>
    <w:uiPriority w:val="0"/>
    <w:pPr>
      <w:adjustRightInd w:val="0"/>
      <w:spacing w:before="156" w:beforeLines="50" w:after="156" w:afterLines="50" w:line="500" w:lineRule="exact"/>
      <w:jc w:val="left"/>
      <w:textAlignment w:val="baseline"/>
    </w:pPr>
    <w:rPr>
      <w:rFonts w:ascii="Times New Roman" w:hAnsi="Times New Roman" w:eastAsia="宋体" w:cs="宋体"/>
      <w:kern w:val="0"/>
    </w:rPr>
  </w:style>
  <w:style w:type="paragraph" w:customStyle="1" w:styleId="815">
    <w:name w:val="图头"/>
    <w:basedOn w:val="1"/>
    <w:qFormat/>
    <w:uiPriority w:val="0"/>
    <w:pPr>
      <w:spacing w:line="400" w:lineRule="exact"/>
      <w:jc w:val="center"/>
    </w:pPr>
    <w:rPr>
      <w:rFonts w:ascii="黑体" w:eastAsia="黑体"/>
      <w:sz w:val="24"/>
    </w:rPr>
  </w:style>
  <w:style w:type="paragraph" w:customStyle="1" w:styleId="816">
    <w:name w:val="标准标题 1..."/>
    <w:basedOn w:val="7"/>
    <w:qFormat/>
    <w:uiPriority w:val="0"/>
    <w:pPr>
      <w:adjustRightInd w:val="0"/>
      <w:snapToGrid w:val="0"/>
      <w:spacing w:before="300" w:after="300" w:line="360" w:lineRule="auto"/>
      <w:jc w:val="center"/>
    </w:pPr>
    <w:rPr>
      <w:bCs/>
      <w:sz w:val="36"/>
      <w:szCs w:val="30"/>
    </w:rPr>
  </w:style>
  <w:style w:type="paragraph" w:customStyle="1" w:styleId="817">
    <w:name w:val="图例"/>
    <w:qFormat/>
    <w:uiPriority w:val="0"/>
    <w:pPr>
      <w:autoSpaceDE w:val="0"/>
      <w:autoSpaceDN w:val="0"/>
      <w:adjustRightInd w:val="0"/>
      <w:jc w:val="center"/>
    </w:pPr>
    <w:rPr>
      <w:rFonts w:ascii="黑体" w:hAnsi="Arial" w:eastAsia="黑体" w:cs="Arial"/>
      <w:b/>
      <w:spacing w:val="12"/>
      <w:sz w:val="24"/>
      <w:lang w:val="en-US" w:eastAsia="zh-CN" w:bidi="ar-SA"/>
    </w:rPr>
  </w:style>
  <w:style w:type="paragraph" w:customStyle="1" w:styleId="818">
    <w:name w:val=" Char Char Char1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819">
    <w:name w:val="样式 标题 1章节标题章标题 1-*+h11st levelSection Headl1b1本标题不使用篇标...1"/>
    <w:basedOn w:val="7"/>
    <w:qFormat/>
    <w:uiPriority w:val="0"/>
    <w:pPr>
      <w:spacing w:before="240" w:after="120" w:line="360" w:lineRule="auto"/>
      <w:jc w:val="left"/>
    </w:pPr>
    <w:rPr>
      <w:sz w:val="28"/>
    </w:rPr>
  </w:style>
  <w:style w:type="paragraph" w:customStyle="1" w:styleId="820">
    <w:name w:val="电镀表"/>
    <w:basedOn w:val="1"/>
    <w:qFormat/>
    <w:uiPriority w:val="0"/>
    <w:pPr>
      <w:autoSpaceDE w:val="0"/>
      <w:autoSpaceDN w:val="0"/>
      <w:adjustRightInd w:val="0"/>
      <w:jc w:val="center"/>
      <w:textAlignment w:val="center"/>
    </w:pPr>
    <w:rPr>
      <w:rFonts w:hAnsi="宋体"/>
      <w:kern w:val="0"/>
      <w:szCs w:val="21"/>
    </w:rPr>
  </w:style>
  <w:style w:type="paragraph" w:customStyle="1" w:styleId="821">
    <w:name w:val="目录标题"/>
    <w:basedOn w:val="7"/>
    <w:qFormat/>
    <w:uiPriority w:val="0"/>
    <w:pPr>
      <w:keepNext w:val="0"/>
      <w:keepLines w:val="0"/>
      <w:spacing w:before="0" w:after="0" w:line="0" w:lineRule="atLeast"/>
      <w:outlineLvl w:val="9"/>
    </w:pPr>
    <w:rPr>
      <w:rFonts w:ascii="宋体" w:hAnsi="宋体"/>
      <w:b w:val="0"/>
      <w:kern w:val="2"/>
      <w:sz w:val="32"/>
      <w:szCs w:val="24"/>
    </w:rPr>
  </w:style>
  <w:style w:type="paragraph" w:customStyle="1" w:styleId="822">
    <w:name w:val="CM127"/>
    <w:basedOn w:val="117"/>
    <w:next w:val="117"/>
    <w:qFormat/>
    <w:uiPriority w:val="0"/>
    <w:pPr>
      <w:spacing w:after="195"/>
    </w:pPr>
    <w:rPr>
      <w:rFonts w:ascii="仿宋_GB2312" w:eastAsia="仿宋_GB2312" w:cs="仿宋_GB2312"/>
      <w:color w:val="auto"/>
    </w:rPr>
  </w:style>
  <w:style w:type="paragraph" w:customStyle="1" w:styleId="823">
    <w:name w:val="style17"/>
    <w:basedOn w:val="1"/>
    <w:qFormat/>
    <w:uiPriority w:val="0"/>
    <w:pPr>
      <w:widowControl/>
      <w:spacing w:before="100" w:beforeLines="0" w:beforeAutospacing="1" w:after="100" w:afterLines="0" w:afterAutospacing="1"/>
      <w:jc w:val="left"/>
    </w:pPr>
    <w:rPr>
      <w:rFonts w:ascii="宋体" w:hAnsi="宋体"/>
      <w:kern w:val="0"/>
      <w:sz w:val="14"/>
    </w:rPr>
  </w:style>
  <w:style w:type="paragraph" w:customStyle="1" w:styleId="824">
    <w:name w:val="样式 表名 + 段前: 0.5 行"/>
    <w:basedOn w:val="1"/>
    <w:qFormat/>
    <w:uiPriority w:val="0"/>
    <w:pPr>
      <w:spacing w:before="156" w:after="93" w:afterLines="30" w:line="360" w:lineRule="exact"/>
      <w:jc w:val="center"/>
    </w:pPr>
    <w:rPr>
      <w:rFonts w:eastAsia="黑体"/>
      <w:sz w:val="24"/>
    </w:rPr>
  </w:style>
  <w:style w:type="paragraph" w:customStyle="1" w:styleId="825">
    <w:name w:val="生物拉丁文类名"/>
    <w:basedOn w:val="1"/>
    <w:qFormat/>
    <w:uiPriority w:val="0"/>
    <w:pPr>
      <w:tabs>
        <w:tab w:val="left" w:pos="-120"/>
      </w:tabs>
      <w:spacing w:before="60" w:line="310" w:lineRule="atLeast"/>
      <w:jc w:val="left"/>
    </w:pPr>
    <w:rPr>
      <w:b/>
      <w:i/>
      <w:spacing w:val="20"/>
      <w:sz w:val="24"/>
    </w:rPr>
  </w:style>
  <w:style w:type="paragraph" w:customStyle="1" w:styleId="826">
    <w:name w:val="样2"/>
    <w:basedOn w:val="1"/>
    <w:next w:val="1"/>
    <w:qFormat/>
    <w:uiPriority w:val="0"/>
    <w:pPr>
      <w:adjustRightInd w:val="0"/>
      <w:snapToGrid w:val="0"/>
      <w:jc w:val="center"/>
      <w:textAlignment w:val="baseline"/>
    </w:pPr>
    <w:rPr>
      <w:kern w:val="0"/>
    </w:rPr>
  </w:style>
  <w:style w:type="paragraph" w:customStyle="1" w:styleId="827">
    <w:name w:val="样式 标题 2 + 非加粗"/>
    <w:basedOn w:val="8"/>
    <w:qFormat/>
    <w:uiPriority w:val="0"/>
    <w:pPr>
      <w:spacing w:line="312" w:lineRule="auto"/>
      <w:jc w:val="left"/>
    </w:pPr>
    <w:rPr>
      <w:rFonts w:ascii="Times New Roman" w:hAnsi="Times New Roman"/>
      <w:bCs/>
      <w:sz w:val="24"/>
      <w:szCs w:val="32"/>
    </w:rPr>
  </w:style>
  <w:style w:type="paragraph" w:customStyle="1" w:styleId="828">
    <w:name w:val="样式 表内-文字 +"/>
    <w:basedOn w:val="829"/>
    <w:qFormat/>
    <w:uiPriority w:val="0"/>
    <w:pPr>
      <w:tabs>
        <w:tab w:val="left" w:pos="1280"/>
      </w:tabs>
    </w:pPr>
    <w:rPr>
      <w:kern w:val="0"/>
    </w:rPr>
  </w:style>
  <w:style w:type="paragraph" w:customStyle="1" w:styleId="829">
    <w:name w:val="表内-文字"/>
    <w:basedOn w:val="1"/>
    <w:qFormat/>
    <w:uiPriority w:val="0"/>
    <w:pPr>
      <w:spacing w:line="320" w:lineRule="exact"/>
      <w:jc w:val="center"/>
    </w:pPr>
    <w:rPr>
      <w:rFonts w:eastAsia="楷体_GB2312"/>
      <w:color w:val="000000"/>
    </w:rPr>
  </w:style>
  <w:style w:type="paragraph" w:customStyle="1" w:styleId="830">
    <w:name w:val="样式 标题 3 + 小三 黑色"/>
    <w:basedOn w:val="9"/>
    <w:qFormat/>
    <w:uiPriority w:val="0"/>
    <w:rPr>
      <w:color w:val="000000"/>
      <w:sz w:val="30"/>
    </w:rPr>
  </w:style>
  <w:style w:type="paragraph" w:customStyle="1" w:styleId="831">
    <w:name w:val="cs10 additive Default Pa"/>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832">
    <w:name w:val="编写日期"/>
    <w:basedOn w:val="1"/>
    <w:qFormat/>
    <w:uiPriority w:val="0"/>
    <w:pPr>
      <w:spacing w:line="360" w:lineRule="exact"/>
      <w:jc w:val="center"/>
    </w:pPr>
    <w:rPr>
      <w:rFonts w:cs="宋体"/>
      <w:sz w:val="32"/>
    </w:rPr>
  </w:style>
  <w:style w:type="paragraph" w:customStyle="1" w:styleId="833">
    <w:name w:val="样式 样式 标题 1 + (中文) 黑体 段前: 15.6 磅 段后: 15.6 磅 行距: 最小值 12 磅 + 两端对齐"/>
    <w:basedOn w:val="1"/>
    <w:qFormat/>
    <w:uiPriority w:val="0"/>
    <w:pPr>
      <w:keepNext/>
      <w:keepLines/>
      <w:adjustRightInd w:val="0"/>
      <w:snapToGrid w:val="0"/>
      <w:spacing w:after="312"/>
      <w:outlineLvl w:val="0"/>
    </w:pPr>
    <w:rPr>
      <w:rFonts w:eastAsia="黑体"/>
      <w:kern w:val="44"/>
      <w:sz w:val="32"/>
    </w:rPr>
  </w:style>
  <w:style w:type="paragraph" w:customStyle="1" w:styleId="834">
    <w:name w:val="A标题"/>
    <w:basedOn w:val="10"/>
    <w:qFormat/>
    <w:uiPriority w:val="0"/>
    <w:pPr>
      <w:tabs>
        <w:tab w:val="left" w:pos="-120"/>
      </w:tabs>
      <w:overflowPunct w:val="0"/>
      <w:topLinePunct/>
      <w:autoSpaceDE w:val="0"/>
      <w:snapToGrid w:val="0"/>
      <w:spacing w:before="60" w:after="156" w:afterLines="50" w:line="264" w:lineRule="auto"/>
    </w:pPr>
    <w:rPr>
      <w:rFonts w:ascii="宋体" w:hAnsi="宋体"/>
      <w:b w:val="0"/>
      <w:spacing w:val="20"/>
      <w:kern w:val="0"/>
      <w:sz w:val="24"/>
    </w:rPr>
  </w:style>
  <w:style w:type="paragraph" w:customStyle="1" w:styleId="835">
    <w:name w:val="样式 题注 + 两端对齐"/>
    <w:basedOn w:val="33"/>
    <w:qFormat/>
    <w:uiPriority w:val="0"/>
    <w:pPr>
      <w:keepNext/>
      <w:adjustRightInd/>
      <w:snapToGrid/>
      <w:spacing w:before="152" w:after="160" w:line="360" w:lineRule="auto"/>
      <w:ind w:left="482" w:leftChars="172" w:firstLine="0" w:firstLineChars="0"/>
    </w:pPr>
    <w:rPr>
      <w:rFonts w:ascii="宋体" w:hAnsi="宋体" w:eastAsia="宋体"/>
      <w:b/>
      <w:i w:val="0"/>
      <w:iCs w:val="0"/>
      <w:color w:val="auto"/>
      <w:sz w:val="24"/>
    </w:rPr>
  </w:style>
  <w:style w:type="paragraph" w:customStyle="1" w:styleId="836">
    <w:name w:val="xl60"/>
    <w:basedOn w:val="1"/>
    <w:qFormat/>
    <w:uiPriority w:val="0"/>
    <w:pPr>
      <w:widowControl/>
      <w:pBdr>
        <w:left w:val="single" w:color="auto" w:sz="8" w:space="0"/>
        <w:right w:val="single" w:color="auto" w:sz="4" w:space="0"/>
      </w:pBdr>
      <w:spacing w:before="100" w:after="100"/>
      <w:jc w:val="center"/>
      <w:textAlignment w:val="top"/>
    </w:pPr>
    <w:rPr>
      <w:kern w:val="0"/>
      <w:sz w:val="24"/>
      <w:szCs w:val="24"/>
    </w:rPr>
  </w:style>
  <w:style w:type="paragraph" w:customStyle="1" w:styleId="837">
    <w:name w:val="生物拉丁文名"/>
    <w:basedOn w:val="1"/>
    <w:qFormat/>
    <w:uiPriority w:val="0"/>
    <w:pPr>
      <w:tabs>
        <w:tab w:val="left" w:pos="-120"/>
      </w:tabs>
      <w:spacing w:before="60" w:line="0" w:lineRule="atLeast"/>
    </w:pPr>
    <w:rPr>
      <w:i/>
      <w:spacing w:val="20"/>
    </w:rPr>
  </w:style>
  <w:style w:type="paragraph" w:customStyle="1" w:styleId="838">
    <w:name w:val="样式 样式 标题 1章节标题章标题 1-*+h11st levelSection Headl1b1本标题不使用篇标...1 + ..."/>
    <w:basedOn w:val="1"/>
    <w:qFormat/>
    <w:uiPriority w:val="0"/>
    <w:pPr>
      <w:keepNext/>
      <w:keepLines/>
      <w:spacing w:before="240" w:after="120" w:line="360" w:lineRule="auto"/>
      <w:jc w:val="left"/>
      <w:outlineLvl w:val="0"/>
    </w:pPr>
    <w:rPr>
      <w:rFonts w:eastAsia="黑体" w:cs="宋体"/>
      <w:b/>
      <w:bCs/>
      <w:kern w:val="44"/>
      <w:sz w:val="28"/>
      <w:szCs w:val="28"/>
    </w:rPr>
  </w:style>
  <w:style w:type="paragraph" w:customStyle="1" w:styleId="839">
    <w:name w:val="样式 标题 4 +"/>
    <w:basedOn w:val="10"/>
    <w:qFormat/>
    <w:uiPriority w:val="0"/>
    <w:pPr>
      <w:numPr>
        <w:ilvl w:val="3"/>
        <w:numId w:val="0"/>
      </w:numPr>
      <w:tabs>
        <w:tab w:val="left" w:pos="425"/>
        <w:tab w:val="left" w:pos="1440"/>
      </w:tabs>
      <w:adjustRightInd w:val="0"/>
      <w:snapToGrid w:val="0"/>
      <w:spacing w:before="120" w:after="120" w:line="360" w:lineRule="auto"/>
      <w:ind w:left="425" w:hanging="425"/>
    </w:pPr>
    <w:rPr>
      <w:rFonts w:ascii="宋体" w:hAnsi="宋体"/>
      <w:bCs/>
      <w:kern w:val="0"/>
      <w:szCs w:val="28"/>
    </w:rPr>
  </w:style>
  <w:style w:type="paragraph" w:customStyle="1" w:styleId="840">
    <w:name w:val="普通(网站)1"/>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841">
    <w:name w:val="正文（首行缩进两字） Char Char Char Char Char Char Char"/>
    <w:basedOn w:val="1"/>
    <w:next w:val="81"/>
    <w:qFormat/>
    <w:uiPriority w:val="0"/>
    <w:pPr>
      <w:tabs>
        <w:tab w:val="right" w:leader="middleDot" w:pos="8222"/>
      </w:tabs>
      <w:spacing w:line="360" w:lineRule="auto"/>
      <w:jc w:val="center"/>
    </w:pPr>
    <w:rPr>
      <w:rFonts w:ascii="仿宋_GB2312" w:hAnsi="Arial Black" w:eastAsia="黑体"/>
      <w:sz w:val="44"/>
    </w:rPr>
  </w:style>
  <w:style w:type="paragraph" w:customStyle="1" w:styleId="842">
    <w:name w:val="默认段落字体 Para Char Char Char Char Char Char Char"/>
    <w:basedOn w:val="1"/>
    <w:qFormat/>
    <w:uiPriority w:val="0"/>
  </w:style>
  <w:style w:type="paragraph" w:customStyle="1" w:styleId="843">
    <w:name w:val="样式 标准文本 居中 行距1.5倍 +"/>
    <w:basedOn w:val="344"/>
    <w:qFormat/>
    <w:uiPriority w:val="0"/>
    <w:pPr>
      <w:adjustRightInd w:val="0"/>
      <w:snapToGrid w:val="0"/>
    </w:pPr>
    <w:rPr>
      <w:kern w:val="0"/>
    </w:rPr>
  </w:style>
  <w:style w:type="paragraph" w:customStyle="1" w:styleId="844">
    <w:name w:val="reader-word-layer reader-word-s1-4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845">
    <w:name w:val="xl87"/>
    <w:basedOn w:val="1"/>
    <w:qFormat/>
    <w:uiPriority w:val="0"/>
    <w:pPr>
      <w:widowControl/>
      <w:pBdr>
        <w:bottom w:val="single" w:color="auto" w:sz="4" w:space="0"/>
        <w:right w:val="single" w:color="auto" w:sz="4" w:space="0"/>
      </w:pBdr>
      <w:spacing w:before="100" w:beforeAutospacing="1" w:after="100" w:afterAutospacing="1"/>
      <w:jc w:val="left"/>
    </w:pPr>
    <w:rPr>
      <w:rFonts w:ascii="宋体" w:hAnsi="宋体"/>
      <w:kern w:val="0"/>
      <w:sz w:val="20"/>
      <w:lang w:eastAsia="en-US"/>
    </w:rPr>
  </w:style>
  <w:style w:type="paragraph" w:customStyle="1" w:styleId="846">
    <w:name w:val="CM35"/>
    <w:basedOn w:val="117"/>
    <w:next w:val="117"/>
    <w:qFormat/>
    <w:uiPriority w:val="0"/>
    <w:pPr>
      <w:spacing w:line="468" w:lineRule="atLeast"/>
    </w:pPr>
    <w:rPr>
      <w:rFonts w:ascii="仿宋_GB2312" w:eastAsia="仿宋_GB2312" w:cs="仿宋_GB2312"/>
      <w:color w:val="auto"/>
    </w:rPr>
  </w:style>
  <w:style w:type="paragraph" w:customStyle="1" w:styleId="847">
    <w:name w:val="10"/>
    <w:basedOn w:val="1"/>
    <w:next w:val="42"/>
    <w:qFormat/>
    <w:uiPriority w:val="0"/>
    <w:pPr>
      <w:spacing w:line="360" w:lineRule="auto"/>
    </w:pPr>
    <w:rPr>
      <w:color w:val="FF0000"/>
      <w:sz w:val="24"/>
      <w:szCs w:val="24"/>
    </w:rPr>
  </w:style>
  <w:style w:type="paragraph" w:customStyle="1" w:styleId="848">
    <w:name w:val="样式 标题 3 + (西文) Arial (中文) 仿宋_GB2312 四号 首行缩进:  2 字符"/>
    <w:basedOn w:val="9"/>
    <w:qFormat/>
    <w:uiPriority w:val="0"/>
    <w:rPr>
      <w:rFonts w:ascii="Arial" w:hAnsi="Arial" w:eastAsia="仿宋_GB2312" w:cs="宋体"/>
      <w:bCs/>
      <w:sz w:val="28"/>
    </w:rPr>
  </w:style>
  <w:style w:type="paragraph" w:customStyle="1" w:styleId="849">
    <w:name w:val="Body Text 23"/>
    <w:basedOn w:val="1"/>
    <w:qFormat/>
    <w:uiPriority w:val="0"/>
    <w:pPr>
      <w:autoSpaceDE w:val="0"/>
      <w:autoSpaceDN w:val="0"/>
      <w:adjustRightInd w:val="0"/>
      <w:spacing w:line="500" w:lineRule="atLeast"/>
      <w:ind w:firstLine="600"/>
      <w:jc w:val="left"/>
      <w:textAlignment w:val="bottom"/>
    </w:pPr>
    <w:rPr>
      <w:kern w:val="0"/>
      <w:sz w:val="28"/>
    </w:rPr>
  </w:style>
  <w:style w:type="paragraph" w:customStyle="1" w:styleId="850">
    <w:name w:val="封面1"/>
    <w:basedOn w:val="1"/>
    <w:qFormat/>
    <w:uiPriority w:val="0"/>
    <w:pPr>
      <w:spacing w:line="300" w:lineRule="auto"/>
      <w:jc w:val="left"/>
    </w:pPr>
    <w:rPr>
      <w:b/>
      <w:bCs/>
      <w:color w:val="000000"/>
      <w:sz w:val="32"/>
      <w:szCs w:val="24"/>
      <w:bdr w:val="single" w:color="auto" w:sz="4" w:space="0"/>
    </w:rPr>
  </w:style>
  <w:style w:type="paragraph" w:customStyle="1" w:styleId="851">
    <w:name w:val="样式1表头 Char"/>
    <w:basedOn w:val="38"/>
    <w:qFormat/>
    <w:uiPriority w:val="0"/>
    <w:pPr>
      <w:spacing w:before="156" w:beforeLines="50" w:beforeAutospacing="0" w:after="156" w:afterLines="50" w:afterAutospacing="0"/>
      <w:jc w:val="center"/>
    </w:pPr>
  </w:style>
  <w:style w:type="paragraph" w:customStyle="1" w:styleId="852">
    <w:name w:val="表内容"/>
    <w:basedOn w:val="1"/>
    <w:link w:val="853"/>
    <w:qFormat/>
    <w:uiPriority w:val="0"/>
    <w:pPr>
      <w:widowControl/>
      <w:adjustRightInd w:val="0"/>
      <w:snapToGrid w:val="0"/>
      <w:jc w:val="center"/>
    </w:pPr>
    <w:rPr>
      <w:snapToGrid w:val="0"/>
      <w:kern w:val="0"/>
      <w:szCs w:val="24"/>
    </w:rPr>
  </w:style>
  <w:style w:type="character" w:customStyle="1" w:styleId="853">
    <w:name w:val="表内容 Char"/>
    <w:link w:val="852"/>
    <w:qFormat/>
    <w:locked/>
    <w:uiPriority w:val="0"/>
    <w:rPr>
      <w:snapToGrid/>
      <w:sz w:val="21"/>
      <w:szCs w:val="24"/>
    </w:rPr>
  </w:style>
  <w:style w:type="paragraph" w:customStyle="1" w:styleId="854">
    <w:name w:val=" Char3 Char Char Char Char Char Char"/>
    <w:basedOn w:val="1"/>
    <w:qFormat/>
    <w:uiPriority w:val="0"/>
    <w:rPr>
      <w:szCs w:val="21"/>
    </w:rPr>
  </w:style>
  <w:style w:type="paragraph" w:customStyle="1" w:styleId="855">
    <w:name w:val="列项·"/>
    <w:qFormat/>
    <w:uiPriority w:val="0"/>
    <w:pPr>
      <w:tabs>
        <w:tab w:val="left" w:pos="840"/>
      </w:tabs>
      <w:ind w:left="840" w:leftChars="200" w:hanging="360" w:hangingChars="200"/>
      <w:jc w:val="both"/>
    </w:pPr>
    <w:rPr>
      <w:rFonts w:ascii="宋体" w:hAnsi="Times New Roman" w:eastAsia="宋体" w:cs="Times New Roman"/>
      <w:sz w:val="21"/>
      <w:lang w:val="en-US" w:eastAsia="zh-CN" w:bidi="ar-SA"/>
    </w:rPr>
  </w:style>
  <w:style w:type="paragraph" w:customStyle="1" w:styleId="856">
    <w:name w:val="项目名称"/>
    <w:basedOn w:val="1"/>
    <w:next w:val="1"/>
    <w:qFormat/>
    <w:uiPriority w:val="0"/>
    <w:pPr>
      <w:spacing w:line="800" w:lineRule="atLeast"/>
      <w:jc w:val="center"/>
      <w:outlineLvl w:val="0"/>
    </w:pPr>
    <w:rPr>
      <w:rFonts w:ascii="黑体" w:eastAsia="黑体"/>
      <w:sz w:val="52"/>
    </w:rPr>
  </w:style>
  <w:style w:type="paragraph" w:customStyle="1" w:styleId="857">
    <w:name w:val="reader-word-layer reader-word-s1-4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858">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859">
    <w:name w:val="报告书正文"/>
    <w:basedOn w:val="1"/>
    <w:link w:val="860"/>
    <w:qFormat/>
    <w:uiPriority w:val="0"/>
    <w:pPr>
      <w:spacing w:line="300" w:lineRule="auto"/>
      <w:ind w:firstLine="200" w:firstLineChars="200"/>
    </w:pPr>
    <w:rPr>
      <w:sz w:val="24"/>
    </w:rPr>
  </w:style>
  <w:style w:type="character" w:customStyle="1" w:styleId="860">
    <w:name w:val="报告书正文 Char"/>
    <w:link w:val="859"/>
    <w:qFormat/>
    <w:uiPriority w:val="0"/>
    <w:rPr>
      <w:kern w:val="2"/>
      <w:sz w:val="24"/>
    </w:rPr>
  </w:style>
  <w:style w:type="paragraph" w:customStyle="1" w:styleId="861">
    <w:name w:val="xl63"/>
    <w:basedOn w:val="1"/>
    <w:qFormat/>
    <w:uiPriority w:val="0"/>
    <w:pPr>
      <w:widowControl/>
      <w:pBdr>
        <w:left w:val="single" w:color="auto" w:sz="8"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862">
    <w:name w:val="样式5"/>
    <w:basedOn w:val="1"/>
    <w:qFormat/>
    <w:uiPriority w:val="0"/>
    <w:pPr>
      <w:spacing w:line="360" w:lineRule="auto"/>
      <w:ind w:left="200" w:leftChars="200" w:firstLine="480" w:firstLineChars="200"/>
    </w:pPr>
    <w:rPr>
      <w:rFonts w:ascii="宋体" w:hAnsi="宋体"/>
      <w:snapToGrid w:val="0"/>
      <w:kern w:val="0"/>
      <w:sz w:val="24"/>
    </w:rPr>
  </w:style>
  <w:style w:type="paragraph" w:customStyle="1" w:styleId="863">
    <w:name w:val="生物中文名"/>
    <w:basedOn w:val="1"/>
    <w:qFormat/>
    <w:uiPriority w:val="0"/>
    <w:pPr>
      <w:adjustRightInd w:val="0"/>
      <w:spacing w:before="31" w:beforeLines="10" w:after="31" w:afterLines="10"/>
    </w:pPr>
    <w:rPr>
      <w:kern w:val="0"/>
    </w:rPr>
  </w:style>
  <w:style w:type="paragraph" w:customStyle="1" w:styleId="864">
    <w:name w:val=" Char Char Char Char Char Char Char Char Char Char Char Char Char"/>
    <w:basedOn w:val="1"/>
    <w:qFormat/>
    <w:uiPriority w:val="0"/>
    <w:rPr>
      <w:szCs w:val="24"/>
    </w:rPr>
  </w:style>
  <w:style w:type="paragraph" w:customStyle="1" w:styleId="865">
    <w:name w:val="正文3"/>
    <w:basedOn w:val="1"/>
    <w:qFormat/>
    <w:uiPriority w:val="0"/>
    <w:pPr>
      <w:tabs>
        <w:tab w:val="left" w:pos="3120"/>
        <w:tab w:val="center" w:pos="4156"/>
      </w:tabs>
      <w:ind w:left="480" w:leftChars="200"/>
    </w:pPr>
    <w:rPr>
      <w:rFonts w:ascii="楷体_GB2312" w:eastAsia="楷体_GB2312"/>
      <w:sz w:val="24"/>
    </w:rPr>
  </w:style>
  <w:style w:type="paragraph" w:customStyle="1" w:styleId="866">
    <w:name w:val="环科院标题4"/>
    <w:basedOn w:val="1"/>
    <w:link w:val="867"/>
    <w:qFormat/>
    <w:uiPriority w:val="0"/>
    <w:pPr>
      <w:tabs>
        <w:tab w:val="left" w:pos="2269"/>
      </w:tabs>
      <w:spacing w:line="300" w:lineRule="auto"/>
      <w:ind w:left="2269" w:hanging="851"/>
    </w:pPr>
    <w:rPr>
      <w:rFonts w:hAnsi="宋体"/>
      <w:b/>
      <w:kern w:val="0"/>
      <w:sz w:val="24"/>
      <w:szCs w:val="24"/>
    </w:rPr>
  </w:style>
  <w:style w:type="character" w:customStyle="1" w:styleId="867">
    <w:name w:val="环科院标题4 Char Char"/>
    <w:link w:val="866"/>
    <w:qFormat/>
    <w:locked/>
    <w:uiPriority w:val="0"/>
    <w:rPr>
      <w:rFonts w:hAnsi="宋体"/>
      <w:b/>
      <w:sz w:val="24"/>
      <w:szCs w:val="24"/>
    </w:rPr>
  </w:style>
  <w:style w:type="paragraph" w:customStyle="1" w:styleId="868">
    <w:name w:val="样式 标题 1 + 加粗 首行缩进:  0 厘米"/>
    <w:basedOn w:val="7"/>
    <w:qFormat/>
    <w:uiPriority w:val="0"/>
    <w:pPr>
      <w:widowControl/>
      <w:tabs>
        <w:tab w:val="left" w:pos="1800"/>
      </w:tabs>
      <w:adjustRightInd w:val="0"/>
      <w:snapToGrid w:val="0"/>
      <w:spacing w:before="360" w:after="360" w:line="480" w:lineRule="atLeast"/>
    </w:pPr>
    <w:rPr>
      <w:rFonts w:eastAsia="黑体"/>
      <w:b w:val="0"/>
      <w:sz w:val="36"/>
    </w:rPr>
  </w:style>
  <w:style w:type="paragraph" w:customStyle="1" w:styleId="869">
    <w:name w:val="宏福3A"/>
    <w:basedOn w:val="657"/>
    <w:qFormat/>
    <w:uiPriority w:val="0"/>
    <w:pPr>
      <w:spacing w:before="156" w:beforeLines="50"/>
    </w:pPr>
    <w:rPr>
      <w:b/>
    </w:rPr>
  </w:style>
  <w:style w:type="paragraph" w:customStyle="1" w:styleId="870">
    <w:name w:val="样式 标题 1 + Times New Roman 非加粗"/>
    <w:basedOn w:val="7"/>
    <w:qFormat/>
    <w:uiPriority w:val="0"/>
    <w:pPr>
      <w:shd w:val="clear" w:color="auto" w:fill="FFFFFF"/>
      <w:spacing w:before="120" w:after="120" w:line="560" w:lineRule="exact"/>
    </w:pPr>
    <w:rPr>
      <w:rFonts w:ascii="黑体" w:hAnsi="宋体" w:eastAsia="黑体"/>
      <w:b w:val="0"/>
      <w:kern w:val="32"/>
      <w:sz w:val="32"/>
    </w:rPr>
  </w:style>
  <w:style w:type="paragraph" w:customStyle="1" w:styleId="871">
    <w:name w:val="样式 宋体 小四 首行缩进:  0.85 厘米 行距: 多倍行距 1.75 字行"/>
    <w:basedOn w:val="1"/>
    <w:qFormat/>
    <w:uiPriority w:val="0"/>
    <w:pPr>
      <w:adjustRightInd w:val="0"/>
      <w:spacing w:line="360" w:lineRule="auto"/>
      <w:ind w:firstLine="340"/>
    </w:pPr>
    <w:rPr>
      <w:rFonts w:ascii="宋体" w:hAnsi="宋体"/>
      <w:sz w:val="24"/>
    </w:rPr>
  </w:style>
  <w:style w:type="paragraph" w:customStyle="1" w:styleId="872">
    <w:name w:val="样式 标题 2H2Heading 2 HiddenHeading 2 CCBS2nd levelh22Header..."/>
    <w:basedOn w:val="8"/>
    <w:qFormat/>
    <w:uiPriority w:val="0"/>
    <w:rPr>
      <w:bCs/>
      <w:sz w:val="30"/>
      <w:szCs w:val="32"/>
    </w:rPr>
  </w:style>
  <w:style w:type="paragraph" w:customStyle="1" w:styleId="873">
    <w:name w:val="表内"/>
    <w:basedOn w:val="1"/>
    <w:qFormat/>
    <w:uiPriority w:val="0"/>
    <w:rPr>
      <w:szCs w:val="24"/>
    </w:rPr>
  </w:style>
  <w:style w:type="paragraph" w:customStyle="1" w:styleId="874">
    <w:name w:val="四级标题"/>
    <w:basedOn w:val="1"/>
    <w:qFormat/>
    <w:uiPriority w:val="0"/>
    <w:pPr>
      <w:spacing w:before="50" w:after="50"/>
    </w:pPr>
    <w:rPr>
      <w:b/>
      <w:sz w:val="28"/>
    </w:rPr>
  </w:style>
  <w:style w:type="paragraph" w:customStyle="1" w:styleId="875">
    <w:name w:val="自定义标题1"/>
    <w:basedOn w:val="1"/>
    <w:qFormat/>
    <w:uiPriority w:val="0"/>
    <w:pPr>
      <w:spacing w:before="156" w:beforeLines="50" w:line="360" w:lineRule="exact"/>
      <w:jc w:val="left"/>
    </w:pPr>
    <w:rPr>
      <w:b/>
      <w:bCs/>
      <w:szCs w:val="24"/>
    </w:rPr>
  </w:style>
  <w:style w:type="paragraph" w:customStyle="1" w:styleId="876">
    <w:name w:val="标题111 Char Char Char Char"/>
    <w:basedOn w:val="1"/>
    <w:qFormat/>
    <w:uiPriority w:val="0"/>
    <w:pPr>
      <w:spacing w:line="360" w:lineRule="auto"/>
      <w:ind w:firstLine="200" w:firstLineChars="200"/>
    </w:pPr>
    <w:rPr>
      <w:rFonts w:ascii="宋体" w:hAnsi="宋体" w:cs="宋体"/>
      <w:sz w:val="24"/>
      <w:szCs w:val="24"/>
    </w:rPr>
  </w:style>
  <w:style w:type="paragraph" w:customStyle="1" w:styleId="877">
    <w:name w:val="样式 标题 2 + 段后: 16.3 磅"/>
    <w:basedOn w:val="8"/>
    <w:qFormat/>
    <w:uiPriority w:val="0"/>
    <w:pPr>
      <w:spacing w:after="326" w:line="312" w:lineRule="auto"/>
      <w:jc w:val="left"/>
    </w:pPr>
    <w:rPr>
      <w:rFonts w:ascii="Times New Roman" w:hAnsi="Times New Roman" w:cs="宋体"/>
      <w:bCs/>
      <w:sz w:val="24"/>
    </w:rPr>
  </w:style>
  <w:style w:type="paragraph" w:customStyle="1" w:styleId="878">
    <w:name w:val="样式 标题 1 + 黑色"/>
    <w:basedOn w:val="7"/>
    <w:qFormat/>
    <w:uiPriority w:val="0"/>
    <w:pPr>
      <w:keepNext w:val="0"/>
      <w:keepLines w:val="0"/>
      <w:tabs>
        <w:tab w:val="left" w:pos="840"/>
      </w:tabs>
      <w:autoSpaceDE w:val="0"/>
      <w:autoSpaceDN w:val="0"/>
      <w:adjustRightInd w:val="0"/>
      <w:snapToGrid w:val="0"/>
      <w:spacing w:before="0" w:after="0" w:line="300" w:lineRule="auto"/>
      <w:ind w:left="840" w:hanging="360"/>
      <w:jc w:val="center"/>
      <w:textAlignment w:val="baseline"/>
    </w:pPr>
    <w:rPr>
      <w:rFonts w:ascii="宋体"/>
      <w:bCs/>
      <w:snapToGrid w:val="0"/>
      <w:color w:val="000000"/>
      <w:kern w:val="0"/>
      <w:sz w:val="32"/>
      <w:szCs w:val="32"/>
    </w:rPr>
  </w:style>
  <w:style w:type="paragraph" w:customStyle="1" w:styleId="879">
    <w:name w:val="xl25"/>
    <w:basedOn w:val="1"/>
    <w:qFormat/>
    <w:uiPriority w:val="0"/>
    <w:pPr>
      <w:widowControl/>
      <w:spacing w:before="100" w:beforeLines="0" w:beforeAutospacing="1" w:after="100" w:afterLines="0" w:afterAutospacing="1"/>
      <w:jc w:val="center"/>
    </w:pPr>
    <w:rPr>
      <w:rFonts w:eastAsia="Arial Unicode MS"/>
      <w:kern w:val="0"/>
      <w:sz w:val="18"/>
    </w:rPr>
  </w:style>
  <w:style w:type="paragraph" w:customStyle="1" w:styleId="880">
    <w:name w:val="表头AECOM"/>
    <w:basedOn w:val="1"/>
    <w:qFormat/>
    <w:uiPriority w:val="0"/>
    <w:pPr>
      <w:snapToGrid w:val="0"/>
      <w:spacing w:before="156" w:beforeLines="50"/>
      <w:jc w:val="center"/>
    </w:pPr>
    <w:rPr>
      <w:kern w:val="10"/>
      <w:sz w:val="24"/>
      <w:szCs w:val="24"/>
    </w:rPr>
  </w:style>
  <w:style w:type="paragraph" w:customStyle="1" w:styleId="881">
    <w:name w:val="TK"/>
    <w:basedOn w:val="1"/>
    <w:qFormat/>
    <w:uiPriority w:val="0"/>
    <w:pPr>
      <w:adjustRightInd w:val="0"/>
      <w:spacing w:before="40" w:after="40"/>
      <w:jc w:val="center"/>
      <w:textAlignment w:val="baseline"/>
    </w:pPr>
    <w:rPr>
      <w:kern w:val="0"/>
    </w:rPr>
  </w:style>
  <w:style w:type="paragraph" w:customStyle="1" w:styleId="882">
    <w:name w:val="CM1"/>
    <w:basedOn w:val="117"/>
    <w:next w:val="117"/>
    <w:qFormat/>
    <w:uiPriority w:val="0"/>
    <w:rPr>
      <w:rFonts w:ascii="仿宋_GB2312" w:eastAsia="仿宋_GB2312" w:cs="Times New Roman"/>
      <w:color w:val="auto"/>
    </w:rPr>
  </w:style>
  <w:style w:type="paragraph" w:customStyle="1" w:styleId="883">
    <w:name w:val="xl66"/>
    <w:basedOn w:val="1"/>
    <w:qFormat/>
    <w:uiPriority w:val="0"/>
    <w:pPr>
      <w:widowControl/>
      <w:pBdr>
        <w:bottom w:val="single" w:color="000000" w:sz="8" w:space="0"/>
        <w:right w:val="single" w:color="000000" w:sz="12"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884">
    <w:name w:val="样式 表格1 + 行距: 单倍行距"/>
    <w:basedOn w:val="598"/>
    <w:qFormat/>
    <w:uiPriority w:val="0"/>
    <w:pPr>
      <w:adjustRightInd w:val="0"/>
      <w:snapToGrid w:val="0"/>
      <w:spacing w:after="120"/>
      <w:jc w:val="center"/>
      <w:textAlignment w:val="baseline"/>
    </w:pPr>
    <w:rPr>
      <w:rFonts w:ascii="宋体" w:hAnsi="宋体"/>
      <w:kern w:val="0"/>
      <w:szCs w:val="20"/>
    </w:rPr>
  </w:style>
  <w:style w:type="paragraph" w:customStyle="1" w:styleId="885">
    <w:name w:val="_Style 877"/>
    <w:basedOn w:val="7"/>
    <w:next w:val="1"/>
    <w:qFormat/>
    <w:uiPriority w:val="39"/>
    <w:pPr>
      <w:widowControl/>
      <w:spacing w:before="480" w:after="0" w:line="276" w:lineRule="auto"/>
      <w:jc w:val="left"/>
      <w:outlineLvl w:val="9"/>
    </w:pPr>
    <w:rPr>
      <w:rFonts w:ascii="Cambria" w:hAnsi="Cambria"/>
      <w:bCs/>
      <w:color w:val="365F91"/>
      <w:kern w:val="0"/>
      <w:sz w:val="28"/>
      <w:szCs w:val="28"/>
    </w:rPr>
  </w:style>
  <w:style w:type="paragraph" w:customStyle="1" w:styleId="886">
    <w:name w:val="附录标识"/>
    <w:basedOn w:val="887"/>
    <w:qFormat/>
    <w:uiPriority w:val="0"/>
    <w:pPr>
      <w:numPr>
        <w:ilvl w:val="0"/>
        <w:numId w:val="0"/>
      </w:numPr>
      <w:tabs>
        <w:tab w:val="left" w:pos="903"/>
        <w:tab w:val="left" w:pos="6405"/>
      </w:tabs>
      <w:spacing w:after="200"/>
    </w:pPr>
    <w:rPr>
      <w:sz w:val="21"/>
    </w:rPr>
  </w:style>
  <w:style w:type="paragraph" w:customStyle="1" w:styleId="887">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888">
    <w:name w:val="2152793030"/>
    <w:basedOn w:val="1"/>
    <w:qFormat/>
    <w:uiPriority w:val="0"/>
    <w:pPr>
      <w:adjustRightInd w:val="0"/>
      <w:spacing w:line="420" w:lineRule="atLeast"/>
      <w:ind w:firstLine="601" w:firstLineChars="200"/>
      <w:jc w:val="left"/>
      <w:textAlignment w:val="baseline"/>
    </w:pPr>
    <w:rPr>
      <w:rFonts w:ascii="宋体繁体"/>
      <w:spacing w:val="24"/>
      <w:kern w:val="0"/>
      <w:sz w:val="24"/>
    </w:rPr>
  </w:style>
  <w:style w:type="paragraph" w:customStyle="1" w:styleId="889">
    <w:name w:val="样式 标题 2Paragrafo + Times New Roman 非加粗 左侧:  0 厘米 首行缩进:  0 厘米..."/>
    <w:basedOn w:val="8"/>
    <w:qFormat/>
    <w:uiPriority w:val="0"/>
    <w:pPr>
      <w:spacing w:before="120" w:after="120" w:line="360" w:lineRule="auto"/>
    </w:pPr>
    <w:rPr>
      <w:rFonts w:ascii="Times New Roman" w:hAnsi="Times New Roman"/>
      <w:b w:val="0"/>
      <w:sz w:val="30"/>
    </w:rPr>
  </w:style>
  <w:style w:type="paragraph" w:customStyle="1" w:styleId="890">
    <w:name w:val="样式 标题 4 + 首行缩进:  2 字符 段前: 0 磅 段后: 0 磅 行距: 1.5 倍行距"/>
    <w:basedOn w:val="10"/>
    <w:qFormat/>
    <w:uiPriority w:val="0"/>
    <w:pPr>
      <w:spacing w:before="0" w:after="0" w:line="360" w:lineRule="auto"/>
    </w:pPr>
    <w:rPr>
      <w:rFonts w:cs="宋体"/>
      <w:bCs/>
    </w:rPr>
  </w:style>
  <w:style w:type="paragraph" w:customStyle="1" w:styleId="891">
    <w:name w:val="CM22"/>
    <w:basedOn w:val="117"/>
    <w:next w:val="117"/>
    <w:qFormat/>
    <w:uiPriority w:val="0"/>
    <w:pPr>
      <w:spacing w:line="468" w:lineRule="atLeast"/>
    </w:pPr>
    <w:rPr>
      <w:rFonts w:ascii="仿宋_GB2312" w:eastAsia="仿宋_GB2312" w:cs="仿宋_GB2312"/>
      <w:color w:val="auto"/>
    </w:rPr>
  </w:style>
  <w:style w:type="paragraph" w:customStyle="1" w:styleId="892">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893">
    <w:name w:val="编号圆圈数字"/>
    <w:basedOn w:val="1"/>
    <w:qFormat/>
    <w:uiPriority w:val="0"/>
    <w:pPr>
      <w:tabs>
        <w:tab w:val="left" w:pos="1320"/>
      </w:tabs>
      <w:spacing w:line="360" w:lineRule="auto"/>
      <w:ind w:left="1320" w:hanging="420"/>
    </w:pPr>
    <w:rPr>
      <w:sz w:val="24"/>
      <w:szCs w:val="24"/>
    </w:rPr>
  </w:style>
  <w:style w:type="paragraph" w:customStyle="1" w:styleId="894">
    <w:name w:val="样式1正文"/>
    <w:basedOn w:val="1"/>
    <w:qFormat/>
    <w:uiPriority w:val="0"/>
    <w:pPr>
      <w:ind w:firstLine="560" w:firstLineChars="200"/>
    </w:pPr>
    <w:rPr>
      <w:rFonts w:ascii="仿宋_GB2312" w:hAnsi="仿宋_GB2312" w:eastAsia="仿宋_GB2312"/>
      <w:sz w:val="28"/>
    </w:rPr>
  </w:style>
  <w:style w:type="paragraph" w:customStyle="1" w:styleId="895">
    <w:name w:val="CM6"/>
    <w:basedOn w:val="117"/>
    <w:next w:val="117"/>
    <w:qFormat/>
    <w:uiPriority w:val="0"/>
    <w:pPr>
      <w:spacing w:line="471" w:lineRule="atLeast"/>
    </w:pPr>
    <w:rPr>
      <w:rFonts w:ascii="仿宋_GB2312" w:eastAsia="仿宋_GB2312" w:cs="仿宋_GB2312"/>
      <w:color w:val="auto"/>
    </w:rPr>
  </w:style>
  <w:style w:type="paragraph" w:customStyle="1" w:styleId="896">
    <w:name w:val="样式0"/>
    <w:basedOn w:val="63"/>
    <w:next w:val="63"/>
    <w:qFormat/>
    <w:uiPriority w:val="0"/>
    <w:pPr>
      <w:pBdr>
        <w:bottom w:val="thickThinSmallGap" w:color="auto" w:sz="12" w:space="1"/>
      </w:pBdr>
    </w:pPr>
  </w:style>
  <w:style w:type="paragraph" w:customStyle="1" w:styleId="897">
    <w:name w:val="样式 样式 宋体 小四 黑色 行距: 固定值 25 磅2 + 首行缩进:  2 字符"/>
    <w:basedOn w:val="1"/>
    <w:qFormat/>
    <w:uiPriority w:val="0"/>
    <w:pPr>
      <w:spacing w:line="360" w:lineRule="auto"/>
      <w:ind w:firstLine="200" w:firstLineChars="200"/>
    </w:pPr>
    <w:rPr>
      <w:rFonts w:ascii="宋体" w:hAnsi="宋体"/>
      <w:color w:val="000000"/>
      <w:sz w:val="24"/>
    </w:rPr>
  </w:style>
  <w:style w:type="paragraph" w:customStyle="1" w:styleId="898">
    <w:name w:val="表格文本 五号 居中 单倍行距"/>
    <w:basedOn w:val="1"/>
    <w:qFormat/>
    <w:uiPriority w:val="0"/>
    <w:pPr>
      <w:keepNext/>
      <w:adjustRightInd w:val="0"/>
      <w:snapToGrid w:val="0"/>
      <w:jc w:val="center"/>
      <w:textAlignment w:val="baseline"/>
    </w:pPr>
    <w:rPr>
      <w:rFonts w:cs="宋体"/>
    </w:rPr>
  </w:style>
  <w:style w:type="paragraph" w:customStyle="1" w:styleId="899">
    <w:name w:val="CM7"/>
    <w:basedOn w:val="117"/>
    <w:next w:val="117"/>
    <w:qFormat/>
    <w:uiPriority w:val="0"/>
    <w:pPr>
      <w:spacing w:line="468" w:lineRule="atLeast"/>
    </w:pPr>
    <w:rPr>
      <w:rFonts w:ascii="仿宋_GB2312" w:eastAsia="仿宋_GB2312" w:cs="仿宋_GB2312"/>
      <w:color w:val="auto"/>
    </w:rPr>
  </w:style>
  <w:style w:type="paragraph" w:customStyle="1" w:styleId="900">
    <w:name w:val="xl4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901">
    <w:name w:val="样式 正文小四 + 首行缩进:  2 字符"/>
    <w:basedOn w:val="336"/>
    <w:qFormat/>
    <w:uiPriority w:val="0"/>
    <w:pPr>
      <w:ind w:firstLine="200" w:firstLineChars="200"/>
    </w:pPr>
  </w:style>
  <w:style w:type="paragraph" w:customStyle="1" w:styleId="902">
    <w:name w:val="字元 字元 Char Char 字元 字元1"/>
    <w:basedOn w:val="1"/>
    <w:qFormat/>
    <w:uiPriority w:val="0"/>
    <w:rPr>
      <w:sz w:val="24"/>
      <w:szCs w:val="24"/>
    </w:rPr>
  </w:style>
  <w:style w:type="paragraph" w:customStyle="1" w:styleId="903">
    <w:name w:val="reader-word-layer reader-word-s1-5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04">
    <w:name w:val="Char2"/>
    <w:basedOn w:val="1"/>
    <w:qFormat/>
    <w:uiPriority w:val="0"/>
    <w:rPr>
      <w:rFonts w:ascii="宋体" w:hAnsi="宋体" w:cs="宋体"/>
      <w:sz w:val="32"/>
      <w:szCs w:val="32"/>
    </w:rPr>
  </w:style>
  <w:style w:type="paragraph" w:customStyle="1" w:styleId="905">
    <w:name w:val="reader-word-layer reader-word-s1-3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06">
    <w:name w:val="小3黑顶"/>
    <w:basedOn w:val="8"/>
    <w:qFormat/>
    <w:uiPriority w:val="0"/>
    <w:pPr>
      <w:tabs>
        <w:tab w:val="left" w:pos="4680"/>
      </w:tabs>
      <w:spacing w:before="100" w:beforeAutospacing="1" w:after="156" w:afterLines="50" w:line="360" w:lineRule="auto"/>
    </w:pPr>
    <w:rPr>
      <w:rFonts w:ascii="黑体" w:hAnsi="Times New Roman"/>
      <w:b w:val="0"/>
      <w:sz w:val="30"/>
      <w:szCs w:val="30"/>
    </w:rPr>
  </w:style>
  <w:style w:type="paragraph" w:customStyle="1" w:styleId="907">
    <w:name w:val="CM71"/>
    <w:basedOn w:val="117"/>
    <w:next w:val="117"/>
    <w:qFormat/>
    <w:uiPriority w:val="0"/>
    <w:rPr>
      <w:rFonts w:ascii="仿宋_GB2312" w:eastAsia="仿宋_GB2312" w:cs="仿宋_GB2312"/>
      <w:color w:val="auto"/>
    </w:rPr>
  </w:style>
  <w:style w:type="paragraph" w:customStyle="1" w:styleId="908">
    <w:name w:val="Normal (Web)"/>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909">
    <w:name w:val="样式 样式 首行缩进:  2 字符 + 首行缩进:  2 字符"/>
    <w:basedOn w:val="1"/>
    <w:qFormat/>
    <w:uiPriority w:val="0"/>
    <w:pPr>
      <w:adjustRightInd w:val="0"/>
      <w:snapToGrid w:val="0"/>
      <w:spacing w:line="300" w:lineRule="auto"/>
      <w:ind w:firstLine="480" w:firstLineChars="200"/>
    </w:pPr>
    <w:rPr>
      <w:rFonts w:ascii="宋体"/>
      <w:kern w:val="0"/>
      <w:sz w:val="24"/>
    </w:rPr>
  </w:style>
  <w:style w:type="paragraph" w:customStyle="1" w:styleId="910">
    <w:name w:val="Date"/>
    <w:basedOn w:val="1"/>
    <w:next w:val="1"/>
    <w:qFormat/>
    <w:uiPriority w:val="0"/>
    <w:pPr>
      <w:adjustRightInd w:val="0"/>
      <w:ind w:left="100"/>
      <w:textAlignment w:val="baseline"/>
    </w:pPr>
    <w:rPr>
      <w:sz w:val="28"/>
    </w:rPr>
  </w:style>
  <w:style w:type="paragraph" w:customStyle="1" w:styleId="911">
    <w:name w:val="Char Char Char Char Char Char Char Char Char1 Char Char Char1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912">
    <w:name w:val="样式 目录 2 + 首行缩进:  2 字符3"/>
    <w:basedOn w:val="79"/>
    <w:qFormat/>
    <w:uiPriority w:val="0"/>
    <w:pPr>
      <w:tabs>
        <w:tab w:val="left" w:pos="1200"/>
        <w:tab w:val="right" w:leader="dot" w:pos="8280"/>
      </w:tabs>
      <w:adjustRightInd w:val="0"/>
      <w:snapToGrid w:val="0"/>
      <w:ind w:left="210" w:leftChars="0"/>
      <w:jc w:val="center"/>
    </w:pPr>
    <w:rPr>
      <w:rFonts w:cs="宋体"/>
      <w:smallCaps/>
    </w:rPr>
  </w:style>
  <w:style w:type="paragraph" w:customStyle="1" w:styleId="913">
    <w:name w:val="CM119"/>
    <w:basedOn w:val="117"/>
    <w:next w:val="117"/>
    <w:qFormat/>
    <w:uiPriority w:val="0"/>
    <w:pPr>
      <w:spacing w:line="468" w:lineRule="atLeast"/>
    </w:pPr>
    <w:rPr>
      <w:rFonts w:ascii="仿宋_GB2312" w:eastAsia="仿宋_GB2312" w:cs="仿宋_GB2312"/>
      <w:color w:val="auto"/>
    </w:rPr>
  </w:style>
  <w:style w:type="paragraph" w:customStyle="1" w:styleId="914">
    <w:name w:val="表注-西江"/>
    <w:basedOn w:val="741"/>
    <w:qFormat/>
    <w:uiPriority w:val="0"/>
    <w:pPr>
      <w:tabs>
        <w:tab w:val="left" w:pos="-120"/>
        <w:tab w:val="clear" w:pos="0"/>
      </w:tabs>
      <w:overflowPunct w:val="0"/>
      <w:topLinePunct/>
      <w:autoSpaceDE w:val="0"/>
      <w:spacing w:after="0" w:afterLines="0" w:line="240" w:lineRule="atLeast"/>
      <w:jc w:val="both"/>
      <w:textAlignment w:val="baseline"/>
    </w:pPr>
    <w:rPr>
      <w:b w:val="0"/>
      <w:bCs/>
      <w:color w:val="000000"/>
      <w:spacing w:val="16"/>
      <w:kern w:val="0"/>
      <w:sz w:val="21"/>
      <w:szCs w:val="21"/>
    </w:rPr>
  </w:style>
  <w:style w:type="paragraph" w:customStyle="1" w:styleId="915">
    <w:name w:val="三级无标题条"/>
    <w:basedOn w:val="1"/>
    <w:qFormat/>
    <w:uiPriority w:val="0"/>
    <w:pPr>
      <w:tabs>
        <w:tab w:val="left" w:pos="360"/>
      </w:tabs>
      <w:ind w:firstLine="200"/>
    </w:pPr>
    <w:rPr>
      <w:szCs w:val="24"/>
    </w:rPr>
  </w:style>
  <w:style w:type="paragraph" w:customStyle="1" w:styleId="916">
    <w:name w:val="表格001"/>
    <w:basedOn w:val="1"/>
    <w:qFormat/>
    <w:uiPriority w:val="0"/>
    <w:pPr>
      <w:jc w:val="center"/>
    </w:pPr>
  </w:style>
  <w:style w:type="paragraph" w:customStyle="1" w:styleId="917">
    <w:name w:val="Char Char1 Char"/>
    <w:basedOn w:val="1"/>
    <w:qFormat/>
    <w:uiPriority w:val="0"/>
    <w:pPr>
      <w:spacing w:line="360" w:lineRule="auto"/>
      <w:ind w:firstLine="200" w:firstLineChars="200"/>
    </w:pPr>
    <w:rPr>
      <w:rFonts w:ascii="宋体" w:hAnsi="宋体" w:cs="宋体"/>
      <w:sz w:val="24"/>
      <w:szCs w:val="24"/>
    </w:rPr>
  </w:style>
  <w:style w:type="paragraph" w:customStyle="1" w:styleId="918">
    <w:name w:val="第一标题"/>
    <w:basedOn w:val="1"/>
    <w:qFormat/>
    <w:uiPriority w:val="0"/>
    <w:pPr>
      <w:jc w:val="center"/>
    </w:pPr>
    <w:rPr>
      <w:rFonts w:cs="宋体"/>
      <w:sz w:val="44"/>
    </w:rPr>
  </w:style>
  <w:style w:type="paragraph" w:customStyle="1" w:styleId="919">
    <w:name w:val="标准符号 行距1.5倍"/>
    <w:basedOn w:val="176"/>
    <w:qFormat/>
    <w:uiPriority w:val="0"/>
    <w:pPr>
      <w:spacing w:line="240" w:lineRule="auto"/>
      <w:ind w:firstLine="0" w:firstLineChars="0"/>
    </w:pPr>
    <w:rPr>
      <w:kern w:val="0"/>
    </w:rPr>
  </w:style>
  <w:style w:type="paragraph" w:customStyle="1" w:styleId="920">
    <w:name w:val="编号1"/>
    <w:basedOn w:val="1"/>
    <w:qFormat/>
    <w:uiPriority w:val="0"/>
    <w:pPr>
      <w:tabs>
        <w:tab w:val="left" w:pos="432"/>
      </w:tabs>
      <w:ind w:left="432" w:hanging="432"/>
    </w:pPr>
  </w:style>
  <w:style w:type="paragraph" w:customStyle="1" w:styleId="921">
    <w:name w:val="xl26"/>
    <w:basedOn w:val="1"/>
    <w:qFormat/>
    <w:uiPriority w:val="0"/>
    <w:pPr>
      <w:widowControl/>
      <w:spacing w:before="100" w:beforeLines="0" w:beforeAutospacing="1" w:after="100" w:afterLines="0" w:afterAutospacing="1"/>
      <w:jc w:val="center"/>
    </w:pPr>
    <w:rPr>
      <w:rFonts w:ascii="Arial Unicode MS" w:hAnsi="Arial Unicode MS" w:eastAsia="Arial Unicode MS"/>
      <w:kern w:val="0"/>
      <w:sz w:val="18"/>
    </w:rPr>
  </w:style>
  <w:style w:type="paragraph" w:customStyle="1" w:styleId="922">
    <w:name w:val="样式 题注 + 首行缩进:  2 字符1"/>
    <w:basedOn w:val="33"/>
    <w:qFormat/>
    <w:uiPriority w:val="0"/>
    <w:pPr>
      <w:keepNext/>
      <w:adjustRightInd/>
      <w:snapToGrid/>
      <w:spacing w:before="152" w:after="160" w:line="360" w:lineRule="auto"/>
      <w:ind w:firstLine="200" w:firstLineChars="200"/>
    </w:pPr>
    <w:rPr>
      <w:rFonts w:ascii="Arial" w:hAnsi="Arial" w:eastAsia="黑体" w:cs="宋体"/>
      <w:i w:val="0"/>
      <w:iCs w:val="0"/>
      <w:color w:val="auto"/>
      <w:sz w:val="21"/>
      <w:szCs w:val="20"/>
    </w:rPr>
  </w:style>
  <w:style w:type="paragraph" w:customStyle="1" w:styleId="923">
    <w:name w:val="样式 题注 + 首行缩进:  2 字符"/>
    <w:basedOn w:val="33"/>
    <w:qFormat/>
    <w:uiPriority w:val="0"/>
    <w:pPr>
      <w:keepNext/>
      <w:adjustRightInd/>
      <w:snapToGrid/>
      <w:spacing w:before="152" w:after="160" w:line="360" w:lineRule="auto"/>
      <w:ind w:firstLine="200" w:firstLineChars="200"/>
      <w:jc w:val="center"/>
    </w:pPr>
    <w:rPr>
      <w:rFonts w:ascii="黑体" w:hAnsi="宋体" w:eastAsia="黑体"/>
      <w:bCs/>
      <w:i w:val="0"/>
      <w:iCs w:val="0"/>
      <w:color w:val="auto"/>
      <w:sz w:val="24"/>
    </w:rPr>
  </w:style>
  <w:style w:type="paragraph" w:customStyle="1" w:styleId="924">
    <w:name w:val="小五居中"/>
    <w:basedOn w:val="1"/>
    <w:qFormat/>
    <w:uiPriority w:val="0"/>
    <w:pPr>
      <w:jc w:val="center"/>
    </w:pPr>
    <w:rPr>
      <w:sz w:val="18"/>
      <w:szCs w:val="24"/>
    </w:rPr>
  </w:style>
  <w:style w:type="paragraph" w:customStyle="1" w:styleId="925">
    <w:name w:val="注"/>
    <w:basedOn w:val="1"/>
    <w:next w:val="1"/>
    <w:qFormat/>
    <w:uiPriority w:val="0"/>
    <w:rPr>
      <w:color w:val="000000"/>
    </w:rPr>
  </w:style>
  <w:style w:type="paragraph" w:customStyle="1" w:styleId="926">
    <w:name w:val="正文 + 宋体"/>
    <w:basedOn w:val="1"/>
    <w:qFormat/>
    <w:uiPriority w:val="0"/>
    <w:pPr>
      <w:spacing w:before="100" w:beforeLines="0" w:beforeAutospacing="1" w:after="100" w:afterLines="0" w:afterAutospacing="1"/>
      <w:jc w:val="center"/>
    </w:pPr>
    <w:rPr>
      <w:rFonts w:ascii="宋体" w:hAnsi="宋体"/>
      <w:color w:val="FF0000"/>
      <w:kern w:val="0"/>
    </w:rPr>
  </w:style>
  <w:style w:type="paragraph" w:customStyle="1" w:styleId="927">
    <w:name w:val="样式 表格 + 左 底端: (单实线 自动设置  0.75 磅 行宽)"/>
    <w:basedOn w:val="1"/>
    <w:semiHidden/>
    <w:qFormat/>
    <w:uiPriority w:val="0"/>
    <w:pPr>
      <w:widowControl/>
      <w:spacing w:line="360" w:lineRule="exact"/>
      <w:jc w:val="left"/>
    </w:pPr>
  </w:style>
  <w:style w:type="paragraph" w:customStyle="1" w:styleId="928">
    <w:name w:val="表格文字（居中）"/>
    <w:basedOn w:val="1"/>
    <w:qFormat/>
    <w:uiPriority w:val="0"/>
    <w:pPr>
      <w:jc w:val="center"/>
    </w:pPr>
  </w:style>
  <w:style w:type="paragraph" w:customStyle="1" w:styleId="929">
    <w:name w:val="五级条标题"/>
    <w:basedOn w:val="930"/>
    <w:next w:val="1"/>
    <w:qFormat/>
    <w:uiPriority w:val="0"/>
    <w:pPr>
      <w:numPr>
        <w:ilvl w:val="0"/>
        <w:numId w:val="0"/>
      </w:numPr>
      <w:tabs>
        <w:tab w:val="left" w:pos="360"/>
        <w:tab w:val="left" w:pos="903"/>
      </w:tabs>
      <w:outlineLvl w:val="6"/>
    </w:pPr>
  </w:style>
  <w:style w:type="paragraph" w:customStyle="1" w:styleId="930">
    <w:name w:val="四级条标题"/>
    <w:basedOn w:val="931"/>
    <w:next w:val="1"/>
    <w:qFormat/>
    <w:uiPriority w:val="0"/>
    <w:pPr>
      <w:tabs>
        <w:tab w:val="left" w:pos="360"/>
        <w:tab w:val="left" w:pos="903"/>
      </w:tabs>
      <w:outlineLvl w:val="5"/>
    </w:pPr>
  </w:style>
  <w:style w:type="paragraph" w:customStyle="1" w:styleId="931">
    <w:name w:val="三级条标题"/>
    <w:basedOn w:val="751"/>
    <w:next w:val="1"/>
    <w:qFormat/>
    <w:uiPriority w:val="0"/>
    <w:pPr>
      <w:numPr>
        <w:ilvl w:val="0"/>
        <w:numId w:val="0"/>
      </w:numPr>
      <w:outlineLvl w:val="4"/>
    </w:pPr>
  </w:style>
  <w:style w:type="paragraph" w:customStyle="1" w:styleId="932">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933">
    <w:name w:val="正文两端对齐"/>
    <w:basedOn w:val="1"/>
    <w:qFormat/>
    <w:uiPriority w:val="0"/>
    <w:pPr>
      <w:spacing w:line="400" w:lineRule="exact"/>
    </w:pPr>
    <w:rPr>
      <w:rFonts w:cs="宋体"/>
      <w:sz w:val="24"/>
    </w:rPr>
  </w:style>
  <w:style w:type="paragraph" w:customStyle="1" w:styleId="934">
    <w:name w:val="表序号"/>
    <w:basedOn w:val="12"/>
    <w:qFormat/>
    <w:uiPriority w:val="0"/>
    <w:pPr>
      <w:numPr>
        <w:ilvl w:val="0"/>
        <w:numId w:val="0"/>
      </w:numPr>
      <w:autoSpaceDE/>
      <w:autoSpaceDN/>
      <w:adjustRightInd/>
      <w:spacing w:before="0" w:beforeLines="0" w:beforeAutospacing="0" w:after="0" w:afterLines="0" w:afterAutospacing="0" w:line="360" w:lineRule="auto"/>
      <w:jc w:val="center"/>
    </w:pPr>
    <w:rPr>
      <w:rFonts w:ascii="仿宋_GB2312" w:hAnsi="Arial"/>
      <w:kern w:val="44"/>
      <w:sz w:val="24"/>
    </w:rPr>
  </w:style>
  <w:style w:type="paragraph" w:customStyle="1" w:styleId="935">
    <w:name w:val="样式 注 + 自动设置"/>
    <w:basedOn w:val="925"/>
    <w:qFormat/>
    <w:uiPriority w:val="0"/>
    <w:rPr>
      <w:color w:val="auto"/>
    </w:rPr>
  </w:style>
  <w:style w:type="paragraph" w:customStyle="1" w:styleId="936">
    <w:name w:val="正文（行首缩进）"/>
    <w:basedOn w:val="1"/>
    <w:qFormat/>
    <w:uiPriority w:val="0"/>
    <w:pPr>
      <w:spacing w:after="156" w:afterLines="50" w:line="360" w:lineRule="auto"/>
      <w:ind w:firstLine="200" w:firstLineChars="200"/>
    </w:pPr>
    <w:rPr>
      <w:kern w:val="0"/>
      <w:sz w:val="24"/>
    </w:rPr>
  </w:style>
  <w:style w:type="paragraph" w:customStyle="1" w:styleId="937">
    <w:name w:val=" Char Char Char Char Char Char Char Char"/>
    <w:basedOn w:val="1"/>
    <w:qFormat/>
    <w:uiPriority w:val="0"/>
    <w:rPr>
      <w:sz w:val="24"/>
      <w:szCs w:val="24"/>
    </w:rPr>
  </w:style>
  <w:style w:type="paragraph" w:customStyle="1" w:styleId="938">
    <w:name w:val=" Char Char1 Char Char Char Char Char Char Char"/>
    <w:basedOn w:val="1"/>
    <w:qFormat/>
    <w:uiPriority w:val="0"/>
  </w:style>
  <w:style w:type="paragraph" w:customStyle="1" w:styleId="939">
    <w:name w:val="1表格"/>
    <w:basedOn w:val="1"/>
    <w:qFormat/>
    <w:uiPriority w:val="0"/>
    <w:pPr>
      <w:spacing w:line="160" w:lineRule="atLeast"/>
      <w:jc w:val="center"/>
    </w:pPr>
    <w:rPr>
      <w:rFonts w:ascii="仿宋_GB2312" w:eastAsia="仿宋_GB2312"/>
      <w:kern w:val="0"/>
    </w:rPr>
  </w:style>
  <w:style w:type="paragraph" w:customStyle="1" w:styleId="940">
    <w:name w:val="文档一级标题"/>
    <w:basedOn w:val="1"/>
    <w:qFormat/>
    <w:uiPriority w:val="0"/>
    <w:rPr>
      <w:rFonts w:ascii="黑体" w:hAnsi="华文仿宋" w:eastAsia="黑体"/>
      <w:sz w:val="28"/>
    </w:rPr>
  </w:style>
  <w:style w:type="paragraph" w:customStyle="1" w:styleId="941">
    <w:name w:val="正文1 Char Char1 Char"/>
    <w:basedOn w:val="1"/>
    <w:qFormat/>
    <w:uiPriority w:val="0"/>
    <w:pPr>
      <w:adjustRightInd w:val="0"/>
      <w:snapToGrid w:val="0"/>
      <w:spacing w:line="516" w:lineRule="exact"/>
      <w:ind w:firstLine="200" w:firstLineChars="200"/>
    </w:pPr>
    <w:rPr>
      <w:rFonts w:eastAsia="楷体_GB2312"/>
      <w:sz w:val="26"/>
    </w:rPr>
  </w:style>
  <w:style w:type="paragraph" w:customStyle="1" w:styleId="942">
    <w:name w:val="附件"/>
    <w:basedOn w:val="1"/>
    <w:qFormat/>
    <w:uiPriority w:val="0"/>
    <w:pPr>
      <w:suppressLineNumbers/>
      <w:suppressAutoHyphens/>
      <w:topLinePunct/>
      <w:adjustRightInd w:val="0"/>
      <w:snapToGrid w:val="0"/>
      <w:spacing w:line="360" w:lineRule="auto"/>
      <w:ind w:firstLine="560" w:firstLineChars="200"/>
    </w:pPr>
    <w:rPr>
      <w:rFonts w:eastAsia="黑体"/>
      <w:sz w:val="24"/>
    </w:rPr>
  </w:style>
  <w:style w:type="paragraph" w:customStyle="1" w:styleId="943">
    <w:name w:val="表文字"/>
    <w:basedOn w:val="1"/>
    <w:link w:val="944"/>
    <w:qFormat/>
    <w:uiPriority w:val="0"/>
    <w:pPr>
      <w:overflowPunct w:val="0"/>
      <w:autoSpaceDE w:val="0"/>
      <w:autoSpaceDN w:val="0"/>
      <w:adjustRightInd w:val="0"/>
      <w:spacing w:line="240" w:lineRule="atLeast"/>
      <w:jc w:val="center"/>
      <w:textAlignment w:val="baseline"/>
    </w:pPr>
    <w:rPr>
      <w:kern w:val="0"/>
      <w:sz w:val="24"/>
    </w:rPr>
  </w:style>
  <w:style w:type="character" w:customStyle="1" w:styleId="944">
    <w:name w:val="表文字 Char"/>
    <w:link w:val="943"/>
    <w:qFormat/>
    <w:uiPriority w:val="0"/>
    <w:rPr>
      <w:sz w:val="24"/>
    </w:rPr>
  </w:style>
  <w:style w:type="paragraph" w:customStyle="1" w:styleId="945">
    <w:name w:val="样式 仿宋_GB2312 四号 行距: 固定值 25 磅"/>
    <w:basedOn w:val="1"/>
    <w:qFormat/>
    <w:uiPriority w:val="0"/>
    <w:pPr>
      <w:spacing w:line="500" w:lineRule="exact"/>
      <w:ind w:firstLine="560" w:firstLineChars="200"/>
    </w:pPr>
    <w:rPr>
      <w:rFonts w:eastAsia="仿宋_GB2312" w:cs="宋体"/>
      <w:sz w:val="28"/>
      <w:szCs w:val="28"/>
    </w:rPr>
  </w:style>
  <w:style w:type="paragraph" w:customStyle="1" w:styleId="946">
    <w:name w:val="Puce1-8 pts"/>
    <w:basedOn w:val="947"/>
    <w:qFormat/>
    <w:uiPriority w:val="0"/>
    <w:pPr>
      <w:keepLines/>
      <w:tabs>
        <w:tab w:val="left" w:pos="0"/>
        <w:tab w:val="left" w:pos="840"/>
        <w:tab w:val="left" w:pos="855"/>
        <w:tab w:val="left" w:pos="1560"/>
      </w:tabs>
      <w:spacing w:before="160"/>
      <w:ind w:left="855" w:hanging="855"/>
    </w:pPr>
  </w:style>
  <w:style w:type="paragraph" w:customStyle="1" w:styleId="947">
    <w:name w:val="puce1-3pts"/>
    <w:basedOn w:val="1"/>
    <w:qFormat/>
    <w:uiPriority w:val="0"/>
    <w:pPr>
      <w:widowControl/>
      <w:tabs>
        <w:tab w:val="left" w:pos="840"/>
        <w:tab w:val="left" w:pos="1560"/>
      </w:tabs>
      <w:spacing w:before="60"/>
      <w:ind w:left="1559" w:hanging="425"/>
    </w:pPr>
    <w:rPr>
      <w:rFonts w:ascii="Arial" w:hAnsi="Arial" w:eastAsia="MS Mincho"/>
      <w:kern w:val="0"/>
      <w:sz w:val="20"/>
      <w:lang w:eastAsia="fr-FR"/>
    </w:rPr>
  </w:style>
  <w:style w:type="paragraph" w:customStyle="1" w:styleId="948">
    <w:name w:val="xl62"/>
    <w:basedOn w:val="1"/>
    <w:qFormat/>
    <w:uiPriority w:val="0"/>
    <w:pPr>
      <w:widowControl/>
      <w:pBdr>
        <w:left w:val="single" w:color="auto" w:sz="8"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949">
    <w:name w:val="LOGO"/>
    <w:basedOn w:val="1"/>
    <w:qFormat/>
    <w:uiPriority w:val="0"/>
    <w:pPr>
      <w:ind w:left="482"/>
      <w:jc w:val="right"/>
    </w:pPr>
    <w:rPr>
      <w:rFonts w:cs="宋体"/>
      <w:sz w:val="24"/>
    </w:rPr>
  </w:style>
  <w:style w:type="paragraph" w:customStyle="1" w:styleId="950">
    <w:name w:val="样式 正文1 Char + 仿宋_GB2312 四号 首行缩进:  2 字符 Char Char"/>
    <w:basedOn w:val="951"/>
    <w:qFormat/>
    <w:uiPriority w:val="0"/>
    <w:pPr>
      <w:suppressLineNumbers/>
      <w:suppressAutoHyphens/>
      <w:topLinePunct/>
      <w:spacing w:before="0" w:after="0" w:line="360" w:lineRule="auto"/>
      <w:ind w:left="0" w:leftChars="0" w:rightChars="0" w:firstLine="560" w:firstLineChars="200"/>
      <w:jc w:val="both"/>
    </w:pPr>
    <w:rPr>
      <w:color w:val="auto"/>
      <w:sz w:val="28"/>
    </w:rPr>
  </w:style>
  <w:style w:type="paragraph" w:customStyle="1" w:styleId="951">
    <w:name w:val="正文1 Char"/>
    <w:basedOn w:val="1"/>
    <w:qFormat/>
    <w:uiPriority w:val="0"/>
    <w:pPr>
      <w:adjustRightInd w:val="0"/>
      <w:snapToGrid w:val="0"/>
      <w:spacing w:before="60" w:after="20" w:line="220" w:lineRule="exact"/>
      <w:ind w:left="-105" w:leftChars="-50" w:rightChars="-50"/>
      <w:jc w:val="center"/>
    </w:pPr>
    <w:rPr>
      <w:rFonts w:eastAsia="仿宋_GB2312"/>
      <w:color w:val="000000"/>
      <w:sz w:val="18"/>
    </w:rPr>
  </w:style>
  <w:style w:type="paragraph" w:customStyle="1" w:styleId="952">
    <w:name w:val="样式1."/>
    <w:basedOn w:val="1"/>
    <w:qFormat/>
    <w:uiPriority w:val="0"/>
    <w:pPr>
      <w:adjustRightInd w:val="0"/>
      <w:snapToGrid w:val="0"/>
      <w:spacing w:line="460" w:lineRule="exact"/>
    </w:pPr>
    <w:rPr>
      <w:rFonts w:eastAsia="黑体"/>
      <w:b/>
      <w:sz w:val="32"/>
    </w:rPr>
  </w:style>
  <w:style w:type="paragraph" w:customStyle="1" w:styleId="953">
    <w:name w:val="环评副标题"/>
    <w:basedOn w:val="1"/>
    <w:qFormat/>
    <w:uiPriority w:val="0"/>
    <w:pPr>
      <w:jc w:val="center"/>
    </w:pPr>
    <w:rPr>
      <w:rFonts w:cs="宋体"/>
      <w:sz w:val="44"/>
    </w:rPr>
  </w:style>
  <w:style w:type="paragraph" w:customStyle="1" w:styleId="954">
    <w:name w:val="湛宝标题"/>
    <w:basedOn w:val="33"/>
    <w:qFormat/>
    <w:uiPriority w:val="0"/>
    <w:pPr>
      <w:adjustRightInd/>
      <w:snapToGrid/>
      <w:spacing w:line="360" w:lineRule="auto"/>
      <w:ind w:firstLine="0" w:firstLineChars="0"/>
      <w:jc w:val="center"/>
    </w:pPr>
    <w:rPr>
      <w:rFonts w:ascii="Arial" w:hAnsi="Arial" w:eastAsia="宋体" w:cs="Arial"/>
      <w:i w:val="0"/>
      <w:iCs w:val="0"/>
      <w:color w:val="auto"/>
      <w:sz w:val="24"/>
      <w:szCs w:val="20"/>
    </w:rPr>
  </w:style>
  <w:style w:type="paragraph" w:customStyle="1" w:styleId="955">
    <w:name w:val="样式 样式4 + 字距调整小四"/>
    <w:basedOn w:val="1"/>
    <w:qFormat/>
    <w:uiPriority w:val="0"/>
    <w:rPr>
      <w:rFonts w:ascii="Arial" w:hAnsi="Arial" w:eastAsia="楷体_GB2312" w:cs="Arial"/>
      <w:kern w:val="24"/>
      <w:sz w:val="24"/>
      <w:szCs w:val="24"/>
    </w:rPr>
  </w:style>
  <w:style w:type="paragraph" w:customStyle="1" w:styleId="956">
    <w:name w:val="封面2"/>
    <w:basedOn w:val="1"/>
    <w:qFormat/>
    <w:uiPriority w:val="0"/>
    <w:pPr>
      <w:jc w:val="center"/>
    </w:pPr>
    <w:rPr>
      <w:b/>
      <w:sz w:val="44"/>
      <w:szCs w:val="24"/>
    </w:rPr>
  </w:style>
  <w:style w:type="paragraph" w:customStyle="1" w:styleId="957">
    <w:name w:val="注："/>
    <w:next w:val="10"/>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958">
    <w:name w:val="段落1"/>
    <w:basedOn w:val="1"/>
    <w:qFormat/>
    <w:uiPriority w:val="0"/>
    <w:pPr>
      <w:adjustRightInd w:val="0"/>
      <w:spacing w:line="440" w:lineRule="exact"/>
      <w:ind w:firstLine="200" w:firstLineChars="200"/>
    </w:pPr>
    <w:rPr>
      <w:spacing w:val="8"/>
      <w:sz w:val="28"/>
    </w:rPr>
  </w:style>
  <w:style w:type="paragraph" w:customStyle="1" w:styleId="959">
    <w:name w:val="Body Text Indent 2"/>
    <w:basedOn w:val="1"/>
    <w:qFormat/>
    <w:uiPriority w:val="0"/>
    <w:pPr>
      <w:adjustRightInd w:val="0"/>
      <w:spacing w:after="120" w:line="480" w:lineRule="auto"/>
      <w:ind w:left="420"/>
      <w:textAlignment w:val="baseline"/>
    </w:pPr>
    <w:rPr>
      <w:sz w:val="28"/>
    </w:rPr>
  </w:style>
  <w:style w:type="paragraph" w:customStyle="1" w:styleId="960">
    <w:name w:val="样式 标题 3 + 首行缩进:  2 字符"/>
    <w:basedOn w:val="9"/>
    <w:link w:val="961"/>
    <w:qFormat/>
    <w:uiPriority w:val="0"/>
    <w:pPr>
      <w:tabs>
        <w:tab w:val="left" w:pos="1575"/>
      </w:tabs>
      <w:spacing w:before="0" w:after="0" w:line="300" w:lineRule="auto"/>
    </w:pPr>
    <w:rPr>
      <w:rFonts w:hAnsi="宋体" w:eastAsia="黑体"/>
      <w:b w:val="0"/>
      <w:bCs/>
      <w:sz w:val="28"/>
    </w:rPr>
  </w:style>
  <w:style w:type="character" w:customStyle="1" w:styleId="961">
    <w:name w:val="样式 标题 3 + 首行缩进:  2 字符 Char"/>
    <w:link w:val="960"/>
    <w:qFormat/>
    <w:uiPriority w:val="0"/>
    <w:rPr>
      <w:rFonts w:hAnsi="宋体" w:eastAsia="黑体" w:cs="宋体"/>
      <w:bCs/>
      <w:kern w:val="2"/>
      <w:sz w:val="28"/>
    </w:rPr>
  </w:style>
  <w:style w:type="paragraph" w:customStyle="1" w:styleId="962">
    <w:name w:val="reader-word-layer reader-word-s4-3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63">
    <w:name w:val="a)"/>
    <w:basedOn w:val="1"/>
    <w:qFormat/>
    <w:uiPriority w:val="0"/>
    <w:pPr>
      <w:adjustRightInd w:val="0"/>
      <w:spacing w:line="360" w:lineRule="auto"/>
      <w:ind w:firstLine="567"/>
      <w:textAlignment w:val="baseline"/>
    </w:pPr>
    <w:rPr>
      <w:kern w:val="0"/>
      <w:sz w:val="28"/>
    </w:rPr>
  </w:style>
  <w:style w:type="paragraph" w:customStyle="1" w:styleId="964">
    <w:name w:val="册除格式 Char Char"/>
    <w:qFormat/>
    <w:uiPriority w:val="0"/>
    <w:pPr>
      <w:spacing w:line="360" w:lineRule="auto"/>
      <w:ind w:firstLine="482"/>
    </w:pPr>
    <w:rPr>
      <w:rFonts w:ascii="黑体" w:hAnsi="Arial" w:eastAsia="宋体" w:cs="Times New Roman"/>
      <w:snapToGrid w:val="0"/>
      <w:spacing w:val="4"/>
      <w:kern w:val="18"/>
      <w:sz w:val="24"/>
      <w:lang w:val="en-US" w:eastAsia="zh-CN" w:bidi="ar-SA"/>
    </w:rPr>
  </w:style>
  <w:style w:type="paragraph" w:customStyle="1" w:styleId="965">
    <w:name w:val="p0"/>
    <w:basedOn w:val="1"/>
    <w:qFormat/>
    <w:uiPriority w:val="0"/>
    <w:pPr>
      <w:widowControl/>
      <w:spacing w:line="360" w:lineRule="auto"/>
      <w:ind w:firstLine="420"/>
    </w:pPr>
    <w:rPr>
      <w:rFonts w:ascii="宋体" w:hAnsi="宋体"/>
      <w:kern w:val="0"/>
      <w:sz w:val="24"/>
    </w:rPr>
  </w:style>
  <w:style w:type="paragraph" w:customStyle="1" w:styleId="966">
    <w:name w:val="目录1"/>
    <w:basedOn w:val="1"/>
    <w:qFormat/>
    <w:uiPriority w:val="0"/>
    <w:pPr>
      <w:spacing w:line="500" w:lineRule="exact"/>
      <w:ind w:firstLine="420" w:firstLineChars="200"/>
    </w:pPr>
    <w:rPr>
      <w:rFonts w:ascii="宋体" w:hAnsi="宋体" w:cs="宋体"/>
      <w:szCs w:val="21"/>
    </w:rPr>
  </w:style>
  <w:style w:type="paragraph" w:customStyle="1" w:styleId="967">
    <w:name w:val="样式 正文文本缩进 + 左侧:  2 字符 首行缩进:  2 字符"/>
    <w:basedOn w:val="26"/>
    <w:qFormat/>
    <w:uiPriority w:val="0"/>
    <w:pPr>
      <w:spacing w:after="120" w:line="640" w:lineRule="exact"/>
      <w:ind w:left="200" w:leftChars="200" w:firstLine="200" w:firstLineChars="200"/>
      <w:jc w:val="left"/>
    </w:pPr>
    <w:rPr>
      <w:rFonts w:ascii="仿宋_GB2312" w:eastAsia="仿宋_GB2312"/>
      <w:color w:val="0000FF"/>
      <w:spacing w:val="6"/>
      <w:sz w:val="32"/>
    </w:rPr>
  </w:style>
  <w:style w:type="paragraph" w:customStyle="1" w:styleId="968">
    <w:name w:val="样式4正文"/>
    <w:basedOn w:val="1"/>
    <w:qFormat/>
    <w:uiPriority w:val="0"/>
    <w:pPr>
      <w:ind w:firstLine="560" w:firstLineChars="200"/>
    </w:pPr>
    <w:rPr>
      <w:rFonts w:ascii="楷体_GB2312" w:hAnsi="宋体" w:eastAsia="楷体_GB2312"/>
      <w:sz w:val="28"/>
    </w:rPr>
  </w:style>
  <w:style w:type="paragraph" w:customStyle="1" w:styleId="969">
    <w:name w:val="正文1 Char Char Char Char1 Char"/>
    <w:basedOn w:val="1"/>
    <w:qFormat/>
    <w:uiPriority w:val="0"/>
    <w:pPr>
      <w:suppressLineNumbers/>
      <w:suppressAutoHyphens/>
      <w:topLinePunct/>
      <w:adjustRightInd w:val="0"/>
      <w:snapToGrid w:val="0"/>
      <w:spacing w:line="360" w:lineRule="auto"/>
      <w:ind w:firstLine="480" w:firstLineChars="200"/>
    </w:pPr>
    <w:rPr>
      <w:sz w:val="24"/>
    </w:rPr>
  </w:style>
  <w:style w:type="paragraph" w:customStyle="1" w:styleId="970">
    <w:name w:val="封面3"/>
    <w:basedOn w:val="956"/>
    <w:qFormat/>
    <w:uiPriority w:val="0"/>
    <w:rPr>
      <w:rFonts w:ascii="宋体" w:hAnsi="宋体"/>
      <w:sz w:val="72"/>
      <w:szCs w:val="72"/>
    </w:rPr>
  </w:style>
  <w:style w:type="paragraph" w:customStyle="1" w:styleId="971">
    <w:name w:val="Puce2-3pts"/>
    <w:basedOn w:val="1"/>
    <w:qFormat/>
    <w:uiPriority w:val="0"/>
    <w:pPr>
      <w:keepLines/>
      <w:widowControl/>
      <w:tabs>
        <w:tab w:val="left" w:pos="720"/>
        <w:tab w:val="left" w:pos="1843"/>
      </w:tabs>
      <w:spacing w:before="60"/>
      <w:ind w:left="1843" w:hanging="360"/>
    </w:pPr>
    <w:rPr>
      <w:rFonts w:ascii="Arial" w:hAnsi="Arial" w:eastAsia="MS Mincho"/>
      <w:kern w:val="0"/>
      <w:sz w:val="20"/>
      <w:lang w:eastAsia="fr-FR"/>
    </w:rPr>
  </w:style>
  <w:style w:type="paragraph" w:customStyle="1" w:styleId="972">
    <w:name w:val="文本框"/>
    <w:basedOn w:val="288"/>
    <w:link w:val="973"/>
    <w:qFormat/>
    <w:uiPriority w:val="0"/>
    <w:pPr>
      <w:spacing w:line="380" w:lineRule="exact"/>
      <w:ind w:firstLine="0" w:firstLineChars="0"/>
      <w:jc w:val="center"/>
    </w:pPr>
    <w:rPr>
      <w:color w:val="000000"/>
      <w:szCs w:val="24"/>
    </w:rPr>
  </w:style>
  <w:style w:type="character" w:customStyle="1" w:styleId="973">
    <w:name w:val="文本框 Char Char"/>
    <w:link w:val="972"/>
    <w:qFormat/>
    <w:locked/>
    <w:uiPriority w:val="0"/>
    <w:rPr>
      <w:color w:val="000000"/>
      <w:kern w:val="2"/>
      <w:sz w:val="24"/>
      <w:szCs w:val="24"/>
    </w:rPr>
  </w:style>
  <w:style w:type="paragraph" w:customStyle="1" w:styleId="974">
    <w:name w:val="p16"/>
    <w:basedOn w:val="1"/>
    <w:qFormat/>
    <w:uiPriority w:val="0"/>
    <w:pPr>
      <w:widowControl/>
      <w:spacing w:line="360" w:lineRule="auto"/>
      <w:ind w:firstLine="420"/>
    </w:pPr>
    <w:rPr>
      <w:rFonts w:ascii="宋体" w:hAnsi="宋体"/>
      <w:kern w:val="0"/>
      <w:sz w:val="24"/>
    </w:rPr>
  </w:style>
  <w:style w:type="paragraph" w:customStyle="1" w:styleId="975">
    <w:name w:val="样式 四号 首行缩进:  0.85 厘米 行距: 1.5 倍行距"/>
    <w:basedOn w:val="1"/>
    <w:qFormat/>
    <w:uiPriority w:val="0"/>
    <w:pPr>
      <w:spacing w:line="360" w:lineRule="auto"/>
      <w:ind w:firstLine="200" w:firstLineChars="200"/>
    </w:pPr>
    <w:rPr>
      <w:rFonts w:cs="宋体"/>
      <w:sz w:val="28"/>
    </w:rPr>
  </w:style>
  <w:style w:type="paragraph" w:customStyle="1" w:styleId="976">
    <w:name w:val="无间隔1"/>
    <w:qFormat/>
    <w:uiPriority w:val="0"/>
    <w:pPr>
      <w:widowControl w:val="0"/>
      <w:jc w:val="both"/>
    </w:pPr>
    <w:rPr>
      <w:rFonts w:ascii="Calibri" w:hAnsi="Calibri" w:eastAsia="宋体" w:cs="Calibri"/>
      <w:kern w:val="2"/>
      <w:sz w:val="21"/>
      <w:szCs w:val="21"/>
      <w:lang w:val="en-US" w:eastAsia="zh-CN" w:bidi="ar-SA"/>
    </w:rPr>
  </w:style>
  <w:style w:type="paragraph" w:customStyle="1" w:styleId="977">
    <w:name w:val="3 Char Char Char Char Char Char Char"/>
    <w:basedOn w:val="1"/>
    <w:qFormat/>
    <w:uiPriority w:val="0"/>
    <w:pPr>
      <w:adjustRightInd w:val="0"/>
      <w:snapToGrid w:val="0"/>
      <w:spacing w:line="400" w:lineRule="exact"/>
      <w:ind w:firstLine="200" w:firstLineChars="200"/>
    </w:pPr>
    <w:rPr>
      <w:sz w:val="24"/>
    </w:rPr>
  </w:style>
  <w:style w:type="paragraph" w:customStyle="1" w:styleId="978">
    <w:name w:val="文件名称"/>
    <w:basedOn w:val="1"/>
    <w:next w:val="1"/>
    <w:qFormat/>
    <w:uiPriority w:val="0"/>
    <w:pPr>
      <w:spacing w:before="312" w:beforeLines="100" w:beforeAutospacing="0"/>
      <w:jc w:val="center"/>
    </w:pPr>
    <w:rPr>
      <w:rFonts w:ascii="黑体" w:eastAsia="黑体"/>
      <w:sz w:val="84"/>
    </w:rPr>
  </w:style>
  <w:style w:type="paragraph" w:customStyle="1" w:styleId="979">
    <w:name w:val="正文样式"/>
    <w:basedOn w:val="1"/>
    <w:qFormat/>
    <w:uiPriority w:val="0"/>
    <w:pPr>
      <w:spacing w:line="360" w:lineRule="auto"/>
      <w:ind w:firstLine="480" w:firstLineChars="200"/>
    </w:pPr>
    <w:rPr>
      <w:rFonts w:ascii="宋体" w:hAnsi="宋体"/>
      <w:color w:val="000000"/>
      <w:sz w:val="24"/>
      <w:szCs w:val="24"/>
    </w:rPr>
  </w:style>
  <w:style w:type="paragraph" w:customStyle="1" w:styleId="980">
    <w:name w:val="reader-word-layer reader-word-s4-3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81">
    <w:name w:val="表头文字"/>
    <w:basedOn w:val="53"/>
    <w:qFormat/>
    <w:uiPriority w:val="0"/>
    <w:pPr>
      <w:adjustRightInd w:val="0"/>
      <w:snapToGrid w:val="0"/>
      <w:spacing w:before="312" w:beforeLines="100" w:after="156" w:afterLines="50" w:line="360" w:lineRule="auto"/>
      <w:jc w:val="center"/>
    </w:pPr>
    <w:rPr>
      <w:rFonts w:ascii="Times New Roman" w:hAnsi="Times New Roman" w:eastAsia="黑体"/>
      <w:b/>
      <w:bCs/>
      <w:sz w:val="28"/>
      <w:szCs w:val="28"/>
    </w:rPr>
  </w:style>
  <w:style w:type="paragraph" w:customStyle="1" w:styleId="982">
    <w:name w:val="报告书表格"/>
    <w:basedOn w:val="1"/>
    <w:qFormat/>
    <w:uiPriority w:val="0"/>
    <w:pPr>
      <w:adjustRightInd w:val="0"/>
      <w:spacing w:before="60" w:beforeLines="0" w:beforeAutospacing="0" w:after="60" w:afterLines="0" w:afterAutospacing="0" w:line="240" w:lineRule="atLeast"/>
      <w:jc w:val="center"/>
      <w:textAlignment w:val="baseline"/>
    </w:pPr>
    <w:rPr>
      <w:kern w:val="0"/>
    </w:rPr>
  </w:style>
  <w:style w:type="paragraph" w:customStyle="1" w:styleId="983">
    <w:name w:val="样式 列表 + 居中"/>
    <w:basedOn w:val="28"/>
    <w:qFormat/>
    <w:uiPriority w:val="0"/>
    <w:pPr>
      <w:snapToGrid w:val="0"/>
      <w:ind w:left="0" w:firstLine="0" w:firstLineChars="0"/>
      <w:jc w:val="center"/>
    </w:pPr>
  </w:style>
  <w:style w:type="paragraph" w:customStyle="1" w:styleId="984">
    <w:name w:val="Lettre-8pts"/>
    <w:basedOn w:val="1"/>
    <w:qFormat/>
    <w:uiPriority w:val="0"/>
    <w:pPr>
      <w:keepLines/>
      <w:widowControl/>
      <w:tabs>
        <w:tab w:val="left" w:pos="851"/>
      </w:tabs>
      <w:spacing w:before="160"/>
      <w:ind w:left="851" w:hanging="851"/>
    </w:pPr>
    <w:rPr>
      <w:rFonts w:ascii="Arial" w:hAnsi="Arial"/>
      <w:kern w:val="0"/>
      <w:sz w:val="20"/>
      <w:lang w:eastAsia="fr-FR"/>
    </w:rPr>
  </w:style>
  <w:style w:type="paragraph" w:customStyle="1" w:styleId="985">
    <w:name w:val="char"/>
    <w:basedOn w:val="1"/>
    <w:qFormat/>
    <w:uiPriority w:val="0"/>
    <w:pPr>
      <w:widowControl/>
      <w:spacing w:after="160" w:line="240" w:lineRule="exact"/>
      <w:jc w:val="left"/>
    </w:pPr>
    <w:rPr>
      <w:rFonts w:ascii="Verdana" w:hAnsi="Verdana" w:eastAsia="仿宋_GB2312" w:cs="”“Times New Roman”“"/>
      <w:kern w:val="0"/>
      <w:sz w:val="24"/>
      <w:lang w:eastAsia="en-US"/>
    </w:rPr>
  </w:style>
  <w:style w:type="paragraph" w:customStyle="1" w:styleId="986">
    <w:name w:val="lily 正文"/>
    <w:basedOn w:val="1"/>
    <w:qFormat/>
    <w:uiPriority w:val="0"/>
    <w:pPr>
      <w:spacing w:line="440" w:lineRule="atLeast"/>
      <w:ind w:firstLine="480" w:firstLineChars="200"/>
    </w:pPr>
    <w:rPr>
      <w:sz w:val="24"/>
      <w:szCs w:val="24"/>
    </w:rPr>
  </w:style>
  <w:style w:type="paragraph" w:customStyle="1" w:styleId="987">
    <w:name w:val="表内字"/>
    <w:basedOn w:val="53"/>
    <w:qFormat/>
    <w:uiPriority w:val="0"/>
    <w:pPr>
      <w:snapToGrid w:val="0"/>
      <w:spacing w:line="360" w:lineRule="auto"/>
      <w:jc w:val="center"/>
    </w:pPr>
    <w:rPr>
      <w:rFonts w:ascii="Times New Roman" w:hAnsi="Times New Roman"/>
      <w:kern w:val="0"/>
      <w:sz w:val="24"/>
    </w:rPr>
  </w:style>
  <w:style w:type="paragraph" w:customStyle="1" w:styleId="988">
    <w:name w:val="正文001"/>
    <w:basedOn w:val="1"/>
    <w:qFormat/>
    <w:uiPriority w:val="0"/>
    <w:pPr>
      <w:spacing w:before="60" w:line="460" w:lineRule="exact"/>
      <w:ind w:firstLine="200" w:firstLineChars="200"/>
    </w:pPr>
    <w:rPr>
      <w:rFonts w:ascii="Arial" w:hAnsi="Arial"/>
      <w:sz w:val="24"/>
    </w:rPr>
  </w:style>
  <w:style w:type="paragraph" w:customStyle="1" w:styleId="989">
    <w:name w:val="样式 目录 2 + 左侧:  2 字符 首行缩进:  2 字符2"/>
    <w:basedOn w:val="79"/>
    <w:qFormat/>
    <w:uiPriority w:val="0"/>
    <w:pPr>
      <w:adjustRightInd w:val="0"/>
      <w:snapToGrid w:val="0"/>
      <w:ind w:left="200" w:leftChars="50" w:firstLine="200" w:firstLineChars="200"/>
    </w:pPr>
    <w:rPr>
      <w:rFonts w:cs="宋体"/>
    </w:rPr>
  </w:style>
  <w:style w:type="paragraph" w:customStyle="1" w:styleId="990">
    <w:name w:val=" Char Char Char Char Char Char Char Char Char"/>
    <w:basedOn w:val="1"/>
    <w:qFormat/>
    <w:uiPriority w:val="0"/>
    <w:rPr>
      <w:sz w:val="24"/>
      <w:szCs w:val="24"/>
    </w:rPr>
  </w:style>
  <w:style w:type="paragraph" w:customStyle="1" w:styleId="991">
    <w:name w:val="样式 样式 行距: 1.5 倍行距 + 首行缩进:  2 字符"/>
    <w:basedOn w:val="769"/>
    <w:qFormat/>
    <w:uiPriority w:val="0"/>
    <w:pPr>
      <w:textAlignment w:val="center"/>
    </w:pPr>
  </w:style>
  <w:style w:type="paragraph" w:customStyle="1" w:styleId="992">
    <w:name w:val="普通(Web)1"/>
    <w:basedOn w:val="1"/>
    <w:qFormat/>
    <w:uiPriority w:val="0"/>
    <w:pPr>
      <w:widowControl/>
      <w:spacing w:before="75" w:after="100" w:afterAutospacing="1"/>
      <w:jc w:val="left"/>
    </w:pPr>
    <w:rPr>
      <w:rFonts w:ascii="宋体" w:hAnsi="宋体"/>
      <w:kern w:val="0"/>
      <w:sz w:val="24"/>
    </w:rPr>
  </w:style>
  <w:style w:type="paragraph" w:customStyle="1" w:styleId="993">
    <w:name w:val="小房1"/>
    <w:basedOn w:val="1"/>
    <w:qFormat/>
    <w:uiPriority w:val="0"/>
    <w:pPr>
      <w:adjustRightInd w:val="0"/>
      <w:spacing w:before="60" w:line="276" w:lineRule="auto"/>
      <w:ind w:firstLine="482"/>
      <w:textAlignment w:val="baseline"/>
    </w:pPr>
    <w:rPr>
      <w:rFonts w:eastAsia="仿宋_GB2312"/>
      <w:kern w:val="0"/>
      <w:sz w:val="28"/>
    </w:rPr>
  </w:style>
  <w:style w:type="paragraph" w:customStyle="1" w:styleId="994">
    <w:name w:val="style27"/>
    <w:basedOn w:val="1"/>
    <w:qFormat/>
    <w:uiPriority w:val="0"/>
    <w:pPr>
      <w:widowControl/>
      <w:spacing w:before="100" w:beforeLines="0" w:beforeAutospacing="1" w:after="100" w:afterLines="0" w:afterAutospacing="1"/>
      <w:jc w:val="left"/>
    </w:pPr>
    <w:rPr>
      <w:rFonts w:ascii="宋体" w:hAnsi="宋体"/>
      <w:kern w:val="0"/>
      <w:sz w:val="16"/>
    </w:rPr>
  </w:style>
  <w:style w:type="paragraph" w:customStyle="1" w:styleId="995">
    <w:name w:val="样式 样式 标题 2标题 2 Char Char + 段前: 0.3 行 + 段前: 0.5 行"/>
    <w:basedOn w:val="996"/>
    <w:qFormat/>
    <w:uiPriority w:val="0"/>
    <w:pPr>
      <w:tabs>
        <w:tab w:val="left" w:pos="840"/>
      </w:tabs>
      <w:spacing w:beforeLines="0"/>
    </w:pPr>
  </w:style>
  <w:style w:type="paragraph" w:customStyle="1" w:styleId="996">
    <w:name w:val="样式 标题 2标题 2 Char Char + 段前: 0.3 行"/>
    <w:basedOn w:val="8"/>
    <w:qFormat/>
    <w:uiPriority w:val="0"/>
    <w:pPr>
      <w:keepNext w:val="0"/>
      <w:keepLines w:val="0"/>
      <w:tabs>
        <w:tab w:val="left" w:pos="840"/>
      </w:tabs>
      <w:adjustRightInd w:val="0"/>
      <w:snapToGrid w:val="0"/>
      <w:spacing w:before="156" w:beforeLines="50" w:after="0" w:line="360" w:lineRule="auto"/>
      <w:ind w:left="840" w:hanging="360"/>
    </w:pPr>
    <w:rPr>
      <w:rFonts w:ascii="黑体"/>
      <w:b w:val="0"/>
      <w:sz w:val="28"/>
    </w:rPr>
  </w:style>
  <w:style w:type="paragraph" w:customStyle="1" w:styleId="997">
    <w:name w:val="xl41"/>
    <w:basedOn w:val="1"/>
    <w:qFormat/>
    <w:uiPriority w:val="0"/>
    <w:pPr>
      <w:widowControl/>
      <w:pBdr>
        <w:left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998">
    <w:name w:val="表字五号"/>
    <w:basedOn w:val="1"/>
    <w:qFormat/>
    <w:uiPriority w:val="0"/>
    <w:pPr>
      <w:autoSpaceDE w:val="0"/>
      <w:autoSpaceDN w:val="0"/>
      <w:adjustRightInd w:val="0"/>
      <w:snapToGrid w:val="0"/>
      <w:spacing w:before="31" w:beforeLines="10" w:after="31" w:afterLines="10"/>
      <w:jc w:val="center"/>
      <w:textAlignment w:val="bottom"/>
    </w:pPr>
    <w:rPr>
      <w:kern w:val="0"/>
    </w:rPr>
  </w:style>
  <w:style w:type="paragraph" w:customStyle="1" w:styleId="999">
    <w:name w:val="xl52"/>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1000">
    <w:name w:val="五级标题"/>
    <w:basedOn w:val="1"/>
    <w:qFormat/>
    <w:uiPriority w:val="0"/>
    <w:pPr>
      <w:spacing w:before="156" w:after="156"/>
    </w:pPr>
    <w:rPr>
      <w:sz w:val="28"/>
    </w:rPr>
  </w:style>
  <w:style w:type="paragraph" w:customStyle="1" w:styleId="1001">
    <w:name w:val="文档二级标题"/>
    <w:basedOn w:val="1"/>
    <w:qFormat/>
    <w:uiPriority w:val="0"/>
    <w:rPr>
      <w:rFonts w:ascii="楷体_GB2312" w:hAnsi="华文仿宋" w:eastAsia="楷体_GB2312"/>
      <w:sz w:val="28"/>
    </w:rPr>
  </w:style>
  <w:style w:type="paragraph" w:customStyle="1" w:styleId="1002">
    <w:name w:val="body"/>
    <w:basedOn w:val="1"/>
    <w:qFormat/>
    <w:uiPriority w:val="0"/>
    <w:pPr>
      <w:spacing w:line="360" w:lineRule="auto"/>
      <w:ind w:firstLine="480" w:firstLineChars="200"/>
    </w:pPr>
    <w:rPr>
      <w:rFonts w:ascii="宋体" w:hAnsi="宋体"/>
      <w:sz w:val="24"/>
      <w:szCs w:val="24"/>
    </w:rPr>
  </w:style>
  <w:style w:type="paragraph" w:customStyle="1" w:styleId="1003">
    <w:name w:val="表X－X"/>
    <w:basedOn w:val="1"/>
    <w:qFormat/>
    <w:uiPriority w:val="0"/>
    <w:pPr>
      <w:jc w:val="center"/>
    </w:pPr>
    <w:rPr>
      <w:rFonts w:ascii="黑体" w:hAnsi="华文仿宋" w:eastAsia="黑体"/>
      <w:sz w:val="28"/>
      <w:szCs w:val="24"/>
    </w:rPr>
  </w:style>
  <w:style w:type="paragraph" w:customStyle="1" w:styleId="1004">
    <w:name w:val="xl84"/>
    <w:basedOn w:val="1"/>
    <w:qFormat/>
    <w:uiPriority w:val="0"/>
    <w:pPr>
      <w:widowControl/>
      <w:pBdr>
        <w:bottom w:val="single" w:color="auto" w:sz="8" w:space="0"/>
      </w:pBdr>
      <w:spacing w:before="100" w:beforeAutospacing="1" w:after="100" w:afterAutospacing="1"/>
      <w:jc w:val="center"/>
    </w:pPr>
    <w:rPr>
      <w:rFonts w:hint="eastAsia" w:ascii="宋体" w:hAnsi="宋体"/>
      <w:kern w:val="0"/>
      <w:sz w:val="24"/>
      <w:szCs w:val="24"/>
    </w:rPr>
  </w:style>
  <w:style w:type="paragraph" w:customStyle="1" w:styleId="1005">
    <w:name w:val="样式4"/>
    <w:basedOn w:val="10"/>
    <w:link w:val="1006"/>
    <w:qFormat/>
    <w:uiPriority w:val="0"/>
    <w:pPr>
      <w:tabs>
        <w:tab w:val="left" w:pos="864"/>
      </w:tabs>
      <w:adjustRightInd w:val="0"/>
      <w:snapToGrid w:val="0"/>
      <w:spacing w:before="0" w:beforeLines="0" w:beforeAutospacing="0" w:after="0" w:afterLines="0" w:afterAutospacing="0" w:line="360" w:lineRule="auto"/>
      <w:ind w:left="864" w:hanging="864"/>
      <w:textAlignment w:val="baseline"/>
    </w:pPr>
    <w:rPr>
      <w:rFonts w:ascii="Times New Roman" w:hAnsi="Times New Roman" w:eastAsia="宋体"/>
      <w:b w:val="0"/>
      <w:snapToGrid w:val="0"/>
      <w:kern w:val="0"/>
      <w:sz w:val="24"/>
    </w:rPr>
  </w:style>
  <w:style w:type="character" w:customStyle="1" w:styleId="1006">
    <w:name w:val="样式4 Char"/>
    <w:link w:val="1005"/>
    <w:qFormat/>
    <w:uiPriority w:val="0"/>
    <w:rPr>
      <w:snapToGrid/>
      <w:sz w:val="24"/>
    </w:rPr>
  </w:style>
  <w:style w:type="paragraph" w:customStyle="1" w:styleId="1007">
    <w:name w:val="p17"/>
    <w:basedOn w:val="1"/>
    <w:qFormat/>
    <w:uiPriority w:val="0"/>
    <w:pPr>
      <w:widowControl/>
      <w:snapToGrid w:val="0"/>
      <w:spacing w:line="400" w:lineRule="atLeast"/>
      <w:ind w:firstLine="425"/>
    </w:pPr>
    <w:rPr>
      <w:kern w:val="0"/>
      <w:sz w:val="24"/>
      <w:szCs w:val="24"/>
    </w:rPr>
  </w:style>
  <w:style w:type="paragraph" w:customStyle="1" w:styleId="1008">
    <w:name w:val="正文1 Char Char Char Char1"/>
    <w:basedOn w:val="1"/>
    <w:qFormat/>
    <w:uiPriority w:val="0"/>
    <w:pPr>
      <w:suppressLineNumbers/>
      <w:suppressAutoHyphens/>
      <w:topLinePunct/>
      <w:adjustRightInd w:val="0"/>
      <w:snapToGrid w:val="0"/>
      <w:spacing w:line="360" w:lineRule="auto"/>
      <w:ind w:firstLine="480" w:firstLineChars="200"/>
    </w:pPr>
    <w:rPr>
      <w:sz w:val="24"/>
    </w:rPr>
  </w:style>
  <w:style w:type="paragraph" w:customStyle="1" w:styleId="1009">
    <w:name w:val="环科院标题3"/>
    <w:basedOn w:val="9"/>
    <w:qFormat/>
    <w:uiPriority w:val="0"/>
    <w:pPr>
      <w:numPr>
        <w:ilvl w:val="2"/>
        <w:numId w:val="0"/>
      </w:numPr>
      <w:tabs>
        <w:tab w:val="left" w:pos="709"/>
      </w:tabs>
      <w:spacing w:before="156" w:beforeLines="50" w:after="156" w:afterLines="50" w:line="360" w:lineRule="auto"/>
    </w:pPr>
    <w:rPr>
      <w:b w:val="0"/>
      <w:bCs/>
      <w:color w:val="000000"/>
      <w:sz w:val="24"/>
      <w:szCs w:val="24"/>
    </w:rPr>
  </w:style>
  <w:style w:type="paragraph" w:customStyle="1" w:styleId="1010">
    <w:name w:val="样式 标题 1 + 段后: 1 行"/>
    <w:basedOn w:val="7"/>
    <w:qFormat/>
    <w:uiPriority w:val="0"/>
    <w:pPr>
      <w:spacing w:before="240" w:after="312" w:line="240" w:lineRule="auto"/>
      <w:jc w:val="center"/>
    </w:pPr>
    <w:rPr>
      <w:rFonts w:ascii="黑体" w:hAnsi="宋体" w:eastAsia="黑体"/>
      <w:b w:val="0"/>
      <w:sz w:val="32"/>
    </w:rPr>
  </w:style>
  <w:style w:type="paragraph" w:customStyle="1" w:styleId="1011">
    <w:name w:val="nt"/>
    <w:basedOn w:val="1"/>
    <w:qFormat/>
    <w:uiPriority w:val="0"/>
    <w:pPr>
      <w:widowControl/>
      <w:spacing w:before="100" w:beforeAutospacing="1" w:after="100" w:afterAutospacing="1"/>
      <w:jc w:val="left"/>
    </w:pPr>
    <w:rPr>
      <w:rFonts w:ascii="宋体" w:hAnsi="宋体"/>
      <w:kern w:val="0"/>
      <w:sz w:val="24"/>
    </w:rPr>
  </w:style>
  <w:style w:type="paragraph" w:customStyle="1" w:styleId="1012">
    <w:name w:val="CM26"/>
    <w:basedOn w:val="117"/>
    <w:next w:val="117"/>
    <w:qFormat/>
    <w:uiPriority w:val="0"/>
    <w:pPr>
      <w:spacing w:line="468" w:lineRule="atLeast"/>
    </w:pPr>
    <w:rPr>
      <w:rFonts w:ascii="仿宋_GB2312" w:eastAsia="仿宋_GB2312" w:cs="仿宋_GB2312"/>
      <w:color w:val="auto"/>
    </w:rPr>
  </w:style>
  <w:style w:type="paragraph" w:customStyle="1" w:styleId="1013">
    <w:name w:val="font5"/>
    <w:basedOn w:val="1"/>
    <w:qFormat/>
    <w:uiPriority w:val="0"/>
    <w:pPr>
      <w:widowControl/>
      <w:spacing w:before="100" w:beforeLines="0" w:beforeAutospacing="1" w:after="100" w:afterLines="0" w:afterAutospacing="1"/>
      <w:jc w:val="left"/>
    </w:pPr>
    <w:rPr>
      <w:rFonts w:hint="eastAsia" w:ascii="宋体" w:hAnsi="宋体"/>
      <w:kern w:val="0"/>
      <w:sz w:val="18"/>
    </w:rPr>
  </w:style>
  <w:style w:type="paragraph" w:customStyle="1" w:styleId="1014">
    <w:name w:val="表頭"/>
    <w:basedOn w:val="729"/>
    <w:qFormat/>
    <w:uiPriority w:val="0"/>
    <w:pPr>
      <w:widowControl w:val="0"/>
      <w:spacing w:after="46" w:afterLines="15" w:afterAutospacing="0" w:line="300" w:lineRule="exact"/>
      <w:ind w:left="23" w:leftChars="10" w:right="0"/>
      <w:jc w:val="center"/>
    </w:pPr>
    <w:rPr>
      <w:rFonts w:ascii="Arial" w:hAnsi="Arial" w:eastAsia="華康中黑體"/>
      <w:spacing w:val="4"/>
      <w:kern w:val="2"/>
    </w:rPr>
  </w:style>
  <w:style w:type="paragraph" w:customStyle="1" w:styleId="1015">
    <w:name w:val="p18"/>
    <w:basedOn w:val="1"/>
    <w:qFormat/>
    <w:uiPriority w:val="0"/>
    <w:pPr>
      <w:widowControl/>
      <w:snapToGrid w:val="0"/>
      <w:spacing w:line="440" w:lineRule="atLeast"/>
      <w:jc w:val="center"/>
    </w:pPr>
    <w:rPr>
      <w:rFonts w:ascii="Arial" w:hAnsi="Arial" w:cs="Arial"/>
      <w:b/>
      <w:bCs/>
      <w:color w:val="0000FF"/>
      <w:spacing w:val="6"/>
      <w:kern w:val="0"/>
      <w:sz w:val="24"/>
      <w:szCs w:val="24"/>
    </w:rPr>
  </w:style>
  <w:style w:type="paragraph" w:customStyle="1" w:styleId="1016">
    <w:name w:val="_Style 11"/>
    <w:basedOn w:val="1"/>
    <w:next w:val="86"/>
    <w:qFormat/>
    <w:uiPriority w:val="0"/>
    <w:pPr>
      <w:widowControl/>
      <w:spacing w:before="100" w:beforeLines="0" w:beforeAutospacing="1" w:after="100" w:afterLines="0" w:afterAutospacing="1"/>
      <w:jc w:val="left"/>
    </w:pPr>
    <w:rPr>
      <w:rFonts w:ascii="宋体" w:hAnsi="宋体"/>
      <w:color w:val="000000"/>
      <w:kern w:val="0"/>
      <w:sz w:val="24"/>
    </w:rPr>
  </w:style>
  <w:style w:type="paragraph" w:customStyle="1" w:styleId="1017">
    <w:name w:val="样式 五号"/>
    <w:basedOn w:val="1"/>
    <w:link w:val="1018"/>
    <w:qFormat/>
    <w:uiPriority w:val="0"/>
    <w:pPr>
      <w:spacing w:line="400" w:lineRule="exact"/>
      <w:jc w:val="center"/>
    </w:pPr>
  </w:style>
  <w:style w:type="character" w:customStyle="1" w:styleId="1018">
    <w:name w:val="样式 五号 Char"/>
    <w:link w:val="1017"/>
    <w:qFormat/>
    <w:uiPriority w:val="0"/>
    <w:rPr>
      <w:rFonts w:cs="宋体"/>
      <w:kern w:val="2"/>
      <w:sz w:val="21"/>
    </w:rPr>
  </w:style>
  <w:style w:type="paragraph" w:customStyle="1" w:styleId="1019">
    <w:name w:val="环评主标题"/>
    <w:basedOn w:val="1"/>
    <w:qFormat/>
    <w:uiPriority w:val="0"/>
    <w:pPr>
      <w:jc w:val="center"/>
    </w:pPr>
    <w:rPr>
      <w:rFonts w:ascii="黑体" w:eastAsia="黑体" w:cs="宋体"/>
      <w:sz w:val="52"/>
    </w:rPr>
  </w:style>
  <w:style w:type="paragraph" w:customStyle="1" w:styleId="1020">
    <w:name w:val="框图文字1"/>
    <w:basedOn w:val="1"/>
    <w:qFormat/>
    <w:uiPriority w:val="0"/>
    <w:pPr>
      <w:adjustRightInd w:val="0"/>
      <w:snapToGrid w:val="0"/>
      <w:spacing w:before="78" w:beforeLines="25"/>
      <w:jc w:val="center"/>
    </w:pPr>
    <w:rPr>
      <w:sz w:val="18"/>
      <w:szCs w:val="24"/>
    </w:rPr>
  </w:style>
  <w:style w:type="paragraph" w:customStyle="1" w:styleId="1021">
    <w:name w:val="图表格式"/>
    <w:basedOn w:val="1"/>
    <w:qFormat/>
    <w:uiPriority w:val="0"/>
    <w:pPr>
      <w:adjustRightInd w:val="0"/>
      <w:snapToGrid w:val="0"/>
      <w:spacing w:line="360" w:lineRule="auto"/>
      <w:ind w:firstLine="250" w:firstLineChars="250"/>
    </w:pPr>
    <w:rPr>
      <w:rFonts w:eastAsia="黑体"/>
      <w:snapToGrid w:val="0"/>
      <w:kern w:val="0"/>
      <w:sz w:val="24"/>
    </w:rPr>
  </w:style>
  <w:style w:type="paragraph" w:customStyle="1" w:styleId="1022">
    <w:name w:val="标题3 Char Char Char Char Char Char1 Char Char Char"/>
    <w:basedOn w:val="1"/>
    <w:qFormat/>
    <w:uiPriority w:val="0"/>
    <w:pPr>
      <w:spacing w:after="156" w:afterLines="50" w:line="560" w:lineRule="exact"/>
    </w:pPr>
    <w:rPr>
      <w:rFonts w:eastAsia="黑体"/>
      <w:sz w:val="30"/>
    </w:rPr>
  </w:style>
  <w:style w:type="paragraph" w:customStyle="1" w:styleId="1023">
    <w:name w:val="Char Char Char Char Char Char1 Char Char Char1 Char Char Char1 Char Char Char Char Char Char Char Char Char Char"/>
    <w:basedOn w:val="1"/>
    <w:next w:val="1"/>
    <w:qFormat/>
    <w:uiPriority w:val="0"/>
    <w:pPr>
      <w:spacing w:line="360" w:lineRule="auto"/>
      <w:ind w:firstLine="200" w:firstLineChars="200"/>
    </w:pPr>
    <w:rPr>
      <w:rFonts w:ascii="楷体_GB2312" w:hAnsi="宋体" w:eastAsia="楷体_GB2312" w:cs="宋体"/>
      <w:sz w:val="24"/>
      <w:szCs w:val="24"/>
    </w:rPr>
  </w:style>
  <w:style w:type="paragraph" w:customStyle="1" w:styleId="1024">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1025">
    <w:name w:val="缩进"/>
    <w:basedOn w:val="1"/>
    <w:qFormat/>
    <w:uiPriority w:val="0"/>
    <w:pPr>
      <w:autoSpaceDE w:val="0"/>
      <w:autoSpaceDN w:val="0"/>
      <w:adjustRightInd w:val="0"/>
      <w:spacing w:line="400" w:lineRule="atLeast"/>
      <w:ind w:firstLine="425"/>
      <w:textAlignment w:val="baseline"/>
    </w:pPr>
    <w:rPr>
      <w:kern w:val="0"/>
      <w:sz w:val="24"/>
    </w:rPr>
  </w:style>
  <w:style w:type="paragraph" w:customStyle="1" w:styleId="1026">
    <w:name w:val="电镀正文"/>
    <w:basedOn w:val="11"/>
    <w:qFormat/>
    <w:uiPriority w:val="0"/>
    <w:pPr>
      <w:spacing w:line="400" w:lineRule="exact"/>
      <w:ind w:firstLine="200"/>
    </w:pPr>
    <w:rPr>
      <w:sz w:val="24"/>
      <w:szCs w:val="24"/>
    </w:rPr>
  </w:style>
  <w:style w:type="paragraph" w:customStyle="1" w:styleId="1027">
    <w:name w:val="表格（5号）"/>
    <w:basedOn w:val="1"/>
    <w:link w:val="1028"/>
    <w:qFormat/>
    <w:uiPriority w:val="0"/>
    <w:pPr>
      <w:spacing w:line="360" w:lineRule="exact"/>
      <w:ind w:left="-113" w:right="-113"/>
      <w:jc w:val="center"/>
    </w:pPr>
    <w:rPr>
      <w:rFonts w:ascii="宋体" w:hAnsi="宋体"/>
      <w:color w:val="000000"/>
      <w:sz w:val="18"/>
    </w:rPr>
  </w:style>
  <w:style w:type="character" w:customStyle="1" w:styleId="1028">
    <w:name w:val="表格（5号） Char"/>
    <w:link w:val="1027"/>
    <w:qFormat/>
    <w:uiPriority w:val="0"/>
    <w:rPr>
      <w:rFonts w:ascii="宋体" w:hAnsi="宋体"/>
      <w:color w:val="000000"/>
      <w:kern w:val="2"/>
      <w:sz w:val="18"/>
    </w:rPr>
  </w:style>
  <w:style w:type="paragraph" w:customStyle="1" w:styleId="1029">
    <w:name w:val="Char Char Char Char Char Char Char Char Char Char Char Char1 Char Char Char Char"/>
    <w:basedOn w:val="1"/>
    <w:qFormat/>
    <w:uiPriority w:val="0"/>
    <w:pPr>
      <w:spacing w:line="360" w:lineRule="auto"/>
      <w:ind w:firstLine="200" w:firstLineChars="200"/>
    </w:pPr>
    <w:rPr>
      <w:rFonts w:ascii="宋体" w:hAnsi="宋体" w:cs="宋体"/>
      <w:sz w:val="24"/>
      <w:szCs w:val="24"/>
    </w:rPr>
  </w:style>
  <w:style w:type="paragraph" w:customStyle="1" w:styleId="1030">
    <w:name w:val="CM136"/>
    <w:basedOn w:val="117"/>
    <w:next w:val="117"/>
    <w:qFormat/>
    <w:uiPriority w:val="0"/>
    <w:pPr>
      <w:spacing w:after="785"/>
    </w:pPr>
    <w:rPr>
      <w:rFonts w:ascii="仿宋_GB2312" w:eastAsia="仿宋_GB2312" w:cs="仿宋_GB2312"/>
      <w:color w:val="auto"/>
    </w:rPr>
  </w:style>
  <w:style w:type="paragraph" w:customStyle="1" w:styleId="1031">
    <w:name w:val="zxz5"/>
    <w:next w:val="1"/>
    <w:qFormat/>
    <w:uiPriority w:val="0"/>
    <w:pPr>
      <w:tabs>
        <w:tab w:val="left" w:pos="0"/>
      </w:tabs>
      <w:jc w:val="center"/>
    </w:pPr>
    <w:rPr>
      <w:rFonts w:ascii="宋体" w:hAnsi="宋体" w:eastAsia="Times New Roman" w:cs="Times New Roman"/>
      <w:kern w:val="2"/>
      <w:sz w:val="18"/>
      <w:lang w:val="en-US" w:eastAsia="zh-CN" w:bidi="ar-SA"/>
    </w:rPr>
  </w:style>
  <w:style w:type="paragraph" w:customStyle="1" w:styleId="1032">
    <w:name w:val=" Char Char Char Char"/>
    <w:basedOn w:val="1"/>
    <w:qFormat/>
    <w:uiPriority w:val="0"/>
    <w:rPr>
      <w:sz w:val="24"/>
    </w:rPr>
  </w:style>
  <w:style w:type="paragraph" w:customStyle="1" w:styleId="1033">
    <w:name w:val="样式 标题 3 + 段后: 0.5 行"/>
    <w:basedOn w:val="9"/>
    <w:qFormat/>
    <w:uiPriority w:val="0"/>
    <w:pPr>
      <w:tabs>
        <w:tab w:val="left" w:pos="1260"/>
      </w:tabs>
      <w:snapToGrid w:val="0"/>
      <w:spacing w:before="120" w:after="0"/>
      <w:ind w:left="1260" w:hanging="420"/>
    </w:pPr>
    <w:rPr>
      <w:rFonts w:eastAsia="黑体"/>
      <w:bCs/>
      <w:snapToGrid w:val="0"/>
      <w:kern w:val="1"/>
      <w:sz w:val="28"/>
    </w:rPr>
  </w:style>
  <w:style w:type="paragraph" w:customStyle="1" w:styleId="1034">
    <w:name w:val="CM32"/>
    <w:basedOn w:val="117"/>
    <w:next w:val="117"/>
    <w:qFormat/>
    <w:uiPriority w:val="0"/>
    <w:pPr>
      <w:spacing w:line="468" w:lineRule="atLeast"/>
    </w:pPr>
    <w:rPr>
      <w:rFonts w:ascii="仿宋_GB2312" w:eastAsia="仿宋_GB2312" w:cs="仿宋_GB2312"/>
      <w:color w:val="auto"/>
    </w:rPr>
  </w:style>
  <w:style w:type="paragraph" w:customStyle="1" w:styleId="1035">
    <w:name w:val="样式 四号 首行缩进:  2 字符"/>
    <w:basedOn w:val="1"/>
    <w:qFormat/>
    <w:uiPriority w:val="0"/>
    <w:pPr>
      <w:spacing w:line="480" w:lineRule="atLeast"/>
      <w:ind w:firstLine="200" w:firstLineChars="200"/>
    </w:pPr>
    <w:rPr>
      <w:sz w:val="24"/>
    </w:rPr>
  </w:style>
  <w:style w:type="paragraph" w:customStyle="1" w:styleId="1036">
    <w:name w:val="站号"/>
    <w:basedOn w:val="1"/>
    <w:qFormat/>
    <w:uiPriority w:val="0"/>
    <w:pPr>
      <w:adjustRightInd w:val="0"/>
      <w:snapToGrid w:val="0"/>
      <w:spacing w:before="156" w:beforeLines="50" w:line="240" w:lineRule="atLeast"/>
      <w:jc w:val="center"/>
    </w:pPr>
    <w:rPr>
      <w:sz w:val="24"/>
    </w:rPr>
  </w:style>
  <w:style w:type="paragraph" w:customStyle="1" w:styleId="1037">
    <w:name w:val="标题3 Char Char Char Char"/>
    <w:basedOn w:val="1"/>
    <w:qFormat/>
    <w:uiPriority w:val="0"/>
    <w:pPr>
      <w:spacing w:after="156" w:afterLines="50" w:afterAutospacing="0" w:line="560" w:lineRule="exact"/>
      <w:ind w:rightChars="583" w:firstLine="600" w:firstLineChars="250"/>
    </w:pPr>
    <w:rPr>
      <w:rFonts w:eastAsia="黑体"/>
      <w:sz w:val="30"/>
    </w:rPr>
  </w:style>
  <w:style w:type="paragraph" w:customStyle="1" w:styleId="1038">
    <w:name w:val="标题5"/>
    <w:qFormat/>
    <w:uiPriority w:val="0"/>
    <w:pPr>
      <w:spacing w:line="360" w:lineRule="auto"/>
      <w:ind w:firstLine="420" w:firstLineChars="200"/>
      <w:jc w:val="both"/>
    </w:pPr>
    <w:rPr>
      <w:rFonts w:ascii="宋体" w:hAnsi="Times New Roman" w:eastAsia="宋体" w:cs="Times New Roman"/>
      <w:b/>
      <w:sz w:val="21"/>
      <w:szCs w:val="24"/>
      <w:lang w:val="en-US" w:eastAsia="zh-CN" w:bidi="ar-SA"/>
    </w:rPr>
  </w:style>
  <w:style w:type="paragraph" w:customStyle="1" w:styleId="1039">
    <w:name w:val="涪陵正文"/>
    <w:basedOn w:val="3"/>
    <w:qFormat/>
    <w:uiPriority w:val="0"/>
    <w:pPr>
      <w:numPr>
        <w:ilvl w:val="2"/>
        <w:numId w:val="0"/>
      </w:numPr>
      <w:adjustRightInd w:val="0"/>
      <w:snapToGrid w:val="0"/>
      <w:spacing w:line="420" w:lineRule="auto"/>
      <w:ind w:firstLine="425"/>
      <w:jc w:val="both"/>
    </w:pPr>
    <w:rPr>
      <w:rFonts w:ascii="宋体" w:hAnsi="宋体"/>
      <w:spacing w:val="2"/>
      <w:kern w:val="24"/>
      <w:sz w:val="24"/>
    </w:rPr>
  </w:style>
  <w:style w:type="paragraph" w:customStyle="1" w:styleId="1040">
    <w:name w:val="标准文本 首行缩进:2 字符 行距1倍 Char"/>
    <w:basedOn w:val="1"/>
    <w:qFormat/>
    <w:uiPriority w:val="0"/>
    <w:pPr>
      <w:adjustRightInd w:val="0"/>
      <w:snapToGrid w:val="0"/>
      <w:ind w:firstLine="200" w:firstLineChars="200"/>
      <w:textAlignment w:val="center"/>
    </w:pPr>
    <w:rPr>
      <w:rFonts w:cs="宋体"/>
      <w:sz w:val="24"/>
      <w:szCs w:val="24"/>
    </w:rPr>
  </w:style>
  <w:style w:type="paragraph" w:customStyle="1" w:styleId="1041">
    <w:name w:val="Char Char Char Char Char Char"/>
    <w:basedOn w:val="1"/>
    <w:qFormat/>
    <w:uiPriority w:val="0"/>
    <w:rPr>
      <w:szCs w:val="21"/>
    </w:rPr>
  </w:style>
  <w:style w:type="paragraph" w:customStyle="1" w:styleId="1042">
    <w:name w:val="项目编号"/>
    <w:basedOn w:val="1"/>
    <w:next w:val="1"/>
    <w:qFormat/>
    <w:uiPriority w:val="0"/>
    <w:pPr>
      <w:spacing w:before="120" w:beforeLines="0" w:beforeAutospacing="0" w:after="120" w:afterLines="0" w:afterAutospacing="0" w:line="360" w:lineRule="auto"/>
    </w:pPr>
    <w:rPr>
      <w:sz w:val="24"/>
    </w:rPr>
  </w:style>
  <w:style w:type="paragraph" w:customStyle="1" w:styleId="1043">
    <w:name w:val="空行"/>
    <w:basedOn w:val="1"/>
    <w:qFormat/>
    <w:uiPriority w:val="0"/>
    <w:pPr>
      <w:overflowPunct w:val="0"/>
      <w:topLinePunct/>
      <w:autoSpaceDE w:val="0"/>
      <w:adjustRightInd w:val="0"/>
      <w:snapToGrid w:val="0"/>
      <w:spacing w:line="360" w:lineRule="auto"/>
    </w:pPr>
    <w:rPr>
      <w:szCs w:val="21"/>
    </w:rPr>
  </w:style>
  <w:style w:type="paragraph" w:customStyle="1" w:styleId="1044">
    <w:name w:val="样式 首行缩进:  2 字符4"/>
    <w:basedOn w:val="1"/>
    <w:qFormat/>
    <w:uiPriority w:val="0"/>
    <w:pPr>
      <w:spacing w:line="360" w:lineRule="auto"/>
      <w:ind w:firstLine="200" w:firstLineChars="200"/>
    </w:pPr>
    <w:rPr>
      <w:rFonts w:cs="宋体"/>
      <w:sz w:val="24"/>
    </w:rPr>
  </w:style>
  <w:style w:type="paragraph" w:customStyle="1" w:styleId="1045">
    <w:name w:val="样式 首行缩进 Char + 首行缩进:  2.57 字符"/>
    <w:basedOn w:val="1"/>
    <w:qFormat/>
    <w:uiPriority w:val="0"/>
    <w:pPr>
      <w:spacing w:line="360" w:lineRule="auto"/>
      <w:ind w:firstLine="480" w:firstLineChars="200"/>
    </w:pPr>
    <w:rPr>
      <w:rFonts w:hAnsi="宋体"/>
      <w:sz w:val="24"/>
      <w:szCs w:val="24"/>
    </w:rPr>
  </w:style>
  <w:style w:type="paragraph" w:customStyle="1" w:styleId="1046">
    <w:name w:val="Body Text 22"/>
    <w:basedOn w:val="1"/>
    <w:qFormat/>
    <w:uiPriority w:val="0"/>
    <w:pPr>
      <w:adjustRightInd w:val="0"/>
      <w:spacing w:line="440" w:lineRule="atLeast"/>
      <w:ind w:firstLine="480"/>
      <w:textAlignment w:val="baseline"/>
    </w:pPr>
    <w:rPr>
      <w:rFonts w:eastAsia="仿宋_GB2312"/>
      <w:sz w:val="24"/>
    </w:rPr>
  </w:style>
  <w:style w:type="paragraph" w:customStyle="1" w:styleId="1047">
    <w:name w:val="样式 标题 2标题 2 Char + (西文) Times New Roman (中文) 宋体 小四"/>
    <w:basedOn w:val="8"/>
    <w:qFormat/>
    <w:uiPriority w:val="0"/>
    <w:pPr>
      <w:spacing w:before="156" w:beforeLines="50" w:after="156" w:afterLines="50" w:line="480" w:lineRule="exact"/>
    </w:pPr>
    <w:rPr>
      <w:rFonts w:ascii="Times New Roman" w:hAnsi="Times New Roman"/>
      <w:b w:val="0"/>
      <w:bCs/>
      <w:sz w:val="28"/>
      <w:szCs w:val="28"/>
    </w:rPr>
  </w:style>
  <w:style w:type="paragraph" w:customStyle="1" w:styleId="1048">
    <w:name w:val="中文报告书样式"/>
    <w:basedOn w:val="1"/>
    <w:qFormat/>
    <w:uiPriority w:val="0"/>
    <w:pPr>
      <w:adjustRightInd w:val="0"/>
      <w:spacing w:line="360" w:lineRule="auto"/>
      <w:ind w:firstLine="482"/>
      <w:textAlignment w:val="baseline"/>
    </w:pPr>
    <w:rPr>
      <w:kern w:val="24"/>
      <w:sz w:val="24"/>
    </w:rPr>
  </w:style>
  <w:style w:type="paragraph" w:customStyle="1" w:styleId="1049">
    <w:name w:val="样式 表格 32 + 首行缩进:  2 字符1"/>
    <w:basedOn w:val="327"/>
    <w:qFormat/>
    <w:uiPriority w:val="0"/>
    <w:pPr>
      <w:snapToGrid/>
    </w:pPr>
    <w:rPr>
      <w:rFonts w:cs="宋体"/>
      <w:kern w:val="2"/>
      <w:szCs w:val="21"/>
      <w:lang w:val="en-US" w:eastAsia="zh-CN"/>
    </w:rPr>
  </w:style>
  <w:style w:type="paragraph" w:customStyle="1" w:styleId="1050">
    <w:name w:val="Body Text 21"/>
    <w:basedOn w:val="1"/>
    <w:qFormat/>
    <w:uiPriority w:val="0"/>
    <w:pPr>
      <w:autoSpaceDE w:val="0"/>
      <w:autoSpaceDN w:val="0"/>
      <w:adjustRightInd w:val="0"/>
      <w:spacing w:line="480" w:lineRule="exact"/>
      <w:ind w:firstLine="540"/>
      <w:textAlignment w:val="baseline"/>
    </w:pPr>
    <w:rPr>
      <w:rFonts w:ascii="宋体" w:hAnsi="Tms Rmn"/>
      <w:kern w:val="0"/>
      <w:sz w:val="24"/>
    </w:rPr>
  </w:style>
  <w:style w:type="paragraph" w:customStyle="1" w:styleId="1051">
    <w:name w:val="特殊标题３"/>
    <w:basedOn w:val="1"/>
    <w:qFormat/>
    <w:uiPriority w:val="0"/>
    <w:pPr>
      <w:overflowPunct w:val="0"/>
      <w:autoSpaceDE w:val="0"/>
      <w:autoSpaceDN w:val="0"/>
      <w:adjustRightInd w:val="0"/>
      <w:spacing w:line="360" w:lineRule="auto"/>
      <w:textAlignment w:val="baseline"/>
    </w:pPr>
    <w:rPr>
      <w:rFonts w:eastAsia="仿宋_GB2312"/>
      <w:kern w:val="0"/>
      <w:sz w:val="28"/>
    </w:rPr>
  </w:style>
  <w:style w:type="paragraph" w:customStyle="1" w:styleId="1052">
    <w:name w:val="5级标题"/>
    <w:basedOn w:val="1"/>
    <w:qFormat/>
    <w:uiPriority w:val="0"/>
    <w:pPr>
      <w:jc w:val="left"/>
    </w:pPr>
    <w:rPr>
      <w:sz w:val="24"/>
      <w:szCs w:val="22"/>
    </w:rPr>
  </w:style>
  <w:style w:type="paragraph" w:customStyle="1" w:styleId="1053">
    <w:name w:val="奉读大示，心折殊深。"/>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54">
    <w:name w:val="xl65"/>
    <w:basedOn w:val="1"/>
    <w:qFormat/>
    <w:uiPriority w:val="0"/>
    <w:pPr>
      <w:widowControl/>
      <w:pBdr>
        <w:top w:val="single" w:color="000000" w:sz="12" w:space="0"/>
        <w:bottom w:val="single" w:color="000000" w:sz="8" w:space="0"/>
      </w:pBdr>
      <w:spacing w:before="100" w:beforeAutospacing="1" w:after="100" w:afterAutospacing="1"/>
      <w:jc w:val="left"/>
    </w:pPr>
    <w:rPr>
      <w:rFonts w:ascii="Arial Unicode MS" w:hAnsi="Arial Unicode MS" w:eastAsia="Arial Unicode MS" w:cs="Arial Unicode MS"/>
      <w:kern w:val="0"/>
      <w:sz w:val="18"/>
      <w:szCs w:val="18"/>
    </w:rPr>
  </w:style>
  <w:style w:type="paragraph" w:customStyle="1" w:styleId="1055">
    <w:name w:val="样式 小四 首行缩进:  2.5 字符"/>
    <w:basedOn w:val="1"/>
    <w:qFormat/>
    <w:uiPriority w:val="0"/>
    <w:pPr>
      <w:ind w:firstLine="200" w:firstLineChars="200"/>
    </w:pPr>
    <w:rPr>
      <w:rFonts w:eastAsia="仿宋_GB2312" w:cs="宋体"/>
      <w:sz w:val="24"/>
    </w:rPr>
  </w:style>
  <w:style w:type="paragraph" w:customStyle="1" w:styleId="1056">
    <w:name w:val="正文大"/>
    <w:basedOn w:val="1"/>
    <w:qFormat/>
    <w:uiPriority w:val="0"/>
    <w:pPr>
      <w:spacing w:line="480" w:lineRule="auto"/>
      <w:ind w:firstLine="539"/>
    </w:pPr>
    <w:rPr>
      <w:b/>
      <w:sz w:val="24"/>
    </w:rPr>
  </w:style>
  <w:style w:type="paragraph" w:customStyle="1" w:styleId="1057">
    <w:name w:val="xl55"/>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1058">
    <w:name w:val="表格正文"/>
    <w:basedOn w:val="11"/>
    <w:qFormat/>
    <w:uiPriority w:val="0"/>
    <w:pPr>
      <w:ind w:firstLine="0" w:firstLineChars="0"/>
      <w:jc w:val="center"/>
    </w:pPr>
    <w:rPr>
      <w:kern w:val="0"/>
      <w:sz w:val="28"/>
    </w:rPr>
  </w:style>
  <w:style w:type="paragraph" w:customStyle="1" w:styleId="1059">
    <w:name w:val="四号 1.5倍行距 宋体 Timenewrome"/>
    <w:basedOn w:val="1"/>
    <w:next w:val="1"/>
    <w:qFormat/>
    <w:uiPriority w:val="0"/>
    <w:rPr>
      <w:szCs w:val="21"/>
    </w:rPr>
  </w:style>
  <w:style w:type="paragraph" w:customStyle="1" w:styleId="1060">
    <w:name w:val="font7"/>
    <w:basedOn w:val="1"/>
    <w:qFormat/>
    <w:uiPriority w:val="0"/>
    <w:pPr>
      <w:widowControl/>
      <w:spacing w:before="100" w:beforeLines="0" w:beforeAutospacing="1" w:after="100" w:afterLines="0" w:afterAutospacing="1"/>
      <w:jc w:val="left"/>
    </w:pPr>
    <w:rPr>
      <w:rFonts w:eastAsia="Arial Unicode MS"/>
      <w:kern w:val="0"/>
      <w:sz w:val="18"/>
    </w:rPr>
  </w:style>
  <w:style w:type="paragraph" w:customStyle="1" w:styleId="1061">
    <w:name w:val="xl34"/>
    <w:basedOn w:val="1"/>
    <w:qFormat/>
    <w:uiPriority w:val="0"/>
    <w:pPr>
      <w:widowControl/>
      <w:pBdr>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eastAsia="Arial Unicode MS"/>
      <w:color w:val="000000"/>
      <w:kern w:val="0"/>
      <w:sz w:val="24"/>
    </w:rPr>
  </w:style>
  <w:style w:type="paragraph" w:customStyle="1" w:styleId="1062">
    <w:name w:val="默认段落字体 Para Char Char Char"/>
    <w:basedOn w:val="1"/>
    <w:qFormat/>
    <w:uiPriority w:val="0"/>
    <w:rPr>
      <w:rFonts w:ascii="宋体"/>
      <w:sz w:val="28"/>
    </w:rPr>
  </w:style>
  <w:style w:type="paragraph" w:customStyle="1" w:styleId="1063">
    <w:name w:val="自定义缩进"/>
    <w:basedOn w:val="1"/>
    <w:qFormat/>
    <w:uiPriority w:val="0"/>
    <w:pPr>
      <w:keepNext/>
      <w:spacing w:line="336" w:lineRule="auto"/>
      <w:ind w:firstLine="480" w:firstLineChars="200"/>
      <w:jc w:val="left"/>
    </w:pPr>
    <w:rPr>
      <w:rFonts w:ascii="宋体" w:hAnsi="宋体"/>
      <w:kern w:val="0"/>
      <w:sz w:val="24"/>
      <w:szCs w:val="24"/>
    </w:rPr>
  </w:style>
  <w:style w:type="paragraph" w:customStyle="1" w:styleId="1064">
    <w:name w:val="font9"/>
    <w:basedOn w:val="1"/>
    <w:qFormat/>
    <w:uiPriority w:val="0"/>
    <w:pPr>
      <w:widowControl/>
      <w:spacing w:before="100" w:beforeLines="0" w:beforeAutospacing="1" w:after="100" w:afterLines="0" w:afterAutospacing="1"/>
      <w:jc w:val="left"/>
    </w:pPr>
    <w:rPr>
      <w:rFonts w:hint="eastAsia" w:ascii="宋体" w:hAnsi="宋体"/>
      <w:kern w:val="0"/>
      <w:sz w:val="18"/>
    </w:rPr>
  </w:style>
  <w:style w:type="paragraph" w:customStyle="1" w:styleId="1065">
    <w:name w:val="样式 标题 2 + 首行缩进:  2 字符 右侧:  2 字符"/>
    <w:semiHidden/>
    <w:qFormat/>
    <w:uiPriority w:val="0"/>
    <w:pPr>
      <w:spacing w:line="360" w:lineRule="auto"/>
    </w:pPr>
    <w:rPr>
      <w:rFonts w:ascii="宋体" w:hAnsi="宋体" w:eastAsia="宋体" w:cs="Times New Roman"/>
      <w:b/>
      <w:kern w:val="2"/>
      <w:sz w:val="24"/>
      <w:lang w:val="en-US" w:eastAsia="zh-CN" w:bidi="ar-SA"/>
    </w:rPr>
  </w:style>
  <w:style w:type="paragraph" w:customStyle="1" w:styleId="1066">
    <w:name w:val="xl53"/>
    <w:basedOn w:val="1"/>
    <w:qFormat/>
    <w:uiPriority w:val="0"/>
    <w:pPr>
      <w:widowControl/>
      <w:pBdr>
        <w:top w:val="single" w:color="auto" w:sz="4" w:space="0"/>
        <w:bottom w:val="single" w:color="auto" w:sz="8"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1067">
    <w:name w:val="插图1"/>
    <w:basedOn w:val="1"/>
    <w:qFormat/>
    <w:uiPriority w:val="0"/>
    <w:pPr>
      <w:suppressLineNumbers/>
      <w:suppressAutoHyphens/>
      <w:topLinePunct/>
      <w:adjustRightInd w:val="0"/>
      <w:snapToGrid w:val="0"/>
      <w:spacing w:before="62" w:beforeLines="20" w:line="360" w:lineRule="auto"/>
      <w:jc w:val="center"/>
    </w:pPr>
    <w:rPr>
      <w:b/>
    </w:rPr>
  </w:style>
  <w:style w:type="paragraph" w:customStyle="1" w:styleId="1068">
    <w:name w:val=" Char Char Char Char Char Char Char Char Char1 Char Char Char1 Char Char Char Char"/>
    <w:basedOn w:val="1"/>
    <w:qFormat/>
    <w:uiPriority w:val="0"/>
    <w:pPr>
      <w:spacing w:line="360" w:lineRule="auto"/>
      <w:ind w:firstLine="200" w:firstLineChars="200"/>
    </w:pPr>
    <w:rPr>
      <w:rFonts w:ascii="宋体" w:hAnsi="宋体" w:cs="宋体"/>
      <w:sz w:val="24"/>
      <w:szCs w:val="24"/>
    </w:rPr>
  </w:style>
  <w:style w:type="paragraph" w:customStyle="1" w:styleId="1069">
    <w:name w:val="图文框"/>
    <w:basedOn w:val="1"/>
    <w:qFormat/>
    <w:uiPriority w:val="0"/>
    <w:rPr>
      <w:sz w:val="18"/>
    </w:rPr>
  </w:style>
  <w:style w:type="paragraph" w:customStyle="1" w:styleId="1070">
    <w:name w:val="WW-表格1"/>
    <w:basedOn w:val="1"/>
    <w:qFormat/>
    <w:uiPriority w:val="0"/>
    <w:pPr>
      <w:suppressAutoHyphens/>
      <w:snapToGrid w:val="0"/>
      <w:spacing w:before="20" w:after="20"/>
      <w:jc w:val="center"/>
    </w:pPr>
    <w:rPr>
      <w:kern w:val="1"/>
      <w:lang w:eastAsia="ar-SA"/>
    </w:rPr>
  </w:style>
  <w:style w:type="paragraph" w:customStyle="1" w:styleId="1071">
    <w:name w:val="证书3"/>
    <w:basedOn w:val="1"/>
    <w:qFormat/>
    <w:uiPriority w:val="0"/>
    <w:pPr>
      <w:spacing w:line="320" w:lineRule="exact"/>
      <w:ind w:left="-57" w:right="-57"/>
      <w:jc w:val="center"/>
    </w:pPr>
    <w:rPr>
      <w:rFonts w:ascii="隶书" w:hAnsi="宋体" w:eastAsia="隶书" w:cs="宋体"/>
      <w:b/>
      <w:bCs/>
      <w:sz w:val="24"/>
    </w:rPr>
  </w:style>
  <w:style w:type="paragraph" w:customStyle="1" w:styleId="1072">
    <w:name w:val="样式 列表列表 Char列表 Char Char Char Char Char1列表 Char Char Char Cha... Char"/>
    <w:basedOn w:val="28"/>
    <w:qFormat/>
    <w:uiPriority w:val="0"/>
    <w:pPr>
      <w:spacing w:line="500" w:lineRule="exact"/>
      <w:ind w:left="0" w:firstLine="200" w:firstLineChars="200"/>
      <w:jc w:val="center"/>
    </w:pPr>
    <w:rPr>
      <w:rFonts w:eastAsia="黑体"/>
      <w:sz w:val="24"/>
    </w:rPr>
  </w:style>
  <w:style w:type="paragraph" w:customStyle="1" w:styleId="1073">
    <w:name w:val="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074">
    <w:name w:val="样式 仿宋_GB2312 四号 段前: 7.8 磅 段后: 7.8 磅 行距: 1.5 倍行距"/>
    <w:basedOn w:val="1"/>
    <w:qFormat/>
    <w:uiPriority w:val="0"/>
    <w:pPr>
      <w:spacing w:before="156" w:after="156" w:line="360" w:lineRule="auto"/>
      <w:ind w:firstLine="630" w:firstLineChars="225"/>
    </w:pPr>
    <w:rPr>
      <w:rFonts w:ascii="Arial" w:hAnsi="Arial"/>
      <w:sz w:val="24"/>
    </w:rPr>
  </w:style>
  <w:style w:type="paragraph" w:customStyle="1" w:styleId="1075">
    <w:name w:val="xl33"/>
    <w:basedOn w:val="1"/>
    <w:qFormat/>
    <w:uiPriority w:val="0"/>
    <w:pPr>
      <w:widowControl/>
      <w:pBdr>
        <w:left w:val="single" w:color="auto" w:sz="4" w:space="0"/>
        <w:right w:val="single" w:color="auto" w:sz="4" w:space="0"/>
      </w:pBdr>
      <w:spacing w:before="100" w:beforeLines="0" w:beforeAutospacing="1" w:after="100" w:afterLines="0" w:afterAutospacing="1"/>
      <w:jc w:val="center"/>
      <w:textAlignment w:val="center"/>
    </w:pPr>
    <w:rPr>
      <w:rFonts w:eastAsia="Arial Unicode MS"/>
      <w:color w:val="000000"/>
      <w:kern w:val="0"/>
      <w:sz w:val="24"/>
    </w:rPr>
  </w:style>
  <w:style w:type="paragraph" w:customStyle="1" w:styleId="1076">
    <w:name w:val="reader-word-layer reader-word-s5-16"/>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077">
    <w:name w:val="reader-word-layer reader-word-s5-1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078">
    <w:name w:val="自制表格1"/>
    <w:basedOn w:val="1"/>
    <w:next w:val="1"/>
    <w:qFormat/>
    <w:uiPriority w:val="0"/>
    <w:pPr>
      <w:adjustRightInd w:val="0"/>
      <w:snapToGrid w:val="0"/>
      <w:jc w:val="center"/>
    </w:pPr>
    <w:rPr>
      <w:szCs w:val="24"/>
    </w:rPr>
  </w:style>
  <w:style w:type="paragraph" w:customStyle="1" w:styleId="1079">
    <w:name w:val="表头字形"/>
    <w:basedOn w:val="14"/>
    <w:qFormat/>
    <w:uiPriority w:val="0"/>
    <w:pPr>
      <w:keepNext w:val="0"/>
      <w:keepLines w:val="0"/>
      <w:autoSpaceDE/>
      <w:autoSpaceDN/>
      <w:adjustRightInd/>
      <w:spacing w:before="0" w:after="0" w:line="360" w:lineRule="exact"/>
      <w:ind w:left="0" w:firstLine="0"/>
    </w:pPr>
    <w:rPr>
      <w:rFonts w:ascii="Times New Roman" w:hAnsi="Times New Roman"/>
      <w:sz w:val="21"/>
    </w:rPr>
  </w:style>
  <w:style w:type="paragraph" w:customStyle="1" w:styleId="1080">
    <w:name w:val="样式 目录 2 + 左侧:  2 字符 首行缩进:  2 字符4"/>
    <w:basedOn w:val="79"/>
    <w:qFormat/>
    <w:uiPriority w:val="0"/>
    <w:pPr>
      <w:adjustRightInd w:val="0"/>
      <w:snapToGrid w:val="0"/>
      <w:ind w:left="200" w:leftChars="50" w:firstLine="200" w:firstLineChars="200"/>
    </w:pPr>
    <w:rPr>
      <w:rFonts w:cs="宋体"/>
    </w:rPr>
  </w:style>
  <w:style w:type="paragraph" w:customStyle="1" w:styleId="1081">
    <w:name w:val="注解"/>
    <w:qFormat/>
    <w:uiPriority w:val="0"/>
    <w:rPr>
      <w:rFonts w:ascii="Times New Roman" w:hAnsi="Times New Roman" w:eastAsia="仿宋_GB2312" w:cs="Times New Roman"/>
      <w:sz w:val="21"/>
      <w:lang w:val="en-US" w:eastAsia="zh-CN" w:bidi="ar-SA"/>
    </w:rPr>
  </w:style>
  <w:style w:type="paragraph" w:customStyle="1" w:styleId="1082">
    <w:name w:val="标题3 Char Char Char Char Char Char1 Char"/>
    <w:basedOn w:val="1"/>
    <w:qFormat/>
    <w:uiPriority w:val="0"/>
    <w:pPr>
      <w:spacing w:after="156" w:afterLines="50" w:line="560" w:lineRule="exact"/>
    </w:pPr>
    <w:rPr>
      <w:rFonts w:eastAsia="黑体"/>
      <w:sz w:val="30"/>
      <w:szCs w:val="30"/>
    </w:rPr>
  </w:style>
  <w:style w:type="paragraph" w:customStyle="1" w:styleId="1083">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084">
    <w:name w:val="公式1"/>
    <w:basedOn w:val="1"/>
    <w:qFormat/>
    <w:uiPriority w:val="0"/>
    <w:pPr>
      <w:spacing w:before="156" w:beforeLines="50" w:line="400" w:lineRule="exact"/>
      <w:ind w:firstLine="480" w:firstLineChars="200"/>
    </w:pPr>
    <w:rPr>
      <w:rFonts w:ascii="Century Gothic" w:hAnsi="Century Gothic"/>
      <w:sz w:val="24"/>
      <w:szCs w:val="24"/>
    </w:rPr>
  </w:style>
  <w:style w:type="paragraph" w:customStyle="1" w:styleId="1085">
    <w:name w:val="Normal"/>
    <w:basedOn w:val="1"/>
    <w:qFormat/>
    <w:uiPriority w:val="0"/>
    <w:pPr>
      <w:adjustRightInd w:val="0"/>
      <w:spacing w:line="480" w:lineRule="exact"/>
      <w:textAlignment w:val="baseline"/>
    </w:pPr>
    <w:rPr>
      <w:spacing w:val="-2"/>
      <w:kern w:val="0"/>
      <w:sz w:val="28"/>
    </w:rPr>
  </w:style>
  <w:style w:type="paragraph" w:customStyle="1" w:styleId="1086">
    <w:name w:val="表头格式"/>
    <w:basedOn w:val="1"/>
    <w:qFormat/>
    <w:uiPriority w:val="0"/>
    <w:pPr>
      <w:spacing w:before="312" w:beforeLines="100"/>
      <w:ind w:firstLine="200" w:firstLineChars="200"/>
    </w:pPr>
    <w:rPr>
      <w:rFonts w:ascii="宋体" w:hAnsi="宋体"/>
      <w:b/>
      <w:szCs w:val="24"/>
    </w:rPr>
  </w:style>
  <w:style w:type="paragraph" w:customStyle="1" w:styleId="1087">
    <w:name w:val="表格小五"/>
    <w:basedOn w:val="1"/>
    <w:qFormat/>
    <w:uiPriority w:val="0"/>
    <w:pPr>
      <w:adjustRightInd w:val="0"/>
      <w:snapToGrid w:val="0"/>
      <w:spacing w:line="320" w:lineRule="exact"/>
      <w:ind w:left="-42" w:leftChars="-20" w:right="-42" w:rightChars="-20"/>
      <w:jc w:val="center"/>
      <w:textAlignment w:val="baseline"/>
    </w:pPr>
    <w:rPr>
      <w:rFonts w:ascii="Arial" w:hAnsi="Arial" w:cs="Arial"/>
      <w:snapToGrid w:val="0"/>
      <w:kern w:val="40"/>
      <w:sz w:val="18"/>
      <w:szCs w:val="18"/>
    </w:rPr>
  </w:style>
  <w:style w:type="paragraph" w:customStyle="1" w:styleId="1088">
    <w:name w:val="xl39"/>
    <w:basedOn w:val="1"/>
    <w:qFormat/>
    <w:uiPriority w:val="0"/>
    <w:pPr>
      <w:widowControl/>
      <w:pBdr>
        <w:left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color w:val="000000"/>
      <w:kern w:val="0"/>
      <w:sz w:val="24"/>
    </w:rPr>
  </w:style>
  <w:style w:type="paragraph" w:customStyle="1" w:styleId="1089">
    <w:name w:val="样式 五号 居中"/>
    <w:basedOn w:val="1"/>
    <w:qFormat/>
    <w:uiPriority w:val="0"/>
    <w:pPr>
      <w:jc w:val="center"/>
    </w:pPr>
    <w:rPr>
      <w:rFonts w:cs="宋体"/>
    </w:rPr>
  </w:style>
  <w:style w:type="paragraph" w:customStyle="1" w:styleId="1090">
    <w:name w:val="标题样式4"/>
    <w:basedOn w:val="10"/>
    <w:qFormat/>
    <w:uiPriority w:val="0"/>
    <w:pPr>
      <w:keepNext w:val="0"/>
      <w:keepLines w:val="0"/>
      <w:spacing w:before="156" w:beforeLines="50" w:after="156" w:afterLines="50" w:line="360" w:lineRule="auto"/>
    </w:pPr>
    <w:rPr>
      <w:rFonts w:ascii="宋体" w:hAnsi="宋体" w:eastAsia="宋体"/>
      <w:b w:val="0"/>
      <w:bCs/>
      <w:kern w:val="0"/>
      <w:sz w:val="24"/>
      <w:szCs w:val="24"/>
      <w:lang w:val="zh-CN"/>
    </w:rPr>
  </w:style>
  <w:style w:type="paragraph" w:customStyle="1" w:styleId="1091">
    <w:name w:val="中气一级"/>
    <w:basedOn w:val="7"/>
    <w:next w:val="782"/>
    <w:qFormat/>
    <w:uiPriority w:val="0"/>
    <w:pPr>
      <w:spacing w:before="300" w:after="300" w:line="520" w:lineRule="exact"/>
      <w:ind w:left="142"/>
      <w:jc w:val="left"/>
    </w:pPr>
    <w:rPr>
      <w:rFonts w:eastAsia="黑体"/>
      <w:b w:val="0"/>
      <w:bCs/>
      <w:sz w:val="36"/>
      <w:szCs w:val="44"/>
    </w:rPr>
  </w:style>
  <w:style w:type="paragraph" w:customStyle="1" w:styleId="1092">
    <w:name w:val="CM109"/>
    <w:basedOn w:val="117"/>
    <w:next w:val="117"/>
    <w:qFormat/>
    <w:uiPriority w:val="0"/>
    <w:pPr>
      <w:spacing w:line="468" w:lineRule="atLeast"/>
    </w:pPr>
    <w:rPr>
      <w:rFonts w:ascii="仿宋_GB2312" w:eastAsia="仿宋_GB2312" w:cs="仿宋_GB2312"/>
      <w:color w:val="auto"/>
    </w:rPr>
  </w:style>
  <w:style w:type="paragraph" w:customStyle="1" w:styleId="1093">
    <w:name w:val=" Char Char Char"/>
    <w:basedOn w:val="1"/>
    <w:qFormat/>
    <w:uiPriority w:val="0"/>
    <w:pPr>
      <w:spacing w:line="360" w:lineRule="auto"/>
      <w:ind w:firstLine="200" w:firstLineChars="200"/>
    </w:pPr>
    <w:rPr>
      <w:rFonts w:ascii="宋体" w:hAnsi="宋体" w:cs="宋体"/>
      <w:sz w:val="24"/>
      <w:szCs w:val="24"/>
    </w:rPr>
  </w:style>
  <w:style w:type="paragraph" w:customStyle="1" w:styleId="1094">
    <w:name w:val="CM149"/>
    <w:basedOn w:val="117"/>
    <w:next w:val="117"/>
    <w:qFormat/>
    <w:uiPriority w:val="0"/>
    <w:pPr>
      <w:spacing w:after="908"/>
    </w:pPr>
    <w:rPr>
      <w:rFonts w:ascii="仿宋_GB2312" w:eastAsia="仿宋_GB2312" w:cs="仿宋_GB2312"/>
      <w:color w:val="auto"/>
    </w:rPr>
  </w:style>
  <w:style w:type="paragraph" w:customStyle="1" w:styleId="1095">
    <w:name w:val="Body Text Indent 3"/>
    <w:basedOn w:val="1"/>
    <w:qFormat/>
    <w:uiPriority w:val="0"/>
    <w:pPr>
      <w:adjustRightInd w:val="0"/>
      <w:ind w:firstLine="538"/>
      <w:textAlignment w:val="baseline"/>
    </w:pPr>
    <w:rPr>
      <w:rFonts w:ascii="仿宋_GB2312" w:hAnsi="宋体" w:eastAsia="仿宋_GB2312"/>
      <w:kern w:val="28"/>
      <w:sz w:val="28"/>
    </w:rPr>
  </w:style>
  <w:style w:type="paragraph" w:customStyle="1" w:styleId="1096">
    <w:name w:val="生物类名"/>
    <w:basedOn w:val="1"/>
    <w:qFormat/>
    <w:uiPriority w:val="0"/>
    <w:pPr>
      <w:tabs>
        <w:tab w:val="left" w:pos="-120"/>
      </w:tabs>
      <w:spacing w:line="310" w:lineRule="atLeast"/>
      <w:jc w:val="left"/>
    </w:pPr>
    <w:rPr>
      <w:b/>
      <w:snapToGrid w:val="0"/>
      <w:spacing w:val="8"/>
      <w:kern w:val="0"/>
      <w:sz w:val="24"/>
    </w:rPr>
  </w:style>
  <w:style w:type="paragraph" w:customStyle="1" w:styleId="1097">
    <w:name w:val="reader-word-layer reader-word-s4-1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098">
    <w:name w:val="样式3二级"/>
    <w:basedOn w:val="1"/>
    <w:qFormat/>
    <w:uiPriority w:val="0"/>
    <w:pPr>
      <w:spacing w:before="156" w:beforeLines="50" w:beforeAutospacing="0" w:after="156" w:afterLines="50" w:afterAutospacing="0"/>
      <w:jc w:val="left"/>
    </w:pPr>
    <w:rPr>
      <w:rFonts w:ascii="黑体" w:eastAsia="黑体"/>
      <w:sz w:val="32"/>
    </w:rPr>
  </w:style>
  <w:style w:type="paragraph" w:customStyle="1" w:styleId="1099">
    <w:name w:val="样式9"/>
    <w:basedOn w:val="11"/>
    <w:qFormat/>
    <w:uiPriority w:val="0"/>
    <w:pPr>
      <w:spacing w:line="360" w:lineRule="auto"/>
      <w:ind w:firstLine="480"/>
    </w:pPr>
    <w:rPr>
      <w:rFonts w:ascii="宋体"/>
      <w:snapToGrid w:val="0"/>
      <w:kern w:val="0"/>
      <w:sz w:val="24"/>
      <w:szCs w:val="24"/>
    </w:rPr>
  </w:style>
  <w:style w:type="paragraph" w:customStyle="1" w:styleId="1100">
    <w:name w:val="小五表文"/>
    <w:qFormat/>
    <w:uiPriority w:val="0"/>
    <w:pPr>
      <w:jc w:val="center"/>
    </w:pPr>
    <w:rPr>
      <w:rFonts w:ascii="Times New Roman" w:hAnsi="Times New Roman" w:eastAsia="仿宋_GB2312" w:cs="Times New Roman"/>
      <w:sz w:val="18"/>
      <w:lang w:val="en-US" w:eastAsia="zh-CN" w:bidi="ar-SA"/>
    </w:rPr>
  </w:style>
  <w:style w:type="paragraph" w:customStyle="1" w:styleId="1101">
    <w:name w:val=" Char2"/>
    <w:basedOn w:val="1"/>
    <w:qFormat/>
    <w:uiPriority w:val="0"/>
    <w:pPr>
      <w:widowControl/>
      <w:spacing w:after="160" w:afterLines="0" w:afterAutospacing="0" w:line="240" w:lineRule="exact"/>
      <w:jc w:val="left"/>
    </w:pPr>
    <w:rPr>
      <w:rFonts w:ascii="Verdana" w:hAnsi="Verdana"/>
      <w:kern w:val="0"/>
      <w:sz w:val="20"/>
      <w:lang w:eastAsia="en-US"/>
    </w:rPr>
  </w:style>
  <w:style w:type="paragraph" w:customStyle="1" w:styleId="1102">
    <w:name w:val="样式 目录 2 + 首行缩进:  2 字符1"/>
    <w:basedOn w:val="79"/>
    <w:qFormat/>
    <w:uiPriority w:val="0"/>
    <w:pPr>
      <w:tabs>
        <w:tab w:val="left" w:pos="1200"/>
      </w:tabs>
      <w:spacing w:line="312" w:lineRule="auto"/>
      <w:ind w:left="210" w:leftChars="0" w:firstLine="480"/>
      <w:jc w:val="center"/>
    </w:pPr>
    <w:rPr>
      <w:rFonts w:cs="宋体"/>
      <w:smallCaps/>
    </w:rPr>
  </w:style>
  <w:style w:type="paragraph" w:customStyle="1" w:styleId="1103">
    <w:name w:val="表格排版"/>
    <w:next w:val="1"/>
    <w:qFormat/>
    <w:uiPriority w:val="0"/>
    <w:pPr>
      <w:jc w:val="center"/>
    </w:pPr>
    <w:rPr>
      <w:rFonts w:ascii="Times New Roman" w:hAnsi="Times New Roman" w:eastAsia="宋体" w:cs="Times New Roman"/>
      <w:bCs/>
      <w:kern w:val="44"/>
      <w:sz w:val="21"/>
      <w:szCs w:val="44"/>
      <w:lang w:val="en-US" w:eastAsia="zh-CN" w:bidi="ar-SA"/>
    </w:rPr>
  </w:style>
  <w:style w:type="paragraph" w:customStyle="1" w:styleId="1104">
    <w:name w:val="样式6"/>
    <w:basedOn w:val="9"/>
    <w:qFormat/>
    <w:uiPriority w:val="0"/>
    <w:pPr>
      <w:keepNext w:val="0"/>
      <w:keepLines w:val="0"/>
      <w:numPr>
        <w:ilvl w:val="2"/>
        <w:numId w:val="0"/>
      </w:numPr>
      <w:tabs>
        <w:tab w:val="left" w:pos="720"/>
      </w:tabs>
      <w:adjustRightInd w:val="0"/>
      <w:snapToGrid w:val="0"/>
      <w:spacing w:before="0" w:beforeLines="0" w:beforeAutospacing="0" w:after="0" w:afterLines="0" w:afterAutospacing="0" w:line="360" w:lineRule="auto"/>
      <w:ind w:left="720" w:hanging="720"/>
    </w:pPr>
    <w:rPr>
      <w:b w:val="0"/>
      <w:snapToGrid w:val="0"/>
      <w:kern w:val="0"/>
      <w:sz w:val="24"/>
    </w:rPr>
  </w:style>
  <w:style w:type="paragraph" w:customStyle="1" w:styleId="1105">
    <w:name w:val="Char Char4 Char Char"/>
    <w:basedOn w:val="1"/>
    <w:qFormat/>
    <w:uiPriority w:val="0"/>
    <w:pPr>
      <w:spacing w:line="360" w:lineRule="auto"/>
      <w:ind w:firstLine="200" w:firstLineChars="200"/>
    </w:pPr>
    <w:rPr>
      <w:szCs w:val="24"/>
    </w:rPr>
  </w:style>
  <w:style w:type="paragraph" w:customStyle="1" w:styleId="1106">
    <w:name w:val="河石管道 表格正文"/>
    <w:qFormat/>
    <w:uiPriority w:val="0"/>
    <w:pPr>
      <w:snapToGrid w:val="0"/>
      <w:jc w:val="both"/>
    </w:pPr>
    <w:rPr>
      <w:rFonts w:ascii="Times New Roman" w:hAnsi="Times New Roman" w:eastAsia="宋体" w:cs="Times New Roman"/>
      <w:kern w:val="2"/>
      <w:sz w:val="21"/>
      <w:szCs w:val="21"/>
      <w:lang w:val="en-US" w:eastAsia="zh-CN" w:bidi="ar-SA"/>
    </w:rPr>
  </w:style>
  <w:style w:type="paragraph" w:customStyle="1" w:styleId="1107">
    <w:name w:val="1"/>
    <w:basedOn w:val="1"/>
    <w:next w:val="53"/>
    <w:qFormat/>
    <w:uiPriority w:val="0"/>
    <w:rPr>
      <w:rFonts w:ascii="宋体" w:hAnsi="Courier New"/>
    </w:rPr>
  </w:style>
  <w:style w:type="paragraph" w:customStyle="1" w:styleId="1108">
    <w:name w:val="样式 标题 1"/>
    <w:basedOn w:val="7"/>
    <w:qFormat/>
    <w:uiPriority w:val="0"/>
    <w:pPr>
      <w:widowControl/>
      <w:spacing w:before="0" w:after="0" w:line="360" w:lineRule="auto"/>
      <w:jc w:val="center"/>
    </w:pPr>
    <w:rPr>
      <w:rFonts w:ascii="黑体" w:hAnsi="宋体" w:eastAsia="黑体"/>
      <w:b w:val="0"/>
      <w:spacing w:val="6"/>
      <w:kern w:val="2"/>
      <w:sz w:val="36"/>
      <w14:shadow w14:blurRad="50800" w14:dist="38100" w14:dir="2700000" w14:sx="100000" w14:sy="100000" w14:kx="0" w14:ky="0" w14:algn="tl">
        <w14:srgbClr w14:val="000000">
          <w14:alpha w14:val="60000"/>
        </w14:srgbClr>
      </w14:shadow>
    </w:rPr>
  </w:style>
  <w:style w:type="paragraph" w:customStyle="1" w:styleId="1109">
    <w:name w:val="列表名称 Char"/>
    <w:basedOn w:val="1"/>
    <w:qFormat/>
    <w:uiPriority w:val="0"/>
    <w:pPr>
      <w:tabs>
        <w:tab w:val="left" w:pos="3777"/>
        <w:tab w:val="left" w:pos="5106"/>
        <w:tab w:val="left" w:pos="6313"/>
        <w:tab w:val="left" w:pos="7998"/>
        <w:tab w:val="left" w:pos="9238"/>
      </w:tabs>
      <w:spacing w:line="480" w:lineRule="exact"/>
      <w:jc w:val="center"/>
    </w:pPr>
    <w:rPr>
      <w:rFonts w:eastAsia="黑体"/>
      <w:sz w:val="24"/>
    </w:rPr>
  </w:style>
  <w:style w:type="paragraph" w:customStyle="1" w:styleId="1110">
    <w:name w:val="表格2"/>
    <w:basedOn w:val="1"/>
    <w:next w:val="1"/>
    <w:qFormat/>
    <w:uiPriority w:val="0"/>
    <w:pPr>
      <w:keepNext/>
      <w:autoSpaceDE w:val="0"/>
      <w:autoSpaceDN w:val="0"/>
      <w:adjustRightInd w:val="0"/>
      <w:spacing w:line="360" w:lineRule="auto"/>
      <w:ind w:firstLine="200" w:firstLineChars="200"/>
      <w:jc w:val="center"/>
      <w:textAlignment w:val="baseline"/>
    </w:pPr>
    <w:rPr>
      <w:rFonts w:ascii="宋体"/>
      <w:kern w:val="0"/>
      <w:position w:val="-28"/>
      <w:sz w:val="24"/>
      <w:szCs w:val="21"/>
    </w:rPr>
  </w:style>
  <w:style w:type="paragraph" w:customStyle="1" w:styleId="1111">
    <w:name w:val="文档标题"/>
    <w:basedOn w:val="1"/>
    <w:qFormat/>
    <w:uiPriority w:val="0"/>
    <w:pPr>
      <w:jc w:val="center"/>
    </w:pPr>
    <w:rPr>
      <w:rFonts w:ascii="黑体" w:hAnsi="华文仿宋" w:eastAsia="黑体"/>
      <w:sz w:val="36"/>
    </w:rPr>
  </w:style>
  <w:style w:type="paragraph" w:customStyle="1" w:styleId="1112">
    <w:name w:val="样式23"/>
    <w:basedOn w:val="1"/>
    <w:qFormat/>
    <w:uiPriority w:val="0"/>
    <w:pPr>
      <w:adjustRightInd w:val="0"/>
      <w:spacing w:before="120" w:after="120" w:line="240" w:lineRule="atLeast"/>
      <w:jc w:val="center"/>
    </w:pPr>
    <w:rPr>
      <w:rFonts w:eastAsia="楷体_GB2312"/>
      <w:kern w:val="28"/>
    </w:rPr>
  </w:style>
  <w:style w:type="paragraph" w:customStyle="1" w:styleId="1113">
    <w:name w:val="CM16"/>
    <w:basedOn w:val="117"/>
    <w:next w:val="117"/>
    <w:qFormat/>
    <w:uiPriority w:val="0"/>
    <w:pPr>
      <w:spacing w:line="466" w:lineRule="atLeast"/>
    </w:pPr>
    <w:rPr>
      <w:rFonts w:ascii="仿宋_GB2312" w:eastAsia="仿宋_GB2312" w:cs="Times New Roman"/>
      <w:color w:val="auto"/>
    </w:rPr>
  </w:style>
  <w:style w:type="paragraph" w:customStyle="1" w:styleId="1114">
    <w:name w:val="样式 首行缩进:  2 字符3"/>
    <w:basedOn w:val="1"/>
    <w:qFormat/>
    <w:uiPriority w:val="0"/>
    <w:pPr>
      <w:spacing w:line="360" w:lineRule="auto"/>
      <w:ind w:firstLine="200" w:firstLineChars="200"/>
    </w:pPr>
    <w:rPr>
      <w:rFonts w:cs="宋体"/>
      <w:sz w:val="24"/>
    </w:rPr>
  </w:style>
  <w:style w:type="paragraph" w:customStyle="1" w:styleId="1115">
    <w:name w:val=" Char Char Char1 Char"/>
    <w:basedOn w:val="1"/>
    <w:qFormat/>
    <w:uiPriority w:val="0"/>
  </w:style>
  <w:style w:type="paragraph" w:customStyle="1" w:styleId="1116">
    <w:name w:val="样式 (符号) 宋体 首行缩进:  0.93 厘米 段前: 6 磅 段后: 6 磅 行距: 固定值 18 磅1"/>
    <w:basedOn w:val="1"/>
    <w:qFormat/>
    <w:uiPriority w:val="0"/>
    <w:pPr>
      <w:spacing w:before="160" w:after="160" w:line="320" w:lineRule="exact"/>
      <w:ind w:firstLine="527" w:firstLineChars="200"/>
    </w:pPr>
    <w:rPr>
      <w:rFonts w:ascii="仿宋_GB2312" w:hAnsi="宋体"/>
      <w:color w:val="0000FF"/>
      <w:spacing w:val="6"/>
      <w:sz w:val="32"/>
    </w:rPr>
  </w:style>
  <w:style w:type="paragraph" w:customStyle="1" w:styleId="1117">
    <w:name w:val="CM17"/>
    <w:basedOn w:val="117"/>
    <w:next w:val="117"/>
    <w:qFormat/>
    <w:uiPriority w:val="0"/>
    <w:pPr>
      <w:spacing w:line="468" w:lineRule="atLeast"/>
    </w:pPr>
    <w:rPr>
      <w:rFonts w:ascii="仿宋_GB2312" w:eastAsia="仿宋_GB2312" w:cs="Times New Roman"/>
      <w:color w:val="auto"/>
    </w:rPr>
  </w:style>
  <w:style w:type="paragraph" w:customStyle="1" w:styleId="1118">
    <w:name w:val="样式 标准文本 首行缩进:2 字符 行距1倍 + 首行缩进:  2 字符"/>
    <w:basedOn w:val="1119"/>
    <w:qFormat/>
    <w:uiPriority w:val="0"/>
    <w:pPr>
      <w:spacing w:line="360" w:lineRule="auto"/>
      <w:ind w:firstLine="540" w:firstLineChars="225"/>
      <w:jc w:val="both"/>
    </w:pPr>
    <w:rPr>
      <w:rFonts w:ascii="Times New Roman" w:hAnsi="Times New Roman" w:eastAsia="宋体"/>
      <w:b w:val="0"/>
      <w:color w:val="auto"/>
      <w:szCs w:val="20"/>
    </w:rPr>
  </w:style>
  <w:style w:type="paragraph" w:customStyle="1" w:styleId="1119">
    <w:name w:val="标准文本 首行缩进:2 字符 行距1倍"/>
    <w:basedOn w:val="1"/>
    <w:qFormat/>
    <w:uiPriority w:val="0"/>
    <w:pPr>
      <w:adjustRightInd w:val="0"/>
      <w:snapToGrid w:val="0"/>
      <w:spacing w:line="440" w:lineRule="exact"/>
      <w:jc w:val="center"/>
      <w:textAlignment w:val="center"/>
    </w:pPr>
    <w:rPr>
      <w:rFonts w:ascii="黑体" w:hAnsi="宋体" w:eastAsia="黑体" w:cs="宋体"/>
      <w:b/>
      <w:color w:val="000000"/>
      <w:sz w:val="24"/>
      <w:szCs w:val="24"/>
    </w:rPr>
  </w:style>
  <w:style w:type="paragraph" w:customStyle="1" w:styleId="1120">
    <w:name w:val="样式 标题 31.1.1条标题 3 Char Char标题 3 CharBSH-3条标题1.1.1H3b3标题...1"/>
    <w:basedOn w:val="9"/>
    <w:qFormat/>
    <w:uiPriority w:val="0"/>
    <w:pPr>
      <w:spacing w:before="156" w:after="156" w:line="360" w:lineRule="auto"/>
    </w:pPr>
    <w:rPr>
      <w:rFonts w:ascii="楷体_GB2312" w:hAnsi="宋体" w:eastAsia="楷体_GB2312" w:cs="Tahoma"/>
      <w:sz w:val="28"/>
      <w:szCs w:val="28"/>
    </w:rPr>
  </w:style>
  <w:style w:type="paragraph" w:customStyle="1" w:styleId="1121">
    <w:name w:val="xl141"/>
    <w:basedOn w:val="1"/>
    <w:qFormat/>
    <w:uiPriority w:val="0"/>
    <w:pPr>
      <w:widowControl/>
      <w:pBdr>
        <w:right w:val="single" w:color="auto" w:sz="4" w:space="0"/>
      </w:pBdr>
      <w:spacing w:before="100" w:beforeAutospacing="1" w:after="100" w:afterAutospacing="1"/>
      <w:jc w:val="center"/>
    </w:pPr>
    <w:rPr>
      <w:rFonts w:eastAsia="Arial Unicode MS"/>
      <w:kern w:val="0"/>
      <w:szCs w:val="21"/>
    </w:rPr>
  </w:style>
  <w:style w:type="paragraph" w:customStyle="1" w:styleId="1122">
    <w:name w:val=" Char"/>
    <w:basedOn w:val="1"/>
    <w:qFormat/>
    <w:uiPriority w:val="0"/>
    <w:rPr>
      <w:rFonts w:eastAsia="宋体"/>
      <w:kern w:val="2"/>
      <w:sz w:val="18"/>
      <w:lang w:val="en-US" w:eastAsia="zh-CN"/>
    </w:rPr>
  </w:style>
  <w:style w:type="paragraph" w:customStyle="1" w:styleId="1123">
    <w:name w:val=" Char Char Char Char Char Char Char Char Char1 Char Char Char1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124">
    <w:name w:val="标题 1."/>
    <w:next w:val="3"/>
    <w:qFormat/>
    <w:uiPriority w:val="0"/>
    <w:pPr>
      <w:spacing w:before="240" w:after="240" w:line="360" w:lineRule="auto"/>
      <w:jc w:val="center"/>
    </w:pPr>
    <w:rPr>
      <w:rFonts w:ascii="Times New Roman" w:hAnsi="Times New Roman" w:eastAsia="黑体" w:cs="宋体"/>
      <w:b/>
      <w:bCs/>
      <w:kern w:val="44"/>
      <w:sz w:val="44"/>
      <w:lang w:val="en-US" w:eastAsia="zh-CN" w:bidi="ar-SA"/>
    </w:rPr>
  </w:style>
  <w:style w:type="paragraph" w:customStyle="1" w:styleId="1125">
    <w:name w:val="Plain Text"/>
    <w:basedOn w:val="1"/>
    <w:qFormat/>
    <w:uiPriority w:val="0"/>
    <w:pPr>
      <w:adjustRightInd w:val="0"/>
      <w:textAlignment w:val="baseline"/>
    </w:pPr>
    <w:rPr>
      <w:rFonts w:ascii="宋体" w:hAnsi="Courier New"/>
    </w:rPr>
  </w:style>
  <w:style w:type="paragraph" w:customStyle="1" w:styleId="1126">
    <w:name w:val="表格正文AECOM"/>
    <w:basedOn w:val="1"/>
    <w:qFormat/>
    <w:uiPriority w:val="0"/>
    <w:pPr>
      <w:jc w:val="center"/>
    </w:pPr>
    <w:rPr>
      <w:szCs w:val="21"/>
    </w:rPr>
  </w:style>
  <w:style w:type="paragraph" w:customStyle="1" w:styleId="1127">
    <w:name w:val="xl67"/>
    <w:basedOn w:val="1"/>
    <w:qFormat/>
    <w:uiPriority w:val="0"/>
    <w:pPr>
      <w:widowControl/>
      <w:pBdr>
        <w:bottom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128">
    <w:name w:val="xl31"/>
    <w:basedOn w:val="1"/>
    <w:qFormat/>
    <w:uiPriority w:val="0"/>
    <w:pPr>
      <w:widowControl/>
      <w:pBdr>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ascii="Arial Unicode MS" w:hAnsi="Arial Unicode MS" w:eastAsia="Arial Unicode MS"/>
      <w:kern w:val="0"/>
      <w:sz w:val="24"/>
    </w:rPr>
  </w:style>
  <w:style w:type="paragraph" w:customStyle="1" w:styleId="1129">
    <w:name w:val="xl50"/>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1130">
    <w:name w:val="样式 标题 2"/>
    <w:basedOn w:val="8"/>
    <w:qFormat/>
    <w:uiPriority w:val="0"/>
    <w:pPr>
      <w:adjustRightInd w:val="0"/>
      <w:spacing w:before="156" w:beforeLines="50" w:after="156" w:afterLines="50" w:line="360" w:lineRule="auto"/>
    </w:pPr>
    <w:rPr>
      <w:rFonts w:ascii="仿宋_GB2312" w:hAnsi="Times New Roman" w:eastAsia="仿宋_GB2312"/>
      <w:bCs/>
      <w:sz w:val="30"/>
    </w:rPr>
  </w:style>
  <w:style w:type="paragraph" w:customStyle="1" w:styleId="1131">
    <w:name w:val="1 Char"/>
    <w:basedOn w:val="1"/>
    <w:qFormat/>
    <w:uiPriority w:val="0"/>
    <w:pPr>
      <w:spacing w:line="360" w:lineRule="auto"/>
      <w:ind w:firstLine="200" w:firstLineChars="200"/>
    </w:pPr>
    <w:rPr>
      <w:rFonts w:ascii="宋体" w:hAnsi="宋体" w:cs="宋体"/>
      <w:sz w:val="24"/>
      <w:szCs w:val="24"/>
    </w:rPr>
  </w:style>
  <w:style w:type="paragraph" w:customStyle="1" w:styleId="1132">
    <w:name w:val="文本框1"/>
    <w:basedOn w:val="1"/>
    <w:qFormat/>
    <w:uiPriority w:val="0"/>
    <w:rPr>
      <w:rFonts w:ascii="宋体" w:hAnsi="宋体"/>
      <w:sz w:val="24"/>
    </w:rPr>
  </w:style>
  <w:style w:type="paragraph" w:customStyle="1" w:styleId="1133">
    <w:name w:val="xl29"/>
    <w:basedOn w:val="1"/>
    <w:qFormat/>
    <w:uiPriority w:val="0"/>
    <w:pPr>
      <w:widowControl/>
      <w:spacing w:before="100" w:beforeLines="0" w:beforeAutospacing="1" w:after="100" w:afterLines="0" w:afterAutospacing="1"/>
      <w:jc w:val="center"/>
    </w:pPr>
    <w:rPr>
      <w:rFonts w:ascii="Arial Unicode MS" w:hAnsi="Arial Unicode MS" w:eastAsia="Arial Unicode MS"/>
      <w:kern w:val="0"/>
      <w:sz w:val="18"/>
    </w:rPr>
  </w:style>
  <w:style w:type="paragraph" w:customStyle="1" w:styleId="1134">
    <w:name w:val="样式 目录 2 + 左侧:  2 字符 首行缩进:  2 字符5"/>
    <w:basedOn w:val="79"/>
    <w:qFormat/>
    <w:uiPriority w:val="0"/>
    <w:pPr>
      <w:adjustRightInd w:val="0"/>
      <w:snapToGrid w:val="0"/>
      <w:ind w:left="480" w:leftChars="50" w:firstLine="420" w:firstLineChars="200"/>
    </w:pPr>
    <w:rPr>
      <w:rFonts w:cs="宋体"/>
      <w:szCs w:val="21"/>
    </w:rPr>
  </w:style>
  <w:style w:type="paragraph" w:customStyle="1" w:styleId="1135">
    <w:name w:val="p15"/>
    <w:basedOn w:val="1"/>
    <w:qFormat/>
    <w:uiPriority w:val="0"/>
    <w:pPr>
      <w:widowControl/>
      <w:snapToGrid w:val="0"/>
      <w:spacing w:before="93" w:beforeLines="0" w:beforeAutospacing="0" w:after="93" w:afterLines="0" w:afterAutospacing="0"/>
      <w:jc w:val="center"/>
    </w:pPr>
    <w:rPr>
      <w:rFonts w:ascii="宋体" w:hAnsi="宋体"/>
      <w:kern w:val="0"/>
    </w:rPr>
  </w:style>
  <w:style w:type="paragraph" w:customStyle="1" w:styleId="1136">
    <w:name w:val="正文文本 21"/>
    <w:basedOn w:val="1"/>
    <w:qFormat/>
    <w:uiPriority w:val="0"/>
    <w:pPr>
      <w:widowControl/>
      <w:tabs>
        <w:tab w:val="left" w:pos="851"/>
      </w:tabs>
      <w:overflowPunct w:val="0"/>
      <w:autoSpaceDE w:val="0"/>
      <w:autoSpaceDN w:val="0"/>
      <w:adjustRightInd w:val="0"/>
      <w:spacing w:after="120"/>
      <w:ind w:left="851"/>
    </w:pPr>
    <w:rPr>
      <w:color w:val="FF0000"/>
      <w:kern w:val="0"/>
      <w:sz w:val="22"/>
      <w:lang w:val="en-GB"/>
    </w:rPr>
  </w:style>
  <w:style w:type="paragraph" w:customStyle="1" w:styleId="1137">
    <w:name w:val="样式 正文缩进 + 首行缩进:  2 字符"/>
    <w:basedOn w:val="11"/>
    <w:qFormat/>
    <w:uiPriority w:val="0"/>
    <w:pPr>
      <w:spacing w:line="360" w:lineRule="auto"/>
      <w:ind w:firstLine="480"/>
    </w:pPr>
    <w:rPr>
      <w:rFonts w:ascii="宋体" w:hAnsi="宋体"/>
      <w:kern w:val="0"/>
      <w:sz w:val="24"/>
    </w:rPr>
  </w:style>
  <w:style w:type="paragraph" w:customStyle="1" w:styleId="1138">
    <w:name w:val="CM29"/>
    <w:basedOn w:val="117"/>
    <w:next w:val="117"/>
    <w:qFormat/>
    <w:uiPriority w:val="0"/>
    <w:pPr>
      <w:spacing w:line="468" w:lineRule="atLeast"/>
    </w:pPr>
    <w:rPr>
      <w:rFonts w:ascii="仿宋_GB2312" w:eastAsia="仿宋_GB2312" w:cs="仿宋_GB2312"/>
      <w:color w:val="auto"/>
    </w:rPr>
  </w:style>
  <w:style w:type="paragraph" w:customStyle="1" w:styleId="1139">
    <w:name w:val="xl22"/>
    <w:basedOn w:val="1"/>
    <w:qFormat/>
    <w:uiPriority w:val="0"/>
    <w:pPr>
      <w:widowControl/>
      <w:pBdr>
        <w:bottom w:val="single" w:color="auto" w:sz="4" w:space="0"/>
        <w:right w:val="single" w:color="auto" w:sz="4" w:space="0"/>
      </w:pBdr>
      <w:spacing w:before="100" w:after="100"/>
      <w:jc w:val="center"/>
    </w:pPr>
    <w:rPr>
      <w:rFonts w:ascii="宋体" w:hAnsi="宋体"/>
      <w:kern w:val="0"/>
    </w:rPr>
  </w:style>
  <w:style w:type="paragraph" w:customStyle="1" w:styleId="1140">
    <w:name w:val="xl30"/>
    <w:basedOn w:val="1"/>
    <w:qFormat/>
    <w:uiPriority w:val="0"/>
    <w:pPr>
      <w:widowControl/>
      <w:pBdr>
        <w:left w:val="single" w:color="auto" w:sz="4" w:space="0"/>
        <w:bottom w:val="single" w:color="auto" w:sz="4" w:space="0"/>
        <w:right w:val="single" w:color="auto" w:sz="4" w:space="0"/>
      </w:pBdr>
      <w:spacing w:before="100" w:beforeLines="0" w:beforeAutospacing="1" w:after="100" w:afterLines="0" w:afterAutospacing="1"/>
      <w:jc w:val="center"/>
      <w:textAlignment w:val="center"/>
    </w:pPr>
    <w:rPr>
      <w:rFonts w:hint="eastAsia" w:ascii="仿宋_GB2312" w:hAnsi="Arial Unicode MS" w:eastAsia="仿宋_GB2312"/>
      <w:color w:val="000000"/>
      <w:kern w:val="0"/>
      <w:sz w:val="24"/>
    </w:rPr>
  </w:style>
  <w:style w:type="paragraph" w:customStyle="1" w:styleId="1141">
    <w:name w:val="报告正文"/>
    <w:basedOn w:val="1"/>
    <w:link w:val="1142"/>
    <w:qFormat/>
    <w:uiPriority w:val="0"/>
    <w:pPr>
      <w:adjustRightInd w:val="0"/>
      <w:snapToGrid w:val="0"/>
      <w:spacing w:line="360" w:lineRule="auto"/>
      <w:ind w:firstLine="200" w:firstLineChars="200"/>
    </w:pPr>
    <w:rPr>
      <w:rFonts w:ascii="宋体"/>
      <w:sz w:val="24"/>
    </w:rPr>
  </w:style>
  <w:style w:type="character" w:customStyle="1" w:styleId="1142">
    <w:name w:val="报告正文 Char"/>
    <w:link w:val="1141"/>
    <w:qFormat/>
    <w:uiPriority w:val="0"/>
    <w:rPr>
      <w:rFonts w:ascii="宋体"/>
      <w:kern w:val="2"/>
      <w:sz w:val="24"/>
    </w:rPr>
  </w:style>
  <w:style w:type="paragraph" w:customStyle="1" w:styleId="1143">
    <w:name w:val="码头表"/>
    <w:basedOn w:val="1"/>
    <w:qFormat/>
    <w:uiPriority w:val="0"/>
    <w:pPr>
      <w:jc w:val="center"/>
    </w:pPr>
    <w:rPr>
      <w:rFonts w:ascii="宋体" w:hAnsi="宋体"/>
      <w:kern w:val="0"/>
      <w:sz w:val="24"/>
      <w:szCs w:val="21"/>
    </w:rPr>
  </w:style>
  <w:style w:type="paragraph" w:customStyle="1" w:styleId="1144">
    <w:name w:val="1."/>
    <w:basedOn w:val="1"/>
    <w:qFormat/>
    <w:uiPriority w:val="0"/>
    <w:pPr>
      <w:tabs>
        <w:tab w:val="left" w:pos="1455"/>
        <w:tab w:val="left" w:pos="3060"/>
      </w:tabs>
      <w:spacing w:line="264" w:lineRule="auto"/>
      <w:ind w:left="1455" w:hanging="1455"/>
    </w:pPr>
    <w:rPr>
      <w:sz w:val="24"/>
    </w:rPr>
  </w:style>
  <w:style w:type="paragraph" w:customStyle="1" w:styleId="1145">
    <w:name w:val="CM20"/>
    <w:basedOn w:val="117"/>
    <w:next w:val="117"/>
    <w:qFormat/>
    <w:uiPriority w:val="0"/>
    <w:pPr>
      <w:spacing w:line="468" w:lineRule="atLeast"/>
    </w:pPr>
    <w:rPr>
      <w:rFonts w:ascii="仿宋_GB2312" w:eastAsia="仿宋_GB2312" w:cs="Times New Roman"/>
      <w:color w:val="auto"/>
    </w:rPr>
  </w:style>
  <w:style w:type="paragraph" w:customStyle="1" w:styleId="1146">
    <w:name w:val="表格头"/>
    <w:next w:val="1"/>
    <w:link w:val="1147"/>
    <w:qFormat/>
    <w:uiPriority w:val="0"/>
    <w:pPr>
      <w:spacing w:line="360" w:lineRule="auto"/>
      <w:jc w:val="center"/>
    </w:pPr>
    <w:rPr>
      <w:rFonts w:ascii="Times New Roman" w:hAnsi="Times New Roman" w:eastAsia="宋体" w:cs="Times New Roman"/>
      <w:bCs/>
      <w:kern w:val="44"/>
      <w:sz w:val="24"/>
      <w:szCs w:val="44"/>
      <w:lang w:val="en-US" w:eastAsia="zh-CN" w:bidi="ar-SA"/>
    </w:rPr>
  </w:style>
  <w:style w:type="character" w:customStyle="1" w:styleId="1147">
    <w:name w:val="表格头 Char"/>
    <w:link w:val="1146"/>
    <w:qFormat/>
    <w:uiPriority w:val="0"/>
    <w:rPr>
      <w:bCs/>
      <w:kern w:val="44"/>
      <w:sz w:val="24"/>
      <w:szCs w:val="44"/>
      <w:lang w:bidi="ar-SA"/>
    </w:rPr>
  </w:style>
  <w:style w:type="paragraph" w:customStyle="1" w:styleId="1148">
    <w:name w:val="xl58"/>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Arial Unicode MS" w:hAnsi="Arial Unicode MS"/>
      <w:color w:val="000000"/>
      <w:kern w:val="0"/>
      <w:sz w:val="28"/>
      <w:szCs w:val="21"/>
    </w:rPr>
  </w:style>
  <w:style w:type="paragraph" w:customStyle="1" w:styleId="1149">
    <w:name w:val="11"/>
    <w:basedOn w:val="1"/>
    <w:next w:val="86"/>
    <w:link w:val="1150"/>
    <w:qFormat/>
    <w:uiPriority w:val="0"/>
    <w:pPr>
      <w:widowControl/>
      <w:spacing w:before="100" w:beforeAutospacing="1" w:after="100" w:afterAutospacing="1"/>
      <w:jc w:val="left"/>
    </w:pPr>
    <w:rPr>
      <w:rFonts w:ascii="宋体" w:hAnsi="宋体"/>
      <w:kern w:val="0"/>
      <w:sz w:val="24"/>
      <w:szCs w:val="24"/>
    </w:rPr>
  </w:style>
  <w:style w:type="character" w:customStyle="1" w:styleId="1150">
    <w:name w:val="11 Char"/>
    <w:link w:val="1149"/>
    <w:qFormat/>
    <w:uiPriority w:val="0"/>
    <w:rPr>
      <w:rFonts w:ascii="宋体" w:hAnsi="宋体"/>
      <w:sz w:val="24"/>
      <w:szCs w:val="24"/>
    </w:rPr>
  </w:style>
  <w:style w:type="paragraph" w:customStyle="1" w:styleId="1151">
    <w:name w:val="样式 样式 正文首行缩进 2 + 小四 首行缩进:  2 字符 + 加粗 首行缩进:  2 字符 段前: 0.5 行 段后..."/>
    <w:basedOn w:val="1152"/>
    <w:qFormat/>
    <w:uiPriority w:val="0"/>
    <w:pPr>
      <w:tabs>
        <w:tab w:val="left" w:pos="0"/>
        <w:tab w:val="left" w:pos="1800"/>
        <w:tab w:val="left" w:pos="1920"/>
      </w:tabs>
      <w:spacing w:before="156" w:beforeLines="50" w:after="156" w:afterLines="50" w:line="360" w:lineRule="auto"/>
      <w:ind w:firstLine="482" w:firstLineChars="200"/>
    </w:pPr>
    <w:rPr>
      <w:rFonts w:cs="宋体"/>
      <w:b/>
      <w:bCs/>
      <w:szCs w:val="20"/>
    </w:rPr>
  </w:style>
  <w:style w:type="paragraph" w:customStyle="1" w:styleId="1152">
    <w:name w:val="样式 正文首行缩进 2 + 小四 首行缩进:  2 字符"/>
    <w:basedOn w:val="1"/>
    <w:qFormat/>
    <w:uiPriority w:val="0"/>
    <w:pPr>
      <w:tabs>
        <w:tab w:val="left" w:pos="0"/>
        <w:tab w:val="left" w:pos="1800"/>
      </w:tabs>
      <w:spacing w:before="116" w:after="116" w:line="300" w:lineRule="auto"/>
      <w:ind w:firstLine="225" w:firstLineChars="225"/>
    </w:pPr>
    <w:rPr>
      <w:sz w:val="24"/>
      <w:szCs w:val="24"/>
    </w:rPr>
  </w:style>
  <w:style w:type="paragraph" w:customStyle="1" w:styleId="1153">
    <w:name w:val="gb1"/>
    <w:basedOn w:val="1"/>
    <w:qFormat/>
    <w:uiPriority w:val="0"/>
    <w:pPr>
      <w:widowControl/>
      <w:tabs>
        <w:tab w:val="left" w:pos="227"/>
      </w:tabs>
      <w:overflowPunct w:val="0"/>
      <w:autoSpaceDE w:val="0"/>
      <w:autoSpaceDN w:val="0"/>
      <w:adjustRightInd w:val="0"/>
      <w:spacing w:before="120" w:beforeLines="0" w:beforeAutospacing="0" w:after="120" w:afterLines="0" w:afterAutospacing="0"/>
      <w:textAlignment w:val="baseline"/>
    </w:pPr>
    <w:rPr>
      <w:rFonts w:ascii="Arial" w:hAnsi="Arial" w:eastAsia="仿宋体"/>
      <w:kern w:val="0"/>
    </w:rPr>
  </w:style>
  <w:style w:type="paragraph" w:customStyle="1" w:styleId="1154">
    <w:name w:val="表格样式"/>
    <w:basedOn w:val="1"/>
    <w:qFormat/>
    <w:uiPriority w:val="0"/>
    <w:pPr>
      <w:jc w:val="center"/>
    </w:pPr>
    <w:rPr>
      <w:bCs/>
      <w:szCs w:val="24"/>
    </w:rPr>
  </w:style>
  <w:style w:type="paragraph" w:customStyle="1" w:styleId="1155">
    <w:name w:val="册除格式 Char"/>
    <w:qFormat/>
    <w:uiPriority w:val="0"/>
    <w:pPr>
      <w:spacing w:line="360" w:lineRule="auto"/>
      <w:ind w:firstLine="482"/>
    </w:pPr>
    <w:rPr>
      <w:rFonts w:ascii="黑体" w:hAnsi="Arial" w:eastAsia="宋体" w:cs="Arial"/>
      <w:snapToGrid w:val="0"/>
      <w:spacing w:val="4"/>
      <w:kern w:val="18"/>
      <w:sz w:val="24"/>
      <w:szCs w:val="28"/>
      <w:lang w:val="en-US" w:eastAsia="zh-CN" w:bidi="ar-SA"/>
    </w:rPr>
  </w:style>
  <w:style w:type="paragraph" w:customStyle="1" w:styleId="1156">
    <w:name w:val="表格内文字"/>
    <w:basedOn w:val="3"/>
    <w:qFormat/>
    <w:uiPriority w:val="0"/>
    <w:pPr>
      <w:spacing w:line="320" w:lineRule="exact"/>
    </w:pPr>
    <w:rPr>
      <w:spacing w:val="10"/>
      <w:sz w:val="24"/>
    </w:rPr>
  </w:style>
  <w:style w:type="paragraph" w:customStyle="1" w:styleId="1157">
    <w:name w:val="图表名称"/>
    <w:basedOn w:val="2"/>
    <w:next w:val="2"/>
    <w:qFormat/>
    <w:uiPriority w:val="0"/>
    <w:pPr>
      <w:overflowPunct/>
      <w:autoSpaceDE/>
      <w:autoSpaceDN/>
      <w:adjustRightInd/>
      <w:spacing w:after="120" w:line="240" w:lineRule="auto"/>
      <w:ind w:firstLine="0"/>
      <w:jc w:val="center"/>
      <w:textAlignment w:val="auto"/>
    </w:pPr>
    <w:rPr>
      <w:b/>
      <w:kern w:val="2"/>
      <w:sz w:val="24"/>
      <w:szCs w:val="24"/>
    </w:rPr>
  </w:style>
  <w:style w:type="paragraph" w:customStyle="1" w:styleId="1158">
    <w:name w:val="标题1"/>
    <w:basedOn w:val="1"/>
    <w:qFormat/>
    <w:uiPriority w:val="0"/>
    <w:pPr>
      <w:adjustRightInd w:val="0"/>
      <w:ind w:left="210" w:hanging="210"/>
      <w:jc w:val="left"/>
      <w:textAlignment w:val="baseline"/>
    </w:pPr>
    <w:rPr>
      <w:kern w:val="0"/>
      <w:sz w:val="24"/>
    </w:rPr>
  </w:style>
  <w:style w:type="paragraph" w:customStyle="1" w:styleId="1159">
    <w:name w:val="xl51"/>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1160">
    <w:name w:val="xl24"/>
    <w:basedOn w:val="1"/>
    <w:qFormat/>
    <w:uiPriority w:val="0"/>
    <w:pPr>
      <w:widowControl/>
      <w:spacing w:before="100" w:beforeLines="0" w:beforeAutospacing="1" w:after="100" w:afterLines="0" w:afterAutospacing="1"/>
      <w:jc w:val="center"/>
    </w:pPr>
    <w:rPr>
      <w:rFonts w:ascii="Arial Unicode MS" w:hAnsi="Arial Unicode MS" w:eastAsia="Arial Unicode MS"/>
      <w:kern w:val="0"/>
      <w:sz w:val="16"/>
    </w:rPr>
  </w:style>
  <w:style w:type="paragraph" w:customStyle="1" w:styleId="1161">
    <w:name w:val="样式 标题 4 + 首行缩进:  2 字符"/>
    <w:basedOn w:val="10"/>
    <w:qFormat/>
    <w:uiPriority w:val="0"/>
    <w:pPr>
      <w:tabs>
        <w:tab w:val="left" w:pos="945"/>
      </w:tabs>
      <w:adjustRightInd w:val="0"/>
      <w:spacing w:line="377" w:lineRule="auto"/>
      <w:ind w:left="1984" w:hanging="2089"/>
      <w:jc w:val="left"/>
      <w:textAlignment w:val="baseline"/>
    </w:pPr>
    <w:rPr>
      <w:rFonts w:ascii="宋体" w:hAnsi="宋体" w:cs="宋体"/>
      <w:bCs/>
      <w:kern w:val="0"/>
    </w:rPr>
  </w:style>
  <w:style w:type="paragraph" w:customStyle="1" w:styleId="1162">
    <w:name w:val="样式 标题 2 + 段前: 0 磅 段后: 0 磅 行距: 单倍行距"/>
    <w:basedOn w:val="8"/>
    <w:qFormat/>
    <w:uiPriority w:val="0"/>
    <w:pPr>
      <w:keepNext w:val="0"/>
      <w:keepLines w:val="0"/>
      <w:adjustRightInd w:val="0"/>
      <w:spacing w:before="156" w:beforeLines="50" w:after="156" w:afterLines="50" w:line="500" w:lineRule="exact"/>
    </w:pPr>
    <w:rPr>
      <w:rFonts w:ascii="宋体" w:hAnsi="Times New Roman" w:eastAsia="宋体"/>
      <w:bCs/>
      <w:sz w:val="28"/>
      <w:szCs w:val="24"/>
    </w:rPr>
  </w:style>
  <w:style w:type="paragraph" w:customStyle="1" w:styleId="1163">
    <w:name w:val="样式 标题 2 + 左侧:  0.32 厘米 首行缩进:  0 厘米"/>
    <w:basedOn w:val="8"/>
    <w:qFormat/>
    <w:uiPriority w:val="0"/>
    <w:pPr>
      <w:keepLines w:val="0"/>
      <w:widowControl/>
      <w:tabs>
        <w:tab w:val="left" w:pos="360"/>
      </w:tabs>
      <w:overflowPunct w:val="0"/>
      <w:topLinePunct/>
      <w:autoSpaceDE w:val="0"/>
      <w:spacing w:before="0" w:after="0" w:line="312" w:lineRule="auto"/>
      <w:ind w:left="576" w:hanging="576"/>
      <w:textAlignment w:val="baseline"/>
    </w:pPr>
    <w:rPr>
      <w:rFonts w:ascii="黑体" w:hAnsi="Times New Roman"/>
      <w:bCs/>
      <w:color w:val="000000"/>
      <w:spacing w:val="20"/>
      <w:kern w:val="0"/>
      <w:sz w:val="30"/>
    </w:rPr>
  </w:style>
  <w:style w:type="paragraph" w:customStyle="1" w:styleId="1164">
    <w:name w:val="reader-word-layer reader-word-s1-5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165">
    <w:name w:val="基准页脚样式"/>
    <w:basedOn w:val="3"/>
    <w:qFormat/>
    <w:uiPriority w:val="0"/>
    <w:pPr>
      <w:adjustRightInd w:val="0"/>
      <w:snapToGrid w:val="0"/>
    </w:pPr>
    <w:rPr>
      <w:rFonts w:ascii="宋体"/>
    </w:rPr>
  </w:style>
  <w:style w:type="paragraph" w:customStyle="1" w:styleId="1166">
    <w:name w:val="样式 目录 2 + 左侧:  2 字符 首行缩进:  2 字符3"/>
    <w:basedOn w:val="79"/>
    <w:qFormat/>
    <w:uiPriority w:val="0"/>
    <w:pPr>
      <w:adjustRightInd w:val="0"/>
      <w:snapToGrid w:val="0"/>
      <w:ind w:left="200" w:leftChars="50" w:firstLine="462" w:firstLineChars="165"/>
    </w:pPr>
    <w:rPr>
      <w:rFonts w:cs="宋体"/>
    </w:rPr>
  </w:style>
  <w:style w:type="paragraph" w:customStyle="1" w:styleId="1167">
    <w:name w:val="reader-word-layer reader-word-s5-14 reader-word-s5-17"/>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168">
    <w:name w:val="目次、标准名称标题"/>
    <w:basedOn w:val="1"/>
    <w:next w:val="1"/>
    <w:qFormat/>
    <w:uiPriority w:val="0"/>
    <w:pPr>
      <w:widowControl/>
      <w:shd w:val="clear" w:color="FFFFFF" w:fill="FFFFFF"/>
      <w:spacing w:before="640" w:after="560" w:line="460" w:lineRule="exact"/>
      <w:jc w:val="center"/>
      <w:outlineLvl w:val="0"/>
    </w:pPr>
    <w:rPr>
      <w:rFonts w:ascii="黑体" w:eastAsia="黑体"/>
      <w:kern w:val="0"/>
      <w:sz w:val="32"/>
    </w:rPr>
  </w:style>
  <w:style w:type="paragraph" w:customStyle="1" w:styleId="1169">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170">
    <w:name w:val="缩进正文"/>
    <w:basedOn w:val="26"/>
    <w:qFormat/>
    <w:uiPriority w:val="0"/>
    <w:pPr>
      <w:adjustRightInd w:val="0"/>
      <w:snapToGrid w:val="0"/>
      <w:spacing w:line="300" w:lineRule="auto"/>
      <w:ind w:firstLine="200"/>
    </w:pPr>
    <w:rPr>
      <w:rFonts w:hAnsi="Times New Roman"/>
      <w:sz w:val="28"/>
    </w:rPr>
  </w:style>
  <w:style w:type="paragraph" w:customStyle="1" w:styleId="1171">
    <w:name w:val="news_content"/>
    <w:basedOn w:val="1"/>
    <w:qFormat/>
    <w:uiPriority w:val="0"/>
    <w:pPr>
      <w:widowControl/>
      <w:spacing w:before="100" w:beforeAutospacing="1" w:after="100" w:afterAutospacing="1"/>
      <w:jc w:val="left"/>
    </w:pPr>
    <w:rPr>
      <w:rFonts w:ascii="宋体" w:hAnsi="宋体"/>
      <w:color w:val="000000"/>
      <w:kern w:val="0"/>
      <w:sz w:val="24"/>
    </w:rPr>
  </w:style>
  <w:style w:type="paragraph" w:customStyle="1" w:styleId="1172">
    <w:name w:val="默认段落字体 Para Char Char Char Char Char Char Char Char Char Char Char Char Char1 Char"/>
    <w:basedOn w:val="37"/>
    <w:qFormat/>
    <w:uiPriority w:val="0"/>
    <w:rPr>
      <w:rFonts w:ascii="Tahoma" w:hAnsi="Tahoma"/>
      <w:sz w:val="24"/>
      <w:szCs w:val="24"/>
    </w:rPr>
  </w:style>
  <w:style w:type="paragraph" w:customStyle="1" w:styleId="1173">
    <w:name w:val="样式 标题 3 + 首行缩进:  2 字符 段前: 8.15 磅 段后: 8.15 磅2"/>
    <w:basedOn w:val="9"/>
    <w:qFormat/>
    <w:uiPriority w:val="0"/>
    <w:pPr>
      <w:tabs>
        <w:tab w:val="left" w:pos="1575"/>
      </w:tabs>
      <w:spacing w:before="163" w:after="163" w:line="0" w:lineRule="atLeast"/>
      <w:ind w:firstLine="482" w:firstLineChars="200"/>
      <w:jc w:val="left"/>
    </w:pPr>
    <w:rPr>
      <w:rFonts w:ascii="Arial Unicode MS" w:hAnsi="Arial Unicode MS" w:eastAsia="黑体" w:cs="宋体"/>
      <w:bCs/>
      <w:sz w:val="24"/>
    </w:rPr>
  </w:style>
  <w:style w:type="paragraph" w:customStyle="1" w:styleId="1174">
    <w:name w:val="CM72"/>
    <w:basedOn w:val="117"/>
    <w:next w:val="117"/>
    <w:qFormat/>
    <w:uiPriority w:val="0"/>
    <w:pPr>
      <w:spacing w:after="293"/>
    </w:pPr>
    <w:rPr>
      <w:rFonts w:ascii="仿宋_GB2312" w:eastAsia="仿宋_GB2312" w:cs="Times New Roman"/>
      <w:color w:val="auto"/>
    </w:rPr>
  </w:style>
  <w:style w:type="paragraph" w:customStyle="1" w:styleId="1175">
    <w:name w:val="样式 标题 2Chapter Heading2nd levelh22Titre2l2H2Header 2UND...1"/>
    <w:basedOn w:val="8"/>
    <w:qFormat/>
    <w:uiPriority w:val="0"/>
    <w:pPr>
      <w:numPr>
        <w:ilvl w:val="1"/>
        <w:numId w:val="0"/>
      </w:numPr>
      <w:tabs>
        <w:tab w:val="left" w:pos="576"/>
      </w:tabs>
      <w:adjustRightInd w:val="0"/>
      <w:spacing w:before="120" w:after="120" w:line="360" w:lineRule="auto"/>
      <w:jc w:val="left"/>
      <w:textAlignment w:val="baseline"/>
    </w:pPr>
    <w:rPr>
      <w:rFonts w:ascii="Times New Roman" w:hAnsi="Times New Roman"/>
      <w:b w:val="0"/>
      <w:kern w:val="0"/>
      <w:sz w:val="24"/>
    </w:rPr>
  </w:style>
  <w:style w:type="paragraph" w:customStyle="1" w:styleId="1176">
    <w:name w:val="报告 Char"/>
    <w:basedOn w:val="1"/>
    <w:qFormat/>
    <w:uiPriority w:val="0"/>
    <w:pPr>
      <w:adjustRightInd w:val="0"/>
      <w:spacing w:line="360" w:lineRule="auto"/>
      <w:ind w:firstLine="505"/>
      <w:textAlignment w:val="baseline"/>
    </w:pPr>
    <w:rPr>
      <w:sz w:val="24"/>
      <w:szCs w:val="24"/>
    </w:rPr>
  </w:style>
  <w:style w:type="paragraph" w:customStyle="1" w:styleId="1177">
    <w:name w:val="主题目"/>
    <w:basedOn w:val="7"/>
    <w:next w:val="7"/>
    <w:qFormat/>
    <w:uiPriority w:val="0"/>
    <w:pPr>
      <w:tabs>
        <w:tab w:val="left" w:pos="432"/>
      </w:tabs>
      <w:adjustRightInd w:val="0"/>
      <w:spacing w:before="156" w:beforeLines="50" w:after="240" w:line="240" w:lineRule="atLeast"/>
      <w:jc w:val="center"/>
      <w:textAlignment w:val="baseline"/>
      <w:outlineLvl w:val="9"/>
    </w:pPr>
    <w:rPr>
      <w:rFonts w:ascii="宋体" w:hAnsi="宋体"/>
      <w:sz w:val="30"/>
    </w:rPr>
  </w:style>
  <w:style w:type="paragraph" w:customStyle="1" w:styleId="1178">
    <w:name w:val="表内小四中"/>
    <w:basedOn w:val="1"/>
    <w:qFormat/>
    <w:uiPriority w:val="0"/>
    <w:pPr>
      <w:adjustRightInd w:val="0"/>
      <w:snapToGrid w:val="0"/>
      <w:ind w:left="-4" w:leftChars="-2" w:right="-22" w:rightChars="-10"/>
      <w:jc w:val="center"/>
      <w:textAlignment w:val="baseline"/>
    </w:pPr>
    <w:rPr>
      <w:kern w:val="0"/>
      <w:sz w:val="24"/>
    </w:rPr>
  </w:style>
  <w:style w:type="paragraph" w:customStyle="1" w:styleId="1179">
    <w:name w:val="表中正文"/>
    <w:basedOn w:val="1"/>
    <w:qFormat/>
    <w:uiPriority w:val="0"/>
    <w:pPr>
      <w:autoSpaceDE w:val="0"/>
      <w:autoSpaceDN w:val="0"/>
      <w:adjustRightInd w:val="0"/>
      <w:spacing w:before="60" w:after="60" w:line="240" w:lineRule="atLeast"/>
      <w:ind w:firstLine="527"/>
      <w:jc w:val="center"/>
      <w:textAlignment w:val="baseline"/>
    </w:pPr>
    <w:rPr>
      <w:rFonts w:ascii="宋体"/>
      <w:kern w:val="0"/>
      <w:sz w:val="24"/>
    </w:rPr>
  </w:style>
  <w:style w:type="paragraph" w:customStyle="1" w:styleId="1180">
    <w:name w:val="小四表文左齐"/>
    <w:basedOn w:val="1"/>
    <w:qFormat/>
    <w:uiPriority w:val="0"/>
    <w:pPr>
      <w:jc w:val="center"/>
    </w:pPr>
    <w:rPr>
      <w:rFonts w:ascii="仿宋_GB2312" w:hAnsi="宋体" w:eastAsia="仿宋_GB2312"/>
      <w:sz w:val="24"/>
    </w:rPr>
  </w:style>
  <w:style w:type="paragraph" w:customStyle="1" w:styleId="1181">
    <w:name w:val="标题 4 黑体 四号 行距: 1.5 倍行距"/>
    <w:basedOn w:val="1182"/>
    <w:qFormat/>
    <w:uiPriority w:val="0"/>
  </w:style>
  <w:style w:type="paragraph" w:customStyle="1" w:styleId="1182">
    <w:name w:val="样式 标题 3Sottoparagrafo标题 3 Char + Times New Roman"/>
    <w:basedOn w:val="9"/>
    <w:qFormat/>
    <w:uiPriority w:val="0"/>
    <w:pPr>
      <w:spacing w:before="156" w:beforeLines="50" w:after="0" w:line="360" w:lineRule="auto"/>
    </w:pPr>
    <w:rPr>
      <w:rFonts w:eastAsia="黑体"/>
      <w:b w:val="0"/>
      <w:sz w:val="28"/>
    </w:rPr>
  </w:style>
  <w:style w:type="paragraph" w:customStyle="1" w:styleId="1183">
    <w:name w:val="CM11"/>
    <w:basedOn w:val="117"/>
    <w:next w:val="117"/>
    <w:qFormat/>
    <w:uiPriority w:val="0"/>
    <w:pPr>
      <w:spacing w:line="468" w:lineRule="atLeast"/>
    </w:pPr>
    <w:rPr>
      <w:rFonts w:ascii="仿宋_GB2312" w:eastAsia="仿宋_GB2312" w:cs="Times New Roman"/>
      <w:color w:val="auto"/>
    </w:rPr>
  </w:style>
  <w:style w:type="paragraph" w:customStyle="1" w:styleId="1184">
    <w:name w:val="样式 标题 3"/>
    <w:basedOn w:val="9"/>
    <w:qFormat/>
    <w:uiPriority w:val="0"/>
    <w:pPr>
      <w:spacing w:line="360" w:lineRule="auto"/>
    </w:pPr>
    <w:rPr>
      <w:rFonts w:ascii="宋体" w:hAnsi="宋体"/>
      <w:bCs/>
      <w:spacing w:val="20"/>
      <w:kern w:val="11"/>
      <w:sz w:val="28"/>
      <w:lang w:val="zh-CN"/>
    </w:rPr>
  </w:style>
  <w:style w:type="paragraph" w:customStyle="1" w:styleId="1185">
    <w:name w:val="版本类型"/>
    <w:basedOn w:val="1"/>
    <w:qFormat/>
    <w:uiPriority w:val="0"/>
    <w:pPr>
      <w:jc w:val="center"/>
    </w:pPr>
    <w:rPr>
      <w:rFonts w:cs="宋体"/>
      <w:sz w:val="36"/>
    </w:rPr>
  </w:style>
  <w:style w:type="paragraph" w:customStyle="1" w:styleId="1186">
    <w:name w:val="样式 标题 3 + 首行缩进:  2 字符 段前: 8.15 磅 段后: 8.15 磅3"/>
    <w:basedOn w:val="9"/>
    <w:qFormat/>
    <w:uiPriority w:val="0"/>
    <w:pPr>
      <w:tabs>
        <w:tab w:val="left" w:pos="1575"/>
      </w:tabs>
      <w:spacing w:before="163" w:after="163" w:line="0" w:lineRule="atLeast"/>
      <w:jc w:val="left"/>
    </w:pPr>
    <w:rPr>
      <w:rFonts w:ascii="Arial Unicode MS" w:hAnsi="Arial Unicode MS" w:eastAsia="黑体" w:cs="宋体"/>
      <w:bCs/>
      <w:sz w:val="24"/>
    </w:rPr>
  </w:style>
  <w:style w:type="paragraph" w:customStyle="1" w:styleId="1187">
    <w:name w:val="日期1"/>
    <w:basedOn w:val="1"/>
    <w:next w:val="1"/>
    <w:qFormat/>
    <w:uiPriority w:val="0"/>
    <w:pPr>
      <w:adjustRightInd w:val="0"/>
      <w:textAlignment w:val="baseline"/>
    </w:pPr>
    <w:rPr>
      <w:rFonts w:ascii="宋体"/>
    </w:rPr>
  </w:style>
  <w:style w:type="paragraph" w:customStyle="1" w:styleId="1188">
    <w:name w:val="CM81"/>
    <w:basedOn w:val="117"/>
    <w:next w:val="117"/>
    <w:qFormat/>
    <w:uiPriority w:val="0"/>
    <w:pPr>
      <w:spacing w:after="307"/>
    </w:pPr>
    <w:rPr>
      <w:rFonts w:ascii="仿宋_GB2312" w:eastAsia="仿宋_GB2312" w:cs="Times New Roman"/>
      <w:color w:val="auto"/>
    </w:rPr>
  </w:style>
  <w:style w:type="paragraph" w:customStyle="1" w:styleId="1189">
    <w:name w:val="CM152"/>
    <w:basedOn w:val="117"/>
    <w:next w:val="117"/>
    <w:qFormat/>
    <w:uiPriority w:val="0"/>
    <w:pPr>
      <w:spacing w:after="120"/>
    </w:pPr>
    <w:rPr>
      <w:rFonts w:ascii="仿宋_GB2312" w:eastAsia="仿宋_GB2312" w:cs="仿宋_GB2312"/>
      <w:color w:val="auto"/>
    </w:rPr>
  </w:style>
  <w:style w:type="paragraph" w:customStyle="1" w:styleId="1190">
    <w:name w:val="参考书"/>
    <w:basedOn w:val="1"/>
    <w:qFormat/>
    <w:uiPriority w:val="0"/>
    <w:pPr>
      <w:tabs>
        <w:tab w:val="left" w:pos="980"/>
        <w:tab w:val="left" w:pos="1200"/>
      </w:tabs>
      <w:adjustRightInd w:val="0"/>
      <w:spacing w:before="60" w:after="60" w:line="264" w:lineRule="auto"/>
      <w:ind w:left="1200" w:hanging="720"/>
      <w:jc w:val="left"/>
      <w:textAlignment w:val="baseline"/>
    </w:pPr>
    <w:rPr>
      <w:rFonts w:cs="Arial Unicode MS"/>
      <w:spacing w:val="8"/>
      <w:kern w:val="0"/>
      <w:sz w:val="24"/>
    </w:rPr>
  </w:style>
  <w:style w:type="paragraph" w:customStyle="1" w:styleId="1191">
    <w:name w:val="CM118"/>
    <w:basedOn w:val="117"/>
    <w:next w:val="117"/>
    <w:qFormat/>
    <w:uiPriority w:val="0"/>
    <w:pPr>
      <w:spacing w:line="468" w:lineRule="atLeast"/>
    </w:pPr>
    <w:rPr>
      <w:rFonts w:ascii="仿宋_GB2312" w:eastAsia="仿宋_GB2312" w:cs="仿宋_GB2312"/>
      <w:color w:val="auto"/>
    </w:rPr>
  </w:style>
  <w:style w:type="paragraph" w:customStyle="1" w:styleId="1192">
    <w:name w:val="样式5三级"/>
    <w:basedOn w:val="1"/>
    <w:qFormat/>
    <w:uiPriority w:val="0"/>
    <w:pPr>
      <w:spacing w:line="360" w:lineRule="auto"/>
    </w:pPr>
    <w:rPr>
      <w:rFonts w:eastAsia="楷体_GB2312"/>
      <w:b/>
      <w:bCs/>
      <w:sz w:val="28"/>
      <w:szCs w:val="24"/>
    </w:rPr>
  </w:style>
  <w:style w:type="paragraph" w:customStyle="1" w:styleId="1193">
    <w:name w:val="Char Char3"/>
    <w:basedOn w:val="1"/>
    <w:qFormat/>
    <w:uiPriority w:val="0"/>
    <w:pPr>
      <w:widowControl/>
      <w:spacing w:after="160" w:line="240" w:lineRule="exact"/>
      <w:jc w:val="left"/>
    </w:pPr>
    <w:rPr>
      <w:szCs w:val="24"/>
    </w:rPr>
  </w:style>
  <w:style w:type="paragraph" w:customStyle="1" w:styleId="1194">
    <w:name w:val="Body Text Indent"/>
    <w:basedOn w:val="1"/>
    <w:qFormat/>
    <w:uiPriority w:val="0"/>
    <w:pPr>
      <w:spacing w:after="120"/>
      <w:ind w:left="420" w:leftChars="200"/>
    </w:pPr>
    <w:rPr>
      <w:rFonts w:hint="eastAsia"/>
    </w:rPr>
  </w:style>
  <w:style w:type="paragraph" w:customStyle="1" w:styleId="1195">
    <w:name w:val="CM130"/>
    <w:basedOn w:val="117"/>
    <w:next w:val="117"/>
    <w:qFormat/>
    <w:uiPriority w:val="0"/>
    <w:pPr>
      <w:spacing w:after="345"/>
    </w:pPr>
    <w:rPr>
      <w:rFonts w:ascii="仿宋_GB2312" w:eastAsia="仿宋_GB2312" w:cs="仿宋_GB2312"/>
      <w:color w:val="auto"/>
    </w:rPr>
  </w:style>
  <w:style w:type="paragraph" w:customStyle="1" w:styleId="1196">
    <w:name w:val="码头正文"/>
    <w:basedOn w:val="11"/>
    <w:qFormat/>
    <w:uiPriority w:val="0"/>
    <w:pPr>
      <w:snapToGrid w:val="0"/>
      <w:spacing w:line="360" w:lineRule="auto"/>
      <w:ind w:firstLine="480"/>
    </w:pPr>
    <w:rPr>
      <w:kern w:val="0"/>
      <w:sz w:val="24"/>
      <w:szCs w:val="24"/>
      <w:u w:val="none" w:color="000000"/>
    </w:rPr>
  </w:style>
  <w:style w:type="paragraph" w:customStyle="1" w:styleId="1197">
    <w:name w:val="样式a1"/>
    <w:basedOn w:val="1"/>
    <w:qFormat/>
    <w:uiPriority w:val="0"/>
    <w:pPr>
      <w:spacing w:line="336" w:lineRule="auto"/>
    </w:pPr>
    <w:rPr>
      <w:rFonts w:ascii="楷体_GB2312" w:eastAsia="楷体_GB2312"/>
      <w:sz w:val="32"/>
      <w:szCs w:val="24"/>
    </w:rPr>
  </w:style>
  <w:style w:type="paragraph" w:customStyle="1" w:styleId="1198">
    <w:name w:val="简单回函地址"/>
    <w:basedOn w:val="1"/>
    <w:qFormat/>
    <w:uiPriority w:val="0"/>
    <w:rPr>
      <w:rFonts w:ascii="宋体" w:hAnsi="宋体"/>
      <w:snapToGrid w:val="0"/>
      <w:kern w:val="0"/>
    </w:rPr>
  </w:style>
  <w:style w:type="paragraph" w:customStyle="1" w:styleId="1199">
    <w:name w:val="标准正文"/>
    <w:basedOn w:val="1"/>
    <w:link w:val="1200"/>
    <w:qFormat/>
    <w:uiPriority w:val="0"/>
    <w:pPr>
      <w:spacing w:line="440" w:lineRule="exact"/>
      <w:ind w:left="360"/>
      <w:jc w:val="center"/>
    </w:pPr>
    <w:rPr>
      <w:bCs/>
      <w:sz w:val="24"/>
      <w:szCs w:val="24"/>
    </w:rPr>
  </w:style>
  <w:style w:type="character" w:customStyle="1" w:styleId="1200">
    <w:name w:val="标准正文 Char1"/>
    <w:link w:val="1199"/>
    <w:qFormat/>
    <w:uiPriority w:val="0"/>
    <w:rPr>
      <w:bCs/>
      <w:kern w:val="2"/>
      <w:sz w:val="24"/>
      <w:szCs w:val="24"/>
    </w:rPr>
  </w:style>
  <w:style w:type="paragraph" w:customStyle="1" w:styleId="1201">
    <w:name w:val="样式1.1.1"/>
    <w:basedOn w:val="1"/>
    <w:qFormat/>
    <w:uiPriority w:val="0"/>
    <w:pPr>
      <w:spacing w:line="460" w:lineRule="exact"/>
    </w:pPr>
    <w:rPr>
      <w:b/>
      <w:bCs/>
      <w:sz w:val="28"/>
      <w:szCs w:val="21"/>
    </w:rPr>
  </w:style>
  <w:style w:type="paragraph" w:customStyle="1" w:styleId="1202">
    <w:name w:val="样式 目录 2 + 左侧:  2 字符 首行缩进:  2 字符1"/>
    <w:basedOn w:val="79"/>
    <w:qFormat/>
    <w:uiPriority w:val="0"/>
    <w:pPr>
      <w:adjustRightInd w:val="0"/>
      <w:snapToGrid w:val="0"/>
      <w:ind w:left="480" w:leftChars="50" w:firstLine="480" w:firstLineChars="200"/>
    </w:pPr>
    <w:rPr>
      <w:rFonts w:cs="宋体"/>
    </w:rPr>
  </w:style>
  <w:style w:type="paragraph" w:customStyle="1" w:styleId="1203">
    <w:name w:val=" Char1 Char Char Char"/>
    <w:basedOn w:val="1"/>
    <w:qFormat/>
    <w:uiPriority w:val="0"/>
    <w:pPr>
      <w:spacing w:line="360" w:lineRule="auto"/>
      <w:ind w:firstLine="200" w:firstLineChars="200"/>
    </w:pPr>
    <w:rPr>
      <w:rFonts w:ascii="宋体" w:hAnsi="宋体" w:cs="宋体"/>
      <w:sz w:val="24"/>
      <w:szCs w:val="24"/>
    </w:rPr>
  </w:style>
  <w:style w:type="paragraph" w:customStyle="1" w:styleId="1204">
    <w:name w:val="默认段落字体 Para Char Char Char Char Char Char Char Char Char1 Char Char Char Char Char Char Char"/>
    <w:basedOn w:val="37"/>
    <w:qFormat/>
    <w:uiPriority w:val="0"/>
    <w:rPr>
      <w:rFonts w:ascii="Tahoma" w:hAnsi="Tahoma" w:cs="Tahoma"/>
      <w:sz w:val="28"/>
      <w:szCs w:val="24"/>
    </w:rPr>
  </w:style>
  <w:style w:type="paragraph" w:customStyle="1" w:styleId="1205">
    <w:name w:val="CM131"/>
    <w:basedOn w:val="1"/>
    <w:next w:val="1"/>
    <w:qFormat/>
    <w:uiPriority w:val="0"/>
    <w:pPr>
      <w:autoSpaceDE w:val="0"/>
      <w:autoSpaceDN w:val="0"/>
      <w:adjustRightInd w:val="0"/>
      <w:spacing w:after="465"/>
      <w:jc w:val="left"/>
    </w:pPr>
    <w:rPr>
      <w:rFonts w:ascii="仿宋_GB2312" w:eastAsia="仿宋_GB2312" w:cs="仿宋_GB2312"/>
      <w:kern w:val="0"/>
      <w:sz w:val="24"/>
      <w:szCs w:val="24"/>
    </w:rPr>
  </w:style>
  <w:style w:type="paragraph" w:customStyle="1" w:styleId="1206">
    <w:name w:val="CM13"/>
    <w:basedOn w:val="117"/>
    <w:next w:val="117"/>
    <w:qFormat/>
    <w:uiPriority w:val="0"/>
    <w:pPr>
      <w:spacing w:line="468" w:lineRule="atLeast"/>
    </w:pPr>
    <w:rPr>
      <w:rFonts w:ascii="仿宋_GB2312" w:eastAsia="仿宋_GB2312" w:cs="仿宋_GB2312"/>
      <w:color w:val="auto"/>
    </w:rPr>
  </w:style>
  <w:style w:type="paragraph" w:customStyle="1" w:styleId="1207">
    <w:name w:val="CM129"/>
    <w:basedOn w:val="117"/>
    <w:next w:val="117"/>
    <w:qFormat/>
    <w:uiPriority w:val="0"/>
    <w:pPr>
      <w:spacing w:after="365"/>
    </w:pPr>
    <w:rPr>
      <w:rFonts w:ascii="仿宋_GB2312" w:eastAsia="仿宋_GB2312" w:cs="仿宋_GB2312"/>
      <w:color w:val="auto"/>
    </w:rPr>
  </w:style>
  <w:style w:type="paragraph" w:customStyle="1" w:styleId="1208">
    <w:name w:val="5号表文"/>
    <w:qFormat/>
    <w:uiPriority w:val="0"/>
    <w:pPr>
      <w:kinsoku w:val="0"/>
      <w:jc w:val="both"/>
    </w:pPr>
    <w:rPr>
      <w:rFonts w:ascii="Times New Roman" w:hAnsi="Times New Roman" w:eastAsia="宋体" w:cs="Times New Roman"/>
      <w:snapToGrid w:val="0"/>
      <w:sz w:val="21"/>
      <w:lang w:val="en-US" w:eastAsia="zh-CN" w:bidi="ar-SA"/>
    </w:rPr>
  </w:style>
  <w:style w:type="paragraph" w:customStyle="1" w:styleId="1209">
    <w:name w:val="zhang正文"/>
    <w:basedOn w:val="26"/>
    <w:qFormat/>
    <w:uiPriority w:val="0"/>
    <w:pPr>
      <w:autoSpaceDE w:val="0"/>
      <w:autoSpaceDN w:val="0"/>
      <w:adjustRightInd w:val="0"/>
      <w:snapToGrid w:val="0"/>
      <w:spacing w:line="500" w:lineRule="exact"/>
      <w:ind w:firstLine="539"/>
      <w:textAlignment w:val="baseline"/>
    </w:pPr>
    <w:rPr>
      <w:rFonts w:ascii="Times New Roman" w:hAnsi="Times New Roman" w:eastAsia="楷体_GB2312"/>
      <w:kern w:val="0"/>
      <w:sz w:val="28"/>
    </w:rPr>
  </w:style>
  <w:style w:type="paragraph" w:customStyle="1" w:styleId="1210">
    <w:name w:val="Objective"/>
    <w:basedOn w:val="1"/>
    <w:next w:val="3"/>
    <w:qFormat/>
    <w:uiPriority w:val="0"/>
    <w:pPr>
      <w:widowControl/>
      <w:spacing w:before="220" w:after="220" w:line="220" w:lineRule="atLeast"/>
      <w:jc w:val="left"/>
    </w:pPr>
    <w:rPr>
      <w:rFonts w:ascii="Arial" w:hAnsi="Arial"/>
      <w:kern w:val="0"/>
      <w:sz w:val="24"/>
    </w:rPr>
  </w:style>
  <w:style w:type="paragraph" w:customStyle="1" w:styleId="1211">
    <w:name w:val="Char Char Char Char Char Char Char Char Char"/>
    <w:basedOn w:val="1"/>
    <w:qFormat/>
    <w:uiPriority w:val="0"/>
    <w:pPr>
      <w:widowControl/>
      <w:spacing w:line="500" w:lineRule="exact"/>
      <w:ind w:firstLine="200" w:firstLineChars="200"/>
      <w:jc w:val="left"/>
    </w:pPr>
    <w:rPr>
      <w:rFonts w:ascii="Verdana" w:hAnsi="Verdana"/>
      <w:kern w:val="0"/>
      <w:sz w:val="24"/>
      <w:szCs w:val="24"/>
      <w:lang w:eastAsia="en-US"/>
    </w:rPr>
  </w:style>
  <w:style w:type="paragraph" w:customStyle="1" w:styleId="1212">
    <w:name w:val="表格文字/16"/>
    <w:basedOn w:val="1"/>
    <w:qFormat/>
    <w:uiPriority w:val="0"/>
    <w:pPr>
      <w:adjustRightInd w:val="0"/>
      <w:snapToGrid w:val="0"/>
      <w:spacing w:line="320" w:lineRule="exact"/>
      <w:jc w:val="center"/>
    </w:pPr>
    <w:rPr>
      <w:color w:val="000000"/>
      <w:kern w:val="32"/>
    </w:rPr>
  </w:style>
  <w:style w:type="paragraph" w:customStyle="1" w:styleId="1213">
    <w:name w:val="CM126"/>
    <w:basedOn w:val="1"/>
    <w:next w:val="1"/>
    <w:qFormat/>
    <w:uiPriority w:val="0"/>
    <w:pPr>
      <w:autoSpaceDE w:val="0"/>
      <w:autoSpaceDN w:val="0"/>
      <w:adjustRightInd w:val="0"/>
      <w:spacing w:after="285"/>
      <w:jc w:val="left"/>
    </w:pPr>
    <w:rPr>
      <w:rFonts w:ascii="仿宋_GB2312" w:eastAsia="仿宋_GB2312"/>
      <w:kern w:val="0"/>
      <w:sz w:val="24"/>
    </w:rPr>
  </w:style>
  <w:style w:type="paragraph" w:customStyle="1" w:styleId="1214">
    <w:name w:val="样式 标题 3Sottoparagrafo + 段前: 0.5 行"/>
    <w:basedOn w:val="9"/>
    <w:qFormat/>
    <w:uiPriority w:val="0"/>
    <w:pPr>
      <w:keepNext w:val="0"/>
      <w:keepLines w:val="0"/>
      <w:tabs>
        <w:tab w:val="left" w:pos="720"/>
      </w:tabs>
      <w:adjustRightInd w:val="0"/>
      <w:snapToGrid w:val="0"/>
      <w:spacing w:before="0" w:after="0" w:line="360" w:lineRule="auto"/>
      <w:ind w:left="720" w:hanging="720" w:firstLineChars="200"/>
    </w:pPr>
    <w:rPr>
      <w:rFonts w:eastAsia="黑体"/>
      <w:b w:val="0"/>
      <w:sz w:val="28"/>
    </w:rPr>
  </w:style>
  <w:style w:type="paragraph" w:customStyle="1" w:styleId="1215">
    <w:name w:val="表格文本 五号 居中 单倍行距 Char"/>
    <w:basedOn w:val="1"/>
    <w:qFormat/>
    <w:uiPriority w:val="0"/>
    <w:pPr>
      <w:keepNext/>
      <w:adjustRightInd w:val="0"/>
      <w:snapToGrid w:val="0"/>
      <w:jc w:val="center"/>
      <w:textAlignment w:val="baseline"/>
    </w:pPr>
    <w:rPr>
      <w:rFonts w:cs="宋体"/>
      <w:szCs w:val="24"/>
    </w:rPr>
  </w:style>
  <w:style w:type="paragraph" w:customStyle="1" w:styleId="1216">
    <w:name w:val="大表内容"/>
    <w:qFormat/>
    <w:uiPriority w:val="0"/>
    <w:pPr>
      <w:widowControl w:val="0"/>
      <w:tabs>
        <w:tab w:val="left" w:pos="480"/>
      </w:tabs>
      <w:jc w:val="center"/>
    </w:pPr>
    <w:rPr>
      <w:rFonts w:ascii="仿宋_GB2312" w:hAnsi="Times New Roman" w:eastAsia="仿宋_GB2312" w:cs="Times New Roman"/>
      <w:color w:val="000000"/>
      <w:sz w:val="21"/>
      <w:lang w:val="en-US" w:eastAsia="zh-CN" w:bidi="ar-SA"/>
    </w:rPr>
  </w:style>
  <w:style w:type="paragraph" w:customStyle="1" w:styleId="1217">
    <w:name w:val="Title 02"/>
    <w:basedOn w:val="1"/>
    <w:qFormat/>
    <w:uiPriority w:val="0"/>
    <w:pPr>
      <w:jc w:val="center"/>
    </w:pPr>
    <w:rPr>
      <w:rFonts w:ascii="黑体" w:eastAsia="黑体" w:cs="宋体"/>
      <w:sz w:val="52"/>
    </w:rPr>
  </w:style>
  <w:style w:type="paragraph" w:customStyle="1" w:styleId="1218">
    <w:name w:val="小4黑居中行1"/>
    <w:qFormat/>
    <w:uiPriority w:val="0"/>
    <w:pPr>
      <w:widowControl w:val="0"/>
      <w:tabs>
        <w:tab w:val="right" w:leader="middleDot" w:pos="8222"/>
      </w:tabs>
      <w:jc w:val="center"/>
    </w:pPr>
    <w:rPr>
      <w:rFonts w:ascii="仿宋_GB2312" w:hAnsi="宋体" w:eastAsia="仿宋_GB2312" w:cs="Times New Roman"/>
      <w:kern w:val="2"/>
      <w:sz w:val="24"/>
      <w:lang w:val="en-US" w:eastAsia="zh-CN" w:bidi="ar-SA"/>
    </w:rPr>
  </w:style>
  <w:style w:type="paragraph" w:customStyle="1" w:styleId="1219">
    <w:name w:val="xl93"/>
    <w:basedOn w:val="1"/>
    <w:qFormat/>
    <w:uiPriority w:val="0"/>
    <w:pPr>
      <w:widowControl/>
      <w:pBdr>
        <w:bottom w:val="single" w:color="auto" w:sz="4" w:space="0"/>
        <w:right w:val="single" w:color="auto" w:sz="4" w:space="0"/>
      </w:pBdr>
      <w:spacing w:before="100" w:beforeAutospacing="1" w:after="100" w:afterAutospacing="1"/>
      <w:jc w:val="left"/>
    </w:pPr>
    <w:rPr>
      <w:rFonts w:ascii="宋体" w:hAnsi="宋体"/>
      <w:kern w:val="0"/>
      <w:sz w:val="14"/>
      <w:szCs w:val="14"/>
      <w:lang w:eastAsia="en-US"/>
    </w:rPr>
  </w:style>
  <w:style w:type="paragraph" w:customStyle="1" w:styleId="1220">
    <w:name w:val="样式 表格 + 红色"/>
    <w:basedOn w:val="312"/>
    <w:qFormat/>
    <w:uiPriority w:val="0"/>
    <w:pPr>
      <w:widowControl/>
      <w:tabs>
        <w:tab w:val="clear" w:pos="360"/>
        <w:tab w:val="clear" w:pos="6300"/>
      </w:tabs>
      <w:spacing w:line="340" w:lineRule="exact"/>
      <w:ind w:left="0" w:right="0"/>
    </w:pPr>
    <w:rPr>
      <w:rFonts w:ascii="Times New Roman" w:hAnsi="Times New Roman" w:eastAsia="仿宋_GB2312"/>
      <w:color w:val="FF0000"/>
      <w:szCs w:val="21"/>
    </w:rPr>
  </w:style>
  <w:style w:type="paragraph" w:customStyle="1" w:styleId="1221">
    <w:name w:val="条标题"/>
    <w:basedOn w:val="1"/>
    <w:qFormat/>
    <w:uiPriority w:val="0"/>
    <w:pPr>
      <w:adjustRightInd w:val="0"/>
      <w:snapToGrid w:val="0"/>
      <w:spacing w:line="500" w:lineRule="atLeast"/>
    </w:pPr>
    <w:rPr>
      <w:sz w:val="28"/>
      <w:szCs w:val="24"/>
    </w:rPr>
  </w:style>
  <w:style w:type="paragraph" w:customStyle="1" w:styleId="1222">
    <w:name w:val="样式 标题 4 + (中文) 宋体 段前: 6 磅 段后: 6 磅"/>
    <w:basedOn w:val="10"/>
    <w:qFormat/>
    <w:uiPriority w:val="0"/>
    <w:pPr>
      <w:keepNext w:val="0"/>
      <w:keepLines w:val="0"/>
      <w:topLinePunct/>
      <w:adjustRightInd w:val="0"/>
      <w:spacing w:before="156" w:beforeLines="50" w:after="156" w:afterLines="50" w:line="312" w:lineRule="exact"/>
      <w:jc w:val="center"/>
      <w:textAlignment w:val="baseline"/>
      <w:outlineLvl w:val="9"/>
    </w:pPr>
    <w:rPr>
      <w:rFonts w:ascii="Times New Roman" w:hAnsi="Times New Roman" w:eastAsia="宋体"/>
      <w:sz w:val="21"/>
      <w:szCs w:val="28"/>
    </w:rPr>
  </w:style>
  <w:style w:type="paragraph" w:customStyle="1" w:styleId="1223">
    <w:name w:val="图名称 Char Char Char Char Char Char Char Char Char Char"/>
    <w:basedOn w:val="1"/>
    <w:qFormat/>
    <w:uiPriority w:val="0"/>
    <w:pPr>
      <w:tabs>
        <w:tab w:val="left" w:pos="-120"/>
      </w:tabs>
      <w:spacing w:before="60" w:line="360" w:lineRule="auto"/>
      <w:jc w:val="center"/>
    </w:pPr>
    <w:rPr>
      <w:rFonts w:ascii="宋体" w:hAnsi="宋体"/>
      <w:kern w:val="0"/>
      <w:sz w:val="24"/>
      <w:szCs w:val="24"/>
    </w:rPr>
  </w:style>
  <w:style w:type="paragraph" w:customStyle="1" w:styleId="1224">
    <w:name w:val="Body Text 2"/>
    <w:basedOn w:val="1"/>
    <w:qFormat/>
    <w:uiPriority w:val="0"/>
    <w:pPr>
      <w:tabs>
        <w:tab w:val="left" w:pos="567"/>
      </w:tabs>
      <w:adjustRightInd w:val="0"/>
      <w:spacing w:line="410" w:lineRule="atLeast"/>
      <w:ind w:firstLine="480"/>
      <w:textAlignment w:val="baseline"/>
    </w:pPr>
    <w:rPr>
      <w:rFonts w:ascii="宋体"/>
      <w:kern w:val="0"/>
      <w:sz w:val="24"/>
    </w:rPr>
  </w:style>
  <w:style w:type="paragraph" w:customStyle="1" w:styleId="1225">
    <w:name w:val="he"/>
    <w:basedOn w:val="1"/>
    <w:next w:val="1"/>
    <w:qFormat/>
    <w:uiPriority w:val="0"/>
    <w:pPr>
      <w:keepNext/>
      <w:keepLines/>
      <w:autoSpaceDE w:val="0"/>
      <w:autoSpaceDN w:val="0"/>
      <w:adjustRightInd w:val="0"/>
      <w:snapToGrid w:val="0"/>
      <w:spacing w:line="348" w:lineRule="auto"/>
      <w:textAlignment w:val="bottom"/>
    </w:pPr>
    <w:rPr>
      <w:color w:val="000000"/>
      <w:spacing w:val="10"/>
      <w:kern w:val="0"/>
      <w:sz w:val="28"/>
      <w:szCs w:val="28"/>
    </w:rPr>
  </w:style>
  <w:style w:type="paragraph" w:customStyle="1" w:styleId="1226">
    <w:name w:val="comm3"/>
    <w:basedOn w:val="1"/>
    <w:qFormat/>
    <w:uiPriority w:val="0"/>
    <w:pPr>
      <w:widowControl/>
      <w:spacing w:after="60"/>
      <w:jc w:val="center"/>
    </w:pPr>
    <w:rPr>
      <w:rFonts w:ascii="Arial" w:hAnsi="Arial"/>
      <w:kern w:val="0"/>
      <w:sz w:val="24"/>
      <w:lang w:val="en-CA" w:eastAsia="en-US"/>
    </w:rPr>
  </w:style>
  <w:style w:type="paragraph" w:customStyle="1" w:styleId="1227">
    <w:name w:val="点项目"/>
    <w:qFormat/>
    <w:uiPriority w:val="0"/>
    <w:pPr>
      <w:tabs>
        <w:tab w:val="left" w:pos="550"/>
      </w:tabs>
      <w:adjustRightInd w:val="0"/>
      <w:snapToGrid w:val="0"/>
      <w:spacing w:before="240" w:line="240" w:lineRule="atLeast"/>
      <w:ind w:firstLine="454"/>
      <w:jc w:val="both"/>
    </w:pPr>
    <w:rPr>
      <w:rFonts w:ascii="Times New Roman" w:hAnsi="Times New Roman" w:eastAsia="宋体" w:cs="Times New Roman"/>
      <w:b/>
      <w:spacing w:val="12"/>
      <w:sz w:val="28"/>
      <w:lang w:val="en-US" w:eastAsia="zh-CN" w:bidi="ar-SA"/>
    </w:rPr>
  </w:style>
  <w:style w:type="paragraph" w:customStyle="1" w:styleId="1228">
    <w:name w:val="表号"/>
    <w:basedOn w:val="1"/>
    <w:link w:val="1229"/>
    <w:qFormat/>
    <w:uiPriority w:val="0"/>
    <w:pPr>
      <w:keepNext/>
      <w:wordWrap w:val="0"/>
      <w:spacing w:line="360" w:lineRule="auto"/>
      <w:ind w:left="210" w:right="210"/>
      <w:jc w:val="right"/>
    </w:pPr>
    <w:rPr>
      <w:rFonts w:ascii="宋体" w:hAnsi="宋体"/>
      <w:bCs/>
      <w:sz w:val="24"/>
    </w:rPr>
  </w:style>
  <w:style w:type="character" w:customStyle="1" w:styleId="1229">
    <w:name w:val="表号 Char"/>
    <w:link w:val="1228"/>
    <w:qFormat/>
    <w:uiPriority w:val="0"/>
    <w:rPr>
      <w:rFonts w:ascii="宋体" w:hAnsi="宋体"/>
      <w:bCs/>
      <w:kern w:val="2"/>
      <w:sz w:val="24"/>
    </w:rPr>
  </w:style>
  <w:style w:type="paragraph" w:customStyle="1" w:styleId="1230">
    <w:name w:val="a3"/>
    <w:basedOn w:val="1"/>
    <w:qFormat/>
    <w:uiPriority w:val="0"/>
    <w:pPr>
      <w:widowControl/>
      <w:spacing w:before="100" w:beforeAutospacing="1" w:after="100" w:afterAutospacing="1"/>
      <w:jc w:val="left"/>
    </w:pPr>
    <w:rPr>
      <w:rFonts w:ascii="宋体" w:hAnsi="宋体"/>
      <w:color w:val="000000"/>
      <w:kern w:val="0"/>
      <w:sz w:val="24"/>
      <w:szCs w:val="24"/>
    </w:rPr>
  </w:style>
  <w:style w:type="paragraph" w:customStyle="1" w:styleId="1231">
    <w:name w:val="样式 正文1 Char + 宋体 小四 首行缩进:  2 字符"/>
    <w:basedOn w:val="1"/>
    <w:qFormat/>
    <w:uiPriority w:val="0"/>
    <w:pPr>
      <w:suppressLineNumbers/>
      <w:suppressAutoHyphens/>
      <w:topLinePunct/>
      <w:adjustRightInd w:val="0"/>
      <w:snapToGrid w:val="0"/>
      <w:spacing w:line="360" w:lineRule="auto"/>
      <w:ind w:firstLine="480" w:firstLineChars="200"/>
    </w:pPr>
    <w:rPr>
      <w:kern w:val="0"/>
      <w:sz w:val="24"/>
    </w:rPr>
  </w:style>
  <w:style w:type="paragraph" w:customStyle="1" w:styleId="1232">
    <w:name w:val="二级无标题条"/>
    <w:basedOn w:val="1"/>
    <w:qFormat/>
    <w:uiPriority w:val="0"/>
    <w:rPr>
      <w:szCs w:val="24"/>
    </w:rPr>
  </w:style>
  <w:style w:type="paragraph" w:customStyle="1" w:styleId="1233">
    <w:name w:val="表内小四"/>
    <w:basedOn w:val="1178"/>
    <w:qFormat/>
    <w:uiPriority w:val="0"/>
    <w:pPr>
      <w:widowControl/>
      <w:snapToGrid/>
      <w:ind w:left="-50" w:leftChars="0" w:right="0" w:rightChars="0"/>
      <w:jc w:val="left"/>
    </w:pPr>
  </w:style>
  <w:style w:type="paragraph" w:customStyle="1" w:styleId="1234">
    <w:name w:val=" Char Char Char Char Char Char Char Char Char Char Char1 Char"/>
    <w:basedOn w:val="1"/>
    <w:qFormat/>
    <w:uiPriority w:val="0"/>
    <w:rPr>
      <w:sz w:val="24"/>
      <w:szCs w:val="24"/>
    </w:rPr>
  </w:style>
  <w:style w:type="paragraph" w:customStyle="1" w:styleId="1235">
    <w:name w:val="样式 表字五号 + 段前: 0.1 行 段后: 0.1 行"/>
    <w:basedOn w:val="998"/>
    <w:qFormat/>
    <w:uiPriority w:val="0"/>
    <w:pPr>
      <w:spacing w:beforeLines="0" w:afterLines="0"/>
    </w:pPr>
  </w:style>
  <w:style w:type="paragraph" w:customStyle="1" w:styleId="1236">
    <w:name w:val="样式 标准文本 首行缩进:2 字符 行距1.5倍 + 首行缩进:  2 字符"/>
    <w:basedOn w:val="176"/>
    <w:qFormat/>
    <w:uiPriority w:val="0"/>
    <w:rPr>
      <w:szCs w:val="20"/>
    </w:rPr>
  </w:style>
  <w:style w:type="paragraph" w:customStyle="1" w:styleId="1237">
    <w:name w:val="WW-正文（首行缩进两字）"/>
    <w:basedOn w:val="1"/>
    <w:qFormat/>
    <w:uiPriority w:val="0"/>
    <w:pPr>
      <w:suppressAutoHyphens/>
      <w:spacing w:line="360" w:lineRule="auto"/>
      <w:ind w:firstLine="420"/>
    </w:pPr>
    <w:rPr>
      <w:kern w:val="1"/>
      <w:sz w:val="24"/>
      <w:lang w:eastAsia="ar-SA"/>
    </w:rPr>
  </w:style>
  <w:style w:type="paragraph" w:customStyle="1" w:styleId="1238">
    <w:name w:val="样式 标题 3 + 首行缩进:  0.99 厘米"/>
    <w:basedOn w:val="9"/>
    <w:qFormat/>
    <w:uiPriority w:val="0"/>
    <w:pPr>
      <w:spacing w:before="120" w:after="120" w:line="324" w:lineRule="auto"/>
      <w:jc w:val="left"/>
    </w:pPr>
    <w:rPr>
      <w:rFonts w:ascii="仿宋_GB2312" w:eastAsia="楷体_GB2312" w:cs="宋体"/>
      <w:b w:val="0"/>
      <w:kern w:val="10"/>
      <w:sz w:val="28"/>
    </w:rPr>
  </w:style>
  <w:style w:type="paragraph" w:customStyle="1" w:styleId="1239">
    <w:name w:val="表格 首行：0字符"/>
    <w:basedOn w:val="1"/>
    <w:qFormat/>
    <w:uiPriority w:val="0"/>
    <w:pPr>
      <w:keepNext/>
      <w:adjustRightInd w:val="0"/>
      <w:snapToGrid w:val="0"/>
      <w:jc w:val="left"/>
      <w:textAlignment w:val="baseline"/>
    </w:pPr>
    <w:rPr>
      <w:rFonts w:cs="宋体"/>
      <w:szCs w:val="21"/>
    </w:rPr>
  </w:style>
  <w:style w:type="paragraph" w:customStyle="1" w:styleId="1240">
    <w:name w:val="标题四"/>
    <w:basedOn w:val="1"/>
    <w:qFormat/>
    <w:uiPriority w:val="0"/>
    <w:pPr>
      <w:spacing w:before="156" w:beforeLines="50" w:line="360" w:lineRule="auto"/>
      <w:ind w:firstLine="480" w:firstLineChars="200"/>
    </w:pPr>
    <w:rPr>
      <w:bCs/>
      <w:sz w:val="24"/>
    </w:rPr>
  </w:style>
  <w:style w:type="paragraph" w:customStyle="1" w:styleId="1241">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szCs w:val="24"/>
    </w:rPr>
  </w:style>
  <w:style w:type="paragraph" w:customStyle="1" w:styleId="1242">
    <w:name w:val="图号"/>
    <w:basedOn w:val="2"/>
    <w:qFormat/>
    <w:uiPriority w:val="0"/>
    <w:pPr>
      <w:tabs>
        <w:tab w:val="left" w:pos="-120"/>
      </w:tabs>
      <w:overflowPunct/>
      <w:autoSpaceDE/>
      <w:autoSpaceDN/>
      <w:adjustRightInd/>
      <w:spacing w:line="288" w:lineRule="auto"/>
      <w:ind w:firstLine="200" w:firstLineChars="200"/>
      <w:textAlignment w:val="auto"/>
    </w:pPr>
    <w:rPr>
      <w:b/>
      <w:bCs/>
      <w:spacing w:val="16"/>
      <w:kern w:val="2"/>
      <w:sz w:val="24"/>
    </w:rPr>
  </w:style>
  <w:style w:type="paragraph" w:customStyle="1" w:styleId="1243">
    <w:name w:val="样式 标题 1 + 段后: 0.3 行"/>
    <w:basedOn w:val="7"/>
    <w:qFormat/>
    <w:uiPriority w:val="0"/>
    <w:pPr>
      <w:keepNext w:val="0"/>
      <w:keepLines w:val="0"/>
      <w:tabs>
        <w:tab w:val="left" w:pos="420"/>
        <w:tab w:val="left" w:pos="1800"/>
      </w:tabs>
      <w:adjustRightInd w:val="0"/>
      <w:snapToGrid w:val="0"/>
      <w:spacing w:before="156" w:beforeLines="50" w:after="93" w:afterLines="30" w:line="300" w:lineRule="auto"/>
      <w:ind w:left="420" w:hanging="360"/>
    </w:pPr>
    <w:rPr>
      <w:rFonts w:ascii="黑体" w:eastAsia="黑体"/>
      <w:sz w:val="30"/>
    </w:rPr>
  </w:style>
  <w:style w:type="paragraph" w:customStyle="1" w:styleId="1244">
    <w:name w:val="责任页"/>
    <w:basedOn w:val="1"/>
    <w:qFormat/>
    <w:uiPriority w:val="0"/>
    <w:pPr>
      <w:spacing w:line="300" w:lineRule="auto"/>
    </w:pPr>
    <w:rPr>
      <w:sz w:val="28"/>
      <w:szCs w:val="24"/>
    </w:rPr>
  </w:style>
  <w:style w:type="paragraph" w:customStyle="1" w:styleId="1245">
    <w:name w:val="公式"/>
    <w:link w:val="1246"/>
    <w:qFormat/>
    <w:uiPriority w:val="0"/>
    <w:pPr>
      <w:jc w:val="center"/>
    </w:pPr>
    <w:rPr>
      <w:rFonts w:ascii="Times New Roman" w:hAnsi="Times New Roman" w:eastAsia="宋体" w:cs="Times New Roman"/>
      <w:sz w:val="28"/>
      <w:lang w:val="en-US" w:eastAsia="zh-CN" w:bidi="ar-SA"/>
    </w:rPr>
  </w:style>
  <w:style w:type="character" w:customStyle="1" w:styleId="1246">
    <w:name w:val="公式 Char"/>
    <w:link w:val="1245"/>
    <w:qFormat/>
    <w:uiPriority w:val="0"/>
    <w:rPr>
      <w:sz w:val="28"/>
      <w:lang w:bidi="ar-SA"/>
    </w:rPr>
  </w:style>
  <w:style w:type="paragraph" w:customStyle="1" w:styleId="1247">
    <w:name w:val="reader-word-layer reader-word-s4-18 reader-word-s4-33"/>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48">
    <w:name w:val="表内式样"/>
    <w:qFormat/>
    <w:uiPriority w:val="0"/>
    <w:pPr>
      <w:widowControl w:val="0"/>
      <w:jc w:val="center"/>
    </w:pPr>
    <w:rPr>
      <w:rFonts w:ascii="Times New Roman" w:hAnsi="Times New Roman" w:eastAsia="宋体" w:cs="Times New Roman"/>
      <w:kern w:val="2"/>
      <w:sz w:val="21"/>
      <w:lang w:val="en-US" w:eastAsia="zh-CN" w:bidi="ar-SA"/>
    </w:rPr>
  </w:style>
  <w:style w:type="paragraph" w:customStyle="1" w:styleId="1249">
    <w:name w:val="maintext"/>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250">
    <w:name w:val="td_01"/>
    <w:basedOn w:val="1"/>
    <w:qFormat/>
    <w:uiPriority w:val="0"/>
    <w:pPr>
      <w:widowControl/>
      <w:spacing w:before="100" w:beforeAutospacing="1" w:after="100" w:afterAutospacing="1" w:line="335" w:lineRule="atLeast"/>
      <w:jc w:val="left"/>
    </w:pPr>
    <w:rPr>
      <w:rFonts w:ascii="宋体" w:hAnsi="宋体" w:cs="宋体"/>
      <w:color w:val="000000"/>
      <w:kern w:val="0"/>
      <w:sz w:val="20"/>
    </w:rPr>
  </w:style>
  <w:style w:type="paragraph" w:customStyle="1" w:styleId="1251">
    <w:name w:val="样式 正文居中五号 +"/>
    <w:basedOn w:val="613"/>
    <w:qFormat/>
    <w:uiPriority w:val="0"/>
    <w:pPr>
      <w:textAlignment w:val="center"/>
    </w:pPr>
    <w:rPr>
      <w:kern w:val="0"/>
    </w:rPr>
  </w:style>
  <w:style w:type="paragraph" w:customStyle="1" w:styleId="1252">
    <w:name w:val="样式 标题 1章节标题章标题 1-*+h11st levelSection Headl1b1本标题不使用篇标..."/>
    <w:basedOn w:val="7"/>
    <w:qFormat/>
    <w:uiPriority w:val="0"/>
    <w:pPr>
      <w:spacing w:before="468" w:beforeLines="150" w:after="468" w:afterLines="150" w:line="360" w:lineRule="auto"/>
      <w:jc w:val="left"/>
    </w:pPr>
    <w:rPr>
      <w:sz w:val="28"/>
    </w:rPr>
  </w:style>
  <w:style w:type="paragraph" w:customStyle="1" w:styleId="1253">
    <w:name w:val="Numéro-8pts"/>
    <w:basedOn w:val="1"/>
    <w:qFormat/>
    <w:uiPriority w:val="0"/>
    <w:pPr>
      <w:keepLines/>
      <w:widowControl/>
      <w:tabs>
        <w:tab w:val="left" w:pos="480"/>
      </w:tabs>
      <w:spacing w:before="160"/>
      <w:ind w:left="1418" w:hanging="284"/>
    </w:pPr>
    <w:rPr>
      <w:rFonts w:ascii="Arial" w:hAnsi="Arial"/>
      <w:spacing w:val="-2"/>
      <w:kern w:val="0"/>
      <w:sz w:val="20"/>
      <w:lang w:eastAsia="fr-FR"/>
    </w:rPr>
  </w:style>
  <w:style w:type="paragraph" w:customStyle="1" w:styleId="1254">
    <w:name w:val="CM9"/>
    <w:basedOn w:val="117"/>
    <w:next w:val="117"/>
    <w:qFormat/>
    <w:uiPriority w:val="0"/>
    <w:pPr>
      <w:spacing w:line="468" w:lineRule="atLeast"/>
    </w:pPr>
    <w:rPr>
      <w:rFonts w:ascii="仿宋_GB2312" w:eastAsia="仿宋_GB2312" w:cs="仿宋_GB2312"/>
      <w:color w:val="auto"/>
    </w:rPr>
  </w:style>
  <w:style w:type="paragraph" w:customStyle="1" w:styleId="1255">
    <w:name w:val="样式3一级"/>
    <w:basedOn w:val="1"/>
    <w:qFormat/>
    <w:uiPriority w:val="0"/>
    <w:pPr>
      <w:spacing w:line="420" w:lineRule="exact"/>
      <w:jc w:val="center"/>
    </w:pPr>
    <w:rPr>
      <w:rFonts w:ascii="黑体" w:eastAsia="黑体"/>
      <w:sz w:val="36"/>
      <w:szCs w:val="24"/>
    </w:rPr>
  </w:style>
  <w:style w:type="paragraph" w:customStyle="1" w:styleId="1256">
    <w:name w:val="表内小四左"/>
    <w:basedOn w:val="1178"/>
    <w:qFormat/>
    <w:uiPriority w:val="0"/>
    <w:pPr>
      <w:widowControl/>
      <w:snapToGrid/>
      <w:ind w:left="-50" w:leftChars="0" w:right="0" w:rightChars="0"/>
      <w:jc w:val="both"/>
    </w:pPr>
  </w:style>
  <w:style w:type="paragraph" w:customStyle="1" w:styleId="1257">
    <w:name w:val="样式 标题 2 + 首行缩进:  2 字符"/>
    <w:basedOn w:val="8"/>
    <w:qFormat/>
    <w:uiPriority w:val="0"/>
    <w:pPr>
      <w:spacing w:before="0" w:after="0" w:line="300" w:lineRule="auto"/>
    </w:pPr>
    <w:rPr>
      <w:rFonts w:cs="宋体"/>
      <w:b w:val="0"/>
      <w:bCs/>
      <w:sz w:val="30"/>
    </w:rPr>
  </w:style>
  <w:style w:type="paragraph" w:customStyle="1" w:styleId="1258">
    <w:name w:val="样式 正文缩进 + 小四 段后: 7.8 磅 行距: 多倍行距 1.2 字行"/>
    <w:basedOn w:val="11"/>
    <w:qFormat/>
    <w:uiPriority w:val="0"/>
    <w:pPr>
      <w:snapToGrid w:val="0"/>
      <w:spacing w:line="360" w:lineRule="auto"/>
      <w:ind w:firstLine="200"/>
    </w:pPr>
    <w:rPr>
      <w:rFonts w:cs="宋体"/>
      <w:sz w:val="24"/>
      <w:szCs w:val="24"/>
    </w:rPr>
  </w:style>
  <w:style w:type="paragraph" w:customStyle="1" w:styleId="1259">
    <w:name w:val="CM5"/>
    <w:basedOn w:val="117"/>
    <w:next w:val="117"/>
    <w:qFormat/>
    <w:uiPriority w:val="0"/>
    <w:pPr>
      <w:spacing w:line="468" w:lineRule="atLeast"/>
    </w:pPr>
    <w:rPr>
      <w:rFonts w:ascii="仿宋_GB2312" w:eastAsia="仿宋_GB2312" w:cs="Times New Roman"/>
      <w:color w:val="auto"/>
    </w:rPr>
  </w:style>
  <w:style w:type="paragraph" w:customStyle="1" w:styleId="1260">
    <w:name w:val="附录"/>
    <w:basedOn w:val="1"/>
    <w:qFormat/>
    <w:uiPriority w:val="0"/>
    <w:pPr>
      <w:adjustRightInd w:val="0"/>
      <w:snapToGrid w:val="0"/>
      <w:spacing w:before="240" w:line="312" w:lineRule="auto"/>
    </w:pPr>
    <w:rPr>
      <w:b/>
      <w:bCs/>
      <w:sz w:val="32"/>
      <w:szCs w:val="32"/>
    </w:rPr>
  </w:style>
  <w:style w:type="paragraph" w:customStyle="1" w:styleId="1261">
    <w:name w:val="讲稿"/>
    <w:basedOn w:val="1"/>
    <w:qFormat/>
    <w:uiPriority w:val="0"/>
    <w:pPr>
      <w:ind w:firstLine="431"/>
    </w:pPr>
    <w:rPr>
      <w:rFonts w:ascii="Arial" w:hAnsi="Arial"/>
      <w:kern w:val="0"/>
    </w:rPr>
  </w:style>
  <w:style w:type="paragraph" w:customStyle="1" w:styleId="1262">
    <w:name w:val="样式 标题 3 + 华文中宋 小三 段前: 6 磅 段后: 6 磅 行距: 多倍行距 1.4 字行"/>
    <w:basedOn w:val="9"/>
    <w:qFormat/>
    <w:uiPriority w:val="0"/>
    <w:pPr>
      <w:keepLines w:val="0"/>
      <w:tabs>
        <w:tab w:val="left" w:pos="42"/>
        <w:tab w:val="left" w:pos="861"/>
        <w:tab w:val="left" w:pos="1740"/>
        <w:tab w:val="left" w:pos="2160"/>
      </w:tabs>
      <w:spacing w:before="0" w:after="0" w:line="360" w:lineRule="auto"/>
      <w:ind w:left="567" w:hanging="567"/>
      <w:jc w:val="left"/>
    </w:pPr>
    <w:rPr>
      <w:rFonts w:eastAsia="仿宋_GB2312"/>
      <w:sz w:val="30"/>
    </w:rPr>
  </w:style>
  <w:style w:type="paragraph" w:customStyle="1" w:styleId="1263">
    <w:name w:val="reader-word-layer reader-word-s1-30 reader-word-s1-3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64">
    <w:name w:val="Z正文"/>
    <w:basedOn w:val="3"/>
    <w:qFormat/>
    <w:uiPriority w:val="0"/>
    <w:pPr>
      <w:spacing w:after="120"/>
      <w:ind w:firstLine="600" w:firstLineChars="200"/>
      <w:jc w:val="both"/>
    </w:pPr>
    <w:rPr>
      <w:rFonts w:eastAsia="仿宋_GB2312"/>
      <w:sz w:val="30"/>
    </w:rPr>
  </w:style>
  <w:style w:type="paragraph" w:customStyle="1" w:styleId="1265">
    <w:name w:val="样式 标题 1 + 首行缩进:  2 字符"/>
    <w:basedOn w:val="7"/>
    <w:qFormat/>
    <w:uiPriority w:val="0"/>
    <w:pPr>
      <w:spacing w:before="0" w:after="0" w:line="300" w:lineRule="auto"/>
      <w:ind w:firstLine="200" w:firstLineChars="200"/>
      <w:jc w:val="center"/>
    </w:pPr>
    <w:rPr>
      <w:rFonts w:cs="宋体"/>
      <w:b w:val="0"/>
      <w:bCs/>
      <w:sz w:val="32"/>
    </w:rPr>
  </w:style>
  <w:style w:type="paragraph" w:customStyle="1" w:styleId="1266">
    <w:name w:val="图标"/>
    <w:basedOn w:val="1"/>
    <w:qFormat/>
    <w:uiPriority w:val="0"/>
    <w:pPr>
      <w:tabs>
        <w:tab w:val="left" w:pos="1920"/>
      </w:tabs>
      <w:spacing w:line="400" w:lineRule="atLeast"/>
      <w:jc w:val="center"/>
    </w:pPr>
    <w:rPr>
      <w:bCs/>
      <w:color w:val="000000"/>
      <w:sz w:val="24"/>
      <w:szCs w:val="21"/>
    </w:rPr>
  </w:style>
  <w:style w:type="paragraph" w:customStyle="1" w:styleId="1267">
    <w:name w:val="样式 表名1 + 段前: 0.3 行1"/>
    <w:basedOn w:val="1268"/>
    <w:qFormat/>
    <w:uiPriority w:val="0"/>
  </w:style>
  <w:style w:type="paragraph" w:customStyle="1" w:styleId="1268">
    <w:name w:val="表名1"/>
    <w:basedOn w:val="1"/>
    <w:qFormat/>
    <w:uiPriority w:val="0"/>
    <w:pPr>
      <w:adjustRightInd w:val="0"/>
      <w:snapToGrid w:val="0"/>
      <w:spacing w:before="93" w:beforeLines="30" w:line="300" w:lineRule="auto"/>
      <w:jc w:val="center"/>
    </w:pPr>
    <w:rPr>
      <w:rFonts w:eastAsia="黑体"/>
      <w:sz w:val="24"/>
    </w:rPr>
  </w:style>
  <w:style w:type="paragraph" w:customStyle="1" w:styleId="1269">
    <w:name w:val=" Char Char1 Char"/>
    <w:basedOn w:val="1"/>
    <w:qFormat/>
    <w:uiPriority w:val="0"/>
    <w:rPr>
      <w:szCs w:val="24"/>
    </w:rPr>
  </w:style>
  <w:style w:type="paragraph" w:customStyle="1" w:styleId="1270">
    <w:name w:val="表格文字2"/>
    <w:basedOn w:val="1"/>
    <w:qFormat/>
    <w:uiPriority w:val="0"/>
    <w:pPr>
      <w:adjustRightInd w:val="0"/>
      <w:snapToGrid w:val="0"/>
      <w:ind w:left="-120" w:leftChars="-50" w:right="-192" w:rightChars="-80"/>
      <w:jc w:val="center"/>
      <w:textAlignment w:val="baseline"/>
    </w:pPr>
    <w:rPr>
      <w:sz w:val="24"/>
      <w:szCs w:val="21"/>
    </w:rPr>
  </w:style>
  <w:style w:type="paragraph" w:customStyle="1" w:styleId="1271">
    <w:name w:val="CM67"/>
    <w:basedOn w:val="1"/>
    <w:next w:val="1"/>
    <w:qFormat/>
    <w:uiPriority w:val="0"/>
    <w:pPr>
      <w:autoSpaceDE w:val="0"/>
      <w:autoSpaceDN w:val="0"/>
      <w:adjustRightInd w:val="0"/>
      <w:spacing w:after="158"/>
      <w:jc w:val="left"/>
    </w:pPr>
    <w:rPr>
      <w:rFonts w:ascii="仿宋_GB2312" w:eastAsia="仿宋_GB2312"/>
      <w:kern w:val="0"/>
      <w:sz w:val="24"/>
      <w:szCs w:val="24"/>
    </w:rPr>
  </w:style>
  <w:style w:type="paragraph" w:customStyle="1" w:styleId="1272">
    <w:name w:val="项目编号文字"/>
    <w:basedOn w:val="1"/>
    <w:qFormat/>
    <w:uiPriority w:val="0"/>
    <w:pPr>
      <w:adjustRightInd w:val="0"/>
      <w:spacing w:before="120" w:line="360" w:lineRule="auto"/>
      <w:ind w:left="1077"/>
      <w:textAlignment w:val="baseline"/>
    </w:pPr>
    <w:rPr>
      <w:kern w:val="0"/>
      <w:sz w:val="24"/>
    </w:rPr>
  </w:style>
  <w:style w:type="paragraph" w:customStyle="1" w:styleId="1273">
    <w:name w:val="表头样式"/>
    <w:basedOn w:val="1"/>
    <w:link w:val="1274"/>
    <w:qFormat/>
    <w:uiPriority w:val="0"/>
    <w:pPr>
      <w:tabs>
        <w:tab w:val="left" w:pos="3060"/>
      </w:tabs>
      <w:spacing w:line="360" w:lineRule="auto"/>
      <w:jc w:val="center"/>
    </w:pPr>
    <w:rPr>
      <w:rFonts w:hAnsi="宋体"/>
      <w:b/>
      <w:bCs/>
      <w:sz w:val="24"/>
      <w:szCs w:val="24"/>
    </w:rPr>
  </w:style>
  <w:style w:type="character" w:customStyle="1" w:styleId="1274">
    <w:name w:val="表头样式 Char Char"/>
    <w:link w:val="1273"/>
    <w:qFormat/>
    <w:uiPriority w:val="0"/>
    <w:rPr>
      <w:rFonts w:hAnsi="宋体"/>
      <w:b/>
      <w:bCs/>
      <w:kern w:val="2"/>
      <w:sz w:val="24"/>
      <w:szCs w:val="24"/>
    </w:rPr>
  </w:style>
  <w:style w:type="paragraph" w:customStyle="1" w:styleId="1275">
    <w:name w:val="样式 标题 3 + 首行缩进: 0 字符"/>
    <w:basedOn w:val="9"/>
    <w:qFormat/>
    <w:uiPriority w:val="0"/>
    <w:pPr>
      <w:spacing w:before="40" w:after="40"/>
      <w:ind w:left="709" w:hanging="709"/>
    </w:pPr>
    <w:rPr>
      <w:rFonts w:cs="宋体"/>
      <w:b w:val="0"/>
      <w:sz w:val="30"/>
    </w:rPr>
  </w:style>
  <w:style w:type="paragraph" w:customStyle="1" w:styleId="1276">
    <w:name w:val="Style5"/>
    <w:basedOn w:val="1"/>
    <w:qFormat/>
    <w:uiPriority w:val="0"/>
    <w:pPr>
      <w:jc w:val="left"/>
    </w:pPr>
    <w:rPr>
      <w:rFonts w:ascii="宋体" w:cs="宋体"/>
      <w:kern w:val="0"/>
      <w:sz w:val="24"/>
      <w:szCs w:val="24"/>
    </w:rPr>
  </w:style>
  <w:style w:type="paragraph" w:customStyle="1" w:styleId="1277">
    <w:name w:val="块项目"/>
    <w:next w:val="2"/>
    <w:qFormat/>
    <w:uiPriority w:val="0"/>
    <w:pPr>
      <w:tabs>
        <w:tab w:val="left" w:pos="360"/>
        <w:tab w:val="left" w:pos="976"/>
      </w:tabs>
      <w:spacing w:before="120" w:after="120" w:line="360" w:lineRule="auto"/>
      <w:ind w:left="992" w:hanging="527" w:hangingChars="200"/>
    </w:pPr>
    <w:rPr>
      <w:rFonts w:ascii="Times New Roman" w:hAnsi="Times New Roman" w:eastAsia="宋体" w:cs="Times New Roman"/>
      <w:b/>
      <w:spacing w:val="20"/>
      <w:sz w:val="24"/>
      <w:lang w:val="en-US" w:eastAsia="zh-CN" w:bidi="ar-SA"/>
    </w:rPr>
  </w:style>
  <w:style w:type="paragraph" w:customStyle="1" w:styleId="1278">
    <w:name w:val="reader-word-layer reader-word-s1-49"/>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79">
    <w:name w:val="环科院表格文字"/>
    <w:basedOn w:val="1"/>
    <w:qFormat/>
    <w:uiPriority w:val="0"/>
    <w:pPr>
      <w:jc w:val="center"/>
    </w:pPr>
    <w:rPr>
      <w:rFonts w:hAnsi="宋体"/>
      <w:sz w:val="18"/>
    </w:rPr>
  </w:style>
  <w:style w:type="paragraph" w:customStyle="1" w:styleId="1280">
    <w:name w:val=" Char Char Char Char Char Char Char Char Char Char Char Char Char Char Char Char"/>
    <w:basedOn w:val="1"/>
    <w:qFormat/>
    <w:uiPriority w:val="0"/>
    <w:pPr>
      <w:spacing w:line="360" w:lineRule="auto"/>
      <w:ind w:firstLine="200" w:firstLineChars="200"/>
    </w:pPr>
    <w:rPr>
      <w:rFonts w:ascii="宋体" w:hAnsi="宋体" w:cs="宋体"/>
      <w:sz w:val="24"/>
      <w:szCs w:val="28"/>
    </w:rPr>
  </w:style>
  <w:style w:type="paragraph" w:customStyle="1" w:styleId="1281">
    <w:name w:val="河石管道 表头"/>
    <w:qFormat/>
    <w:uiPriority w:val="0"/>
    <w:pPr>
      <w:jc w:val="center"/>
    </w:pPr>
    <w:rPr>
      <w:rFonts w:ascii="Times New Roman" w:hAnsi="Times New Roman" w:eastAsia="宋体" w:cs="Times New Roman"/>
      <w:bCs/>
      <w:sz w:val="21"/>
      <w:szCs w:val="21"/>
      <w:lang w:val="en-US" w:eastAsia="zh-CN" w:bidi="ar-SA"/>
    </w:rPr>
  </w:style>
  <w:style w:type="paragraph" w:customStyle="1" w:styleId="1282">
    <w:name w:val="表格名和图名"/>
    <w:basedOn w:val="1"/>
    <w:qFormat/>
    <w:uiPriority w:val="0"/>
    <w:pPr>
      <w:spacing w:line="360" w:lineRule="auto"/>
      <w:jc w:val="center"/>
    </w:pPr>
    <w:rPr>
      <w:b/>
      <w:color w:val="000000"/>
      <w:sz w:val="24"/>
      <w:szCs w:val="24"/>
    </w:rPr>
  </w:style>
  <w:style w:type="paragraph" w:customStyle="1" w:styleId="1283">
    <w:name w:val="样式 表格文本 五号 单倍行距 + 两端对齐"/>
    <w:basedOn w:val="898"/>
    <w:qFormat/>
    <w:uiPriority w:val="0"/>
    <w:pPr>
      <w:jc w:val="both"/>
    </w:pPr>
  </w:style>
  <w:style w:type="paragraph" w:customStyle="1" w:styleId="1284">
    <w:name w:val="我的正文 Char"/>
    <w:basedOn w:val="1"/>
    <w:next w:val="1"/>
    <w:qFormat/>
    <w:uiPriority w:val="0"/>
    <w:pPr>
      <w:spacing w:line="520" w:lineRule="exact"/>
      <w:ind w:firstLine="540" w:firstLineChars="225"/>
    </w:pPr>
    <w:rPr>
      <w:sz w:val="24"/>
      <w:szCs w:val="24"/>
    </w:rPr>
  </w:style>
  <w:style w:type="paragraph" w:customStyle="1" w:styleId="1285">
    <w:name w:val="表内五中"/>
    <w:basedOn w:val="1"/>
    <w:qFormat/>
    <w:uiPriority w:val="0"/>
    <w:pPr>
      <w:tabs>
        <w:tab w:val="left" w:pos="-120"/>
      </w:tabs>
      <w:spacing w:before="60" w:line="310" w:lineRule="atLeast"/>
      <w:jc w:val="center"/>
    </w:pPr>
  </w:style>
  <w:style w:type="paragraph" w:customStyle="1" w:styleId="1286">
    <w:name w:val="style20"/>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287">
    <w:name w:val="样式 正文居中五号 + 行距: 单倍行距"/>
    <w:basedOn w:val="613"/>
    <w:qFormat/>
    <w:uiPriority w:val="0"/>
    <w:pPr>
      <w:spacing w:line="240" w:lineRule="auto"/>
    </w:pPr>
  </w:style>
  <w:style w:type="paragraph" w:customStyle="1" w:styleId="1288">
    <w:name w:val="表中"/>
    <w:link w:val="1289"/>
    <w:qFormat/>
    <w:uiPriority w:val="0"/>
    <w:pPr>
      <w:widowControl w:val="0"/>
      <w:adjustRightInd w:val="0"/>
      <w:snapToGrid w:val="0"/>
      <w:spacing w:line="280" w:lineRule="exact"/>
      <w:jc w:val="center"/>
    </w:pPr>
    <w:rPr>
      <w:rFonts w:ascii="宋体" w:hAnsi="宋体" w:eastAsia="宋体" w:cs="Times New Roman"/>
      <w:color w:val="000000"/>
      <w:kern w:val="2"/>
      <w:sz w:val="18"/>
      <w:szCs w:val="18"/>
      <w:lang w:val="en-US" w:eastAsia="zh-CN" w:bidi="ar-SA"/>
    </w:rPr>
  </w:style>
  <w:style w:type="character" w:customStyle="1" w:styleId="1289">
    <w:name w:val="表中 Char Char"/>
    <w:link w:val="1288"/>
    <w:qFormat/>
    <w:uiPriority w:val="0"/>
    <w:rPr>
      <w:rFonts w:ascii="宋体" w:hAnsi="宋体"/>
      <w:color w:val="000000"/>
      <w:kern w:val="2"/>
      <w:sz w:val="18"/>
      <w:szCs w:val="18"/>
      <w:lang w:bidi="ar-SA"/>
    </w:rPr>
  </w:style>
  <w:style w:type="paragraph" w:customStyle="1" w:styleId="1290">
    <w:name w:val="湛江沥青正文"/>
    <w:basedOn w:val="1"/>
    <w:qFormat/>
    <w:uiPriority w:val="0"/>
    <w:pPr>
      <w:spacing w:line="360" w:lineRule="auto"/>
      <w:ind w:firstLine="480" w:firstLineChars="200"/>
    </w:pPr>
    <w:rPr>
      <w:rFonts w:ascii="宋体" w:hAnsi="宋体"/>
      <w:sz w:val="24"/>
      <w:szCs w:val="24"/>
    </w:rPr>
  </w:style>
  <w:style w:type="paragraph" w:customStyle="1" w:styleId="1291">
    <w:name w:val="生物拉丁文"/>
    <w:basedOn w:val="1"/>
    <w:qFormat/>
    <w:uiPriority w:val="0"/>
    <w:pPr>
      <w:tabs>
        <w:tab w:val="left" w:pos="-120"/>
      </w:tabs>
      <w:spacing w:before="60" w:line="0" w:lineRule="atLeast"/>
      <w:jc w:val="left"/>
    </w:pPr>
    <w:rPr>
      <w:i/>
      <w:spacing w:val="20"/>
      <w:sz w:val="24"/>
    </w:rPr>
  </w:style>
  <w:style w:type="paragraph" w:customStyle="1" w:styleId="1292">
    <w:name w:val="reader-word-layer reader-word-s1-23 reader-word-s1-38"/>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93">
    <w:name w:val="正文 + (西文) 宋体"/>
    <w:basedOn w:val="1"/>
    <w:qFormat/>
    <w:uiPriority w:val="0"/>
    <w:pPr>
      <w:tabs>
        <w:tab w:val="left" w:pos="360"/>
      </w:tabs>
      <w:spacing w:line="360" w:lineRule="auto"/>
      <w:ind w:left="360" w:firstLine="510"/>
    </w:pPr>
    <w:rPr>
      <w:rFonts w:ascii="宋体" w:hAnsi="宋体" w:eastAsia="仿宋_GB2312"/>
      <w:sz w:val="24"/>
      <w:szCs w:val="24"/>
    </w:rPr>
  </w:style>
  <w:style w:type="paragraph" w:customStyle="1" w:styleId="1294">
    <w:name w:val="font0"/>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1295">
    <w:name w:val="reader-word-layer reader-word-s1-5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96">
    <w:name w:val="环科院标题1"/>
    <w:basedOn w:val="7"/>
    <w:qFormat/>
    <w:uiPriority w:val="0"/>
    <w:pPr>
      <w:tabs>
        <w:tab w:val="left" w:pos="425"/>
        <w:tab w:val="left" w:pos="560"/>
      </w:tabs>
      <w:spacing w:before="240" w:after="120" w:line="240" w:lineRule="auto"/>
      <w:ind w:left="560" w:hanging="420"/>
    </w:pPr>
    <w:rPr>
      <w:rFonts w:eastAsia="华文中宋"/>
      <w:bCs/>
      <w:szCs w:val="44"/>
    </w:rPr>
  </w:style>
  <w:style w:type="paragraph" w:customStyle="1" w:styleId="1297">
    <w:name w:val="环评正文"/>
    <w:basedOn w:val="1"/>
    <w:qFormat/>
    <w:uiPriority w:val="0"/>
    <w:pPr>
      <w:spacing w:line="360" w:lineRule="auto"/>
      <w:ind w:firstLine="200" w:firstLineChars="200"/>
    </w:pPr>
    <w:rPr>
      <w:sz w:val="24"/>
      <w:szCs w:val="24"/>
    </w:rPr>
  </w:style>
  <w:style w:type="paragraph" w:customStyle="1" w:styleId="1298">
    <w:name w:val="CM31"/>
    <w:basedOn w:val="117"/>
    <w:next w:val="117"/>
    <w:qFormat/>
    <w:uiPriority w:val="0"/>
    <w:pPr>
      <w:spacing w:line="466" w:lineRule="atLeast"/>
    </w:pPr>
    <w:rPr>
      <w:rFonts w:ascii="仿宋_GB2312" w:eastAsia="仿宋_GB2312" w:cs="Times New Roman"/>
      <w:color w:val="auto"/>
    </w:rPr>
  </w:style>
  <w:style w:type="paragraph" w:customStyle="1" w:styleId="1299">
    <w:name w:val="reader-word-layer reader-word-s1-55"/>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00">
    <w:name w:val="中气正文"/>
    <w:basedOn w:val="1"/>
    <w:qFormat/>
    <w:uiPriority w:val="0"/>
    <w:pPr>
      <w:spacing w:line="360" w:lineRule="auto"/>
      <w:ind w:firstLine="480" w:firstLineChars="200"/>
    </w:pPr>
    <w:rPr>
      <w:sz w:val="24"/>
      <w:szCs w:val="24"/>
    </w:rPr>
  </w:style>
  <w:style w:type="paragraph" w:customStyle="1" w:styleId="1301">
    <w:name w:val=" Char Char Char1"/>
    <w:basedOn w:val="1"/>
    <w:qFormat/>
    <w:uiPriority w:val="0"/>
    <w:pPr>
      <w:spacing w:line="360" w:lineRule="auto"/>
      <w:ind w:firstLine="200" w:firstLineChars="200"/>
    </w:pPr>
    <w:rPr>
      <w:rFonts w:ascii="宋体" w:hAnsi="宋体" w:cs="宋体"/>
      <w:sz w:val="24"/>
      <w:szCs w:val="24"/>
    </w:rPr>
  </w:style>
  <w:style w:type="paragraph" w:customStyle="1" w:styleId="1302">
    <w:name w:val="正文文本缩进1"/>
    <w:basedOn w:val="1"/>
    <w:qFormat/>
    <w:uiPriority w:val="0"/>
    <w:pPr>
      <w:spacing w:after="120"/>
      <w:ind w:left="420" w:leftChars="200"/>
    </w:pPr>
    <w:rPr>
      <w:rFonts w:hint="eastAsia"/>
    </w:rPr>
  </w:style>
  <w:style w:type="paragraph" w:customStyle="1" w:styleId="1303">
    <w:name w:val="封面4"/>
    <w:basedOn w:val="850"/>
    <w:qFormat/>
    <w:uiPriority w:val="0"/>
    <w:pPr>
      <w:snapToGrid w:val="0"/>
      <w:spacing w:line="240" w:lineRule="auto"/>
      <w:jc w:val="center"/>
    </w:pPr>
    <w:rPr>
      <w:sz w:val="36"/>
    </w:rPr>
  </w:style>
  <w:style w:type="paragraph" w:customStyle="1" w:styleId="1304">
    <w:name w:val="批注主题1"/>
    <w:basedOn w:val="39"/>
    <w:next w:val="39"/>
    <w:qFormat/>
    <w:uiPriority w:val="0"/>
    <w:rPr>
      <w:szCs w:val="24"/>
    </w:rPr>
  </w:style>
  <w:style w:type="paragraph" w:customStyle="1" w:styleId="1305">
    <w:name w:val="TAB"/>
    <w:basedOn w:val="3"/>
    <w:qFormat/>
    <w:uiPriority w:val="0"/>
    <w:pPr>
      <w:widowControl/>
      <w:spacing w:before="60" w:after="60"/>
      <w:jc w:val="left"/>
    </w:pPr>
    <w:rPr>
      <w:rFonts w:ascii="Arial" w:hAnsi="Arial"/>
      <w:kern w:val="0"/>
      <w:sz w:val="18"/>
      <w:lang w:eastAsia="fr-FR"/>
    </w:rPr>
  </w:style>
  <w:style w:type="paragraph" w:customStyle="1" w:styleId="1306">
    <w:name w:val="正式文本"/>
    <w:basedOn w:val="1"/>
    <w:qFormat/>
    <w:uiPriority w:val="0"/>
    <w:pPr>
      <w:ind w:firstLine="199" w:firstLineChars="71"/>
    </w:pPr>
    <w:rPr>
      <w:rFonts w:ascii="仿宋_GB2312" w:eastAsia="仿宋_GB2312"/>
      <w:sz w:val="28"/>
      <w:szCs w:val="21"/>
    </w:rPr>
  </w:style>
  <w:style w:type="paragraph" w:customStyle="1" w:styleId="1307">
    <w:name w:val="列项——"/>
    <w:qFormat/>
    <w:uiPriority w:val="0"/>
    <w:pPr>
      <w:widowControl w:val="0"/>
      <w:tabs>
        <w:tab w:val="left" w:pos="1620"/>
      </w:tabs>
      <w:ind w:left="1620" w:hanging="720"/>
      <w:jc w:val="both"/>
    </w:pPr>
    <w:rPr>
      <w:rFonts w:ascii="宋体" w:hAnsi="Times New Roman" w:eastAsia="宋体" w:cs="Times New Roman"/>
      <w:sz w:val="21"/>
      <w:lang w:val="en-US" w:eastAsia="zh-CN" w:bidi="ar-SA"/>
    </w:rPr>
  </w:style>
  <w:style w:type="paragraph" w:customStyle="1" w:styleId="1308">
    <w:name w:val="样式 表名称 + 居中 段前: 0.5 行"/>
    <w:basedOn w:val="741"/>
    <w:qFormat/>
    <w:uiPriority w:val="0"/>
    <w:pPr>
      <w:spacing w:after="0" w:afterLines="0" w:line="240" w:lineRule="auto"/>
    </w:pPr>
    <w:rPr>
      <w:rFonts w:cs="宋体"/>
      <w:bCs/>
      <w:color w:val="000000"/>
      <w:szCs w:val="20"/>
    </w:rPr>
  </w:style>
  <w:style w:type="paragraph" w:customStyle="1" w:styleId="1309">
    <w:name w:val="标题2-2"/>
    <w:basedOn w:val="1"/>
    <w:qFormat/>
    <w:uiPriority w:val="0"/>
    <w:pPr>
      <w:autoSpaceDE w:val="0"/>
      <w:autoSpaceDN w:val="0"/>
      <w:adjustRightInd w:val="0"/>
      <w:snapToGrid w:val="0"/>
      <w:spacing w:before="120" w:after="20" w:line="300" w:lineRule="auto"/>
      <w:outlineLvl w:val="1"/>
    </w:pPr>
    <w:rPr>
      <w:rFonts w:eastAsia="华文新魏"/>
      <w:b/>
      <w:bCs/>
      <w:snapToGrid w:val="0"/>
      <w:kern w:val="0"/>
      <w:sz w:val="32"/>
      <w:szCs w:val="32"/>
      <w:lang w:val="zh-CN"/>
    </w:rPr>
  </w:style>
  <w:style w:type="paragraph" w:customStyle="1" w:styleId="1310">
    <w:name w:val="我的段落"/>
    <w:basedOn w:val="1"/>
    <w:qFormat/>
    <w:uiPriority w:val="0"/>
    <w:pPr>
      <w:spacing w:before="62" w:beforeLines="20" w:after="62" w:afterLines="20" w:line="360" w:lineRule="auto"/>
      <w:ind w:firstLine="200" w:firstLineChars="200"/>
    </w:pPr>
    <w:rPr>
      <w:rFonts w:ascii="宋体" w:hAnsi="宋体"/>
      <w:spacing w:val="8"/>
      <w:sz w:val="28"/>
    </w:rPr>
  </w:style>
  <w:style w:type="paragraph" w:customStyle="1" w:styleId="1311">
    <w:name w:val="Char Char Char Char Char Char Char Char Char Char Char Char"/>
    <w:basedOn w:val="1"/>
    <w:qFormat/>
    <w:uiPriority w:val="0"/>
    <w:pPr>
      <w:adjustRightInd w:val="0"/>
      <w:spacing w:line="360" w:lineRule="auto"/>
      <w:ind w:firstLine="540" w:firstLineChars="225"/>
      <w:jc w:val="left"/>
    </w:pPr>
    <w:rPr>
      <w:rFonts w:ascii="宋体" w:hAnsi="宋体" w:cs="Arial"/>
      <w:snapToGrid w:val="0"/>
      <w:kern w:val="0"/>
      <w:szCs w:val="21"/>
      <w:lang w:val="eu-ES"/>
    </w:rPr>
  </w:style>
  <w:style w:type="paragraph" w:customStyle="1" w:styleId="1312">
    <w:name w:val="xl79"/>
    <w:basedOn w:val="1"/>
    <w:qFormat/>
    <w:uiPriority w:val="0"/>
    <w:pPr>
      <w:widowControl/>
      <w:spacing w:before="100" w:beforeAutospacing="1" w:after="100" w:afterAutospacing="1"/>
      <w:jc w:val="center"/>
    </w:pPr>
    <w:rPr>
      <w:rFonts w:ascii="Arial" w:hAnsi="Arial" w:cs="Arial"/>
      <w:kern w:val="0"/>
      <w:sz w:val="24"/>
      <w:szCs w:val="24"/>
    </w:rPr>
  </w:style>
  <w:style w:type="paragraph" w:customStyle="1" w:styleId="1313">
    <w:name w:val="Char Char Char Char Char Char1 Char Char Char1 Char Char Char1 Char Char Char Char Char Char Char Char Char Char3"/>
    <w:basedOn w:val="1"/>
    <w:next w:val="1"/>
    <w:qFormat/>
    <w:uiPriority w:val="0"/>
    <w:pPr>
      <w:spacing w:line="360" w:lineRule="auto"/>
      <w:ind w:firstLine="200" w:firstLineChars="200"/>
    </w:pPr>
    <w:rPr>
      <w:rFonts w:ascii="楷体_GB2312" w:hAnsi="宋体" w:eastAsia="楷体_GB2312" w:cs="宋体"/>
      <w:sz w:val="24"/>
      <w:szCs w:val="24"/>
    </w:rPr>
  </w:style>
  <w:style w:type="paragraph" w:customStyle="1" w:styleId="1314">
    <w:name w:val="一级无标题条"/>
    <w:basedOn w:val="1"/>
    <w:qFormat/>
    <w:uiPriority w:val="0"/>
    <w:pPr>
      <w:tabs>
        <w:tab w:val="left" w:pos="360"/>
      </w:tabs>
      <w:ind w:firstLine="200"/>
    </w:pPr>
    <w:rPr>
      <w:szCs w:val="24"/>
    </w:rPr>
  </w:style>
  <w:style w:type="paragraph" w:customStyle="1" w:styleId="1315">
    <w:name w:val="书名1"/>
    <w:basedOn w:val="1"/>
    <w:qFormat/>
    <w:uiPriority w:val="0"/>
    <w:pPr>
      <w:tabs>
        <w:tab w:val="left" w:pos="-120"/>
      </w:tabs>
      <w:adjustRightInd w:val="0"/>
      <w:spacing w:line="288" w:lineRule="auto"/>
      <w:jc w:val="center"/>
      <w:textAlignment w:val="baseline"/>
    </w:pPr>
    <w:rPr>
      <w:spacing w:val="20"/>
      <w:kern w:val="0"/>
      <w:sz w:val="32"/>
    </w:rPr>
  </w:style>
  <w:style w:type="paragraph" w:customStyle="1" w:styleId="1316">
    <w:name w:val="框图sq"/>
    <w:basedOn w:val="1"/>
    <w:qFormat/>
    <w:uiPriority w:val="0"/>
    <w:pPr>
      <w:adjustRightInd w:val="0"/>
      <w:spacing w:line="0" w:lineRule="atLeast"/>
      <w:textAlignment w:val="baseline"/>
    </w:pPr>
    <w:rPr>
      <w:rFonts w:ascii="宋体"/>
      <w:kern w:val="0"/>
    </w:rPr>
  </w:style>
  <w:style w:type="paragraph" w:customStyle="1" w:styleId="1317">
    <w:name w:val="表格03"/>
    <w:basedOn w:val="1"/>
    <w:qFormat/>
    <w:uiPriority w:val="0"/>
    <w:pPr>
      <w:spacing w:line="400" w:lineRule="exact"/>
      <w:jc w:val="center"/>
    </w:pPr>
    <w:rPr>
      <w:rFonts w:eastAsia="仿宋_GB2312"/>
      <w:szCs w:val="21"/>
    </w:rPr>
  </w:style>
  <w:style w:type="paragraph" w:customStyle="1" w:styleId="1318">
    <w:name w:val="表头8"/>
    <w:basedOn w:val="1"/>
    <w:qFormat/>
    <w:uiPriority w:val="0"/>
    <w:pPr>
      <w:tabs>
        <w:tab w:val="left" w:pos="360"/>
        <w:tab w:val="left" w:pos="1728"/>
        <w:tab w:val="left" w:pos="2866"/>
      </w:tabs>
      <w:adjustRightInd w:val="0"/>
      <w:snapToGrid w:val="0"/>
      <w:spacing w:before="312" w:beforeLines="100" w:after="156" w:afterLines="50" w:line="240" w:lineRule="atLeast"/>
      <w:ind w:left="845" w:hanging="425"/>
    </w:pPr>
    <w:rPr>
      <w:b/>
      <w:sz w:val="24"/>
      <w:szCs w:val="24"/>
    </w:rPr>
  </w:style>
  <w:style w:type="paragraph" w:customStyle="1" w:styleId="1319">
    <w:name w:val="gy"/>
    <w:basedOn w:val="1"/>
    <w:qFormat/>
    <w:uiPriority w:val="0"/>
    <w:pPr>
      <w:widowControl/>
      <w:spacing w:before="100" w:beforeAutospacing="1" w:after="100" w:afterAutospacing="1" w:line="360" w:lineRule="auto"/>
      <w:ind w:left="150" w:right="150" w:firstLine="520"/>
      <w:jc w:val="left"/>
      <w:textAlignment w:val="baseline"/>
    </w:pPr>
    <w:rPr>
      <w:rFonts w:ascii="Arial Unicode MS" w:hAnsi="Arial Unicode MS" w:eastAsia="Arial Unicode MS"/>
      <w:color w:val="000000"/>
      <w:kern w:val="0"/>
      <w:sz w:val="18"/>
      <w:u w:val="none" w:color="000000"/>
    </w:rPr>
  </w:style>
  <w:style w:type="paragraph" w:customStyle="1" w:styleId="1320">
    <w:name w:val=" 字元 字元 Char Char 字元 字元1"/>
    <w:basedOn w:val="1"/>
    <w:qFormat/>
    <w:uiPriority w:val="0"/>
    <w:rPr>
      <w:sz w:val="24"/>
      <w:szCs w:val="24"/>
    </w:rPr>
  </w:style>
  <w:style w:type="paragraph" w:customStyle="1" w:styleId="1321">
    <w:name w:val="样式 标题 2 + 宋体 小四"/>
    <w:basedOn w:val="8"/>
    <w:qFormat/>
    <w:uiPriority w:val="0"/>
    <w:pPr>
      <w:tabs>
        <w:tab w:val="left" w:pos="2534"/>
      </w:tabs>
      <w:adjustRightInd w:val="0"/>
      <w:snapToGrid w:val="0"/>
      <w:spacing w:before="100" w:beforeAutospacing="1" w:after="0" w:line="360" w:lineRule="auto"/>
      <w:jc w:val="left"/>
    </w:pPr>
    <w:rPr>
      <w:rFonts w:ascii="仿宋_GB2312" w:hAnsi="Times New Roman" w:eastAsia="仿宋_GB2312"/>
      <w:b w:val="0"/>
      <w:sz w:val="24"/>
      <w:szCs w:val="28"/>
    </w:rPr>
  </w:style>
  <w:style w:type="paragraph" w:customStyle="1" w:styleId="1322">
    <w:name w:val="正文居中"/>
    <w:basedOn w:val="1"/>
    <w:qFormat/>
    <w:uiPriority w:val="0"/>
    <w:pPr>
      <w:spacing w:line="400" w:lineRule="exact"/>
      <w:jc w:val="center"/>
    </w:pPr>
    <w:rPr>
      <w:rFonts w:cs="宋体"/>
      <w:sz w:val="24"/>
    </w:rPr>
  </w:style>
  <w:style w:type="paragraph" w:customStyle="1" w:styleId="1323">
    <w:name w:val="WPS Plain"/>
    <w:qFormat/>
    <w:uiPriority w:val="0"/>
    <w:rPr>
      <w:rFonts w:ascii="Times New Roman" w:hAnsi="Times New Roman" w:eastAsia="宋体" w:cs="Times New Roman"/>
      <w:lang w:val="en-US" w:eastAsia="zh-CN" w:bidi="ar-SA"/>
    </w:rPr>
  </w:style>
  <w:style w:type="paragraph" w:customStyle="1" w:styleId="1324">
    <w:name w:val="xl21"/>
    <w:basedOn w:val="1"/>
    <w:qFormat/>
    <w:uiPriority w:val="0"/>
    <w:pPr>
      <w:widowControl/>
      <w:spacing w:before="100" w:beforeAutospacing="1" w:after="100" w:afterAutospacing="1"/>
      <w:jc w:val="center"/>
    </w:pPr>
    <w:rPr>
      <w:rFonts w:ascii="宋体" w:hAnsi="宋体"/>
      <w:kern w:val="0"/>
      <w:sz w:val="24"/>
      <w:szCs w:val="24"/>
    </w:rPr>
  </w:style>
  <w:style w:type="paragraph" w:customStyle="1" w:styleId="1325">
    <w:name w:val="样式 样式 目录 2 + 首行缩进:  2 字符 + 首行缩进:  2 字符1"/>
    <w:basedOn w:val="744"/>
    <w:qFormat/>
    <w:uiPriority w:val="0"/>
    <w:pPr>
      <w:tabs>
        <w:tab w:val="left" w:pos="960"/>
        <w:tab w:val="clear" w:pos="1200"/>
        <w:tab w:val="clear" w:pos="8280"/>
      </w:tabs>
      <w:ind w:firstLine="400"/>
    </w:pPr>
  </w:style>
  <w:style w:type="paragraph" w:customStyle="1" w:styleId="1326">
    <w:name w:val="CM90"/>
    <w:basedOn w:val="117"/>
    <w:next w:val="117"/>
    <w:qFormat/>
    <w:uiPriority w:val="0"/>
    <w:pPr>
      <w:spacing w:line="468" w:lineRule="atLeast"/>
    </w:pPr>
    <w:rPr>
      <w:rFonts w:ascii="仿宋_GB2312" w:eastAsia="仿宋_GB2312" w:cs="仿宋_GB2312"/>
      <w:color w:val="auto"/>
    </w:rPr>
  </w:style>
  <w:style w:type="paragraph" w:customStyle="1" w:styleId="1327">
    <w:name w:val="证书编号"/>
    <w:basedOn w:val="1"/>
    <w:qFormat/>
    <w:uiPriority w:val="0"/>
    <w:pPr>
      <w:jc w:val="center"/>
    </w:pPr>
    <w:rPr>
      <w:rFonts w:cs="宋体"/>
      <w:sz w:val="28"/>
    </w:rPr>
  </w:style>
  <w:style w:type="paragraph" w:customStyle="1" w:styleId="1328">
    <w:name w:val="lily's 正文"/>
    <w:basedOn w:val="1"/>
    <w:qFormat/>
    <w:uiPriority w:val="0"/>
    <w:pPr>
      <w:spacing w:line="360" w:lineRule="auto"/>
      <w:ind w:firstLine="480" w:firstLineChars="200"/>
    </w:pPr>
    <w:rPr>
      <w:rFonts w:eastAsia="楷体_GB2312"/>
      <w:sz w:val="24"/>
      <w:szCs w:val="24"/>
    </w:rPr>
  </w:style>
  <w:style w:type="paragraph" w:customStyle="1" w:styleId="1329">
    <w:name w:val="样式 目录 1 + 首行缩进:  2 字符"/>
    <w:basedOn w:val="65"/>
    <w:qFormat/>
    <w:uiPriority w:val="0"/>
    <w:pPr>
      <w:tabs>
        <w:tab w:val="right" w:leader="dot" w:pos="8280"/>
        <w:tab w:val="clear" w:pos="8296"/>
      </w:tabs>
      <w:adjustRightInd w:val="0"/>
      <w:snapToGrid w:val="0"/>
      <w:spacing w:before="120" w:after="120" w:line="360" w:lineRule="auto"/>
      <w:jc w:val="left"/>
    </w:pPr>
    <w:rPr>
      <w:rFonts w:ascii="黑体" w:eastAsia="黑体" w:cs="宋体"/>
      <w:sz w:val="20"/>
    </w:rPr>
  </w:style>
  <w:style w:type="paragraph" w:customStyle="1" w:styleId="1330">
    <w:name w:val="生物中文类名"/>
    <w:basedOn w:val="1"/>
    <w:qFormat/>
    <w:uiPriority w:val="0"/>
    <w:pPr>
      <w:tabs>
        <w:tab w:val="left" w:pos="-120"/>
      </w:tabs>
      <w:spacing w:before="60" w:line="310" w:lineRule="atLeast"/>
    </w:pPr>
    <w:rPr>
      <w:rFonts w:ascii="宋体" w:hAnsi="宋体"/>
      <w:b/>
      <w:spacing w:val="20"/>
      <w:sz w:val="24"/>
    </w:rPr>
  </w:style>
  <w:style w:type="paragraph" w:customStyle="1" w:styleId="1331">
    <w:name w:val="段落样式"/>
    <w:basedOn w:val="1"/>
    <w:qFormat/>
    <w:uiPriority w:val="0"/>
    <w:pPr>
      <w:keepNext/>
      <w:suppressLineNumbers/>
      <w:suppressAutoHyphens/>
      <w:topLinePunct/>
      <w:adjustRightInd w:val="0"/>
      <w:snapToGrid w:val="0"/>
      <w:spacing w:line="300" w:lineRule="auto"/>
      <w:textAlignment w:val="baseline"/>
    </w:pPr>
    <w:rPr>
      <w:snapToGrid w:val="0"/>
      <w:w w:val="80"/>
      <w:kern w:val="0"/>
      <w:sz w:val="28"/>
    </w:rPr>
  </w:style>
  <w:style w:type="paragraph" w:customStyle="1" w:styleId="1332">
    <w:name w:val="annotation subject"/>
    <w:basedOn w:val="39"/>
    <w:next w:val="39"/>
    <w:qFormat/>
    <w:uiPriority w:val="0"/>
    <w:rPr>
      <w:szCs w:val="24"/>
    </w:rPr>
  </w:style>
  <w:style w:type="paragraph" w:customStyle="1" w:styleId="1333">
    <w:name w:val="样式 标题 2标题21.1 + (西文) 宋体 黑色"/>
    <w:basedOn w:val="8"/>
    <w:qFormat/>
    <w:uiPriority w:val="0"/>
    <w:pPr>
      <w:tabs>
        <w:tab w:val="left" w:pos="1320"/>
      </w:tabs>
      <w:adjustRightInd w:val="0"/>
      <w:snapToGrid w:val="0"/>
      <w:spacing w:before="0" w:after="0" w:line="360" w:lineRule="auto"/>
      <w:ind w:left="1320" w:hanging="420"/>
    </w:pPr>
    <w:rPr>
      <w:rFonts w:ascii="宋体" w:hAnsi="宋体"/>
      <w:b w:val="0"/>
      <w:color w:val="000000"/>
      <w:kern w:val="24"/>
      <w:sz w:val="24"/>
    </w:rPr>
  </w:style>
  <w:style w:type="paragraph" w:customStyle="1" w:styleId="1334">
    <w:name w:val="样式 正文首行缩进 + 四号 首行缩进:  1 字符 Char"/>
    <w:basedOn w:val="2"/>
    <w:qFormat/>
    <w:uiPriority w:val="0"/>
    <w:pPr>
      <w:overflowPunct/>
      <w:autoSpaceDE/>
      <w:autoSpaceDN/>
      <w:adjustRightInd/>
      <w:spacing w:after="120" w:line="500" w:lineRule="atLeast"/>
      <w:ind w:firstLine="538" w:firstLineChars="192"/>
      <w:jc w:val="left"/>
      <w:textAlignment w:val="auto"/>
    </w:pPr>
    <w:rPr>
      <w:kern w:val="2"/>
    </w:rPr>
  </w:style>
  <w:style w:type="paragraph" w:customStyle="1" w:styleId="1335">
    <w:name w:val="标题 33"/>
    <w:basedOn w:val="1"/>
    <w:qFormat/>
    <w:uiPriority w:val="0"/>
    <w:pPr>
      <w:tabs>
        <w:tab w:val="left" w:pos="1820"/>
      </w:tabs>
      <w:adjustRightInd w:val="0"/>
      <w:snapToGrid w:val="0"/>
      <w:spacing w:line="500" w:lineRule="atLeast"/>
      <w:ind w:left="1820" w:hanging="420"/>
    </w:pPr>
    <w:rPr>
      <w:sz w:val="28"/>
      <w:szCs w:val="24"/>
    </w:rPr>
  </w:style>
  <w:style w:type="paragraph" w:customStyle="1" w:styleId="1336">
    <w:name w:val="T表格"/>
    <w:qFormat/>
    <w:uiPriority w:val="0"/>
    <w:pPr>
      <w:widowControl w:val="0"/>
      <w:jc w:val="center"/>
    </w:pPr>
    <w:rPr>
      <w:rFonts w:ascii="仿宋_GB2312" w:hAnsi="Times New Roman" w:eastAsia="仿宋_GB2312" w:cs="Times New Roman"/>
      <w:color w:val="000000"/>
      <w:kern w:val="2"/>
      <w:sz w:val="24"/>
      <w:szCs w:val="24"/>
      <w:lang w:val="en-US" w:eastAsia="zh-CN" w:bidi="ar-SA"/>
    </w:rPr>
  </w:style>
  <w:style w:type="paragraph" w:customStyle="1" w:styleId="1337">
    <w:name w:val="xl54"/>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1338">
    <w:name w:val="HTML Top of Form"/>
    <w:basedOn w:val="1"/>
    <w:next w:val="1"/>
    <w:qFormat/>
    <w:uiPriority w:val="0"/>
    <w:pPr>
      <w:pBdr>
        <w:bottom w:val="single" w:color="auto" w:sz="6" w:space="1"/>
      </w:pBdr>
      <w:jc w:val="center"/>
    </w:pPr>
    <w:rPr>
      <w:rFonts w:hint="eastAsia" w:ascii="Arial" w:hAnsi="Arial"/>
      <w:vanish/>
      <w:sz w:val="16"/>
    </w:rPr>
  </w:style>
  <w:style w:type="paragraph" w:customStyle="1" w:styleId="1339">
    <w:name w:val="样式 标题 4Subsection标题 14 + 段前: 1 行"/>
    <w:basedOn w:val="1"/>
    <w:qFormat/>
    <w:uiPriority w:val="0"/>
    <w:pPr>
      <w:spacing w:before="100" w:beforeAutospacing="1" w:line="360" w:lineRule="auto"/>
      <w:outlineLvl w:val="4"/>
    </w:pPr>
  </w:style>
  <w:style w:type="paragraph" w:customStyle="1" w:styleId="1340">
    <w:name w:val="正文表标题"/>
    <w:next w:val="932"/>
    <w:qFormat/>
    <w:uiPriority w:val="0"/>
    <w:pPr>
      <w:tabs>
        <w:tab w:val="left" w:pos="1129"/>
      </w:tabs>
      <w:ind w:left="1129" w:hanging="709"/>
      <w:jc w:val="center"/>
    </w:pPr>
    <w:rPr>
      <w:rFonts w:ascii="黑体" w:hAnsi="Times New Roman" w:eastAsia="黑体" w:cs="Times New Roman"/>
      <w:sz w:val="21"/>
      <w:lang w:val="en-US" w:eastAsia="zh-CN" w:bidi="ar-SA"/>
    </w:rPr>
  </w:style>
  <w:style w:type="paragraph" w:customStyle="1" w:styleId="1341">
    <w:name w:val="pic-info"/>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42">
    <w:name w:val="样式 标题 1 + 首行缩进:  2 字符1"/>
    <w:basedOn w:val="7"/>
    <w:qFormat/>
    <w:uiPriority w:val="0"/>
    <w:pPr>
      <w:jc w:val="center"/>
    </w:pPr>
    <w:rPr>
      <w:rFonts w:cs="宋体"/>
      <w:bCs/>
    </w:rPr>
  </w:style>
  <w:style w:type="paragraph" w:customStyle="1" w:styleId="1343">
    <w:name w:val="小五"/>
    <w:basedOn w:val="1"/>
    <w:qFormat/>
    <w:uiPriority w:val="0"/>
    <w:pPr>
      <w:jc w:val="center"/>
    </w:pPr>
    <w:rPr>
      <w:sz w:val="18"/>
      <w:szCs w:val="24"/>
    </w:rPr>
  </w:style>
  <w:style w:type="paragraph" w:customStyle="1" w:styleId="1344">
    <w:name w:val="reader-word-layer reader-word-s4-32"/>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45">
    <w:name w:val="中气三级"/>
    <w:basedOn w:val="9"/>
    <w:next w:val="1"/>
    <w:qFormat/>
    <w:uiPriority w:val="0"/>
    <w:pPr>
      <w:tabs>
        <w:tab w:val="left" w:pos="2760"/>
      </w:tabs>
      <w:adjustRightInd w:val="0"/>
      <w:spacing w:before="156" w:beforeLines="50" w:after="156" w:afterLines="50" w:line="360" w:lineRule="auto"/>
      <w:ind w:left="142"/>
      <w:jc w:val="left"/>
      <w:textAlignment w:val="baseline"/>
    </w:pPr>
    <w:rPr>
      <w:rFonts w:eastAsia="黑体"/>
      <w:b w:val="0"/>
      <w:snapToGrid w:val="0"/>
      <w:kern w:val="0"/>
      <w:sz w:val="24"/>
    </w:rPr>
  </w:style>
  <w:style w:type="paragraph" w:customStyle="1" w:styleId="1346">
    <w:name w:val="1名"/>
    <w:basedOn w:val="1"/>
    <w:qFormat/>
    <w:uiPriority w:val="0"/>
    <w:pPr>
      <w:spacing w:before="120"/>
    </w:pPr>
    <w:rPr>
      <w:rFonts w:ascii="宋体"/>
      <w:sz w:val="28"/>
    </w:rPr>
  </w:style>
  <w:style w:type="paragraph" w:customStyle="1" w:styleId="1347">
    <w:name w:val="HTML 预先格式化"/>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rPr>
  </w:style>
  <w:style w:type="paragraph" w:customStyle="1" w:styleId="1348">
    <w:name w:val="xl4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1349">
    <w:name w:val="编号括号数字"/>
    <w:basedOn w:val="1"/>
    <w:qFormat/>
    <w:uiPriority w:val="0"/>
    <w:pPr>
      <w:tabs>
        <w:tab w:val="left" w:pos="1620"/>
      </w:tabs>
      <w:spacing w:line="360" w:lineRule="auto"/>
      <w:ind w:left="1620" w:hanging="720"/>
      <w:outlineLvl w:val="4"/>
    </w:pPr>
    <w:rPr>
      <w:sz w:val="24"/>
      <w:szCs w:val="24"/>
    </w:rPr>
  </w:style>
  <w:style w:type="paragraph" w:customStyle="1" w:styleId="1350">
    <w:name w:val="表格式"/>
    <w:basedOn w:val="1178"/>
    <w:qFormat/>
    <w:uiPriority w:val="0"/>
    <w:pPr>
      <w:tabs>
        <w:tab w:val="left" w:pos="5760"/>
      </w:tabs>
      <w:adjustRightInd/>
      <w:snapToGrid/>
      <w:spacing w:before="50" w:line="240" w:lineRule="exact"/>
      <w:ind w:left="0" w:leftChars="0" w:right="0" w:rightChars="0"/>
    </w:pPr>
    <w:rPr>
      <w:szCs w:val="18"/>
    </w:rPr>
  </w:style>
  <w:style w:type="paragraph" w:customStyle="1" w:styleId="1351">
    <w:name w:val="12"/>
    <w:basedOn w:val="1"/>
    <w:next w:val="75"/>
    <w:qFormat/>
    <w:uiPriority w:val="0"/>
    <w:pPr>
      <w:adjustRightInd w:val="0"/>
      <w:snapToGrid w:val="0"/>
      <w:spacing w:before="120" w:line="360" w:lineRule="auto"/>
      <w:ind w:firstLine="480" w:firstLineChars="200"/>
    </w:pPr>
    <w:rPr>
      <w:color w:val="000000"/>
      <w:sz w:val="24"/>
    </w:rPr>
  </w:style>
  <w:style w:type="paragraph" w:customStyle="1" w:styleId="1352">
    <w:name w:val="样式 标题 1 + 首行缩进:  0 厘米 段前: 6 磅 段后: 12 磅 行距: 最小值 28 磅"/>
    <w:basedOn w:val="7"/>
    <w:qFormat/>
    <w:uiPriority w:val="0"/>
    <w:pPr>
      <w:pageBreakBefore/>
      <w:widowControl/>
      <w:tabs>
        <w:tab w:val="left" w:pos="1800"/>
      </w:tabs>
      <w:adjustRightInd w:val="0"/>
      <w:snapToGrid w:val="0"/>
      <w:spacing w:before="312" w:after="312" w:line="560" w:lineRule="exact"/>
    </w:pPr>
    <w:rPr>
      <w:rFonts w:ascii="黑体" w:eastAsia="黑体"/>
      <w:b w:val="0"/>
      <w:color w:val="000000"/>
      <w:sz w:val="32"/>
      <w:u w:val="none" w:color="000000"/>
    </w:rPr>
  </w:style>
  <w:style w:type="paragraph" w:customStyle="1" w:styleId="1353">
    <w:name w:val="宏福4"/>
    <w:basedOn w:val="1"/>
    <w:qFormat/>
    <w:uiPriority w:val="0"/>
    <w:pPr>
      <w:snapToGrid w:val="0"/>
      <w:spacing w:line="400" w:lineRule="atLeast"/>
      <w:ind w:firstLine="567"/>
    </w:pPr>
    <w:rPr>
      <w:sz w:val="28"/>
    </w:rPr>
  </w:style>
  <w:style w:type="paragraph" w:customStyle="1" w:styleId="1354">
    <w:name w:val="表字五号缩进"/>
    <w:basedOn w:val="998"/>
    <w:qFormat/>
    <w:uiPriority w:val="0"/>
    <w:pPr>
      <w:spacing w:beforeLines="0" w:afterLines="0"/>
      <w:ind w:firstLine="420" w:firstLineChars="200"/>
      <w:jc w:val="both"/>
    </w:pPr>
    <w:rPr>
      <w:color w:val="000000"/>
    </w:rPr>
  </w:style>
  <w:style w:type="paragraph" w:customStyle="1" w:styleId="1355">
    <w:name w:val="CM38"/>
    <w:basedOn w:val="117"/>
    <w:next w:val="117"/>
    <w:qFormat/>
    <w:uiPriority w:val="0"/>
    <w:pPr>
      <w:spacing w:line="436" w:lineRule="atLeast"/>
    </w:pPr>
    <w:rPr>
      <w:rFonts w:ascii="仿宋_GB2312" w:eastAsia="仿宋_GB2312" w:cs="Times New Roman"/>
      <w:color w:val="auto"/>
    </w:rPr>
  </w:style>
  <w:style w:type="paragraph" w:customStyle="1" w:styleId="1356">
    <w:name w:val="样式 表名1 + 段前: 0.3 行"/>
    <w:basedOn w:val="1268"/>
    <w:qFormat/>
    <w:uiPriority w:val="0"/>
    <w:pPr>
      <w:spacing w:before="124" w:beforeLines="40"/>
    </w:pPr>
  </w:style>
  <w:style w:type="paragraph" w:customStyle="1" w:styleId="1357">
    <w:name w:val="表名"/>
    <w:basedOn w:val="1"/>
    <w:link w:val="1358"/>
    <w:qFormat/>
    <w:uiPriority w:val="0"/>
    <w:pPr>
      <w:spacing w:line="360" w:lineRule="auto"/>
      <w:jc w:val="center"/>
    </w:pPr>
    <w:rPr>
      <w:rFonts w:ascii="Arial" w:hAnsi="Arial"/>
      <w:b/>
      <w:kern w:val="0"/>
      <w:sz w:val="24"/>
      <w:szCs w:val="18"/>
    </w:rPr>
  </w:style>
  <w:style w:type="character" w:customStyle="1" w:styleId="1358">
    <w:name w:val="表名 Char1"/>
    <w:link w:val="1357"/>
    <w:qFormat/>
    <w:uiPriority w:val="0"/>
    <w:rPr>
      <w:rFonts w:ascii="Arial" w:hAnsi="Arial"/>
      <w:b/>
      <w:sz w:val="24"/>
      <w:szCs w:val="18"/>
    </w:rPr>
  </w:style>
  <w:style w:type="paragraph" w:customStyle="1" w:styleId="1359">
    <w:name w:val="插表名称"/>
    <w:basedOn w:val="741"/>
    <w:qFormat/>
    <w:uiPriority w:val="0"/>
    <w:pPr>
      <w:suppressLineNumbers/>
      <w:tabs>
        <w:tab w:val="clear" w:pos="0"/>
      </w:tabs>
      <w:suppressAutoHyphens/>
      <w:topLinePunct/>
      <w:spacing w:after="93" w:afterLines="30" w:line="240" w:lineRule="auto"/>
      <w:ind w:firstLine="480" w:firstLineChars="200"/>
      <w:jc w:val="both"/>
    </w:pPr>
    <w:rPr>
      <w:rFonts w:ascii="Times New Roman" w:hAnsi="Times New Roman" w:eastAsia="黑体"/>
      <w:b w:val="0"/>
      <w:szCs w:val="20"/>
    </w:rPr>
  </w:style>
  <w:style w:type="paragraph" w:customStyle="1" w:styleId="1360">
    <w:name w:val="表格样式1"/>
    <w:basedOn w:val="1"/>
    <w:qFormat/>
    <w:uiPriority w:val="0"/>
    <w:pPr>
      <w:adjustRightInd w:val="0"/>
      <w:spacing w:line="20" w:lineRule="atLeast"/>
      <w:jc w:val="center"/>
      <w:textAlignment w:val="baseline"/>
    </w:pPr>
    <w:rPr>
      <w:rFonts w:ascii="宋体"/>
      <w:kern w:val="0"/>
    </w:rPr>
  </w:style>
  <w:style w:type="paragraph" w:customStyle="1" w:styleId="1361">
    <w:name w:val="表字小五"/>
    <w:basedOn w:val="1"/>
    <w:qFormat/>
    <w:uiPriority w:val="0"/>
    <w:pPr>
      <w:autoSpaceDE w:val="0"/>
      <w:autoSpaceDN w:val="0"/>
      <w:adjustRightInd w:val="0"/>
      <w:snapToGrid w:val="0"/>
      <w:spacing w:before="31" w:beforeLines="10" w:after="31" w:afterLines="10"/>
      <w:jc w:val="center"/>
      <w:textAlignment w:val="bottom"/>
    </w:pPr>
    <w:rPr>
      <w:kern w:val="0"/>
      <w:sz w:val="18"/>
    </w:rPr>
  </w:style>
  <w:style w:type="paragraph" w:customStyle="1" w:styleId="1362">
    <w:name w:val="样式8"/>
    <w:basedOn w:val="3"/>
    <w:qFormat/>
    <w:uiPriority w:val="0"/>
    <w:pPr>
      <w:spacing w:after="120" w:line="360" w:lineRule="auto"/>
      <w:ind w:firstLine="480" w:firstLineChars="200"/>
      <w:jc w:val="both"/>
    </w:pPr>
    <w:rPr>
      <w:rFonts w:ascii="宋体" w:hAnsi="宋体"/>
      <w:kern w:val="24"/>
      <w:sz w:val="24"/>
      <w:szCs w:val="24"/>
    </w:rPr>
  </w:style>
  <w:style w:type="paragraph" w:customStyle="1" w:styleId="1363">
    <w:name w:val="样式 目录 1 + 首行缩进:  2 字符1"/>
    <w:basedOn w:val="65"/>
    <w:qFormat/>
    <w:uiPriority w:val="0"/>
    <w:pPr>
      <w:tabs>
        <w:tab w:val="right" w:leader="dot" w:pos="8720"/>
        <w:tab w:val="clear" w:pos="8296"/>
      </w:tabs>
      <w:spacing w:before="120" w:after="120" w:line="480" w:lineRule="exact"/>
      <w:jc w:val="left"/>
    </w:pPr>
    <w:rPr>
      <w:rFonts w:ascii="Comic Sans MS" w:hAnsi="Comic Sans MS" w:eastAsia="楷体_GB2312"/>
      <w:caps/>
      <w:sz w:val="20"/>
    </w:rPr>
  </w:style>
  <w:style w:type="paragraph" w:customStyle="1" w:styleId="1364">
    <w:name w:val="表格 23"/>
    <w:basedOn w:val="1"/>
    <w:qFormat/>
    <w:uiPriority w:val="0"/>
    <w:pPr>
      <w:autoSpaceDE w:val="0"/>
      <w:autoSpaceDN w:val="0"/>
      <w:adjustRightInd w:val="0"/>
      <w:jc w:val="center"/>
    </w:pPr>
    <w:rPr>
      <w:rFonts w:eastAsia="仿宋体"/>
      <w:kern w:val="0"/>
    </w:rPr>
  </w:style>
  <w:style w:type="paragraph" w:customStyle="1" w:styleId="1365">
    <w:name w:val="表体"/>
    <w:basedOn w:val="53"/>
    <w:qFormat/>
    <w:uiPriority w:val="0"/>
    <w:pPr>
      <w:adjustRightInd w:val="0"/>
      <w:snapToGrid w:val="0"/>
      <w:spacing w:line="240" w:lineRule="atLeast"/>
      <w:ind w:left="-96" w:right="-85"/>
      <w:jc w:val="center"/>
      <w:textAlignment w:val="baseline"/>
    </w:pPr>
    <w:rPr>
      <w:spacing w:val="-6"/>
      <w:kern w:val="0"/>
      <w:sz w:val="18"/>
      <w:szCs w:val="21"/>
    </w:rPr>
  </w:style>
  <w:style w:type="paragraph" w:customStyle="1" w:styleId="1366">
    <w:name w:val="CM34"/>
    <w:basedOn w:val="117"/>
    <w:next w:val="117"/>
    <w:qFormat/>
    <w:uiPriority w:val="0"/>
    <w:pPr>
      <w:spacing w:after="123"/>
    </w:pPr>
    <w:rPr>
      <w:rFonts w:ascii="Arial Unicode MS" w:hAnsi="Arial Unicode MS" w:cs="Times New Roman"/>
      <w:color w:val="auto"/>
    </w:rPr>
  </w:style>
  <w:style w:type="paragraph" w:customStyle="1" w:styleId="1367">
    <w:name w:val="样式 小五 居中 首行缩进:  2 字符"/>
    <w:basedOn w:val="1"/>
    <w:qFormat/>
    <w:uiPriority w:val="0"/>
    <w:pPr>
      <w:jc w:val="center"/>
    </w:pPr>
    <w:rPr>
      <w:sz w:val="18"/>
    </w:rPr>
  </w:style>
  <w:style w:type="paragraph" w:customStyle="1" w:styleId="1368">
    <w:name w:val="样式 标准文本 首行缩进:2 字符 行距1.5倍 + 首行缩进:  2 字符2"/>
    <w:basedOn w:val="176"/>
    <w:qFormat/>
    <w:uiPriority w:val="0"/>
    <w:pPr>
      <w:spacing w:line="240" w:lineRule="auto"/>
    </w:pPr>
    <w:rPr>
      <w:szCs w:val="20"/>
    </w:rPr>
  </w:style>
  <w:style w:type="paragraph" w:customStyle="1" w:styleId="1369">
    <w:name w:val="样式 目录 2 + 左侧:  2 字符 首行缩进:  2 字符"/>
    <w:basedOn w:val="79"/>
    <w:qFormat/>
    <w:uiPriority w:val="0"/>
    <w:pPr>
      <w:tabs>
        <w:tab w:val="right" w:leader="dot" w:pos="8280"/>
      </w:tabs>
      <w:spacing w:line="312" w:lineRule="auto"/>
      <w:ind w:left="480" w:firstLine="480"/>
      <w:jc w:val="center"/>
    </w:pPr>
    <w:rPr>
      <w:rFonts w:cs="宋体"/>
      <w:smallCaps/>
      <w:sz w:val="18"/>
      <w:szCs w:val="18"/>
    </w:rPr>
  </w:style>
  <w:style w:type="paragraph" w:customStyle="1" w:styleId="1370">
    <w:name w:val="样式 正文1 Char Char + 字距调整七号 Char1 Char"/>
    <w:basedOn w:val="1"/>
    <w:qFormat/>
    <w:uiPriority w:val="0"/>
    <w:pPr>
      <w:suppressLineNumbers/>
      <w:suppressAutoHyphens/>
      <w:topLinePunct/>
      <w:adjustRightInd w:val="0"/>
      <w:snapToGrid w:val="0"/>
      <w:spacing w:line="360" w:lineRule="auto"/>
      <w:ind w:firstLine="480" w:firstLineChars="200"/>
    </w:pPr>
    <w:rPr>
      <w:kern w:val="11"/>
      <w:sz w:val="24"/>
    </w:rPr>
  </w:style>
  <w:style w:type="paragraph" w:customStyle="1" w:styleId="1371">
    <w:name w:val="样式 表格 + 红色1"/>
    <w:basedOn w:val="312"/>
    <w:qFormat/>
    <w:uiPriority w:val="0"/>
    <w:pPr>
      <w:widowControl/>
      <w:tabs>
        <w:tab w:val="clear" w:pos="360"/>
        <w:tab w:val="clear" w:pos="6300"/>
      </w:tabs>
      <w:spacing w:line="340" w:lineRule="exact"/>
      <w:ind w:left="0" w:right="0"/>
    </w:pPr>
    <w:rPr>
      <w:rFonts w:ascii="Times New Roman" w:hAnsi="Times New Roman" w:eastAsia="仿宋_GB2312"/>
      <w:color w:val="FF0000"/>
      <w:szCs w:val="21"/>
    </w:rPr>
  </w:style>
  <w:style w:type="paragraph" w:customStyle="1" w:styleId="1372">
    <w:name w:val="Char 正文"/>
    <w:basedOn w:val="7"/>
    <w:qFormat/>
    <w:uiPriority w:val="0"/>
    <w:pPr>
      <w:snapToGrid w:val="0"/>
      <w:spacing w:before="240" w:after="240" w:line="348" w:lineRule="auto"/>
    </w:pPr>
    <w:rPr>
      <w:rFonts w:ascii="Tahoma" w:hAnsi="Tahoma"/>
      <w:sz w:val="24"/>
    </w:rPr>
  </w:style>
  <w:style w:type="paragraph" w:customStyle="1" w:styleId="1373">
    <w:name w:val="样式 表格 + (中文) 宋体 两端对齐"/>
    <w:basedOn w:val="312"/>
    <w:qFormat/>
    <w:uiPriority w:val="0"/>
    <w:pPr>
      <w:widowControl/>
      <w:tabs>
        <w:tab w:val="clear" w:pos="360"/>
        <w:tab w:val="clear" w:pos="6300"/>
      </w:tabs>
      <w:spacing w:line="340" w:lineRule="exact"/>
      <w:ind w:left="0" w:right="0" w:firstLine="420" w:firstLineChars="200"/>
      <w:jc w:val="both"/>
    </w:pPr>
    <w:rPr>
      <w:rFonts w:ascii="Times New Roman" w:hAnsi="Times New Roman" w:eastAsia="仿宋_GB2312" w:cs="宋体"/>
      <w:color w:val="auto"/>
    </w:rPr>
  </w:style>
  <w:style w:type="paragraph" w:customStyle="1" w:styleId="1374">
    <w:name w:val="reader-word-layer reader-word-s1-2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75">
    <w:name w:val="正文表格"/>
    <w:basedOn w:val="1"/>
    <w:link w:val="1376"/>
    <w:qFormat/>
    <w:uiPriority w:val="0"/>
    <w:pPr>
      <w:jc w:val="center"/>
    </w:pPr>
    <w:rPr>
      <w:rFonts w:ascii="宋体" w:hAnsi="宋体"/>
    </w:rPr>
  </w:style>
  <w:style w:type="character" w:customStyle="1" w:styleId="1376">
    <w:name w:val="正文表格 Char Char"/>
    <w:link w:val="1375"/>
    <w:qFormat/>
    <w:uiPriority w:val="0"/>
    <w:rPr>
      <w:rFonts w:ascii="宋体" w:hAnsi="宋体"/>
      <w:kern w:val="2"/>
      <w:sz w:val="21"/>
    </w:rPr>
  </w:style>
  <w:style w:type="paragraph" w:customStyle="1" w:styleId="1377">
    <w:name w:val="reader-word-layer reader-word-s1-52"/>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78">
    <w:name w:val="CM8"/>
    <w:basedOn w:val="117"/>
    <w:next w:val="117"/>
    <w:qFormat/>
    <w:uiPriority w:val="0"/>
    <w:pPr>
      <w:spacing w:line="468" w:lineRule="atLeast"/>
    </w:pPr>
    <w:rPr>
      <w:rFonts w:ascii="仿宋_GB2312" w:eastAsia="仿宋_GB2312" w:cs="仿宋_GB2312"/>
      <w:color w:val="auto"/>
    </w:rPr>
  </w:style>
  <w:style w:type="paragraph" w:customStyle="1" w:styleId="1379">
    <w:name w:val="Char1"/>
    <w:basedOn w:val="1"/>
    <w:qFormat/>
    <w:uiPriority w:val="0"/>
    <w:pPr>
      <w:spacing w:line="360" w:lineRule="auto"/>
      <w:ind w:firstLine="200" w:firstLineChars="200"/>
    </w:pPr>
  </w:style>
  <w:style w:type="paragraph" w:customStyle="1" w:styleId="1380">
    <w:name w:val=" 正文"/>
    <w:basedOn w:val="1"/>
    <w:qFormat/>
    <w:uiPriority w:val="0"/>
    <w:pPr>
      <w:adjustRightInd w:val="0"/>
      <w:spacing w:after="156" w:afterLines="50" w:line="315" w:lineRule="atLeast"/>
      <w:jc w:val="left"/>
      <w:textAlignment w:val="baseline"/>
    </w:pPr>
    <w:rPr>
      <w:rFonts w:ascii="宋体"/>
      <w:kern w:val="0"/>
    </w:rPr>
  </w:style>
  <w:style w:type="paragraph" w:customStyle="1" w:styleId="1381">
    <w:name w:val="Char Char1 Char Char Char Char Char Char Char"/>
    <w:basedOn w:val="1"/>
    <w:qFormat/>
    <w:uiPriority w:val="0"/>
    <w:rPr>
      <w:szCs w:val="24"/>
    </w:rPr>
  </w:style>
  <w:style w:type="paragraph" w:customStyle="1" w:styleId="1382">
    <w:name w:val="Char Char Char Char Char Char1 Char3"/>
    <w:basedOn w:val="1"/>
    <w:qFormat/>
    <w:uiPriority w:val="0"/>
    <w:pPr>
      <w:spacing w:line="360" w:lineRule="auto"/>
      <w:ind w:firstLine="200" w:firstLineChars="200"/>
    </w:pPr>
    <w:rPr>
      <w:rFonts w:ascii="宋体" w:hAnsi="宋体" w:cs="宋体"/>
      <w:sz w:val="24"/>
      <w:szCs w:val="24"/>
    </w:rPr>
  </w:style>
  <w:style w:type="paragraph" w:customStyle="1" w:styleId="1383">
    <w:name w:val="xl69"/>
    <w:basedOn w:val="1"/>
    <w:qFormat/>
    <w:uiPriority w:val="0"/>
    <w:pPr>
      <w:widowControl/>
      <w:spacing w:before="100" w:beforeAutospacing="1" w:after="100" w:afterAutospacing="1"/>
      <w:jc w:val="left"/>
      <w:textAlignment w:val="center"/>
    </w:pPr>
    <w:rPr>
      <w:rFonts w:ascii="宋体" w:hAnsi="宋体" w:cs="宋体"/>
      <w:kern w:val="0"/>
      <w:sz w:val="18"/>
      <w:szCs w:val="18"/>
    </w:rPr>
  </w:style>
  <w:style w:type="paragraph" w:customStyle="1" w:styleId="1384">
    <w:name w:val="z-窗体底端1"/>
    <w:basedOn w:val="1"/>
    <w:next w:val="1"/>
    <w:qFormat/>
    <w:uiPriority w:val="0"/>
    <w:pPr>
      <w:pBdr>
        <w:top w:val="single" w:color="auto" w:sz="6" w:space="1"/>
      </w:pBdr>
      <w:jc w:val="center"/>
    </w:pPr>
    <w:rPr>
      <w:rFonts w:hint="eastAsia" w:ascii="Arial" w:hAnsi="Arial"/>
      <w:vanish/>
      <w:sz w:val="16"/>
    </w:rPr>
  </w:style>
  <w:style w:type="paragraph" w:customStyle="1" w:styleId="1385">
    <w:name w:val="图名"/>
    <w:basedOn w:val="1"/>
    <w:link w:val="1386"/>
    <w:qFormat/>
    <w:uiPriority w:val="1"/>
    <w:pPr>
      <w:ind w:right="-94"/>
    </w:pPr>
    <w:rPr>
      <w:rFonts w:ascii="宋体" w:hAnsi="宋体"/>
      <w:szCs w:val="21"/>
    </w:rPr>
  </w:style>
  <w:style w:type="character" w:customStyle="1" w:styleId="1386">
    <w:name w:val="图名 Char"/>
    <w:link w:val="1385"/>
    <w:qFormat/>
    <w:uiPriority w:val="1"/>
    <w:rPr>
      <w:rFonts w:ascii="宋体" w:hAnsi="宋体"/>
      <w:kern w:val="2"/>
      <w:sz w:val="21"/>
      <w:szCs w:val="21"/>
    </w:rPr>
  </w:style>
  <w:style w:type="paragraph" w:customStyle="1" w:styleId="1387">
    <w:name w:val="生物附录"/>
    <w:qFormat/>
    <w:uiPriority w:val="0"/>
    <w:pPr>
      <w:jc w:val="both"/>
    </w:pPr>
    <w:rPr>
      <w:rFonts w:ascii="Times New Roman" w:hAnsi="Times New Roman" w:eastAsia="宋体" w:cs="Times New Roman"/>
      <w:b/>
      <w:spacing w:val="20"/>
      <w:sz w:val="28"/>
      <w:lang w:val="en-US" w:eastAsia="zh-CN" w:bidi="ar-SA"/>
    </w:rPr>
  </w:style>
  <w:style w:type="paragraph" w:customStyle="1" w:styleId="1388">
    <w:name w:val="z-窗体顶端1"/>
    <w:basedOn w:val="1"/>
    <w:next w:val="1"/>
    <w:qFormat/>
    <w:uiPriority w:val="0"/>
    <w:pPr>
      <w:pBdr>
        <w:bottom w:val="single" w:color="auto" w:sz="6" w:space="1"/>
      </w:pBdr>
      <w:jc w:val="center"/>
    </w:pPr>
    <w:rPr>
      <w:rFonts w:hint="eastAsia" w:ascii="Arial" w:hAnsi="Arial"/>
      <w:vanish/>
      <w:sz w:val="16"/>
    </w:rPr>
  </w:style>
  <w:style w:type="paragraph" w:customStyle="1" w:styleId="1389">
    <w:name w:val=" Char Char Char1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390">
    <w:name w:val="Char4 Char Char Char"/>
    <w:basedOn w:val="1"/>
    <w:qFormat/>
    <w:uiPriority w:val="0"/>
    <w:pPr>
      <w:adjustRightInd w:val="0"/>
      <w:snapToGrid w:val="0"/>
      <w:spacing w:line="360" w:lineRule="auto"/>
      <w:ind w:firstLine="200" w:firstLineChars="200"/>
    </w:pPr>
    <w:rPr>
      <w:rFonts w:ascii="宋体" w:hAnsi="宋体" w:cs="宋体"/>
      <w:sz w:val="24"/>
      <w:szCs w:val="26"/>
    </w:rPr>
  </w:style>
  <w:style w:type="paragraph" w:customStyle="1" w:styleId="1391">
    <w:name w:val="标题 2 + 首行缩进:  2 字符"/>
    <w:basedOn w:val="8"/>
    <w:qFormat/>
    <w:uiPriority w:val="0"/>
    <w:pPr>
      <w:spacing w:before="0" w:after="0" w:line="300" w:lineRule="auto"/>
      <w:ind w:firstLine="200" w:firstLineChars="200"/>
      <w:jc w:val="center"/>
    </w:pPr>
    <w:rPr>
      <w:rFonts w:cs="宋体"/>
      <w:b w:val="0"/>
      <w:bCs/>
      <w:sz w:val="30"/>
    </w:rPr>
  </w:style>
  <w:style w:type="paragraph" w:customStyle="1" w:styleId="1392">
    <w:name w:val="Char Char Char1 Char"/>
    <w:basedOn w:val="1"/>
    <w:qFormat/>
    <w:uiPriority w:val="0"/>
    <w:rPr>
      <w:szCs w:val="24"/>
    </w:rPr>
  </w:style>
  <w:style w:type="paragraph" w:customStyle="1" w:styleId="1393">
    <w:name w:val="表后正文"/>
    <w:basedOn w:val="1"/>
    <w:qFormat/>
    <w:uiPriority w:val="0"/>
    <w:pPr>
      <w:suppressLineNumbers/>
      <w:suppressAutoHyphens/>
      <w:topLinePunct/>
      <w:adjustRightInd w:val="0"/>
      <w:snapToGrid w:val="0"/>
      <w:spacing w:before="218" w:beforeLines="70" w:line="360" w:lineRule="auto"/>
      <w:ind w:firstLine="560" w:firstLineChars="200"/>
    </w:pPr>
    <w:rPr>
      <w:sz w:val="24"/>
    </w:rPr>
  </w:style>
  <w:style w:type="paragraph" w:customStyle="1" w:styleId="1394">
    <w:name w:val="证书1"/>
    <w:basedOn w:val="1"/>
    <w:qFormat/>
    <w:uiPriority w:val="0"/>
    <w:pPr>
      <w:spacing w:line="500" w:lineRule="exact"/>
      <w:jc w:val="center"/>
    </w:pPr>
    <w:rPr>
      <w:rFonts w:ascii="隶书" w:eastAsia="隶书"/>
      <w:b/>
      <w:sz w:val="36"/>
      <w:szCs w:val="36"/>
    </w:rPr>
  </w:style>
  <w:style w:type="paragraph" w:customStyle="1" w:styleId="1395">
    <w:name w:val="样式 标题 1 + (符号) 宋体 二号 段前: 0 磅 段后: 0 磅 行距: 单倍行距"/>
    <w:basedOn w:val="7"/>
    <w:qFormat/>
    <w:uiPriority w:val="0"/>
    <w:pPr>
      <w:spacing w:before="0" w:after="0" w:line="240" w:lineRule="auto"/>
      <w:ind w:firstLine="200" w:firstLineChars="200"/>
      <w:jc w:val="center"/>
    </w:pPr>
    <w:rPr>
      <w:rFonts w:hAnsi="宋体" w:eastAsia="黑体" w:cs="宋体"/>
      <w:bCs/>
      <w:kern w:val="2"/>
    </w:rPr>
  </w:style>
  <w:style w:type="paragraph" w:customStyle="1" w:styleId="1396">
    <w:name w:val="样式 标题 2 + 首行缩进:  2 字符 + 首行缩进:  2 字符"/>
    <w:basedOn w:val="1391"/>
    <w:qFormat/>
    <w:uiPriority w:val="0"/>
    <w:pPr>
      <w:ind w:firstLine="0" w:firstLineChars="0"/>
    </w:pPr>
    <w:rPr>
      <w:bCs w:val="0"/>
    </w:rPr>
  </w:style>
  <w:style w:type="paragraph" w:customStyle="1" w:styleId="1397">
    <w:name w:val="Char Char Char Char Char Char1 Char Char Char Char"/>
    <w:basedOn w:val="1"/>
    <w:qFormat/>
    <w:uiPriority w:val="0"/>
    <w:pPr>
      <w:widowControl/>
      <w:spacing w:after="160" w:line="240" w:lineRule="exact"/>
      <w:jc w:val="left"/>
    </w:pPr>
    <w:rPr>
      <w:rFonts w:ascii="Arial" w:hAnsi="Arial" w:eastAsia="Times New Roman" w:cs="Verdana"/>
      <w:b/>
      <w:kern w:val="0"/>
      <w:sz w:val="24"/>
      <w:szCs w:val="24"/>
      <w:lang w:eastAsia="en-US"/>
    </w:rPr>
  </w:style>
  <w:style w:type="paragraph" w:customStyle="1" w:styleId="1398">
    <w:name w:val="xl61"/>
    <w:basedOn w:val="1"/>
    <w:qFormat/>
    <w:uiPriority w:val="0"/>
    <w:pPr>
      <w:widowControl/>
      <w:pBdr>
        <w:top w:val="single" w:color="auto" w:sz="4" w:space="0"/>
        <w:left w:val="single" w:color="auto" w:sz="8"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18"/>
      <w:szCs w:val="18"/>
    </w:rPr>
  </w:style>
  <w:style w:type="paragraph" w:customStyle="1" w:styleId="1399">
    <w:name w:val="表格文字1 Char Char Char Char"/>
    <w:basedOn w:val="1"/>
    <w:qFormat/>
    <w:uiPriority w:val="0"/>
    <w:pPr>
      <w:adjustRightInd w:val="0"/>
      <w:snapToGrid w:val="0"/>
      <w:jc w:val="center"/>
    </w:pPr>
    <w:rPr>
      <w:rFonts w:ascii="宋体" w:hAnsi="宋体" w:eastAsia="宋体-方正超大字符集"/>
    </w:rPr>
  </w:style>
  <w:style w:type="paragraph" w:customStyle="1" w:styleId="1400">
    <w:name w:val="1233"/>
    <w:basedOn w:val="1"/>
    <w:qFormat/>
    <w:uiPriority w:val="0"/>
    <w:pPr>
      <w:spacing w:before="100" w:line="360" w:lineRule="auto"/>
      <w:ind w:firstLine="480"/>
    </w:pPr>
    <w:rPr>
      <w:sz w:val="24"/>
    </w:rPr>
  </w:style>
  <w:style w:type="paragraph" w:customStyle="1" w:styleId="1401">
    <w:name w:val="标准符号 行距1倍"/>
    <w:basedOn w:val="1"/>
    <w:qFormat/>
    <w:uiPriority w:val="0"/>
    <w:pPr>
      <w:tabs>
        <w:tab w:val="left" w:pos="870"/>
      </w:tabs>
      <w:adjustRightInd w:val="0"/>
      <w:snapToGrid w:val="0"/>
      <w:ind w:left="870" w:hanging="390"/>
      <w:textAlignment w:val="center"/>
    </w:pPr>
    <w:rPr>
      <w:rFonts w:cs="宋体"/>
      <w:kern w:val="0"/>
      <w:sz w:val="24"/>
      <w:szCs w:val="24"/>
    </w:rPr>
  </w:style>
  <w:style w:type="paragraph" w:customStyle="1" w:styleId="1402">
    <w:name w:val="样式 标题 1 + 宋体 四号 居中 段前: 5 磅 段后: 5 磅 行距: 最小值 20 磅"/>
    <w:basedOn w:val="7"/>
    <w:qFormat/>
    <w:uiPriority w:val="0"/>
    <w:pPr>
      <w:spacing w:before="360" w:after="100" w:line="360" w:lineRule="auto"/>
      <w:jc w:val="center"/>
    </w:pPr>
    <w:rPr>
      <w:rFonts w:ascii="黑体" w:hAnsi="宋体" w:eastAsia="黑体"/>
      <w:b w:val="0"/>
      <w:bCs/>
      <w:sz w:val="36"/>
    </w:rPr>
  </w:style>
  <w:style w:type="paragraph" w:customStyle="1" w:styleId="1403">
    <w:name w:val="表格正文 Char"/>
    <w:basedOn w:val="1"/>
    <w:next w:val="1"/>
    <w:qFormat/>
    <w:uiPriority w:val="0"/>
    <w:pPr>
      <w:adjustRightInd w:val="0"/>
      <w:snapToGrid w:val="0"/>
      <w:ind w:firstLine="476"/>
      <w:jc w:val="center"/>
      <w:textAlignment w:val="baseline"/>
    </w:pPr>
    <w:rPr>
      <w:rFonts w:ascii="宋体"/>
      <w:snapToGrid w:val="0"/>
      <w:spacing w:val="4"/>
      <w:w w:val="90"/>
      <w:kern w:val="0"/>
      <w:sz w:val="24"/>
      <w:szCs w:val="24"/>
    </w:rPr>
  </w:style>
  <w:style w:type="paragraph" w:customStyle="1" w:styleId="1404">
    <w:name w:val="附表"/>
    <w:basedOn w:val="1"/>
    <w:next w:val="1"/>
    <w:qFormat/>
    <w:uiPriority w:val="0"/>
    <w:pPr>
      <w:tabs>
        <w:tab w:val="left" w:pos="-120"/>
      </w:tabs>
      <w:overflowPunct w:val="0"/>
      <w:topLinePunct/>
      <w:autoSpaceDE w:val="0"/>
      <w:adjustRightInd w:val="0"/>
      <w:snapToGrid w:val="0"/>
      <w:spacing w:after="50" w:line="312" w:lineRule="auto"/>
      <w:jc w:val="center"/>
      <w:textAlignment w:val="baseline"/>
    </w:pPr>
    <w:rPr>
      <w:b/>
      <w:spacing w:val="16"/>
      <w:kern w:val="0"/>
      <w:sz w:val="24"/>
    </w:rPr>
  </w:style>
  <w:style w:type="paragraph" w:customStyle="1" w:styleId="1405">
    <w:name w:val="插表文字五号"/>
    <w:basedOn w:val="998"/>
    <w:qFormat/>
    <w:uiPriority w:val="0"/>
  </w:style>
  <w:style w:type="paragraph" w:customStyle="1" w:styleId="1406">
    <w:name w:val="样式 样式 正文1 + 首行缩进:  2 字符2 + 首行缩进:  2 字符"/>
    <w:basedOn w:val="1"/>
    <w:qFormat/>
    <w:uiPriority w:val="0"/>
    <w:pPr>
      <w:suppressLineNumbers/>
      <w:suppressAutoHyphens/>
      <w:adjustRightInd w:val="0"/>
      <w:snapToGrid w:val="0"/>
      <w:spacing w:before="31" w:beforeLines="10" w:after="31" w:afterLines="10" w:line="360" w:lineRule="auto"/>
      <w:ind w:firstLine="480" w:firstLineChars="200"/>
    </w:pPr>
    <w:rPr>
      <w:color w:val="000000"/>
      <w:sz w:val="24"/>
    </w:rPr>
  </w:style>
  <w:style w:type="paragraph" w:customStyle="1" w:styleId="1407">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left"/>
    </w:pPr>
    <w:rPr>
      <w:rFonts w:ascii="Arial Unicode MS" w:hAnsi="Arial Unicode MS" w:eastAsia="Arial Unicode MS" w:cs="Arial Unicode MS"/>
      <w:kern w:val="0"/>
      <w:sz w:val="24"/>
      <w:szCs w:val="28"/>
    </w:rPr>
  </w:style>
  <w:style w:type="paragraph" w:customStyle="1" w:styleId="1408">
    <w:name w:val="样式 标题 3头小标题小节标题Sottoparagrafo标题 3 Char3标题 3 Char1 Char1So..."/>
    <w:basedOn w:val="9"/>
    <w:qFormat/>
    <w:uiPriority w:val="0"/>
    <w:pPr>
      <w:snapToGrid w:val="0"/>
      <w:spacing w:before="240" w:after="240" w:line="480" w:lineRule="exact"/>
    </w:pPr>
    <w:rPr>
      <w:rFonts w:eastAsia="黑体"/>
      <w:b w:val="0"/>
      <w:kern w:val="0"/>
      <w:sz w:val="28"/>
    </w:rPr>
  </w:style>
  <w:style w:type="paragraph" w:customStyle="1" w:styleId="1409">
    <w:name w:val="xl59"/>
    <w:basedOn w:val="1"/>
    <w:qFormat/>
    <w:uiPriority w:val="0"/>
    <w:pPr>
      <w:widowControl/>
      <w:pBdr>
        <w:left w:val="single" w:color="auto" w:sz="4" w:space="0"/>
        <w:right w:val="single" w:color="auto" w:sz="4" w:space="0"/>
      </w:pBdr>
      <w:spacing w:before="100" w:beforeAutospacing="1" w:after="100" w:afterAutospacing="1" w:line="360" w:lineRule="auto"/>
      <w:ind w:firstLine="200" w:firstLineChars="200"/>
      <w:jc w:val="center"/>
      <w:textAlignment w:val="center"/>
    </w:pPr>
    <w:rPr>
      <w:rFonts w:ascii="Arial Unicode MS" w:hAnsi="Arial Unicode MS" w:eastAsia="Arial Unicode MS" w:cs="Arial Unicode MS"/>
      <w:kern w:val="0"/>
      <w:sz w:val="24"/>
      <w:szCs w:val="28"/>
    </w:rPr>
  </w:style>
  <w:style w:type="paragraph" w:customStyle="1" w:styleId="1410">
    <w:name w:val="dot"/>
    <w:qFormat/>
    <w:uiPriority w:val="0"/>
    <w:pPr>
      <w:tabs>
        <w:tab w:val="left" w:pos="550"/>
      </w:tabs>
      <w:spacing w:before="40" w:after="40"/>
    </w:pPr>
    <w:rPr>
      <w:rFonts w:ascii="宋体" w:hAnsi="宋体" w:eastAsia="宋体" w:cs="Times New Roman"/>
      <w:bCs/>
      <w:sz w:val="24"/>
      <w:lang w:val="en-US" w:eastAsia="zh-CN" w:bidi="ar-SA"/>
    </w:rPr>
  </w:style>
  <w:style w:type="paragraph" w:customStyle="1" w:styleId="1411">
    <w:name w:val="样式 表格1 + 首行缩进:  2 字符"/>
    <w:basedOn w:val="598"/>
    <w:qFormat/>
    <w:uiPriority w:val="0"/>
    <w:pPr>
      <w:adjustRightInd w:val="0"/>
      <w:ind w:firstLine="200"/>
      <w:jc w:val="center"/>
      <w:textAlignment w:val="center"/>
    </w:pPr>
    <w:rPr>
      <w:rFonts w:ascii="宋体" w:hAnsi="宋体" w:cs="宋体"/>
      <w:kern w:val="0"/>
      <w:sz w:val="24"/>
      <w:szCs w:val="20"/>
    </w:rPr>
  </w:style>
  <w:style w:type="paragraph" w:customStyle="1" w:styleId="1412">
    <w:name w:val="Char Char Char Char Char Char Char Char Char Char Char Char Char"/>
    <w:basedOn w:val="1"/>
    <w:qFormat/>
    <w:uiPriority w:val="0"/>
    <w:pPr>
      <w:adjustRightInd w:val="0"/>
      <w:spacing w:line="360" w:lineRule="auto"/>
      <w:ind w:firstLine="540" w:firstLineChars="225"/>
      <w:jc w:val="left"/>
    </w:pPr>
    <w:rPr>
      <w:rFonts w:ascii="宋体" w:hAnsi="宋体"/>
      <w:snapToGrid w:val="0"/>
      <w:kern w:val="0"/>
      <w:lang w:val="eu-ES"/>
    </w:rPr>
  </w:style>
  <w:style w:type="paragraph" w:customStyle="1" w:styleId="1413">
    <w:name w:val="xl44"/>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360" w:lineRule="auto"/>
      <w:ind w:firstLine="200" w:firstLineChars="200"/>
      <w:jc w:val="left"/>
    </w:pPr>
    <w:rPr>
      <w:rFonts w:ascii="Arial Unicode MS" w:hAnsi="Arial Unicode MS" w:eastAsia="Arial Unicode MS" w:cs="Arial Unicode MS"/>
      <w:kern w:val="0"/>
      <w:sz w:val="24"/>
      <w:szCs w:val="28"/>
    </w:rPr>
  </w:style>
  <w:style w:type="paragraph" w:customStyle="1" w:styleId="1414">
    <w:name w:val="No Spacing1"/>
    <w:qFormat/>
    <w:uiPriority w:val="0"/>
    <w:pPr>
      <w:widowControl w:val="0"/>
      <w:jc w:val="both"/>
    </w:pPr>
    <w:rPr>
      <w:rFonts w:ascii="Calibri" w:hAnsi="Calibri" w:eastAsia="宋体" w:cs="Calibri"/>
      <w:kern w:val="2"/>
      <w:sz w:val="21"/>
      <w:szCs w:val="21"/>
      <w:lang w:val="en-US" w:eastAsia="zh-CN" w:bidi="ar-SA"/>
    </w:rPr>
  </w:style>
  <w:style w:type="paragraph" w:customStyle="1" w:styleId="1415">
    <w:name w:val="样式 样式 首行缩进:  2 字符1 + 首行缩进:  2 字符"/>
    <w:basedOn w:val="1"/>
    <w:qFormat/>
    <w:uiPriority w:val="0"/>
    <w:pPr>
      <w:spacing w:line="480" w:lineRule="exact"/>
      <w:ind w:firstLine="200" w:firstLineChars="200"/>
    </w:pPr>
    <w:rPr>
      <w:rFonts w:eastAsia="楷体_GB2312" w:cs="宋体"/>
      <w:sz w:val="24"/>
    </w:rPr>
  </w:style>
  <w:style w:type="paragraph" w:customStyle="1" w:styleId="1416">
    <w:name w:val="第四节"/>
    <w:basedOn w:val="1"/>
    <w:qFormat/>
    <w:uiPriority w:val="0"/>
    <w:pPr>
      <w:spacing w:before="468" w:beforeLines="150" w:line="360" w:lineRule="auto"/>
      <w:ind w:firstLine="358" w:firstLineChars="119"/>
      <w:jc w:val="left"/>
    </w:pPr>
    <w:rPr>
      <w:rFonts w:eastAsia="黑体"/>
      <w:b/>
      <w:bCs/>
      <w:kern w:val="0"/>
      <w:sz w:val="30"/>
      <w:szCs w:val="24"/>
    </w:rPr>
  </w:style>
  <w:style w:type="paragraph" w:customStyle="1" w:styleId="1417">
    <w:name w:val="默认段落字体 Para Char Char Char Char Char Char Char Char Char"/>
    <w:basedOn w:val="1"/>
    <w:qFormat/>
    <w:uiPriority w:val="0"/>
    <w:pPr>
      <w:keepNext/>
      <w:keepLines/>
      <w:spacing w:line="360" w:lineRule="auto"/>
      <w:jc w:val="left"/>
    </w:pPr>
  </w:style>
  <w:style w:type="paragraph" w:customStyle="1" w:styleId="1418">
    <w:name w:val="样式 目录 2 + 首行缩进:  2 字符2"/>
    <w:basedOn w:val="79"/>
    <w:qFormat/>
    <w:uiPriority w:val="0"/>
    <w:pPr>
      <w:tabs>
        <w:tab w:val="left" w:pos="1200"/>
        <w:tab w:val="right" w:leader="dot" w:pos="8280"/>
      </w:tabs>
      <w:spacing w:line="312" w:lineRule="auto"/>
      <w:ind w:left="210" w:leftChars="0" w:firstLine="480"/>
      <w:jc w:val="center"/>
    </w:pPr>
    <w:rPr>
      <w:rFonts w:cs="宋体"/>
      <w:smallCaps/>
    </w:rPr>
  </w:style>
  <w:style w:type="paragraph" w:customStyle="1" w:styleId="1419">
    <w:name w:val="表目"/>
    <w:basedOn w:val="1"/>
    <w:qFormat/>
    <w:uiPriority w:val="0"/>
    <w:pPr>
      <w:adjustRightInd w:val="0"/>
      <w:snapToGrid w:val="0"/>
      <w:spacing w:line="400" w:lineRule="atLeast"/>
      <w:jc w:val="center"/>
      <w:textAlignment w:val="baseline"/>
    </w:pPr>
    <w:rPr>
      <w:rFonts w:ascii="Arial" w:hAnsi="Arial"/>
      <w:b/>
      <w:kern w:val="0"/>
      <w:sz w:val="24"/>
    </w:rPr>
  </w:style>
  <w:style w:type="paragraph" w:customStyle="1" w:styleId="1420">
    <w:name w:val="reader-word-layer reader-word-s1-18 reader-word-s1-2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21">
    <w:name w:val="正文首缩"/>
    <w:basedOn w:val="3"/>
    <w:qFormat/>
    <w:uiPriority w:val="0"/>
    <w:pPr>
      <w:snapToGrid w:val="0"/>
      <w:spacing w:after="80" w:line="288" w:lineRule="auto"/>
      <w:ind w:firstLine="454"/>
      <w:jc w:val="both"/>
    </w:pPr>
    <w:rPr>
      <w:sz w:val="24"/>
    </w:rPr>
  </w:style>
  <w:style w:type="paragraph" w:customStyle="1" w:styleId="1422">
    <w:name w:val="样式 样式 图形标题 + (西文) 宋体 (中文) 宋体 小四 加粗 + 非加粗"/>
    <w:basedOn w:val="1"/>
    <w:semiHidden/>
    <w:qFormat/>
    <w:uiPriority w:val="0"/>
    <w:pPr>
      <w:widowControl/>
      <w:spacing w:before="260" w:beforeLines="50" w:after="260" w:afterLines="50"/>
      <w:jc w:val="center"/>
    </w:pPr>
    <w:rPr>
      <w:rFonts w:ascii="黑体" w:hAnsi="黑体" w:eastAsia="黑体"/>
      <w:b/>
      <w:kern w:val="0"/>
      <w:sz w:val="24"/>
      <w:szCs w:val="24"/>
    </w:rPr>
  </w:style>
  <w:style w:type="paragraph" w:customStyle="1" w:styleId="1423">
    <w:name w:val="reader-word-layer reader-word-s1-4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24">
    <w:name w:val="Char Char Char Char3"/>
    <w:basedOn w:val="1"/>
    <w:qFormat/>
    <w:uiPriority w:val="0"/>
    <w:pPr>
      <w:spacing w:line="360" w:lineRule="auto"/>
      <w:ind w:firstLine="200" w:firstLineChars="200"/>
    </w:pPr>
    <w:rPr>
      <w:rFonts w:ascii="宋体" w:hAnsi="宋体" w:cs="宋体"/>
      <w:sz w:val="24"/>
      <w:szCs w:val="24"/>
    </w:rPr>
  </w:style>
  <w:style w:type="paragraph" w:customStyle="1" w:styleId="1425">
    <w:name w:val="reader-word-layer reader-word-s1-45"/>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26">
    <w:name w:val="表格文字1"/>
    <w:basedOn w:val="1"/>
    <w:qFormat/>
    <w:uiPriority w:val="0"/>
    <w:pPr>
      <w:tabs>
        <w:tab w:val="left" w:pos="0"/>
      </w:tabs>
      <w:autoSpaceDE w:val="0"/>
      <w:autoSpaceDN w:val="0"/>
      <w:adjustRightInd w:val="0"/>
      <w:jc w:val="center"/>
      <w:textAlignment w:val="baseline"/>
    </w:pPr>
    <w:rPr>
      <w:kern w:val="0"/>
      <w:szCs w:val="24"/>
    </w:rPr>
  </w:style>
  <w:style w:type="paragraph" w:customStyle="1" w:styleId="1427">
    <w:name w:val="表格内"/>
    <w:basedOn w:val="1"/>
    <w:qFormat/>
    <w:uiPriority w:val="0"/>
    <w:pPr>
      <w:adjustRightInd w:val="0"/>
      <w:spacing w:line="240" w:lineRule="atLeast"/>
      <w:jc w:val="center"/>
      <w:textAlignment w:val="baseline"/>
    </w:pPr>
    <w:rPr>
      <w:rFonts w:ascii="宋体"/>
      <w:kern w:val="0"/>
    </w:rPr>
  </w:style>
  <w:style w:type="paragraph" w:customStyle="1" w:styleId="1428">
    <w:name w:val=" 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szCs w:val="24"/>
    </w:rPr>
  </w:style>
  <w:style w:type="paragraph" w:customStyle="1" w:styleId="1429">
    <w:name w:val=" Char Char Char Char Char Char1 Char"/>
    <w:basedOn w:val="1"/>
    <w:qFormat/>
    <w:uiPriority w:val="0"/>
    <w:rPr>
      <w:sz w:val="24"/>
      <w:szCs w:val="24"/>
    </w:rPr>
  </w:style>
  <w:style w:type="paragraph" w:customStyle="1" w:styleId="1430">
    <w:name w:val="0.0.0文本"/>
    <w:basedOn w:val="1"/>
    <w:qFormat/>
    <w:uiPriority w:val="0"/>
    <w:pPr>
      <w:autoSpaceDE w:val="0"/>
      <w:autoSpaceDN w:val="0"/>
      <w:adjustRightInd w:val="0"/>
      <w:snapToGrid w:val="0"/>
      <w:spacing w:line="360" w:lineRule="auto"/>
      <w:ind w:left="1320" w:leftChars="550"/>
      <w:textAlignment w:val="baseline"/>
    </w:pPr>
    <w:rPr>
      <w:rFonts w:ascii="宋体" w:hAnsi="Tms Rmn"/>
      <w:kern w:val="0"/>
      <w:sz w:val="24"/>
      <w:szCs w:val="24"/>
    </w:rPr>
  </w:style>
  <w:style w:type="paragraph" w:customStyle="1" w:styleId="1431">
    <w:name w:val="font12"/>
    <w:basedOn w:val="1"/>
    <w:qFormat/>
    <w:uiPriority w:val="0"/>
    <w:pPr>
      <w:widowControl/>
      <w:spacing w:before="100" w:beforeAutospacing="1" w:after="100" w:afterAutospacing="1"/>
      <w:jc w:val="left"/>
    </w:pPr>
    <w:rPr>
      <w:rFonts w:ascii="宋体" w:hAnsi="宋体" w:cs="宋体"/>
      <w:color w:val="000000"/>
      <w:kern w:val="0"/>
      <w:sz w:val="16"/>
      <w:szCs w:val="16"/>
    </w:rPr>
  </w:style>
  <w:style w:type="paragraph" w:customStyle="1" w:styleId="1432">
    <w:name w:val="xl83"/>
    <w:basedOn w:val="1"/>
    <w:qFormat/>
    <w:uiPriority w:val="0"/>
    <w:pPr>
      <w:widowControl/>
      <w:pBdr>
        <w:top w:val="single" w:color="auto" w:sz="8" w:space="0"/>
        <w:bottom w:val="single" w:color="auto" w:sz="4" w:space="0"/>
      </w:pBdr>
      <w:spacing w:before="100" w:beforeAutospacing="1" w:after="100" w:afterAutospacing="1"/>
      <w:jc w:val="left"/>
      <w:textAlignment w:val="center"/>
    </w:pPr>
    <w:rPr>
      <w:rFonts w:ascii="Arial" w:hAnsi="Arial" w:cs="Arial"/>
      <w:kern w:val="0"/>
      <w:sz w:val="24"/>
      <w:szCs w:val="24"/>
    </w:rPr>
  </w:style>
  <w:style w:type="paragraph" w:customStyle="1" w:styleId="1433">
    <w:name w:val="样式 标题 3 + 首行缩进:  2 字符 段前: 8.15 磅 段后: 8.15 磅"/>
    <w:basedOn w:val="9"/>
    <w:qFormat/>
    <w:uiPriority w:val="0"/>
    <w:pPr>
      <w:tabs>
        <w:tab w:val="left" w:pos="1575"/>
      </w:tabs>
      <w:spacing w:before="163" w:after="163" w:line="0" w:lineRule="atLeast"/>
      <w:ind w:firstLine="482" w:firstLineChars="200"/>
      <w:jc w:val="left"/>
    </w:pPr>
    <w:rPr>
      <w:rFonts w:ascii="Arial Unicode MS" w:hAnsi="Arial Unicode MS" w:eastAsia="黑体" w:cs="宋体"/>
      <w:bCs/>
      <w:sz w:val="24"/>
    </w:rPr>
  </w:style>
  <w:style w:type="paragraph" w:customStyle="1" w:styleId="1434">
    <w:name w:val="正文格式"/>
    <w:next w:val="1"/>
    <w:qFormat/>
    <w:uiPriority w:val="0"/>
    <w:pPr>
      <w:spacing w:before="156" w:beforeLines="50" w:line="440" w:lineRule="exact"/>
      <w:ind w:firstLine="560" w:firstLineChars="200"/>
    </w:pPr>
    <w:rPr>
      <w:rFonts w:ascii="Times New Roman" w:hAnsi="Times New Roman" w:eastAsia="仿宋_GB2312" w:cs="Times New Roman"/>
      <w:kern w:val="2"/>
      <w:sz w:val="28"/>
      <w:szCs w:val="28"/>
      <w:lang w:val="en-US" w:eastAsia="zh-CN" w:bidi="ar-SA"/>
    </w:rPr>
  </w:style>
  <w:style w:type="paragraph" w:customStyle="1" w:styleId="1435">
    <w:name w:val="8"/>
    <w:basedOn w:val="1"/>
    <w:next w:val="1"/>
    <w:qFormat/>
    <w:uiPriority w:val="0"/>
    <w:pPr>
      <w:widowControl/>
      <w:spacing w:line="360" w:lineRule="auto"/>
      <w:ind w:firstLine="420" w:firstLineChars="200"/>
      <w:jc w:val="left"/>
    </w:pPr>
    <w:rPr>
      <w:kern w:val="0"/>
      <w:sz w:val="20"/>
    </w:rPr>
  </w:style>
  <w:style w:type="paragraph" w:customStyle="1" w:styleId="1436">
    <w:name w:val=" Char1"/>
    <w:basedOn w:val="1"/>
    <w:qFormat/>
    <w:uiPriority w:val="0"/>
    <w:pPr>
      <w:spacing w:line="360" w:lineRule="auto"/>
      <w:ind w:firstLine="200" w:firstLineChars="200"/>
    </w:pPr>
  </w:style>
  <w:style w:type="paragraph" w:customStyle="1" w:styleId="1437">
    <w:name w:val="新目录2"/>
    <w:qFormat/>
    <w:uiPriority w:val="0"/>
    <w:pPr>
      <w:adjustRightInd w:val="0"/>
      <w:ind w:firstLine="200" w:firstLineChars="200"/>
    </w:pPr>
    <w:rPr>
      <w:rFonts w:ascii="Times New Roman" w:hAnsi="Times New Roman" w:eastAsia="宋体" w:cs="Times New Roman"/>
      <w:kern w:val="2"/>
      <w:sz w:val="21"/>
      <w:szCs w:val="24"/>
      <w:lang w:val="en-US" w:eastAsia="zh-CN" w:bidi="ar-SA"/>
    </w:rPr>
  </w:style>
  <w:style w:type="paragraph" w:customStyle="1" w:styleId="1438">
    <w:name w:val="bh1"/>
    <w:basedOn w:val="1"/>
    <w:qFormat/>
    <w:uiPriority w:val="0"/>
    <w:pPr>
      <w:widowControl/>
      <w:jc w:val="left"/>
    </w:pPr>
    <w:rPr>
      <w:rFonts w:ascii="宋体" w:hAnsi="宋体" w:cs="宋体"/>
      <w:kern w:val="0"/>
      <w:sz w:val="24"/>
      <w:szCs w:val="24"/>
    </w:rPr>
  </w:style>
  <w:style w:type="paragraph" w:customStyle="1" w:styleId="1439">
    <w:name w:val="标题01"/>
    <w:basedOn w:val="1"/>
    <w:qFormat/>
    <w:uiPriority w:val="0"/>
    <w:pPr>
      <w:spacing w:before="60" w:after="60" w:line="360" w:lineRule="auto"/>
      <w:outlineLvl w:val="0"/>
    </w:pPr>
    <w:rPr>
      <w:b/>
      <w:sz w:val="32"/>
    </w:rPr>
  </w:style>
  <w:style w:type="paragraph" w:customStyle="1" w:styleId="1440">
    <w:name w:val="reader-word-layer reader-word-s4-2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41">
    <w:name w:val="样式 红色 行距: 1.5 倍行距"/>
    <w:basedOn w:val="1"/>
    <w:qFormat/>
    <w:uiPriority w:val="0"/>
    <w:pPr>
      <w:widowControl/>
      <w:spacing w:line="360" w:lineRule="auto"/>
      <w:ind w:firstLine="480" w:firstLineChars="200"/>
    </w:pPr>
    <w:rPr>
      <w:rFonts w:ascii="宋体" w:hAnsi="宋体"/>
      <w:color w:val="FF0000"/>
      <w:spacing w:val="6"/>
      <w:sz w:val="24"/>
    </w:rPr>
  </w:style>
  <w:style w:type="paragraph" w:customStyle="1" w:styleId="1442">
    <w:name w:val="wenzi"/>
    <w:basedOn w:val="1"/>
    <w:qFormat/>
    <w:uiPriority w:val="0"/>
    <w:pPr>
      <w:widowControl/>
      <w:spacing w:before="100" w:beforeAutospacing="1" w:after="100" w:afterAutospacing="1" w:line="360" w:lineRule="atLeast"/>
      <w:jc w:val="left"/>
    </w:pPr>
    <w:rPr>
      <w:rFonts w:ascii="宋体" w:hAnsi="宋体"/>
      <w:color w:val="000000"/>
      <w:kern w:val="0"/>
      <w:sz w:val="18"/>
    </w:rPr>
  </w:style>
  <w:style w:type="paragraph" w:customStyle="1" w:styleId="1443">
    <w:name w:val="样式 标题 4 + 段前: 0.5 行"/>
    <w:basedOn w:val="10"/>
    <w:qFormat/>
    <w:uiPriority w:val="0"/>
    <w:pPr>
      <w:keepNext w:val="0"/>
      <w:keepLines w:val="0"/>
      <w:tabs>
        <w:tab w:val="left" w:pos="720"/>
      </w:tabs>
      <w:adjustRightInd w:val="0"/>
      <w:snapToGrid w:val="0"/>
      <w:spacing w:before="156" w:beforeLines="50" w:after="0" w:line="360" w:lineRule="auto"/>
      <w:ind w:left="720" w:hanging="720" w:firstLineChars="200"/>
    </w:pPr>
    <w:rPr>
      <w:rFonts w:ascii="Times New Roman" w:hAnsi="Times New Roman"/>
      <w:b w:val="0"/>
      <w:sz w:val="24"/>
    </w:rPr>
  </w:style>
  <w:style w:type="paragraph" w:customStyle="1" w:styleId="1444">
    <w:name w:val="样式 表内文字 + 10 磅 首行缩进:  0.63 厘米"/>
    <w:basedOn w:val="53"/>
    <w:qFormat/>
    <w:uiPriority w:val="0"/>
    <w:pPr>
      <w:adjustRightInd w:val="0"/>
      <w:snapToGrid w:val="0"/>
      <w:spacing w:line="320" w:lineRule="exact"/>
      <w:ind w:firstLine="360"/>
      <w:jc w:val="center"/>
    </w:pPr>
    <w:rPr>
      <w:rFonts w:ascii="Times New Roman" w:hAnsi="Times New Roman" w:eastAsia="楷体_GB2312"/>
      <w:kern w:val="0"/>
      <w:sz w:val="20"/>
    </w:rPr>
  </w:style>
  <w:style w:type="paragraph" w:customStyle="1" w:styleId="1445">
    <w:name w:val="正文1 Char Char Char Char Char"/>
    <w:basedOn w:val="1"/>
    <w:qFormat/>
    <w:uiPriority w:val="0"/>
    <w:pPr>
      <w:suppressLineNumbers/>
      <w:suppressAutoHyphens/>
      <w:topLinePunct/>
      <w:adjustRightInd w:val="0"/>
      <w:snapToGrid w:val="0"/>
      <w:spacing w:line="360" w:lineRule="auto"/>
      <w:ind w:firstLine="480" w:firstLineChars="200"/>
    </w:pPr>
    <w:rPr>
      <w:sz w:val="24"/>
    </w:rPr>
  </w:style>
  <w:style w:type="paragraph" w:customStyle="1" w:styleId="1446">
    <w:name w:val="正文1 Char Char2 Char"/>
    <w:basedOn w:val="1"/>
    <w:qFormat/>
    <w:uiPriority w:val="0"/>
    <w:pPr>
      <w:adjustRightInd w:val="0"/>
      <w:snapToGrid w:val="0"/>
      <w:spacing w:line="516" w:lineRule="exact"/>
      <w:ind w:firstLine="200" w:firstLineChars="200"/>
    </w:pPr>
    <w:rPr>
      <w:rFonts w:eastAsia="仿宋_GB2312"/>
      <w:sz w:val="26"/>
    </w:rPr>
  </w:style>
  <w:style w:type="paragraph" w:customStyle="1" w:styleId="1447">
    <w:name w:val="样式 标题 1 + 首行缩进:  0 厘米 段前: 6 磅 段后: 6 磅 行距: 固定值 28 磅"/>
    <w:basedOn w:val="7"/>
    <w:qFormat/>
    <w:uiPriority w:val="0"/>
    <w:pPr>
      <w:pageBreakBefore/>
      <w:widowControl/>
      <w:tabs>
        <w:tab w:val="left" w:pos="1800"/>
      </w:tabs>
      <w:adjustRightInd w:val="0"/>
      <w:snapToGrid w:val="0"/>
      <w:spacing w:before="312" w:after="120" w:line="560" w:lineRule="exact"/>
    </w:pPr>
    <w:rPr>
      <w:rFonts w:ascii="黑体" w:eastAsia="黑体"/>
      <w:b w:val="0"/>
      <w:color w:val="000000"/>
      <w:sz w:val="32"/>
      <w:u w:val="none" w:color="000000"/>
    </w:rPr>
  </w:style>
  <w:style w:type="paragraph" w:customStyle="1" w:styleId="1448">
    <w:name w:val="图目"/>
    <w:basedOn w:val="1"/>
    <w:qFormat/>
    <w:uiPriority w:val="0"/>
    <w:pPr>
      <w:adjustRightInd w:val="0"/>
      <w:snapToGrid w:val="0"/>
      <w:spacing w:before="156" w:beforeLines="50" w:line="440" w:lineRule="atLeast"/>
      <w:jc w:val="center"/>
      <w:textAlignment w:val="baseline"/>
    </w:pPr>
    <w:rPr>
      <w:rFonts w:ascii="仿宋_GB2312" w:hAnsi="Arial" w:eastAsia="仿宋_GB2312"/>
      <w:spacing w:val="10"/>
      <w:kern w:val="0"/>
      <w:position w:val="12"/>
      <w:sz w:val="28"/>
    </w:rPr>
  </w:style>
  <w:style w:type="paragraph" w:customStyle="1" w:styleId="1449">
    <w:name w:val="reader-word-layer reader-word-s1-53"/>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50">
    <w:name w:val="Char4"/>
    <w:basedOn w:val="1"/>
    <w:qFormat/>
    <w:uiPriority w:val="0"/>
    <w:pPr>
      <w:spacing w:line="360" w:lineRule="auto"/>
      <w:ind w:firstLine="200" w:firstLineChars="200"/>
    </w:pPr>
    <w:rPr>
      <w:rFonts w:ascii="宋体" w:hAnsi="宋体" w:cs="宋体"/>
      <w:sz w:val="24"/>
      <w:szCs w:val="24"/>
    </w:rPr>
  </w:style>
  <w:style w:type="paragraph" w:customStyle="1" w:styleId="1451">
    <w:name w:val="样式 表格标题 + 段前: 0.5 行"/>
    <w:basedOn w:val="525"/>
    <w:semiHidden/>
    <w:qFormat/>
    <w:uiPriority w:val="0"/>
    <w:pPr>
      <w:keepNext w:val="0"/>
      <w:widowControl w:val="0"/>
      <w:overflowPunct/>
      <w:adjustRightInd/>
      <w:snapToGrid/>
      <w:spacing w:before="0" w:after="0" w:line="360" w:lineRule="auto"/>
      <w:textAlignment w:val="auto"/>
    </w:pPr>
    <w:rPr>
      <w:rFonts w:ascii="Times New Roman" w:hAnsi="Times New Roman" w:eastAsia="宋体"/>
      <w:b/>
      <w:snapToGrid/>
      <w:kern w:val="2"/>
      <w:lang w:val="en-US" w:eastAsia="zh-CN"/>
    </w:rPr>
  </w:style>
  <w:style w:type="paragraph" w:customStyle="1" w:styleId="1452">
    <w:name w:val="列出段落[858D7CFB-ED40-4347-BF05-701D383B685F][858D7CFB-ED40-4347-BF05-701D383B685F]"/>
    <w:basedOn w:val="1"/>
    <w:qFormat/>
    <w:uiPriority w:val="0"/>
    <w:pPr>
      <w:ind w:firstLine="420" w:firstLineChars="200"/>
    </w:pPr>
    <w:rPr>
      <w:szCs w:val="24"/>
    </w:rPr>
  </w:style>
  <w:style w:type="paragraph" w:customStyle="1" w:styleId="1453">
    <w:name w:val="Char Char3 Char Char"/>
    <w:basedOn w:val="1"/>
    <w:qFormat/>
    <w:uiPriority w:val="0"/>
    <w:pPr>
      <w:widowControl/>
      <w:spacing w:after="160" w:line="240" w:lineRule="exact"/>
      <w:jc w:val="left"/>
    </w:pPr>
    <w:rPr>
      <w:szCs w:val="24"/>
    </w:rPr>
  </w:style>
  <w:style w:type="paragraph" w:customStyle="1" w:styleId="1454">
    <w:name w:val="xl64"/>
    <w:basedOn w:val="1"/>
    <w:qFormat/>
    <w:uiPriority w:val="0"/>
    <w:pPr>
      <w:widowControl/>
      <w:pBdr>
        <w:top w:val="single" w:color="000000" w:sz="12" w:space="0"/>
        <w:bottom w:val="single" w:color="000000" w:sz="8" w:space="0"/>
        <w:right w:val="single" w:color="000000" w:sz="12" w:space="0"/>
      </w:pBdr>
      <w:spacing w:before="100" w:beforeAutospacing="1" w:after="100" w:afterAutospacing="1"/>
      <w:jc w:val="left"/>
    </w:pPr>
    <w:rPr>
      <w:rFonts w:ascii="Arial Unicode MS" w:hAnsi="Arial Unicode MS" w:eastAsia="Arial Unicode MS" w:cs="Arial Unicode MS"/>
      <w:kern w:val="0"/>
      <w:sz w:val="18"/>
      <w:szCs w:val="18"/>
    </w:rPr>
  </w:style>
  <w:style w:type="paragraph" w:customStyle="1" w:styleId="1455">
    <w:name w:val="xl71"/>
    <w:basedOn w:val="1"/>
    <w:qFormat/>
    <w:uiPriority w:val="0"/>
    <w:pPr>
      <w:widowControl/>
      <w:pBdr>
        <w:right w:val="single" w:color="000000" w:sz="12"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56">
    <w:name w:val="xl72"/>
    <w:basedOn w:val="1"/>
    <w:qFormat/>
    <w:uiPriority w:val="0"/>
    <w:pPr>
      <w:widowControl/>
      <w:pBdr>
        <w:bottom w:val="single" w:color="000000" w:sz="8" w:space="0"/>
        <w:right w:val="single" w:color="000000" w:sz="12" w:space="0"/>
      </w:pBdr>
      <w:spacing w:before="100" w:beforeAutospacing="1" w:after="100" w:afterAutospacing="1"/>
      <w:jc w:val="left"/>
      <w:textAlignment w:val="top"/>
    </w:pPr>
    <w:rPr>
      <w:rFonts w:ascii="宋体" w:hAnsi="宋体" w:cs="宋体"/>
      <w:kern w:val="0"/>
      <w:sz w:val="24"/>
      <w:szCs w:val="24"/>
    </w:rPr>
  </w:style>
  <w:style w:type="paragraph" w:customStyle="1" w:styleId="1457">
    <w:name w:val="xl73"/>
    <w:basedOn w:val="1"/>
    <w:qFormat/>
    <w:uiPriority w:val="0"/>
    <w:pPr>
      <w:widowControl/>
      <w:pBdr>
        <w:right w:val="single" w:color="000000" w:sz="12" w:space="0"/>
      </w:pBdr>
      <w:spacing w:before="100" w:beforeAutospacing="1" w:after="100" w:afterAutospacing="1"/>
      <w:jc w:val="left"/>
    </w:pPr>
    <w:rPr>
      <w:kern w:val="0"/>
      <w:sz w:val="26"/>
      <w:szCs w:val="26"/>
    </w:rPr>
  </w:style>
  <w:style w:type="paragraph" w:customStyle="1" w:styleId="1458">
    <w:name w:val="xl74"/>
    <w:basedOn w:val="1"/>
    <w:qFormat/>
    <w:uiPriority w:val="0"/>
    <w:pPr>
      <w:widowControl/>
      <w:pBdr>
        <w:bottom w:val="single" w:color="000000" w:sz="8" w:space="0"/>
        <w:right w:val="single" w:color="000000" w:sz="12" w:space="0"/>
      </w:pBdr>
      <w:spacing w:before="100" w:beforeAutospacing="1" w:after="100" w:afterAutospacing="1"/>
      <w:jc w:val="left"/>
    </w:pPr>
    <w:rPr>
      <w:kern w:val="0"/>
      <w:sz w:val="24"/>
      <w:szCs w:val="24"/>
    </w:rPr>
  </w:style>
  <w:style w:type="paragraph" w:customStyle="1" w:styleId="1459">
    <w:name w:val="xl75"/>
    <w:basedOn w:val="1"/>
    <w:qFormat/>
    <w:uiPriority w:val="0"/>
    <w:pPr>
      <w:widowControl/>
      <w:pBdr>
        <w:right w:val="single" w:color="000000" w:sz="12" w:space="0"/>
      </w:pBdr>
      <w:spacing w:before="100" w:beforeAutospacing="1" w:after="100" w:afterAutospacing="1"/>
      <w:jc w:val="left"/>
    </w:pPr>
    <w:rPr>
      <w:kern w:val="0"/>
      <w:sz w:val="10"/>
      <w:szCs w:val="10"/>
    </w:rPr>
  </w:style>
  <w:style w:type="paragraph" w:customStyle="1" w:styleId="1460">
    <w:name w:val="xl76"/>
    <w:basedOn w:val="1"/>
    <w:qFormat/>
    <w:uiPriority w:val="0"/>
    <w:pPr>
      <w:widowControl/>
      <w:pBdr>
        <w:bottom w:val="single" w:color="000000" w:sz="12" w:space="0"/>
        <w:right w:val="single" w:color="000000" w:sz="12"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61">
    <w:name w:val="xl77"/>
    <w:basedOn w:val="1"/>
    <w:qFormat/>
    <w:uiPriority w:val="0"/>
    <w:pPr>
      <w:widowControl/>
      <w:pBdr>
        <w:bottom w:val="single" w:color="000000" w:sz="12"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62">
    <w:name w:val="xl78"/>
    <w:basedOn w:val="1"/>
    <w:qFormat/>
    <w:uiPriority w:val="0"/>
    <w:pPr>
      <w:widowControl/>
      <w:pBdr>
        <w:right w:val="single" w:color="000000" w:sz="12" w:space="0"/>
      </w:pBdr>
      <w:spacing w:before="100" w:beforeAutospacing="1" w:after="100" w:afterAutospacing="1"/>
      <w:jc w:val="left"/>
    </w:pPr>
    <w:rPr>
      <w:kern w:val="0"/>
      <w:sz w:val="24"/>
      <w:szCs w:val="24"/>
    </w:rPr>
  </w:style>
  <w:style w:type="paragraph" w:customStyle="1" w:styleId="1463">
    <w:name w:val="xl80"/>
    <w:basedOn w:val="1"/>
    <w:qFormat/>
    <w:uiPriority w:val="0"/>
    <w:pPr>
      <w:widowControl/>
      <w:pBdr>
        <w:top w:val="single" w:color="000000" w:sz="12" w:space="0"/>
        <w:bottom w:val="single" w:color="000000" w:sz="8" w:space="0"/>
        <w:right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64">
    <w:name w:val="xl81"/>
    <w:basedOn w:val="1"/>
    <w:qFormat/>
    <w:uiPriority w:val="0"/>
    <w:pPr>
      <w:widowControl/>
      <w:pBdr>
        <w:top w:val="single" w:color="000000" w:sz="12" w:space="0"/>
        <w:bottom w:val="single" w:color="000000" w:sz="8" w:space="0"/>
        <w:right w:val="single" w:color="000000" w:sz="8" w:space="0"/>
      </w:pBdr>
      <w:spacing w:before="100" w:beforeAutospacing="1" w:after="100" w:afterAutospacing="1"/>
      <w:jc w:val="left"/>
    </w:pPr>
    <w:rPr>
      <w:rFonts w:ascii="Arial Unicode MS" w:hAnsi="Arial Unicode MS" w:eastAsia="Arial Unicode MS" w:cs="Arial Unicode MS"/>
      <w:kern w:val="0"/>
      <w:sz w:val="18"/>
      <w:szCs w:val="18"/>
    </w:rPr>
  </w:style>
  <w:style w:type="paragraph" w:customStyle="1" w:styleId="1465">
    <w:name w:val="xl82"/>
    <w:basedOn w:val="1"/>
    <w:qFormat/>
    <w:uiPriority w:val="0"/>
    <w:pPr>
      <w:widowControl/>
      <w:pBdr>
        <w:bottom w:val="single" w:color="000000" w:sz="8" w:space="0"/>
        <w:right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66">
    <w:name w:val="xl85"/>
    <w:basedOn w:val="1"/>
    <w:qFormat/>
    <w:uiPriority w:val="0"/>
    <w:pPr>
      <w:widowControl/>
      <w:pBdr>
        <w:right w:val="single" w:color="000000" w:sz="8" w:space="0"/>
      </w:pBdr>
      <w:spacing w:before="100" w:beforeAutospacing="1" w:after="100" w:afterAutospacing="1"/>
      <w:jc w:val="left"/>
    </w:pPr>
    <w:rPr>
      <w:kern w:val="0"/>
      <w:sz w:val="20"/>
    </w:rPr>
  </w:style>
  <w:style w:type="paragraph" w:customStyle="1" w:styleId="1467">
    <w:name w:val="xl86"/>
    <w:basedOn w:val="1"/>
    <w:qFormat/>
    <w:uiPriority w:val="0"/>
    <w:pPr>
      <w:widowControl/>
      <w:pBdr>
        <w:right w:val="single" w:color="000000" w:sz="8" w:space="0"/>
      </w:pBdr>
      <w:spacing w:before="100" w:beforeAutospacing="1" w:after="100" w:afterAutospacing="1"/>
      <w:jc w:val="left"/>
    </w:pPr>
    <w:rPr>
      <w:kern w:val="0"/>
      <w:sz w:val="24"/>
      <w:szCs w:val="24"/>
    </w:rPr>
  </w:style>
  <w:style w:type="paragraph" w:customStyle="1" w:styleId="1468">
    <w:name w:val="xl88"/>
    <w:basedOn w:val="1"/>
    <w:qFormat/>
    <w:uiPriority w:val="0"/>
    <w:pPr>
      <w:widowControl/>
      <w:pBdr>
        <w:bottom w:val="single" w:color="000000" w:sz="8" w:space="0"/>
        <w:right w:val="single" w:color="000000" w:sz="8" w:space="0"/>
      </w:pBdr>
      <w:spacing w:before="100" w:beforeAutospacing="1" w:after="100" w:afterAutospacing="1"/>
      <w:jc w:val="left"/>
      <w:textAlignment w:val="top"/>
    </w:pPr>
    <w:rPr>
      <w:rFonts w:ascii="宋体" w:hAnsi="宋体" w:cs="宋体"/>
      <w:kern w:val="0"/>
      <w:sz w:val="24"/>
      <w:szCs w:val="24"/>
    </w:rPr>
  </w:style>
  <w:style w:type="paragraph" w:customStyle="1" w:styleId="1469">
    <w:name w:val="xl89"/>
    <w:basedOn w:val="1"/>
    <w:qFormat/>
    <w:uiPriority w:val="0"/>
    <w:pPr>
      <w:widowControl/>
      <w:pBdr>
        <w:right w:val="single" w:color="000000" w:sz="8" w:space="0"/>
      </w:pBdr>
      <w:spacing w:before="100" w:beforeAutospacing="1" w:after="100" w:afterAutospacing="1"/>
      <w:jc w:val="left"/>
    </w:pPr>
    <w:rPr>
      <w:kern w:val="0"/>
      <w:sz w:val="10"/>
      <w:szCs w:val="10"/>
    </w:rPr>
  </w:style>
  <w:style w:type="paragraph" w:customStyle="1" w:styleId="1470">
    <w:name w:val="xl90"/>
    <w:basedOn w:val="1"/>
    <w:qFormat/>
    <w:uiPriority w:val="0"/>
    <w:pPr>
      <w:widowControl/>
      <w:pBdr>
        <w:right w:val="single" w:color="000000" w:sz="8" w:space="0"/>
      </w:pBdr>
      <w:spacing w:before="100" w:beforeAutospacing="1" w:after="100" w:afterAutospacing="1"/>
      <w:jc w:val="left"/>
    </w:pPr>
    <w:rPr>
      <w:kern w:val="0"/>
      <w:sz w:val="26"/>
      <w:szCs w:val="26"/>
    </w:rPr>
  </w:style>
  <w:style w:type="paragraph" w:customStyle="1" w:styleId="1471">
    <w:name w:val="xl91"/>
    <w:basedOn w:val="1"/>
    <w:qFormat/>
    <w:uiPriority w:val="0"/>
    <w:pPr>
      <w:widowControl/>
      <w:pBdr>
        <w:bottom w:val="single" w:color="000000" w:sz="12" w:space="0"/>
        <w:right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72">
    <w:name w:val="xl92"/>
    <w:basedOn w:val="1"/>
    <w:qFormat/>
    <w:uiPriority w:val="0"/>
    <w:pPr>
      <w:widowControl/>
      <w:pBdr>
        <w:right w:val="single" w:color="000000" w:sz="8" w:space="0"/>
      </w:pBdr>
      <w:spacing w:before="100" w:beforeAutospacing="1" w:after="100" w:afterAutospacing="1"/>
      <w:jc w:val="left"/>
    </w:pPr>
    <w:rPr>
      <w:kern w:val="0"/>
      <w:sz w:val="24"/>
      <w:szCs w:val="24"/>
    </w:rPr>
  </w:style>
  <w:style w:type="paragraph" w:customStyle="1" w:styleId="1473">
    <w:name w:val="xl94"/>
    <w:basedOn w:val="1"/>
    <w:qFormat/>
    <w:uiPriority w:val="0"/>
    <w:pPr>
      <w:widowControl/>
      <w:pBdr>
        <w:bottom w:val="single" w:color="000000" w:sz="8" w:space="0"/>
        <w:right w:val="single" w:color="000000" w:sz="8" w:space="0"/>
      </w:pBdr>
      <w:spacing w:before="100" w:beforeAutospacing="1" w:after="100" w:afterAutospacing="1"/>
      <w:jc w:val="left"/>
    </w:pPr>
    <w:rPr>
      <w:kern w:val="0"/>
      <w:sz w:val="24"/>
      <w:szCs w:val="24"/>
    </w:rPr>
  </w:style>
  <w:style w:type="paragraph" w:customStyle="1" w:styleId="1474">
    <w:name w:val="xl95"/>
    <w:basedOn w:val="1"/>
    <w:qFormat/>
    <w:uiPriority w:val="0"/>
    <w:pPr>
      <w:widowControl/>
      <w:pBdr>
        <w:top w:val="single" w:color="000000" w:sz="8" w:space="0"/>
        <w:right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75">
    <w:name w:val="xl96"/>
    <w:basedOn w:val="1"/>
    <w:qFormat/>
    <w:uiPriority w:val="0"/>
    <w:pPr>
      <w:widowControl/>
      <w:pBdr>
        <w:right w:val="single" w:color="000000" w:sz="8" w:space="0"/>
      </w:pBdr>
      <w:spacing w:before="100" w:beforeAutospacing="1" w:after="100" w:afterAutospacing="1"/>
      <w:jc w:val="left"/>
    </w:pPr>
    <w:rPr>
      <w:kern w:val="0"/>
      <w:sz w:val="28"/>
      <w:szCs w:val="28"/>
    </w:rPr>
  </w:style>
  <w:style w:type="paragraph" w:customStyle="1" w:styleId="1476">
    <w:name w:val="xl97"/>
    <w:basedOn w:val="1"/>
    <w:qFormat/>
    <w:uiPriority w:val="0"/>
    <w:pPr>
      <w:widowControl/>
      <w:pBdr>
        <w:right w:val="single" w:color="000000" w:sz="8" w:space="0"/>
      </w:pBdr>
      <w:spacing w:before="100" w:beforeAutospacing="1" w:after="100" w:afterAutospacing="1"/>
      <w:jc w:val="left"/>
      <w:textAlignment w:val="top"/>
    </w:pPr>
    <w:rPr>
      <w:rFonts w:ascii="宋体" w:hAnsi="宋体" w:cs="宋体"/>
      <w:kern w:val="0"/>
      <w:sz w:val="24"/>
      <w:szCs w:val="24"/>
    </w:rPr>
  </w:style>
  <w:style w:type="paragraph" w:customStyle="1" w:styleId="1477">
    <w:name w:val="xl98"/>
    <w:basedOn w:val="1"/>
    <w:qFormat/>
    <w:uiPriority w:val="0"/>
    <w:pPr>
      <w:widowControl/>
      <w:pBdr>
        <w:right w:val="single" w:color="000000" w:sz="8" w:space="0"/>
      </w:pBdr>
      <w:spacing w:before="100" w:beforeAutospacing="1" w:after="100" w:afterAutospacing="1"/>
      <w:jc w:val="left"/>
    </w:pPr>
    <w:rPr>
      <w:kern w:val="0"/>
      <w:sz w:val="19"/>
      <w:szCs w:val="19"/>
    </w:rPr>
  </w:style>
  <w:style w:type="paragraph" w:customStyle="1" w:styleId="1478">
    <w:name w:val="xl99"/>
    <w:basedOn w:val="1"/>
    <w:qFormat/>
    <w:uiPriority w:val="0"/>
    <w:pPr>
      <w:widowControl/>
      <w:pBdr>
        <w:right w:val="single" w:color="000000" w:sz="8" w:space="0"/>
      </w:pBdr>
      <w:spacing w:before="100" w:beforeAutospacing="1" w:after="100" w:afterAutospacing="1"/>
      <w:ind w:firstLine="100" w:firstLineChars="100"/>
      <w:jc w:val="left"/>
    </w:pPr>
    <w:rPr>
      <w:rFonts w:ascii="Arial Unicode MS" w:hAnsi="Arial Unicode MS" w:eastAsia="Arial Unicode MS" w:cs="Arial Unicode MS"/>
      <w:kern w:val="0"/>
      <w:sz w:val="18"/>
      <w:szCs w:val="18"/>
    </w:rPr>
  </w:style>
  <w:style w:type="paragraph" w:customStyle="1" w:styleId="1479">
    <w:name w:val="xl100"/>
    <w:basedOn w:val="1"/>
    <w:qFormat/>
    <w:uiPriority w:val="0"/>
    <w:pPr>
      <w:widowControl/>
      <w:pBdr>
        <w:right w:val="single" w:color="000000" w:sz="8" w:space="0"/>
      </w:pBdr>
      <w:spacing w:before="100" w:beforeAutospacing="1" w:after="100" w:afterAutospacing="1"/>
      <w:jc w:val="left"/>
    </w:pPr>
    <w:rPr>
      <w:kern w:val="0"/>
      <w:sz w:val="15"/>
      <w:szCs w:val="15"/>
    </w:rPr>
  </w:style>
  <w:style w:type="paragraph" w:customStyle="1" w:styleId="1480">
    <w:name w:val="xl101"/>
    <w:basedOn w:val="1"/>
    <w:qFormat/>
    <w:uiPriority w:val="0"/>
    <w:pPr>
      <w:widowControl/>
      <w:pBdr>
        <w:top w:val="single" w:color="000000" w:sz="8" w:space="0"/>
        <w:right w:val="single" w:color="000000" w:sz="8" w:space="0"/>
      </w:pBdr>
      <w:spacing w:before="100" w:beforeAutospacing="1" w:after="100" w:afterAutospacing="1"/>
      <w:ind w:firstLine="100" w:firstLineChars="100"/>
      <w:jc w:val="left"/>
    </w:pPr>
    <w:rPr>
      <w:rFonts w:ascii="Arial Unicode MS" w:hAnsi="Arial Unicode MS" w:eastAsia="Arial Unicode MS" w:cs="Arial Unicode MS"/>
      <w:kern w:val="0"/>
      <w:sz w:val="18"/>
      <w:szCs w:val="18"/>
    </w:rPr>
  </w:style>
  <w:style w:type="paragraph" w:customStyle="1" w:styleId="1481">
    <w:name w:val="xl102"/>
    <w:basedOn w:val="1"/>
    <w:qFormat/>
    <w:uiPriority w:val="0"/>
    <w:pPr>
      <w:widowControl/>
      <w:pBdr>
        <w:bottom w:val="single" w:color="000000" w:sz="12" w:space="0"/>
        <w:right w:val="single" w:color="000000" w:sz="8" w:space="0"/>
      </w:pBdr>
      <w:spacing w:before="100" w:beforeAutospacing="1" w:after="100" w:afterAutospacing="1"/>
      <w:ind w:firstLine="100" w:firstLineChars="100"/>
      <w:jc w:val="left"/>
    </w:pPr>
    <w:rPr>
      <w:rFonts w:ascii="Arial Unicode MS" w:hAnsi="Arial Unicode MS" w:eastAsia="Arial Unicode MS" w:cs="Arial Unicode MS"/>
      <w:kern w:val="0"/>
      <w:sz w:val="18"/>
      <w:szCs w:val="18"/>
    </w:rPr>
  </w:style>
  <w:style w:type="paragraph" w:customStyle="1" w:styleId="1482">
    <w:name w:val="xl103"/>
    <w:basedOn w:val="1"/>
    <w:qFormat/>
    <w:uiPriority w:val="0"/>
    <w:pPr>
      <w:widowControl/>
      <w:pBdr>
        <w:top w:val="single" w:color="000000" w:sz="8" w:space="0"/>
        <w:bottom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83">
    <w:name w:val="xl104"/>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484">
    <w:name w:val="默认段落字体 Para Char Char Char Char Char Char Char Char Char Char Char"/>
    <w:basedOn w:val="9"/>
    <w:qFormat/>
    <w:uiPriority w:val="0"/>
    <w:pPr>
      <w:keepNext w:val="0"/>
      <w:keepLines w:val="0"/>
      <w:tabs>
        <w:tab w:val="left" w:pos="360"/>
        <w:tab w:val="left" w:pos="900"/>
      </w:tabs>
      <w:snapToGrid w:val="0"/>
      <w:spacing w:before="120" w:after="120" w:line="360" w:lineRule="auto"/>
      <w:ind w:left="542" w:leftChars="-12" w:firstLine="200" w:firstLineChars="200"/>
      <w:jc w:val="left"/>
    </w:pPr>
    <w:rPr>
      <w:rFonts w:ascii="黑体" w:eastAsia="黑体"/>
      <w:b w:val="0"/>
      <w:bCs/>
      <w:sz w:val="24"/>
      <w:szCs w:val="24"/>
    </w:rPr>
  </w:style>
  <w:style w:type="paragraph" w:customStyle="1" w:styleId="1485">
    <w:name w:val="样式 标题 2 + 宋体 段前: 0.5 行 段后: 0.5 行"/>
    <w:basedOn w:val="1"/>
    <w:next w:val="1"/>
    <w:qFormat/>
    <w:uiPriority w:val="99"/>
    <w:pPr>
      <w:autoSpaceDE w:val="0"/>
      <w:autoSpaceDN w:val="0"/>
      <w:adjustRightInd w:val="0"/>
      <w:jc w:val="left"/>
    </w:pPr>
    <w:rPr>
      <w:rFonts w:ascii="宋体"/>
      <w:kern w:val="0"/>
      <w:sz w:val="24"/>
      <w:szCs w:val="24"/>
    </w:rPr>
  </w:style>
  <w:style w:type="paragraph" w:customStyle="1" w:styleId="1486">
    <w:name w:val="Char Char Char"/>
    <w:basedOn w:val="1"/>
    <w:qFormat/>
    <w:uiPriority w:val="0"/>
    <w:pPr>
      <w:spacing w:line="360" w:lineRule="auto"/>
      <w:ind w:firstLine="200" w:firstLineChars="200"/>
    </w:pPr>
    <w:rPr>
      <w:rFonts w:ascii="宋体" w:hAnsi="宋体" w:cs="宋体"/>
      <w:sz w:val="24"/>
      <w:szCs w:val="24"/>
    </w:rPr>
  </w:style>
  <w:style w:type="paragraph" w:customStyle="1" w:styleId="1487">
    <w:name w:val="xl218"/>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b/>
      <w:bCs/>
      <w:kern w:val="0"/>
      <w:sz w:val="24"/>
      <w:szCs w:val="24"/>
    </w:rPr>
  </w:style>
  <w:style w:type="paragraph" w:customStyle="1" w:styleId="1488">
    <w:name w:val="Char Char Char Char Char Char Char Char"/>
    <w:basedOn w:val="1"/>
    <w:qFormat/>
    <w:uiPriority w:val="0"/>
    <w:rPr>
      <w:sz w:val="24"/>
      <w:szCs w:val="24"/>
    </w:rPr>
  </w:style>
  <w:style w:type="paragraph" w:customStyle="1" w:styleId="1489">
    <w:name w:val="Char Char Char Char Char Char Char Char Char1 Char Char Char1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490">
    <w:name w:val="Char1 Char Char Char"/>
    <w:basedOn w:val="1"/>
    <w:qFormat/>
    <w:uiPriority w:val="0"/>
    <w:pPr>
      <w:spacing w:line="360" w:lineRule="auto"/>
      <w:ind w:firstLine="200" w:firstLineChars="200"/>
    </w:pPr>
    <w:rPr>
      <w:rFonts w:ascii="宋体" w:hAnsi="宋体" w:cs="宋体"/>
      <w:sz w:val="24"/>
      <w:szCs w:val="24"/>
    </w:rPr>
  </w:style>
  <w:style w:type="paragraph" w:customStyle="1" w:styleId="1491">
    <w:name w:val="xl221"/>
    <w:basedOn w:val="1"/>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492">
    <w:name w:val="Char Char Char1"/>
    <w:basedOn w:val="1"/>
    <w:qFormat/>
    <w:uiPriority w:val="0"/>
    <w:pPr>
      <w:spacing w:line="360" w:lineRule="auto"/>
      <w:ind w:firstLine="200" w:firstLineChars="200"/>
    </w:pPr>
    <w:rPr>
      <w:rFonts w:ascii="宋体" w:hAnsi="宋体" w:cs="宋体"/>
      <w:sz w:val="24"/>
      <w:szCs w:val="24"/>
    </w:rPr>
  </w:style>
  <w:style w:type="paragraph" w:customStyle="1" w:styleId="1493">
    <w:name w:val="xl223"/>
    <w:basedOn w:val="1"/>
    <w:qFormat/>
    <w:uiPriority w:val="0"/>
    <w:pPr>
      <w:widowControl/>
      <w:pBdr>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b/>
      <w:bCs/>
      <w:kern w:val="0"/>
      <w:sz w:val="24"/>
      <w:szCs w:val="24"/>
    </w:rPr>
  </w:style>
  <w:style w:type="paragraph" w:customStyle="1" w:styleId="1494">
    <w:name w:val="Char3 Char Char Char Char Char Char"/>
    <w:basedOn w:val="1"/>
    <w:qFormat/>
    <w:uiPriority w:val="0"/>
    <w:rPr>
      <w:szCs w:val="21"/>
    </w:rPr>
  </w:style>
  <w:style w:type="paragraph" w:customStyle="1" w:styleId="1495">
    <w:name w:val="xl224"/>
    <w:basedOn w:val="1"/>
    <w:qFormat/>
    <w:uiPriority w:val="0"/>
    <w:pPr>
      <w:widowControl/>
      <w:pBdr>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b/>
      <w:bCs/>
      <w:kern w:val="0"/>
      <w:sz w:val="24"/>
      <w:szCs w:val="24"/>
    </w:rPr>
  </w:style>
  <w:style w:type="paragraph" w:customStyle="1" w:styleId="1496">
    <w:name w:val="Char Char Char Char Char Char Char Char Char2"/>
    <w:basedOn w:val="1"/>
    <w:qFormat/>
    <w:uiPriority w:val="0"/>
    <w:rPr>
      <w:sz w:val="24"/>
      <w:szCs w:val="24"/>
    </w:rPr>
  </w:style>
  <w:style w:type="paragraph" w:customStyle="1" w:styleId="1497">
    <w:name w:val="日期12"/>
    <w:basedOn w:val="1"/>
    <w:next w:val="1"/>
    <w:qFormat/>
    <w:uiPriority w:val="0"/>
    <w:pPr>
      <w:adjustRightInd w:val="0"/>
      <w:textAlignment w:val="baseline"/>
    </w:pPr>
    <w:rPr>
      <w:rFonts w:ascii="宋体"/>
    </w:rPr>
  </w:style>
  <w:style w:type="paragraph" w:customStyle="1" w:styleId="1498">
    <w:name w:val="Char Char Char1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499">
    <w:name w:val="正文文本缩进 21"/>
    <w:basedOn w:val="1"/>
    <w:qFormat/>
    <w:uiPriority w:val="0"/>
    <w:pPr>
      <w:adjustRightInd w:val="0"/>
      <w:spacing w:after="120" w:line="480" w:lineRule="auto"/>
      <w:ind w:left="420"/>
      <w:textAlignment w:val="baseline"/>
    </w:pPr>
    <w:rPr>
      <w:sz w:val="28"/>
    </w:rPr>
  </w:style>
  <w:style w:type="paragraph" w:customStyle="1" w:styleId="1500">
    <w:name w:val="xl228"/>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b/>
      <w:bCs/>
      <w:kern w:val="0"/>
      <w:sz w:val="24"/>
      <w:szCs w:val="24"/>
    </w:rPr>
  </w:style>
  <w:style w:type="paragraph" w:customStyle="1" w:styleId="1501">
    <w:name w:val="Char Char Char Char Char Char Char Char Char Char Char1 Char"/>
    <w:basedOn w:val="1"/>
    <w:qFormat/>
    <w:uiPriority w:val="0"/>
    <w:rPr>
      <w:sz w:val="24"/>
      <w:szCs w:val="24"/>
    </w:rPr>
  </w:style>
  <w:style w:type="paragraph" w:customStyle="1" w:styleId="1502">
    <w:name w:val="Char Char Char Char Char Char Char Char Char Char Char Char Char2"/>
    <w:basedOn w:val="1"/>
    <w:qFormat/>
    <w:uiPriority w:val="0"/>
    <w:pPr>
      <w:adjustRightInd w:val="0"/>
      <w:spacing w:line="360" w:lineRule="auto"/>
      <w:ind w:firstLine="540" w:firstLineChars="225"/>
      <w:jc w:val="left"/>
    </w:pPr>
    <w:rPr>
      <w:rFonts w:ascii="宋体" w:hAnsi="宋体"/>
      <w:snapToGrid w:val="0"/>
      <w:kern w:val="0"/>
      <w:lang w:val="eu-ES"/>
    </w:rPr>
  </w:style>
  <w:style w:type="paragraph" w:customStyle="1" w:styleId="1503">
    <w:name w:val="xl230"/>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504">
    <w:name w:val="Char Char1 Char Char Char Char Char Char Char2"/>
    <w:basedOn w:val="1"/>
    <w:qFormat/>
    <w:uiPriority w:val="0"/>
    <w:rPr>
      <w:szCs w:val="24"/>
    </w:rPr>
  </w:style>
  <w:style w:type="paragraph" w:customStyle="1" w:styleId="1505">
    <w:name w:val="Char Char Char1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506">
    <w:name w:val="正文文本缩进 31"/>
    <w:basedOn w:val="1"/>
    <w:qFormat/>
    <w:uiPriority w:val="0"/>
    <w:pPr>
      <w:adjustRightInd w:val="0"/>
      <w:ind w:firstLine="538"/>
      <w:textAlignment w:val="baseline"/>
    </w:pPr>
    <w:rPr>
      <w:rFonts w:ascii="仿宋_GB2312" w:hAnsi="宋体" w:eastAsia="仿宋_GB2312"/>
      <w:kern w:val="28"/>
      <w:sz w:val="28"/>
    </w:rPr>
  </w:style>
  <w:style w:type="paragraph" w:customStyle="1" w:styleId="1507">
    <w:name w:val="Char Char Char Char Char Char Char Char Char Char Char Char2"/>
    <w:basedOn w:val="1"/>
    <w:qFormat/>
    <w:uiPriority w:val="0"/>
    <w:pPr>
      <w:adjustRightInd w:val="0"/>
      <w:spacing w:line="360" w:lineRule="auto"/>
      <w:ind w:firstLine="540" w:firstLineChars="225"/>
      <w:jc w:val="left"/>
    </w:pPr>
    <w:rPr>
      <w:rFonts w:ascii="宋体" w:hAnsi="宋体" w:cs="Arial"/>
      <w:snapToGrid w:val="0"/>
      <w:kern w:val="0"/>
      <w:szCs w:val="21"/>
      <w:lang w:val="eu-ES"/>
    </w:rPr>
  </w:style>
  <w:style w:type="paragraph" w:customStyle="1" w:styleId="1508">
    <w:name w:val="Char Char Char Char Char Char Char Char Char1 Char Char Char1 Char Char Char Char"/>
    <w:basedOn w:val="1"/>
    <w:qFormat/>
    <w:uiPriority w:val="0"/>
    <w:pPr>
      <w:spacing w:line="360" w:lineRule="auto"/>
      <w:ind w:firstLine="200" w:firstLineChars="200"/>
    </w:pPr>
    <w:rPr>
      <w:rFonts w:ascii="宋体" w:hAnsi="宋体" w:cs="宋体"/>
      <w:sz w:val="24"/>
      <w:szCs w:val="24"/>
    </w:rPr>
  </w:style>
  <w:style w:type="paragraph" w:customStyle="1" w:styleId="1509">
    <w:name w:val="Char Char Char Char Char Char Char Char Char Char Char Char Char Char Char Char"/>
    <w:basedOn w:val="1"/>
    <w:qFormat/>
    <w:uiPriority w:val="0"/>
    <w:pPr>
      <w:spacing w:line="360" w:lineRule="auto"/>
      <w:ind w:firstLine="200" w:firstLineChars="200"/>
    </w:pPr>
    <w:rPr>
      <w:rFonts w:ascii="宋体" w:hAnsi="宋体" w:cs="宋体"/>
      <w:sz w:val="24"/>
      <w:szCs w:val="28"/>
    </w:rPr>
  </w:style>
  <w:style w:type="paragraph" w:customStyle="1" w:styleId="1510">
    <w:name w:val="正文22"/>
    <w:basedOn w:val="1"/>
    <w:qFormat/>
    <w:uiPriority w:val="0"/>
    <w:pPr>
      <w:autoSpaceDE w:val="0"/>
      <w:autoSpaceDN w:val="0"/>
      <w:adjustRightInd w:val="0"/>
      <w:snapToGrid w:val="0"/>
      <w:spacing w:line="360" w:lineRule="atLeast"/>
      <w:jc w:val="center"/>
      <w:textAlignment w:val="baseline"/>
    </w:pPr>
    <w:rPr>
      <w:rFonts w:eastAsia="幼圆"/>
      <w:b/>
      <w:kern w:val="0"/>
    </w:rPr>
  </w:style>
  <w:style w:type="paragraph" w:customStyle="1" w:styleId="1511">
    <w:name w:val="正文4"/>
    <w:basedOn w:val="1"/>
    <w:qFormat/>
    <w:uiPriority w:val="0"/>
    <w:pPr>
      <w:adjustRightInd w:val="0"/>
      <w:spacing w:line="480" w:lineRule="exact"/>
      <w:textAlignment w:val="baseline"/>
    </w:pPr>
    <w:rPr>
      <w:spacing w:val="-2"/>
      <w:kern w:val="0"/>
      <w:sz w:val="28"/>
    </w:rPr>
  </w:style>
  <w:style w:type="paragraph" w:customStyle="1" w:styleId="1512">
    <w:name w:val="正文首行缩进1"/>
    <w:basedOn w:val="3"/>
    <w:qFormat/>
    <w:uiPriority w:val="0"/>
    <w:pPr>
      <w:ind w:firstLine="420"/>
      <w:jc w:val="both"/>
    </w:pPr>
    <w:rPr>
      <w:rFonts w:ascii="Calibri" w:hAnsi="Calibri" w:eastAsia="宋体" w:cs="Mangal"/>
      <w:sz w:val="24"/>
      <w:szCs w:val="22"/>
    </w:rPr>
  </w:style>
  <w:style w:type="paragraph" w:customStyle="1" w:styleId="1513">
    <w:name w:val="Char43"/>
    <w:basedOn w:val="1"/>
    <w:qFormat/>
    <w:uiPriority w:val="0"/>
    <w:pPr>
      <w:spacing w:line="360" w:lineRule="auto"/>
      <w:ind w:firstLine="200" w:firstLineChars="200"/>
    </w:pPr>
    <w:rPr>
      <w:rFonts w:ascii="宋体" w:hAnsi="宋体" w:cs="宋体"/>
      <w:sz w:val="24"/>
      <w:szCs w:val="24"/>
    </w:rPr>
  </w:style>
  <w:style w:type="paragraph" w:customStyle="1" w:styleId="1514">
    <w:name w:val="Char Char1 Char3"/>
    <w:basedOn w:val="1"/>
    <w:qFormat/>
    <w:uiPriority w:val="0"/>
    <w:pPr>
      <w:spacing w:line="360" w:lineRule="auto"/>
      <w:ind w:firstLine="200" w:firstLineChars="200"/>
    </w:pPr>
    <w:rPr>
      <w:rFonts w:ascii="宋体" w:hAnsi="宋体" w:cs="宋体"/>
      <w:sz w:val="24"/>
      <w:szCs w:val="24"/>
    </w:rPr>
  </w:style>
  <w:style w:type="paragraph" w:customStyle="1" w:styleId="1515">
    <w:name w:val="xl24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516">
    <w:name w:val="Char Char1 Char Char Char Char Char Char Char Char Char Char Char Char Char Char Char Char Char Char Char Char1 Char3"/>
    <w:basedOn w:val="1"/>
    <w:qFormat/>
    <w:uiPriority w:val="0"/>
    <w:pPr>
      <w:spacing w:line="360" w:lineRule="auto"/>
      <w:ind w:firstLine="200" w:firstLineChars="200"/>
    </w:pPr>
    <w:rPr>
      <w:rFonts w:ascii="宋体" w:hAnsi="宋体" w:cs="宋体"/>
      <w:sz w:val="24"/>
      <w:szCs w:val="24"/>
    </w:rPr>
  </w:style>
  <w:style w:type="paragraph" w:customStyle="1" w:styleId="1517">
    <w:name w:val="xl242"/>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518">
    <w:name w:val="Char11"/>
    <w:basedOn w:val="1"/>
    <w:qFormat/>
    <w:uiPriority w:val="0"/>
    <w:pPr>
      <w:spacing w:line="360" w:lineRule="auto"/>
      <w:ind w:firstLine="200" w:firstLineChars="200"/>
    </w:pPr>
  </w:style>
  <w:style w:type="paragraph" w:customStyle="1" w:styleId="1519">
    <w:name w:val="xl243"/>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520">
    <w:name w:val="Char41"/>
    <w:basedOn w:val="1"/>
    <w:qFormat/>
    <w:uiPriority w:val="0"/>
    <w:pPr>
      <w:spacing w:line="360" w:lineRule="auto"/>
      <w:ind w:firstLine="200" w:firstLineChars="200"/>
    </w:pPr>
    <w:rPr>
      <w:rFonts w:ascii="宋体" w:hAnsi="宋体" w:cs="宋体"/>
      <w:sz w:val="24"/>
      <w:szCs w:val="24"/>
    </w:rPr>
  </w:style>
  <w:style w:type="paragraph" w:customStyle="1" w:styleId="1521">
    <w:name w:val="xl244"/>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522">
    <w:name w:val="Char Char1 Char1"/>
    <w:basedOn w:val="1"/>
    <w:qFormat/>
    <w:uiPriority w:val="0"/>
    <w:pPr>
      <w:spacing w:line="360" w:lineRule="auto"/>
      <w:ind w:firstLine="200" w:firstLineChars="200"/>
    </w:pPr>
    <w:rPr>
      <w:rFonts w:ascii="宋体" w:hAnsi="宋体" w:cs="宋体"/>
      <w:sz w:val="24"/>
      <w:szCs w:val="24"/>
    </w:rPr>
  </w:style>
  <w:style w:type="paragraph" w:customStyle="1" w:styleId="1523">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cs="宋体"/>
      <w:sz w:val="24"/>
      <w:szCs w:val="24"/>
    </w:rPr>
  </w:style>
  <w:style w:type="paragraph" w:customStyle="1" w:styleId="1524">
    <w:name w:val="xl247"/>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525">
    <w:name w:val="Char Char3 Char Char Char1 Char2"/>
    <w:basedOn w:val="1"/>
    <w:qFormat/>
    <w:uiPriority w:val="0"/>
  </w:style>
  <w:style w:type="paragraph" w:customStyle="1" w:styleId="1526">
    <w:name w:val="Char Char Char Char Char Char Char2"/>
    <w:basedOn w:val="1"/>
    <w:qFormat/>
    <w:uiPriority w:val="0"/>
    <w:pPr>
      <w:spacing w:line="360" w:lineRule="auto"/>
      <w:ind w:firstLine="200" w:firstLineChars="200"/>
    </w:pPr>
    <w:rPr>
      <w:rFonts w:ascii="宋体" w:hAnsi="宋体" w:cs="宋体"/>
      <w:sz w:val="24"/>
      <w:szCs w:val="24"/>
    </w:rPr>
  </w:style>
  <w:style w:type="paragraph" w:customStyle="1" w:styleId="1527">
    <w:name w:val="无间隔12"/>
    <w:qFormat/>
    <w:uiPriority w:val="0"/>
    <w:pPr>
      <w:widowControl w:val="0"/>
      <w:jc w:val="both"/>
    </w:pPr>
    <w:rPr>
      <w:rFonts w:ascii="Calibri" w:hAnsi="Calibri" w:eastAsia="宋体" w:cs="Calibri"/>
      <w:kern w:val="2"/>
      <w:sz w:val="21"/>
      <w:szCs w:val="21"/>
      <w:lang w:val="en-US" w:eastAsia="zh-CN" w:bidi="ar-SA"/>
    </w:rPr>
  </w:style>
  <w:style w:type="paragraph" w:customStyle="1" w:styleId="1528">
    <w:name w:val="xl250"/>
    <w:basedOn w:val="1"/>
    <w:qFormat/>
    <w:uiPriority w:val="0"/>
    <w:pPr>
      <w:widowControl/>
      <w:pBdr>
        <w:top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529">
    <w:name w:val="Char Char Char Char Char Char1 Char Char Char1 Char Char Char1 Char Char Char Char Char Char Char Char Char Char1"/>
    <w:basedOn w:val="1"/>
    <w:next w:val="1"/>
    <w:qFormat/>
    <w:uiPriority w:val="0"/>
    <w:pPr>
      <w:spacing w:line="360" w:lineRule="auto"/>
      <w:ind w:firstLine="200" w:firstLineChars="200"/>
    </w:pPr>
    <w:rPr>
      <w:rFonts w:ascii="楷体_GB2312" w:hAnsi="宋体" w:eastAsia="楷体_GB2312" w:cs="宋体"/>
      <w:sz w:val="24"/>
      <w:szCs w:val="24"/>
    </w:rPr>
  </w:style>
  <w:style w:type="paragraph" w:customStyle="1" w:styleId="1530">
    <w:name w:val="xl253"/>
    <w:basedOn w:val="1"/>
    <w:qFormat/>
    <w:uiPriority w:val="0"/>
    <w:pPr>
      <w:widowControl/>
      <w:pBdr>
        <w:top w:val="single" w:color="auto" w:sz="4" w:space="0"/>
        <w:left w:val="single" w:color="auto" w:sz="4" w:space="0"/>
        <w:bottom w:val="single" w:color="auto" w:sz="4" w:space="0"/>
      </w:pBdr>
      <w:shd w:val="clear" w:color="000000" w:fill="FDE9D9"/>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531">
    <w:name w:val="Char Char Char Char Char Char1"/>
    <w:basedOn w:val="1"/>
    <w:qFormat/>
    <w:uiPriority w:val="0"/>
    <w:rPr>
      <w:szCs w:val="24"/>
    </w:rPr>
  </w:style>
  <w:style w:type="paragraph" w:customStyle="1" w:styleId="1532">
    <w:name w:val="xl252"/>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533">
    <w:name w:val="字元 字元 Char Char 字元 字元11"/>
    <w:basedOn w:val="1"/>
    <w:qFormat/>
    <w:uiPriority w:val="0"/>
    <w:rPr>
      <w:sz w:val="24"/>
      <w:szCs w:val="24"/>
    </w:rPr>
  </w:style>
  <w:style w:type="paragraph" w:customStyle="1" w:styleId="1534">
    <w:name w:val="Char Char Char Char Char Char Char Char Char Char2"/>
    <w:basedOn w:val="1"/>
    <w:qFormat/>
    <w:uiPriority w:val="0"/>
    <w:pPr>
      <w:spacing w:line="360" w:lineRule="auto"/>
      <w:ind w:firstLine="200" w:firstLineChars="200"/>
    </w:pPr>
    <w:rPr>
      <w:sz w:val="24"/>
    </w:rPr>
  </w:style>
  <w:style w:type="paragraph" w:customStyle="1" w:styleId="1535">
    <w:name w:val="xl255"/>
    <w:basedOn w:val="1"/>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536">
    <w:name w:val="Char Char Char1 Char2"/>
    <w:basedOn w:val="1"/>
    <w:qFormat/>
    <w:uiPriority w:val="0"/>
    <w:rPr>
      <w:szCs w:val="24"/>
    </w:rPr>
  </w:style>
  <w:style w:type="paragraph" w:customStyle="1" w:styleId="1537">
    <w:name w:val="Char22"/>
    <w:basedOn w:val="1"/>
    <w:qFormat/>
    <w:uiPriority w:val="0"/>
    <w:pPr>
      <w:widowControl/>
      <w:spacing w:after="160" w:line="240" w:lineRule="exact"/>
      <w:jc w:val="left"/>
    </w:pPr>
    <w:rPr>
      <w:szCs w:val="24"/>
    </w:rPr>
  </w:style>
  <w:style w:type="paragraph" w:customStyle="1" w:styleId="1538">
    <w:name w:val="xl257"/>
    <w:basedOn w:val="1"/>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539">
    <w:name w:val="Char Char Char Char Char Char1 Char1"/>
    <w:basedOn w:val="1"/>
    <w:qFormat/>
    <w:uiPriority w:val="0"/>
    <w:pPr>
      <w:spacing w:line="360" w:lineRule="auto"/>
      <w:ind w:firstLine="200" w:firstLineChars="200"/>
    </w:pPr>
    <w:rPr>
      <w:rFonts w:ascii="宋体" w:hAnsi="宋体" w:cs="宋体"/>
      <w:sz w:val="24"/>
      <w:szCs w:val="24"/>
    </w:rPr>
  </w:style>
  <w:style w:type="paragraph" w:customStyle="1" w:styleId="1540">
    <w:name w:val="xl259"/>
    <w:basedOn w:val="1"/>
    <w:qFormat/>
    <w:uiPriority w:val="0"/>
    <w:pPr>
      <w:widowControl/>
      <w:pBdr>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541">
    <w:name w:val="HTML 预设格式12"/>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1542">
    <w:name w:val="z-窗体底端12"/>
    <w:basedOn w:val="1"/>
    <w:next w:val="1"/>
    <w:qFormat/>
    <w:uiPriority w:val="0"/>
    <w:pPr>
      <w:pBdr>
        <w:top w:val="single" w:color="auto" w:sz="6" w:space="1"/>
      </w:pBdr>
      <w:jc w:val="center"/>
    </w:pPr>
    <w:rPr>
      <w:rFonts w:hint="eastAsia" w:ascii="Arial" w:hAnsi="Arial"/>
      <w:vanish/>
      <w:sz w:val="16"/>
    </w:rPr>
  </w:style>
  <w:style w:type="paragraph" w:customStyle="1" w:styleId="1543">
    <w:name w:val="批注主题12"/>
    <w:basedOn w:val="39"/>
    <w:next w:val="39"/>
    <w:qFormat/>
    <w:uiPriority w:val="0"/>
    <w:rPr>
      <w:szCs w:val="24"/>
    </w:rPr>
  </w:style>
  <w:style w:type="paragraph" w:customStyle="1" w:styleId="1544">
    <w:name w:val="xl260"/>
    <w:basedOn w:val="1"/>
    <w:qFormat/>
    <w:uiPriority w:val="0"/>
    <w:pPr>
      <w:widowControl/>
      <w:pBdr>
        <w:top w:val="single" w:color="auto" w:sz="4" w:space="0"/>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color w:val="0000CC"/>
      <w:kern w:val="0"/>
      <w:sz w:val="24"/>
      <w:szCs w:val="24"/>
    </w:rPr>
  </w:style>
  <w:style w:type="paragraph" w:customStyle="1" w:styleId="1545">
    <w:name w:val="普通(网站)12"/>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1546">
    <w:name w:val="xl262"/>
    <w:basedOn w:val="1"/>
    <w:qFormat/>
    <w:uiPriority w:val="0"/>
    <w:pPr>
      <w:widowControl/>
      <w:pBdr>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color w:val="0000CC"/>
      <w:kern w:val="0"/>
      <w:sz w:val="24"/>
      <w:szCs w:val="24"/>
    </w:rPr>
  </w:style>
  <w:style w:type="paragraph" w:customStyle="1" w:styleId="1547">
    <w:name w:val="z-窗体顶端12"/>
    <w:basedOn w:val="1"/>
    <w:next w:val="1"/>
    <w:qFormat/>
    <w:uiPriority w:val="0"/>
    <w:pPr>
      <w:pBdr>
        <w:bottom w:val="single" w:color="auto" w:sz="6" w:space="1"/>
      </w:pBdr>
      <w:jc w:val="center"/>
    </w:pPr>
    <w:rPr>
      <w:rFonts w:hint="eastAsia" w:ascii="Arial" w:hAnsi="Arial"/>
      <w:vanish/>
      <w:sz w:val="16"/>
    </w:rPr>
  </w:style>
  <w:style w:type="paragraph" w:customStyle="1" w:styleId="1548">
    <w:name w:val="正文文本缩进12"/>
    <w:basedOn w:val="1"/>
    <w:qFormat/>
    <w:uiPriority w:val="0"/>
    <w:pPr>
      <w:spacing w:after="120"/>
      <w:ind w:left="420" w:leftChars="200"/>
    </w:pPr>
    <w:rPr>
      <w:rFonts w:hint="eastAsia"/>
    </w:rPr>
  </w:style>
  <w:style w:type="paragraph" w:customStyle="1" w:styleId="1549">
    <w:name w:val="xl26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550">
    <w:name w:val="样式 标题 2节标题21.1H2节标题 1.11.1标题2b2节标题h2第一层条4.1二级标题标题 l..."/>
    <w:basedOn w:val="8"/>
    <w:qFormat/>
    <w:uiPriority w:val="0"/>
    <w:pPr>
      <w:widowControl/>
      <w:spacing w:before="240" w:beforeLines="100" w:after="120" w:afterLines="50" w:line="360" w:lineRule="auto"/>
      <w:contextualSpacing/>
    </w:pPr>
    <w:rPr>
      <w:rFonts w:ascii="Times New Roman" w:hAnsi="Times New Roman"/>
      <w:bCs/>
    </w:rPr>
  </w:style>
  <w:style w:type="paragraph" w:customStyle="1" w:styleId="1551">
    <w:name w:val="xl26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552">
    <w:name w:val="Char12"/>
    <w:basedOn w:val="1"/>
    <w:qFormat/>
    <w:uiPriority w:val="0"/>
    <w:pPr>
      <w:spacing w:line="360" w:lineRule="auto"/>
      <w:ind w:firstLine="200" w:firstLineChars="200"/>
    </w:pPr>
  </w:style>
  <w:style w:type="paragraph" w:customStyle="1" w:styleId="1553">
    <w:name w:val="xl266"/>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554">
    <w:name w:val="Char Char Char Char Char Char1 Char Char Char1 Char Char Char1 Char Char Char Char Char Char Char Char Char Char2"/>
    <w:basedOn w:val="1"/>
    <w:next w:val="1"/>
    <w:qFormat/>
    <w:uiPriority w:val="0"/>
    <w:pPr>
      <w:spacing w:line="360" w:lineRule="auto"/>
      <w:ind w:firstLine="200" w:firstLineChars="200"/>
    </w:pPr>
    <w:rPr>
      <w:rFonts w:ascii="楷体_GB2312" w:hAnsi="宋体" w:eastAsia="楷体_GB2312" w:cs="宋体"/>
      <w:sz w:val="24"/>
      <w:szCs w:val="24"/>
    </w:rPr>
  </w:style>
  <w:style w:type="paragraph" w:customStyle="1" w:styleId="1555">
    <w:name w:val="Char Char Char Char Char Char2"/>
    <w:basedOn w:val="1"/>
    <w:qFormat/>
    <w:uiPriority w:val="0"/>
    <w:rPr>
      <w:szCs w:val="24"/>
    </w:rPr>
  </w:style>
  <w:style w:type="paragraph" w:customStyle="1" w:styleId="1556">
    <w:name w:val="字元 字元 Char Char 字元 字元12"/>
    <w:basedOn w:val="1"/>
    <w:qFormat/>
    <w:uiPriority w:val="0"/>
    <w:rPr>
      <w:sz w:val="24"/>
      <w:szCs w:val="24"/>
    </w:rPr>
  </w:style>
  <w:style w:type="paragraph" w:customStyle="1" w:styleId="1557">
    <w:name w:val="xl267"/>
    <w:basedOn w:val="1"/>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558">
    <w:name w:val="Char Char Char Char Char Char1 Char2"/>
    <w:basedOn w:val="1"/>
    <w:qFormat/>
    <w:uiPriority w:val="0"/>
    <w:pPr>
      <w:spacing w:line="360" w:lineRule="auto"/>
      <w:ind w:firstLine="200" w:firstLineChars="200"/>
    </w:pPr>
    <w:rPr>
      <w:rFonts w:ascii="宋体" w:hAnsi="宋体" w:cs="宋体"/>
      <w:sz w:val="24"/>
      <w:szCs w:val="24"/>
    </w:rPr>
  </w:style>
  <w:style w:type="paragraph" w:customStyle="1" w:styleId="1559">
    <w:name w:val="xl270"/>
    <w:basedOn w:val="1"/>
    <w:qFormat/>
    <w:uiPriority w:val="0"/>
    <w:pPr>
      <w:widowControl/>
      <w:pBdr>
        <w:top w:val="single" w:color="auto" w:sz="4" w:space="0"/>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560">
    <w:name w:val="Char Char Char Char2"/>
    <w:basedOn w:val="1"/>
    <w:qFormat/>
    <w:uiPriority w:val="0"/>
    <w:pPr>
      <w:spacing w:line="360" w:lineRule="auto"/>
      <w:ind w:firstLine="200" w:firstLineChars="200"/>
    </w:pPr>
    <w:rPr>
      <w:rFonts w:ascii="宋体" w:hAnsi="宋体" w:cs="宋体"/>
      <w:sz w:val="24"/>
      <w:szCs w:val="24"/>
    </w:rPr>
  </w:style>
  <w:style w:type="paragraph" w:customStyle="1" w:styleId="1561">
    <w:name w:val="Char Char Char Char Char Char Char Char Char Char Char Char1 Char Char Char Char1"/>
    <w:basedOn w:val="1"/>
    <w:qFormat/>
    <w:uiPriority w:val="0"/>
    <w:pPr>
      <w:spacing w:line="360" w:lineRule="auto"/>
      <w:ind w:firstLine="200" w:firstLineChars="200"/>
    </w:pPr>
    <w:rPr>
      <w:rFonts w:ascii="宋体" w:hAnsi="宋体" w:cs="宋体"/>
      <w:sz w:val="24"/>
      <w:szCs w:val="24"/>
    </w:rPr>
  </w:style>
  <w:style w:type="paragraph" w:customStyle="1" w:styleId="1562">
    <w:name w:val="Char4 Char Char Char1"/>
    <w:basedOn w:val="1"/>
    <w:qFormat/>
    <w:uiPriority w:val="0"/>
    <w:pPr>
      <w:adjustRightInd w:val="0"/>
      <w:snapToGrid w:val="0"/>
      <w:spacing w:line="360" w:lineRule="auto"/>
      <w:ind w:firstLine="200" w:firstLineChars="200"/>
    </w:pPr>
    <w:rPr>
      <w:rFonts w:ascii="宋体" w:hAnsi="宋体" w:cs="宋体"/>
      <w:sz w:val="24"/>
      <w:szCs w:val="26"/>
    </w:rPr>
  </w:style>
  <w:style w:type="paragraph" w:customStyle="1" w:styleId="1563">
    <w:name w:val="xl274"/>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564">
    <w:name w:val="Char Char31"/>
    <w:basedOn w:val="1"/>
    <w:qFormat/>
    <w:uiPriority w:val="0"/>
    <w:pPr>
      <w:widowControl/>
      <w:spacing w:after="160" w:line="240" w:lineRule="exact"/>
      <w:jc w:val="left"/>
    </w:pPr>
    <w:rPr>
      <w:szCs w:val="24"/>
    </w:rPr>
  </w:style>
  <w:style w:type="paragraph" w:customStyle="1" w:styleId="1565">
    <w:name w:val="xl275"/>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566">
    <w:name w:val="Char Char4 Char Char1"/>
    <w:basedOn w:val="1"/>
    <w:qFormat/>
    <w:uiPriority w:val="0"/>
    <w:pPr>
      <w:spacing w:line="360" w:lineRule="auto"/>
      <w:ind w:firstLine="200" w:firstLineChars="200"/>
    </w:pPr>
    <w:rPr>
      <w:szCs w:val="24"/>
    </w:rPr>
  </w:style>
  <w:style w:type="paragraph" w:customStyle="1" w:styleId="1567">
    <w:name w:val="xl27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4"/>
      <w:szCs w:val="24"/>
    </w:rPr>
  </w:style>
  <w:style w:type="paragraph" w:customStyle="1" w:styleId="1568">
    <w:name w:val="Char Char1 Char Char Char Char1"/>
    <w:basedOn w:val="1"/>
    <w:qFormat/>
    <w:uiPriority w:val="0"/>
  </w:style>
  <w:style w:type="paragraph" w:customStyle="1" w:styleId="1569">
    <w:name w:val="Char Char3 Char Char1"/>
    <w:basedOn w:val="1"/>
    <w:qFormat/>
    <w:uiPriority w:val="0"/>
    <w:pPr>
      <w:widowControl/>
      <w:spacing w:after="160" w:line="240" w:lineRule="exact"/>
      <w:jc w:val="left"/>
    </w:pPr>
    <w:rPr>
      <w:szCs w:val="24"/>
    </w:rPr>
  </w:style>
  <w:style w:type="paragraph" w:customStyle="1" w:styleId="1570">
    <w:name w:val="xl27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4"/>
      <w:szCs w:val="24"/>
    </w:rPr>
  </w:style>
  <w:style w:type="paragraph" w:customStyle="1" w:styleId="1571">
    <w:name w:val="Char Char Char Char Char Char1 Char Char Char Char1"/>
    <w:basedOn w:val="1"/>
    <w:qFormat/>
    <w:uiPriority w:val="0"/>
    <w:pPr>
      <w:widowControl/>
      <w:spacing w:after="160" w:line="240" w:lineRule="exact"/>
      <w:jc w:val="left"/>
    </w:pPr>
    <w:rPr>
      <w:rFonts w:ascii="Arial" w:hAnsi="Arial" w:eastAsia="Times New Roman" w:cs="Verdana"/>
      <w:b/>
      <w:kern w:val="0"/>
      <w:sz w:val="24"/>
      <w:szCs w:val="24"/>
      <w:lang w:eastAsia="en-US"/>
    </w:rPr>
  </w:style>
  <w:style w:type="paragraph" w:customStyle="1" w:styleId="1572">
    <w:name w:val="Char Char Char Char Char Char Char Char1"/>
    <w:basedOn w:val="1"/>
    <w:qFormat/>
    <w:uiPriority w:val="0"/>
    <w:rPr>
      <w:sz w:val="24"/>
      <w:szCs w:val="24"/>
    </w:rPr>
  </w:style>
  <w:style w:type="paragraph" w:customStyle="1" w:styleId="1573">
    <w:name w:val="xl280"/>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rPr>
      <w:rFonts w:ascii="宋体" w:hAnsi="宋体" w:cs="宋体"/>
      <w:kern w:val="0"/>
      <w:sz w:val="24"/>
      <w:szCs w:val="24"/>
    </w:rPr>
  </w:style>
  <w:style w:type="paragraph" w:customStyle="1" w:styleId="1574">
    <w:name w:val="Char Char Char Char Char Char Char Char Char1 Char Char Char1 Char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1575">
    <w:name w:val="xl282"/>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576">
    <w:name w:val="Char1 Char Char Char1"/>
    <w:basedOn w:val="1"/>
    <w:qFormat/>
    <w:uiPriority w:val="0"/>
    <w:pPr>
      <w:spacing w:line="360" w:lineRule="auto"/>
      <w:ind w:firstLine="200" w:firstLineChars="200"/>
    </w:pPr>
    <w:rPr>
      <w:rFonts w:ascii="宋体" w:hAnsi="宋体" w:cs="宋体"/>
      <w:sz w:val="24"/>
      <w:szCs w:val="24"/>
    </w:rPr>
  </w:style>
  <w:style w:type="paragraph" w:customStyle="1" w:styleId="1577">
    <w:name w:val="Char Char Char11"/>
    <w:basedOn w:val="1"/>
    <w:qFormat/>
    <w:uiPriority w:val="0"/>
    <w:pPr>
      <w:spacing w:line="360" w:lineRule="auto"/>
      <w:ind w:firstLine="200" w:firstLineChars="200"/>
    </w:pPr>
    <w:rPr>
      <w:rFonts w:ascii="宋体" w:hAnsi="宋体" w:cs="宋体"/>
      <w:sz w:val="24"/>
      <w:szCs w:val="24"/>
    </w:rPr>
  </w:style>
  <w:style w:type="paragraph" w:customStyle="1" w:styleId="1578">
    <w:name w:val="Char3 Char Char Char Char Char Char1"/>
    <w:basedOn w:val="1"/>
    <w:qFormat/>
    <w:uiPriority w:val="0"/>
    <w:rPr>
      <w:szCs w:val="21"/>
    </w:rPr>
  </w:style>
  <w:style w:type="paragraph" w:customStyle="1" w:styleId="1579">
    <w:name w:val="Char Char Char Char Char Char Char Char Char1"/>
    <w:basedOn w:val="1"/>
    <w:qFormat/>
    <w:uiPriority w:val="0"/>
    <w:rPr>
      <w:sz w:val="24"/>
      <w:szCs w:val="24"/>
    </w:rPr>
  </w:style>
  <w:style w:type="paragraph" w:customStyle="1" w:styleId="1580">
    <w:name w:val="xl285"/>
    <w:basedOn w:val="1"/>
    <w:qFormat/>
    <w:uiPriority w:val="0"/>
    <w:pPr>
      <w:widowControl/>
      <w:pBdr>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581">
    <w:name w:val="日期11"/>
    <w:basedOn w:val="1"/>
    <w:next w:val="1"/>
    <w:qFormat/>
    <w:uiPriority w:val="0"/>
    <w:pPr>
      <w:adjustRightInd w:val="0"/>
      <w:textAlignment w:val="baseline"/>
    </w:pPr>
    <w:rPr>
      <w:rFonts w:ascii="宋体"/>
    </w:rPr>
  </w:style>
  <w:style w:type="paragraph" w:customStyle="1" w:styleId="1582">
    <w:name w:val="Table Paragraph"/>
    <w:basedOn w:val="1"/>
    <w:qFormat/>
    <w:uiPriority w:val="1"/>
    <w:pPr>
      <w:widowControl/>
      <w:jc w:val="left"/>
    </w:pPr>
    <w:rPr>
      <w:rFonts w:ascii="Calibri" w:hAnsi="Calibri" w:cs="Calibri"/>
      <w:kern w:val="0"/>
      <w:sz w:val="22"/>
      <w:szCs w:val="22"/>
    </w:rPr>
  </w:style>
  <w:style w:type="paragraph" w:customStyle="1" w:styleId="1583">
    <w:name w:val="Char Char Char1 Char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1584">
    <w:name w:val="正文文本缩进 211"/>
    <w:basedOn w:val="1"/>
    <w:qFormat/>
    <w:uiPriority w:val="0"/>
    <w:pPr>
      <w:adjustRightInd w:val="0"/>
      <w:spacing w:after="120" w:line="480" w:lineRule="auto"/>
      <w:ind w:left="420"/>
      <w:textAlignment w:val="baseline"/>
    </w:pPr>
    <w:rPr>
      <w:sz w:val="28"/>
    </w:rPr>
  </w:style>
  <w:style w:type="paragraph" w:customStyle="1" w:styleId="1585">
    <w:name w:val="文本"/>
    <w:basedOn w:val="1"/>
    <w:link w:val="1586"/>
    <w:qFormat/>
    <w:uiPriority w:val="0"/>
    <w:pPr>
      <w:spacing w:line="360" w:lineRule="auto"/>
      <w:ind w:firstLine="480" w:firstLineChars="200"/>
      <w:jc w:val="left"/>
    </w:pPr>
    <w:rPr>
      <w:rFonts w:ascii="宋体" w:hAnsi="宋体"/>
      <w:sz w:val="24"/>
      <w:szCs w:val="24"/>
    </w:rPr>
  </w:style>
  <w:style w:type="character" w:customStyle="1" w:styleId="1586">
    <w:name w:val="文本 Char Char"/>
    <w:link w:val="1585"/>
    <w:qFormat/>
    <w:uiPriority w:val="0"/>
    <w:rPr>
      <w:rFonts w:ascii="宋体" w:hAnsi="宋体"/>
      <w:kern w:val="2"/>
      <w:sz w:val="24"/>
      <w:szCs w:val="24"/>
    </w:rPr>
  </w:style>
  <w:style w:type="paragraph" w:customStyle="1" w:styleId="1587">
    <w:name w:val="Char Char Char Char Char Char Char Char Char Char Char1 Char1"/>
    <w:basedOn w:val="1"/>
    <w:qFormat/>
    <w:uiPriority w:val="0"/>
    <w:rPr>
      <w:sz w:val="24"/>
      <w:szCs w:val="24"/>
    </w:rPr>
  </w:style>
  <w:style w:type="paragraph" w:customStyle="1" w:styleId="1588">
    <w:name w:val="Char Char Char Char Char Char Char Char Char Char Char Char Char1"/>
    <w:basedOn w:val="1"/>
    <w:qFormat/>
    <w:uiPriority w:val="0"/>
    <w:pPr>
      <w:adjustRightInd w:val="0"/>
      <w:spacing w:line="360" w:lineRule="auto"/>
      <w:ind w:firstLine="540" w:firstLineChars="225"/>
      <w:jc w:val="left"/>
    </w:pPr>
    <w:rPr>
      <w:rFonts w:ascii="宋体" w:hAnsi="宋体"/>
      <w:snapToGrid w:val="0"/>
      <w:kern w:val="0"/>
      <w:lang w:val="eu-ES"/>
    </w:rPr>
  </w:style>
  <w:style w:type="paragraph" w:customStyle="1" w:styleId="1589">
    <w:name w:val="xl288"/>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b/>
      <w:bCs/>
      <w:kern w:val="0"/>
      <w:sz w:val="24"/>
      <w:szCs w:val="24"/>
    </w:rPr>
  </w:style>
  <w:style w:type="paragraph" w:customStyle="1" w:styleId="1590">
    <w:name w:val="Char Char1 Char Char Char Char Char Char Char1"/>
    <w:basedOn w:val="1"/>
    <w:qFormat/>
    <w:uiPriority w:val="0"/>
    <w:rPr>
      <w:szCs w:val="24"/>
    </w:rPr>
  </w:style>
  <w:style w:type="paragraph" w:customStyle="1" w:styleId="1591">
    <w:name w:val="Char Char Char1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1592">
    <w:name w:val="正文文本缩进 311"/>
    <w:basedOn w:val="1"/>
    <w:qFormat/>
    <w:uiPriority w:val="0"/>
    <w:pPr>
      <w:adjustRightInd w:val="0"/>
      <w:ind w:firstLine="538"/>
      <w:textAlignment w:val="baseline"/>
    </w:pPr>
    <w:rPr>
      <w:rFonts w:ascii="仿宋_GB2312" w:hAnsi="宋体" w:eastAsia="仿宋_GB2312"/>
      <w:kern w:val="28"/>
      <w:sz w:val="28"/>
    </w:rPr>
  </w:style>
  <w:style w:type="paragraph" w:customStyle="1" w:styleId="1593">
    <w:name w:val="Char Char Char Char Char Char Char Char Char Char Char Char1"/>
    <w:basedOn w:val="1"/>
    <w:qFormat/>
    <w:uiPriority w:val="0"/>
    <w:pPr>
      <w:adjustRightInd w:val="0"/>
      <w:spacing w:line="360" w:lineRule="auto"/>
      <w:ind w:firstLine="540" w:firstLineChars="225"/>
      <w:jc w:val="left"/>
    </w:pPr>
    <w:rPr>
      <w:rFonts w:ascii="宋体" w:hAnsi="宋体" w:cs="Arial"/>
      <w:snapToGrid w:val="0"/>
      <w:kern w:val="0"/>
      <w:szCs w:val="21"/>
      <w:lang w:val="eu-ES"/>
    </w:rPr>
  </w:style>
  <w:style w:type="paragraph" w:customStyle="1" w:styleId="1594">
    <w:name w:val="Char Char Char Char Char Char Char Char Char1 Char Char Char1 Char Char Char Char1"/>
    <w:basedOn w:val="1"/>
    <w:qFormat/>
    <w:uiPriority w:val="0"/>
    <w:pPr>
      <w:spacing w:line="360" w:lineRule="auto"/>
      <w:ind w:firstLine="200" w:firstLineChars="200"/>
    </w:pPr>
    <w:rPr>
      <w:rFonts w:ascii="宋体" w:hAnsi="宋体" w:cs="宋体"/>
      <w:sz w:val="24"/>
      <w:szCs w:val="24"/>
    </w:rPr>
  </w:style>
  <w:style w:type="paragraph" w:customStyle="1" w:styleId="1595">
    <w:name w:val="Char Char Char Char Char Char Char Char Char Char Char Char Char Char Char Char1"/>
    <w:basedOn w:val="1"/>
    <w:qFormat/>
    <w:uiPriority w:val="0"/>
    <w:pPr>
      <w:spacing w:line="360" w:lineRule="auto"/>
      <w:ind w:firstLine="200" w:firstLineChars="200"/>
    </w:pPr>
    <w:rPr>
      <w:rFonts w:ascii="宋体" w:hAnsi="宋体" w:cs="宋体"/>
      <w:sz w:val="24"/>
      <w:szCs w:val="28"/>
    </w:rPr>
  </w:style>
  <w:style w:type="paragraph" w:customStyle="1" w:styleId="1596">
    <w:name w:val="正文21"/>
    <w:basedOn w:val="1"/>
    <w:qFormat/>
    <w:uiPriority w:val="0"/>
    <w:pPr>
      <w:autoSpaceDE w:val="0"/>
      <w:autoSpaceDN w:val="0"/>
      <w:adjustRightInd w:val="0"/>
      <w:snapToGrid w:val="0"/>
      <w:spacing w:line="360" w:lineRule="atLeast"/>
      <w:jc w:val="center"/>
      <w:textAlignment w:val="baseline"/>
    </w:pPr>
    <w:rPr>
      <w:rFonts w:eastAsia="幼圆"/>
      <w:b/>
      <w:kern w:val="0"/>
    </w:rPr>
  </w:style>
  <w:style w:type="paragraph" w:customStyle="1" w:styleId="1597">
    <w:name w:val="正文41"/>
    <w:basedOn w:val="1"/>
    <w:qFormat/>
    <w:uiPriority w:val="0"/>
    <w:pPr>
      <w:adjustRightInd w:val="0"/>
      <w:spacing w:line="480" w:lineRule="exact"/>
      <w:textAlignment w:val="baseline"/>
    </w:pPr>
    <w:rPr>
      <w:spacing w:val="-2"/>
      <w:kern w:val="0"/>
      <w:sz w:val="28"/>
    </w:rPr>
  </w:style>
  <w:style w:type="paragraph" w:customStyle="1" w:styleId="1598">
    <w:name w:val="正文首行缩进11"/>
    <w:basedOn w:val="3"/>
    <w:qFormat/>
    <w:uiPriority w:val="0"/>
    <w:pPr>
      <w:ind w:firstLine="420"/>
      <w:jc w:val="both"/>
    </w:pPr>
    <w:rPr>
      <w:rFonts w:ascii="Calibri" w:hAnsi="Calibri" w:cs="Mangal"/>
      <w:sz w:val="24"/>
      <w:szCs w:val="22"/>
    </w:rPr>
  </w:style>
  <w:style w:type="paragraph" w:customStyle="1" w:styleId="1599">
    <w:name w:val="Char42"/>
    <w:basedOn w:val="1"/>
    <w:qFormat/>
    <w:uiPriority w:val="0"/>
    <w:pPr>
      <w:spacing w:line="360" w:lineRule="auto"/>
      <w:ind w:firstLine="200" w:firstLineChars="200"/>
    </w:pPr>
    <w:rPr>
      <w:rFonts w:ascii="宋体" w:hAnsi="宋体" w:cs="宋体"/>
      <w:sz w:val="24"/>
      <w:szCs w:val="24"/>
    </w:rPr>
  </w:style>
  <w:style w:type="paragraph" w:customStyle="1" w:styleId="1600">
    <w:name w:val="Char Char1 Char2"/>
    <w:basedOn w:val="1"/>
    <w:qFormat/>
    <w:uiPriority w:val="0"/>
    <w:pPr>
      <w:spacing w:line="360" w:lineRule="auto"/>
      <w:ind w:firstLine="200" w:firstLineChars="200"/>
    </w:pPr>
    <w:rPr>
      <w:rFonts w:ascii="宋体" w:hAnsi="宋体" w:cs="宋体"/>
      <w:sz w:val="24"/>
      <w:szCs w:val="24"/>
    </w:rPr>
  </w:style>
  <w:style w:type="paragraph" w:customStyle="1" w:styleId="1601">
    <w:name w:val="Char Char1 Char Char Char Char Char Char Char Char Char Char Char Char Char Char Char Char Char Char Char Char1 Char2"/>
    <w:basedOn w:val="1"/>
    <w:qFormat/>
    <w:uiPriority w:val="0"/>
    <w:pPr>
      <w:spacing w:line="360" w:lineRule="auto"/>
      <w:ind w:firstLine="200" w:firstLineChars="200"/>
    </w:pPr>
    <w:rPr>
      <w:rFonts w:ascii="宋体" w:hAnsi="宋体" w:cs="宋体"/>
      <w:sz w:val="24"/>
      <w:szCs w:val="24"/>
    </w:rPr>
  </w:style>
  <w:style w:type="paragraph" w:customStyle="1" w:styleId="1602">
    <w:name w:val="标题11"/>
    <w:basedOn w:val="1"/>
    <w:qFormat/>
    <w:uiPriority w:val="0"/>
    <w:pPr>
      <w:adjustRightInd w:val="0"/>
      <w:ind w:left="210" w:hanging="210"/>
      <w:jc w:val="left"/>
      <w:textAlignment w:val="baseline"/>
    </w:pPr>
    <w:rPr>
      <w:kern w:val="0"/>
      <w:sz w:val="24"/>
    </w:rPr>
  </w:style>
  <w:style w:type="paragraph" w:customStyle="1" w:styleId="1603">
    <w:name w:val="Char Char3 Char Char Char1 Char1"/>
    <w:basedOn w:val="1"/>
    <w:qFormat/>
    <w:uiPriority w:val="0"/>
  </w:style>
  <w:style w:type="paragraph" w:customStyle="1" w:styleId="1604">
    <w:name w:val="Char Char Char Char Char Char Char1"/>
    <w:basedOn w:val="1"/>
    <w:qFormat/>
    <w:uiPriority w:val="0"/>
    <w:pPr>
      <w:spacing w:line="360" w:lineRule="auto"/>
      <w:ind w:firstLine="200" w:firstLineChars="200"/>
    </w:pPr>
    <w:rPr>
      <w:rFonts w:ascii="宋体" w:hAnsi="宋体" w:cs="宋体"/>
      <w:sz w:val="24"/>
      <w:szCs w:val="24"/>
    </w:rPr>
  </w:style>
  <w:style w:type="paragraph" w:customStyle="1" w:styleId="1605">
    <w:name w:val="无间隔11"/>
    <w:qFormat/>
    <w:uiPriority w:val="0"/>
    <w:pPr>
      <w:widowControl w:val="0"/>
      <w:jc w:val="both"/>
    </w:pPr>
    <w:rPr>
      <w:rFonts w:ascii="Calibri" w:hAnsi="Calibri" w:eastAsia="宋体" w:cs="Calibri"/>
      <w:kern w:val="2"/>
      <w:sz w:val="21"/>
      <w:szCs w:val="21"/>
      <w:lang w:val="en-US" w:eastAsia="zh-CN" w:bidi="ar-SA"/>
    </w:rPr>
  </w:style>
  <w:style w:type="paragraph" w:customStyle="1" w:styleId="1606">
    <w:name w:val="Char Char Char Char Char Char Char Char Char Char1"/>
    <w:basedOn w:val="1"/>
    <w:qFormat/>
    <w:uiPriority w:val="0"/>
    <w:pPr>
      <w:spacing w:line="360" w:lineRule="auto"/>
      <w:ind w:firstLine="200" w:firstLineChars="200"/>
    </w:pPr>
    <w:rPr>
      <w:sz w:val="24"/>
    </w:rPr>
  </w:style>
  <w:style w:type="paragraph" w:customStyle="1" w:styleId="1607">
    <w:name w:val="Char Char Char1 Char1"/>
    <w:basedOn w:val="1"/>
    <w:qFormat/>
    <w:uiPriority w:val="0"/>
    <w:rPr>
      <w:szCs w:val="24"/>
    </w:rPr>
  </w:style>
  <w:style w:type="paragraph" w:customStyle="1" w:styleId="1608">
    <w:name w:val="Char Char Char Char Char Char Char Char Char Char Char Char3"/>
    <w:basedOn w:val="1"/>
    <w:qFormat/>
    <w:uiPriority w:val="0"/>
    <w:pPr>
      <w:adjustRightInd w:val="0"/>
      <w:spacing w:line="360" w:lineRule="auto"/>
      <w:ind w:firstLine="540" w:firstLineChars="225"/>
      <w:jc w:val="left"/>
    </w:pPr>
    <w:rPr>
      <w:rFonts w:ascii="宋体" w:hAnsi="宋体" w:cs="Arial"/>
      <w:snapToGrid w:val="0"/>
      <w:kern w:val="0"/>
      <w:szCs w:val="21"/>
      <w:lang w:val="eu-ES"/>
    </w:rPr>
  </w:style>
  <w:style w:type="paragraph" w:customStyle="1" w:styleId="1609">
    <w:name w:val="Char21"/>
    <w:basedOn w:val="1"/>
    <w:qFormat/>
    <w:uiPriority w:val="0"/>
    <w:pPr>
      <w:widowControl/>
      <w:spacing w:after="160" w:line="240" w:lineRule="exact"/>
      <w:jc w:val="left"/>
    </w:pPr>
    <w:rPr>
      <w:szCs w:val="24"/>
    </w:rPr>
  </w:style>
  <w:style w:type="paragraph" w:customStyle="1" w:styleId="1610">
    <w:name w:val="HTML 预设格式11"/>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1611">
    <w:name w:val="z-窗体底端11"/>
    <w:basedOn w:val="1"/>
    <w:next w:val="1"/>
    <w:qFormat/>
    <w:uiPriority w:val="0"/>
    <w:pPr>
      <w:pBdr>
        <w:top w:val="single" w:color="auto" w:sz="6" w:space="1"/>
      </w:pBdr>
      <w:jc w:val="center"/>
    </w:pPr>
    <w:rPr>
      <w:rFonts w:hint="eastAsia" w:ascii="Arial" w:hAnsi="Arial"/>
      <w:vanish/>
      <w:sz w:val="16"/>
    </w:rPr>
  </w:style>
  <w:style w:type="paragraph" w:customStyle="1" w:styleId="1612">
    <w:name w:val="正文5"/>
    <w:basedOn w:val="1"/>
    <w:qFormat/>
    <w:uiPriority w:val="0"/>
    <w:pPr>
      <w:adjustRightInd w:val="0"/>
      <w:spacing w:line="480" w:lineRule="exact"/>
      <w:textAlignment w:val="baseline"/>
    </w:pPr>
    <w:rPr>
      <w:spacing w:val="-2"/>
      <w:kern w:val="0"/>
      <w:sz w:val="28"/>
    </w:rPr>
  </w:style>
  <w:style w:type="paragraph" w:customStyle="1" w:styleId="1613">
    <w:name w:val="批注主题11"/>
    <w:basedOn w:val="39"/>
    <w:next w:val="39"/>
    <w:qFormat/>
    <w:uiPriority w:val="0"/>
    <w:rPr>
      <w:szCs w:val="24"/>
    </w:rPr>
  </w:style>
  <w:style w:type="paragraph" w:customStyle="1" w:styleId="1614">
    <w:name w:val="普通(网站)11"/>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1615">
    <w:name w:val="字元 字元 Char Char 字元 字元14"/>
    <w:basedOn w:val="1"/>
    <w:qFormat/>
    <w:uiPriority w:val="0"/>
    <w:rPr>
      <w:sz w:val="24"/>
      <w:szCs w:val="24"/>
    </w:rPr>
  </w:style>
  <w:style w:type="paragraph" w:customStyle="1" w:styleId="1616">
    <w:name w:val="z-窗体顶端11"/>
    <w:basedOn w:val="1"/>
    <w:next w:val="1"/>
    <w:qFormat/>
    <w:uiPriority w:val="0"/>
    <w:pPr>
      <w:pBdr>
        <w:bottom w:val="single" w:color="auto" w:sz="6" w:space="1"/>
      </w:pBdr>
      <w:jc w:val="center"/>
    </w:pPr>
    <w:rPr>
      <w:rFonts w:hint="eastAsia" w:ascii="Arial" w:hAnsi="Arial"/>
      <w:vanish/>
      <w:sz w:val="16"/>
    </w:rPr>
  </w:style>
  <w:style w:type="paragraph" w:customStyle="1" w:styleId="1617">
    <w:name w:val="Char Char Char Char Char Char1 Char Char Char1 Char Char Char1 Char Char Char Char Char Char Char Char Char Char4"/>
    <w:basedOn w:val="1"/>
    <w:next w:val="1"/>
    <w:qFormat/>
    <w:uiPriority w:val="0"/>
    <w:pPr>
      <w:spacing w:line="360" w:lineRule="auto"/>
      <w:ind w:firstLine="200" w:firstLineChars="200"/>
    </w:pPr>
    <w:rPr>
      <w:rFonts w:ascii="楷体_GB2312" w:hAnsi="宋体" w:eastAsia="楷体_GB2312" w:cs="宋体"/>
      <w:sz w:val="24"/>
      <w:szCs w:val="24"/>
    </w:rPr>
  </w:style>
  <w:style w:type="paragraph" w:customStyle="1" w:styleId="1618">
    <w:name w:val="正文文本缩进11"/>
    <w:basedOn w:val="1"/>
    <w:qFormat/>
    <w:uiPriority w:val="0"/>
    <w:pPr>
      <w:spacing w:after="120"/>
      <w:ind w:left="420" w:leftChars="200"/>
    </w:pPr>
    <w:rPr>
      <w:rFonts w:hint="eastAsia"/>
    </w:rPr>
  </w:style>
  <w:style w:type="paragraph" w:customStyle="1" w:styleId="1619">
    <w:name w:val="xl10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20">
    <w:name w:val="列出段落1"/>
    <w:basedOn w:val="1"/>
    <w:qFormat/>
    <w:uiPriority w:val="0"/>
    <w:pPr>
      <w:ind w:firstLine="420" w:firstLineChars="200"/>
    </w:pPr>
    <w:rPr>
      <w:rFonts w:ascii="Calibri" w:hAnsi="Calibri"/>
      <w:szCs w:val="22"/>
    </w:rPr>
  </w:style>
  <w:style w:type="paragraph" w:customStyle="1" w:styleId="1621">
    <w:name w:val="xl106"/>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b/>
      <w:bCs/>
      <w:kern w:val="0"/>
      <w:sz w:val="24"/>
      <w:szCs w:val="24"/>
    </w:rPr>
  </w:style>
  <w:style w:type="paragraph" w:customStyle="1" w:styleId="1622">
    <w:name w:val="Char23"/>
    <w:basedOn w:val="1"/>
    <w:qFormat/>
    <w:uiPriority w:val="0"/>
    <w:rPr>
      <w:rFonts w:ascii="宋体" w:hAnsi="宋体" w:cs="宋体"/>
      <w:sz w:val="32"/>
      <w:szCs w:val="32"/>
    </w:rPr>
  </w:style>
  <w:style w:type="paragraph" w:customStyle="1" w:styleId="1623">
    <w:name w:val="xl107"/>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624">
    <w:name w:val="xl108"/>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kern w:val="0"/>
      <w:sz w:val="24"/>
      <w:szCs w:val="24"/>
    </w:rPr>
  </w:style>
  <w:style w:type="paragraph" w:customStyle="1" w:styleId="1625">
    <w:name w:val="xl109"/>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kern w:val="0"/>
      <w:sz w:val="24"/>
      <w:szCs w:val="24"/>
    </w:rPr>
  </w:style>
  <w:style w:type="paragraph" w:customStyle="1" w:styleId="1626">
    <w:name w:val="xl110"/>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b/>
      <w:bCs/>
      <w:kern w:val="0"/>
      <w:sz w:val="24"/>
      <w:szCs w:val="24"/>
    </w:rPr>
  </w:style>
  <w:style w:type="paragraph" w:customStyle="1" w:styleId="1627">
    <w:name w:val="Char Char1 Char Char Char Char Char Char Char Char Char Char Char Char Char Char Char Char Char Char Char Char1 Char4"/>
    <w:basedOn w:val="1"/>
    <w:qFormat/>
    <w:uiPriority w:val="0"/>
    <w:pPr>
      <w:spacing w:line="360" w:lineRule="auto"/>
      <w:ind w:firstLine="200" w:firstLineChars="200"/>
    </w:pPr>
    <w:rPr>
      <w:rFonts w:ascii="宋体" w:hAnsi="宋体" w:cs="宋体"/>
      <w:sz w:val="24"/>
      <w:szCs w:val="24"/>
    </w:rPr>
  </w:style>
  <w:style w:type="paragraph" w:customStyle="1" w:styleId="1628">
    <w:name w:val="xl111"/>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b/>
      <w:bCs/>
      <w:kern w:val="0"/>
      <w:sz w:val="24"/>
      <w:szCs w:val="24"/>
    </w:rPr>
  </w:style>
  <w:style w:type="paragraph" w:customStyle="1" w:styleId="1629">
    <w:name w:val="Char Char Char Char Char Char Char3"/>
    <w:basedOn w:val="1"/>
    <w:qFormat/>
    <w:uiPriority w:val="0"/>
    <w:pPr>
      <w:spacing w:line="360" w:lineRule="auto"/>
      <w:ind w:firstLine="200" w:firstLineChars="200"/>
    </w:pPr>
    <w:rPr>
      <w:rFonts w:ascii="宋体" w:hAnsi="宋体" w:cs="宋体"/>
      <w:sz w:val="24"/>
      <w:szCs w:val="24"/>
    </w:rPr>
  </w:style>
  <w:style w:type="paragraph" w:customStyle="1" w:styleId="1630">
    <w:name w:val="xl112"/>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631">
    <w:name w:val="xl113"/>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kern w:val="0"/>
      <w:sz w:val="24"/>
      <w:szCs w:val="24"/>
    </w:rPr>
  </w:style>
  <w:style w:type="paragraph" w:customStyle="1" w:styleId="1632">
    <w:name w:val="Char Char Char Char Char Char Char Char Char Char3"/>
    <w:basedOn w:val="1"/>
    <w:qFormat/>
    <w:uiPriority w:val="0"/>
    <w:pPr>
      <w:spacing w:line="360" w:lineRule="auto"/>
      <w:ind w:firstLine="200" w:firstLineChars="200"/>
    </w:pPr>
    <w:rPr>
      <w:rFonts w:ascii="宋体" w:hAnsi="宋体" w:cs="宋体"/>
      <w:sz w:val="24"/>
      <w:szCs w:val="24"/>
    </w:rPr>
  </w:style>
  <w:style w:type="paragraph" w:customStyle="1" w:styleId="1633">
    <w:name w:val="xl114"/>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kern w:val="0"/>
      <w:sz w:val="24"/>
      <w:szCs w:val="24"/>
    </w:rPr>
  </w:style>
  <w:style w:type="paragraph" w:customStyle="1" w:styleId="1634">
    <w:name w:val="无间隔13"/>
    <w:qFormat/>
    <w:uiPriority w:val="0"/>
    <w:pPr>
      <w:widowControl w:val="0"/>
      <w:jc w:val="both"/>
    </w:pPr>
    <w:rPr>
      <w:rFonts w:ascii="Calibri" w:hAnsi="Calibri" w:eastAsia="宋体" w:cs="Calibri"/>
      <w:kern w:val="2"/>
      <w:sz w:val="21"/>
      <w:szCs w:val="21"/>
      <w:lang w:val="en-US" w:eastAsia="zh-CN" w:bidi="ar-SA"/>
    </w:rPr>
  </w:style>
  <w:style w:type="paragraph" w:customStyle="1" w:styleId="1635">
    <w:name w:val="xl115"/>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b/>
      <w:bCs/>
      <w:kern w:val="0"/>
      <w:sz w:val="24"/>
      <w:szCs w:val="24"/>
    </w:rPr>
  </w:style>
  <w:style w:type="paragraph" w:customStyle="1" w:styleId="1636">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637">
    <w:name w:val="xl117"/>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kern w:val="0"/>
      <w:sz w:val="24"/>
      <w:szCs w:val="24"/>
    </w:rPr>
  </w:style>
  <w:style w:type="paragraph" w:customStyle="1" w:styleId="1638">
    <w:name w:val="HTML 预设格式13"/>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1639">
    <w:name w:val="xl118"/>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640">
    <w:name w:val="普通(网站)13"/>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1641">
    <w:name w:val="xl119"/>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kern w:val="0"/>
      <w:sz w:val="24"/>
      <w:szCs w:val="24"/>
    </w:rPr>
  </w:style>
  <w:style w:type="paragraph" w:customStyle="1" w:styleId="1642">
    <w:name w:val="xl12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43">
    <w:name w:val="z-窗体顶端13"/>
    <w:basedOn w:val="1"/>
    <w:next w:val="1"/>
    <w:qFormat/>
    <w:uiPriority w:val="0"/>
    <w:pPr>
      <w:pBdr>
        <w:bottom w:val="single" w:color="auto" w:sz="6" w:space="1"/>
      </w:pBdr>
      <w:jc w:val="center"/>
    </w:pPr>
    <w:rPr>
      <w:rFonts w:hint="eastAsia" w:ascii="Arial" w:hAnsi="Arial"/>
      <w:vanish/>
      <w:sz w:val="16"/>
    </w:rPr>
  </w:style>
  <w:style w:type="paragraph" w:customStyle="1" w:styleId="1644">
    <w:name w:val="xl121"/>
    <w:basedOn w:val="1"/>
    <w:qFormat/>
    <w:uiPriority w:val="0"/>
    <w:pPr>
      <w:widowControl/>
      <w:pBdr>
        <w:top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45">
    <w:name w:val="Char Char Char Char Char Char Char Char Char3"/>
    <w:basedOn w:val="1"/>
    <w:qFormat/>
    <w:uiPriority w:val="0"/>
    <w:pPr>
      <w:widowControl/>
      <w:spacing w:line="500" w:lineRule="exact"/>
      <w:ind w:firstLine="200" w:firstLineChars="200"/>
      <w:jc w:val="left"/>
    </w:pPr>
    <w:rPr>
      <w:rFonts w:ascii="Verdana" w:hAnsi="Verdana"/>
      <w:kern w:val="0"/>
      <w:sz w:val="24"/>
      <w:szCs w:val="24"/>
      <w:lang w:eastAsia="en-US"/>
    </w:rPr>
  </w:style>
  <w:style w:type="paragraph" w:customStyle="1" w:styleId="1646">
    <w:name w:val="xl122"/>
    <w:basedOn w:val="1"/>
    <w:qFormat/>
    <w:uiPriority w:val="0"/>
    <w:pPr>
      <w:widowControl/>
      <w:spacing w:before="100" w:beforeAutospacing="1" w:after="100" w:afterAutospacing="1"/>
      <w:jc w:val="center"/>
      <w:textAlignment w:val="center"/>
    </w:pPr>
    <w:rPr>
      <w:rFonts w:ascii="宋体" w:hAnsi="宋体" w:cs="宋体"/>
      <w:kern w:val="0"/>
      <w:sz w:val="24"/>
      <w:szCs w:val="24"/>
    </w:rPr>
  </w:style>
  <w:style w:type="paragraph" w:customStyle="1" w:styleId="1647">
    <w:name w:val="xl123"/>
    <w:basedOn w:val="1"/>
    <w:qFormat/>
    <w:uiPriority w:val="0"/>
    <w:pPr>
      <w:widowControl/>
      <w:pBdr>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48">
    <w:name w:val="xl12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49">
    <w:name w:val="xl12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650">
    <w:name w:val="Char Char Char Char Char Char Char Char Char1 Char Char Char1 Char Char Char Char Char Char Char2"/>
    <w:basedOn w:val="1"/>
    <w:qFormat/>
    <w:uiPriority w:val="0"/>
    <w:pPr>
      <w:spacing w:line="360" w:lineRule="auto"/>
      <w:ind w:firstLine="200" w:firstLineChars="200"/>
    </w:pPr>
    <w:rPr>
      <w:rFonts w:ascii="宋体" w:hAnsi="宋体" w:cs="宋体"/>
      <w:sz w:val="24"/>
      <w:szCs w:val="24"/>
    </w:rPr>
  </w:style>
  <w:style w:type="paragraph" w:customStyle="1" w:styleId="1651">
    <w:name w:val="xl126"/>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52">
    <w:name w:val="xl127"/>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53">
    <w:name w:val="xl12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54">
    <w:name w:val="Char1 Char Char Char2"/>
    <w:basedOn w:val="1"/>
    <w:qFormat/>
    <w:uiPriority w:val="0"/>
    <w:pPr>
      <w:spacing w:line="360" w:lineRule="auto"/>
      <w:ind w:firstLine="200" w:firstLineChars="200"/>
    </w:pPr>
    <w:rPr>
      <w:rFonts w:ascii="宋体" w:hAnsi="宋体" w:cs="宋体"/>
      <w:sz w:val="24"/>
      <w:szCs w:val="24"/>
    </w:rPr>
  </w:style>
  <w:style w:type="paragraph" w:customStyle="1" w:styleId="1655">
    <w:name w:val="xl12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b/>
      <w:bCs/>
      <w:kern w:val="0"/>
      <w:sz w:val="24"/>
      <w:szCs w:val="24"/>
    </w:rPr>
  </w:style>
  <w:style w:type="paragraph" w:customStyle="1" w:styleId="1656">
    <w:name w:val="xl130"/>
    <w:basedOn w:val="1"/>
    <w:qFormat/>
    <w:uiPriority w:val="0"/>
    <w:pPr>
      <w:widowControl/>
      <w:pBdr>
        <w:top w:val="single" w:color="auto" w:sz="4" w:space="0"/>
        <w:lef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57">
    <w:name w:val="xl131"/>
    <w:basedOn w:val="1"/>
    <w:qFormat/>
    <w:uiPriority w:val="0"/>
    <w:pPr>
      <w:widowControl/>
      <w:pBdr>
        <w:top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58">
    <w:name w:val="Char Char Char1 Char Char Char Char Char Char Char2"/>
    <w:basedOn w:val="1"/>
    <w:qFormat/>
    <w:uiPriority w:val="0"/>
    <w:pPr>
      <w:spacing w:line="360" w:lineRule="auto"/>
      <w:ind w:firstLine="200" w:firstLineChars="200"/>
    </w:pPr>
    <w:rPr>
      <w:rFonts w:ascii="宋体" w:hAnsi="宋体" w:cs="宋体"/>
      <w:sz w:val="24"/>
      <w:szCs w:val="24"/>
    </w:rPr>
  </w:style>
  <w:style w:type="paragraph" w:customStyle="1" w:styleId="1659">
    <w:name w:val="xl132"/>
    <w:basedOn w:val="1"/>
    <w:qFormat/>
    <w:uiPriority w:val="0"/>
    <w:pPr>
      <w:widowControl/>
      <w:pBdr>
        <w:lef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60">
    <w:name w:val="xl133"/>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61">
    <w:name w:val="xl134"/>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62">
    <w:name w:val="xl135"/>
    <w:basedOn w:val="1"/>
    <w:qFormat/>
    <w:uiPriority w:val="0"/>
    <w:pPr>
      <w:widowControl/>
      <w:pBdr>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63">
    <w:name w:val="Char Char Char Char Char Char Char Char Char Char Char1 Char2"/>
    <w:basedOn w:val="1"/>
    <w:qFormat/>
    <w:uiPriority w:val="0"/>
    <w:rPr>
      <w:sz w:val="24"/>
      <w:szCs w:val="24"/>
    </w:rPr>
  </w:style>
  <w:style w:type="paragraph" w:customStyle="1" w:styleId="1664">
    <w:name w:val="xl136"/>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宋体" w:hAnsi="宋体" w:cs="宋体"/>
      <w:kern w:val="0"/>
      <w:sz w:val="24"/>
      <w:szCs w:val="24"/>
    </w:rPr>
  </w:style>
  <w:style w:type="paragraph" w:customStyle="1" w:styleId="1665">
    <w:name w:val="xl1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666">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7030A0"/>
      <w:kern w:val="0"/>
      <w:sz w:val="24"/>
      <w:szCs w:val="24"/>
    </w:rPr>
  </w:style>
  <w:style w:type="paragraph" w:customStyle="1" w:styleId="1667">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7030A0"/>
      <w:kern w:val="0"/>
      <w:sz w:val="24"/>
      <w:szCs w:val="24"/>
    </w:rPr>
  </w:style>
  <w:style w:type="paragraph" w:customStyle="1" w:styleId="1668">
    <w:name w:val="xl140"/>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669">
    <w:name w:val="xl1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670">
    <w:name w:val="xl256"/>
    <w:basedOn w:val="1"/>
    <w:qFormat/>
    <w:uiPriority w:val="0"/>
    <w:pPr>
      <w:widowControl/>
      <w:pBdr>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671">
    <w:name w:val="xl143"/>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b/>
      <w:bCs/>
      <w:kern w:val="0"/>
      <w:sz w:val="24"/>
      <w:szCs w:val="24"/>
    </w:rPr>
  </w:style>
  <w:style w:type="paragraph" w:customStyle="1" w:styleId="1672">
    <w:name w:val="xl144"/>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kern w:val="0"/>
      <w:sz w:val="24"/>
      <w:szCs w:val="24"/>
    </w:rPr>
  </w:style>
  <w:style w:type="paragraph" w:customStyle="1" w:styleId="1673">
    <w:name w:val="xl1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674">
    <w:name w:val="xl146"/>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675">
    <w:name w:val="xl147"/>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b/>
      <w:bCs/>
      <w:kern w:val="0"/>
      <w:sz w:val="24"/>
      <w:szCs w:val="24"/>
    </w:rPr>
  </w:style>
  <w:style w:type="paragraph" w:customStyle="1" w:styleId="1676">
    <w:name w:val="xl148"/>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677">
    <w:name w:val="xl149"/>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678">
    <w:name w:val="xl150"/>
    <w:basedOn w:val="1"/>
    <w:qFormat/>
    <w:uiPriority w:val="0"/>
    <w:pPr>
      <w:widowControl/>
      <w:shd w:val="clear" w:color="000000" w:fill="FDE9D9"/>
      <w:spacing w:before="100" w:beforeAutospacing="1" w:after="100" w:afterAutospacing="1"/>
      <w:jc w:val="left"/>
      <w:textAlignment w:val="center"/>
    </w:pPr>
    <w:rPr>
      <w:rFonts w:ascii="宋体" w:hAnsi="宋体" w:cs="宋体"/>
      <w:kern w:val="0"/>
      <w:sz w:val="24"/>
      <w:szCs w:val="24"/>
    </w:rPr>
  </w:style>
  <w:style w:type="paragraph" w:customStyle="1" w:styleId="1679">
    <w:name w:val="xl151"/>
    <w:basedOn w:val="1"/>
    <w:qFormat/>
    <w:uiPriority w:val="0"/>
    <w:pPr>
      <w:widowControl/>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680">
    <w:name w:val="xl1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681">
    <w:name w:val="xl153"/>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682">
    <w:name w:val="xl1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CC"/>
      <w:kern w:val="0"/>
      <w:sz w:val="24"/>
      <w:szCs w:val="24"/>
    </w:rPr>
  </w:style>
  <w:style w:type="paragraph" w:customStyle="1" w:styleId="1683">
    <w:name w:val="xl1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684">
    <w:name w:val="xl1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685">
    <w:name w:val="xl157"/>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color w:val="0000CC"/>
      <w:kern w:val="0"/>
      <w:sz w:val="24"/>
      <w:szCs w:val="24"/>
    </w:rPr>
  </w:style>
  <w:style w:type="paragraph" w:customStyle="1" w:styleId="1686">
    <w:name w:val="xl158"/>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687">
    <w:name w:val="xl159"/>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color w:val="0000CC"/>
      <w:kern w:val="0"/>
      <w:sz w:val="24"/>
      <w:szCs w:val="24"/>
    </w:rPr>
  </w:style>
  <w:style w:type="paragraph" w:customStyle="1" w:styleId="1688">
    <w:name w:val="xl1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color w:val="0000CC"/>
      <w:kern w:val="0"/>
      <w:sz w:val="24"/>
      <w:szCs w:val="24"/>
    </w:rPr>
  </w:style>
  <w:style w:type="paragraph" w:customStyle="1" w:styleId="1689">
    <w:name w:val="xl161"/>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690">
    <w:name w:val="xl162"/>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color w:val="0000CC"/>
      <w:kern w:val="0"/>
      <w:sz w:val="24"/>
      <w:szCs w:val="24"/>
    </w:rPr>
  </w:style>
  <w:style w:type="paragraph" w:customStyle="1" w:styleId="1691">
    <w:name w:val="xl163"/>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692">
    <w:name w:val="xl1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693">
    <w:name w:val="xl165"/>
    <w:basedOn w:val="1"/>
    <w:qFormat/>
    <w:uiPriority w:val="0"/>
    <w:pPr>
      <w:widowControl/>
      <w:spacing w:before="100" w:beforeAutospacing="1" w:after="100" w:afterAutospacing="1"/>
      <w:jc w:val="center"/>
      <w:textAlignment w:val="center"/>
    </w:pPr>
    <w:rPr>
      <w:rFonts w:ascii="宋体" w:hAnsi="宋体" w:cs="宋体"/>
      <w:color w:val="0000CC"/>
      <w:kern w:val="0"/>
      <w:sz w:val="24"/>
      <w:szCs w:val="24"/>
    </w:rPr>
  </w:style>
  <w:style w:type="paragraph" w:customStyle="1" w:styleId="1694">
    <w:name w:val="xl16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695">
    <w:name w:val="xl167"/>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696">
    <w:name w:val="xl168"/>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color w:val="0000CC"/>
      <w:kern w:val="0"/>
      <w:sz w:val="24"/>
      <w:szCs w:val="24"/>
    </w:rPr>
  </w:style>
  <w:style w:type="paragraph" w:customStyle="1" w:styleId="1697">
    <w:name w:val="xl169"/>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color w:val="0000CC"/>
      <w:kern w:val="0"/>
      <w:sz w:val="24"/>
      <w:szCs w:val="24"/>
    </w:rPr>
  </w:style>
  <w:style w:type="paragraph" w:customStyle="1" w:styleId="1698">
    <w:name w:val="xl170"/>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color w:val="0000CC"/>
      <w:kern w:val="0"/>
      <w:sz w:val="24"/>
      <w:szCs w:val="24"/>
    </w:rPr>
  </w:style>
  <w:style w:type="paragraph" w:customStyle="1" w:styleId="1699">
    <w:name w:val="xl171"/>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color w:val="0000CC"/>
      <w:kern w:val="0"/>
      <w:sz w:val="24"/>
      <w:szCs w:val="24"/>
    </w:rPr>
  </w:style>
  <w:style w:type="paragraph" w:customStyle="1" w:styleId="1700">
    <w:name w:val="xl172"/>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01">
    <w:name w:val="xl1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702">
    <w:name w:val="xl174"/>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b/>
      <w:bCs/>
      <w:kern w:val="0"/>
      <w:sz w:val="24"/>
      <w:szCs w:val="24"/>
    </w:rPr>
  </w:style>
  <w:style w:type="paragraph" w:customStyle="1" w:styleId="1703">
    <w:name w:val="xl175"/>
    <w:basedOn w:val="1"/>
    <w:qFormat/>
    <w:uiPriority w:val="0"/>
    <w:pPr>
      <w:widowControl/>
      <w:shd w:val="clear" w:color="000000" w:fill="FABF8F"/>
      <w:spacing w:before="100" w:beforeAutospacing="1" w:after="100" w:afterAutospacing="1"/>
      <w:jc w:val="center"/>
      <w:textAlignment w:val="center"/>
    </w:pPr>
    <w:rPr>
      <w:rFonts w:ascii="宋体" w:hAnsi="宋体" w:cs="宋体"/>
      <w:b/>
      <w:bCs/>
      <w:kern w:val="0"/>
      <w:sz w:val="24"/>
      <w:szCs w:val="24"/>
    </w:rPr>
  </w:style>
  <w:style w:type="paragraph" w:customStyle="1" w:styleId="1704">
    <w:name w:val="xl176"/>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b/>
      <w:bCs/>
      <w:kern w:val="0"/>
      <w:sz w:val="24"/>
      <w:szCs w:val="24"/>
    </w:rPr>
  </w:style>
  <w:style w:type="paragraph" w:customStyle="1" w:styleId="1705">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left"/>
      <w:textAlignment w:val="center"/>
    </w:pPr>
    <w:rPr>
      <w:rFonts w:ascii="宋体" w:hAnsi="宋体" w:cs="宋体"/>
      <w:kern w:val="0"/>
      <w:sz w:val="24"/>
      <w:szCs w:val="24"/>
    </w:rPr>
  </w:style>
  <w:style w:type="paragraph" w:customStyle="1" w:styleId="1706">
    <w:name w:val="xl178"/>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707">
    <w:name w:val="xl179"/>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b/>
      <w:bCs/>
      <w:color w:val="0000CC"/>
      <w:kern w:val="0"/>
      <w:sz w:val="24"/>
      <w:szCs w:val="24"/>
    </w:rPr>
  </w:style>
  <w:style w:type="paragraph" w:customStyle="1" w:styleId="1708">
    <w:name w:val="xl180"/>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color w:val="0000CC"/>
      <w:kern w:val="0"/>
      <w:sz w:val="24"/>
      <w:szCs w:val="24"/>
    </w:rPr>
  </w:style>
  <w:style w:type="paragraph" w:customStyle="1" w:styleId="1709">
    <w:name w:val="xl181"/>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b/>
      <w:bCs/>
      <w:kern w:val="0"/>
      <w:sz w:val="24"/>
      <w:szCs w:val="24"/>
    </w:rPr>
  </w:style>
  <w:style w:type="paragraph" w:customStyle="1" w:styleId="1710">
    <w:name w:val="xl182"/>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left"/>
      <w:textAlignment w:val="center"/>
    </w:pPr>
    <w:rPr>
      <w:rFonts w:ascii="宋体" w:hAnsi="宋体" w:cs="宋体"/>
      <w:kern w:val="0"/>
      <w:sz w:val="24"/>
      <w:szCs w:val="24"/>
    </w:rPr>
  </w:style>
  <w:style w:type="paragraph" w:customStyle="1" w:styleId="1711">
    <w:name w:val="xl183"/>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712">
    <w:name w:val="xl18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13">
    <w:name w:val="xl185"/>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14">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15">
    <w:name w:val="xl1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7030A0"/>
      <w:kern w:val="0"/>
      <w:sz w:val="24"/>
      <w:szCs w:val="24"/>
    </w:rPr>
  </w:style>
  <w:style w:type="paragraph" w:customStyle="1" w:styleId="1716">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17">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color w:val="0000CC"/>
      <w:kern w:val="0"/>
      <w:sz w:val="24"/>
      <w:szCs w:val="24"/>
    </w:rPr>
  </w:style>
  <w:style w:type="paragraph" w:customStyle="1" w:styleId="1718">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19">
    <w:name w:val="xl1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720">
    <w:name w:val="xl192"/>
    <w:basedOn w:val="1"/>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21">
    <w:name w:val="xl193"/>
    <w:basedOn w:val="1"/>
    <w:qFormat/>
    <w:uiPriority w:val="0"/>
    <w:pPr>
      <w:widowControl/>
      <w:pBdr>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22">
    <w:name w:val="xl194"/>
    <w:basedOn w:val="1"/>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23">
    <w:name w:val="xl195"/>
    <w:basedOn w:val="1"/>
    <w:qFormat/>
    <w:uiPriority w:val="0"/>
    <w:pPr>
      <w:widowControl/>
      <w:pBdr>
        <w:top w:val="single" w:color="auto" w:sz="4" w:space="0"/>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724">
    <w:name w:val="xl196"/>
    <w:basedOn w:val="1"/>
    <w:qFormat/>
    <w:uiPriority w:val="0"/>
    <w:pPr>
      <w:widowControl/>
      <w:pBdr>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725">
    <w:name w:val="xl1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26">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27">
    <w:name w:val="xl199"/>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28">
    <w:name w:val="xl200"/>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29">
    <w:name w:val="xl201"/>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730">
    <w:name w:val="xl2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731">
    <w:name w:val="xl20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32">
    <w:name w:val="xl204"/>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33">
    <w:name w:val="xl205"/>
    <w:basedOn w:val="1"/>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textAlignment w:val="center"/>
    </w:pPr>
    <w:rPr>
      <w:rFonts w:ascii="宋体" w:hAnsi="宋体" w:cs="宋体"/>
      <w:b/>
      <w:bCs/>
      <w:kern w:val="0"/>
      <w:sz w:val="24"/>
      <w:szCs w:val="24"/>
    </w:rPr>
  </w:style>
  <w:style w:type="paragraph" w:customStyle="1" w:styleId="1734">
    <w:name w:val="xl2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735">
    <w:name w:val="xl207"/>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b/>
      <w:bCs/>
      <w:kern w:val="0"/>
      <w:sz w:val="24"/>
      <w:szCs w:val="24"/>
    </w:rPr>
  </w:style>
  <w:style w:type="paragraph" w:customStyle="1" w:styleId="1736">
    <w:name w:val="xl208"/>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37">
    <w:name w:val="xl209"/>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38">
    <w:name w:val="xl2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7030A0"/>
      <w:kern w:val="0"/>
      <w:sz w:val="24"/>
      <w:szCs w:val="24"/>
    </w:rPr>
  </w:style>
  <w:style w:type="paragraph" w:customStyle="1" w:styleId="1739">
    <w:name w:val="xl211"/>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kern w:val="0"/>
      <w:sz w:val="24"/>
      <w:szCs w:val="24"/>
    </w:rPr>
  </w:style>
  <w:style w:type="paragraph" w:customStyle="1" w:styleId="1740">
    <w:name w:val="xl212"/>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41">
    <w:name w:val="xl213"/>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b/>
      <w:bCs/>
      <w:kern w:val="0"/>
      <w:sz w:val="24"/>
      <w:szCs w:val="24"/>
    </w:rPr>
  </w:style>
  <w:style w:type="paragraph" w:customStyle="1" w:styleId="1742">
    <w:name w:val="xl214"/>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743">
    <w:name w:val="xl215"/>
    <w:basedOn w:val="1"/>
    <w:qFormat/>
    <w:uiPriority w:val="0"/>
    <w:pPr>
      <w:widowControl/>
      <w:pBdr>
        <w:top w:val="single" w:color="auto" w:sz="4" w:space="0"/>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44">
    <w:name w:val="xl216"/>
    <w:basedOn w:val="1"/>
    <w:qFormat/>
    <w:uiPriority w:val="0"/>
    <w:pPr>
      <w:widowControl/>
      <w:pBdr>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45">
    <w:name w:val="xl217"/>
    <w:basedOn w:val="1"/>
    <w:qFormat/>
    <w:uiPriority w:val="0"/>
    <w:pPr>
      <w:widowControl/>
      <w:pBdr>
        <w:left w:val="single" w:color="auto" w:sz="4" w:space="0"/>
        <w:bottom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46">
    <w:name w:val="xl219"/>
    <w:basedOn w:val="1"/>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747">
    <w:name w:val="xl220"/>
    <w:basedOn w:val="1"/>
    <w:qFormat/>
    <w:uiPriority w:val="0"/>
    <w:pPr>
      <w:widowControl/>
      <w:pBdr>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748">
    <w:name w:val="xl222"/>
    <w:basedOn w:val="1"/>
    <w:qFormat/>
    <w:uiPriority w:val="0"/>
    <w:pPr>
      <w:widowControl/>
      <w:pBdr>
        <w:top w:val="single" w:color="auto" w:sz="4" w:space="0"/>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b/>
      <w:bCs/>
      <w:kern w:val="0"/>
      <w:sz w:val="24"/>
      <w:szCs w:val="24"/>
    </w:rPr>
  </w:style>
  <w:style w:type="paragraph" w:customStyle="1" w:styleId="1749">
    <w:name w:val="xl225"/>
    <w:basedOn w:val="1"/>
    <w:qFormat/>
    <w:uiPriority w:val="0"/>
    <w:pPr>
      <w:widowControl/>
      <w:pBdr>
        <w:left w:val="single" w:color="auto" w:sz="4" w:space="0"/>
        <w:bottom w:val="double" w:color="auto" w:sz="6"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50">
    <w:name w:val="xl226"/>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51">
    <w:name w:val="xl22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52">
    <w:name w:val="xl2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7030A0"/>
      <w:kern w:val="0"/>
      <w:sz w:val="24"/>
      <w:szCs w:val="24"/>
    </w:rPr>
  </w:style>
  <w:style w:type="paragraph" w:customStyle="1" w:styleId="1753">
    <w:name w:val="xl231"/>
    <w:basedOn w:val="1"/>
    <w:qFormat/>
    <w:uiPriority w:val="0"/>
    <w:pPr>
      <w:widowControl/>
      <w:pBdr>
        <w:top w:val="single" w:color="auto" w:sz="4" w:space="0"/>
        <w:left w:val="single" w:color="auto" w:sz="4" w:space="0"/>
        <w:bottom w:val="single" w:color="auto" w:sz="4" w:space="0"/>
        <w:right w:val="single" w:color="auto" w:sz="4" w:space="0"/>
      </w:pBdr>
      <w:shd w:val="clear" w:color="000000" w:fill="A5E2AC"/>
      <w:spacing w:before="100" w:beforeAutospacing="1" w:after="100" w:afterAutospacing="1"/>
      <w:jc w:val="left"/>
      <w:textAlignment w:val="center"/>
    </w:pPr>
    <w:rPr>
      <w:rFonts w:ascii="宋体" w:hAnsi="宋体" w:cs="宋体"/>
      <w:b/>
      <w:bCs/>
      <w:kern w:val="0"/>
      <w:sz w:val="24"/>
      <w:szCs w:val="24"/>
    </w:rPr>
  </w:style>
  <w:style w:type="paragraph" w:customStyle="1" w:styleId="1754">
    <w:name w:val="xl23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55">
    <w:name w:val="xl233"/>
    <w:basedOn w:val="1"/>
    <w:qFormat/>
    <w:uiPriority w:val="0"/>
    <w:pPr>
      <w:widowControl/>
      <w:pBdr>
        <w:top w:val="single" w:color="auto" w:sz="4" w:space="0"/>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56">
    <w:name w:val="xl234"/>
    <w:basedOn w:val="1"/>
    <w:qFormat/>
    <w:uiPriority w:val="0"/>
    <w:pPr>
      <w:widowControl/>
      <w:pBdr>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57">
    <w:name w:val="xl235"/>
    <w:basedOn w:val="1"/>
    <w:qFormat/>
    <w:uiPriority w:val="0"/>
    <w:pPr>
      <w:widowControl/>
      <w:pBdr>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58">
    <w:name w:val="xl23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color w:val="7030A0"/>
      <w:kern w:val="0"/>
      <w:sz w:val="24"/>
      <w:szCs w:val="24"/>
    </w:rPr>
  </w:style>
  <w:style w:type="paragraph" w:customStyle="1" w:styleId="1759">
    <w:name w:val="xl237"/>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color w:val="7030A0"/>
      <w:kern w:val="0"/>
      <w:sz w:val="24"/>
      <w:szCs w:val="24"/>
    </w:rPr>
  </w:style>
  <w:style w:type="paragraph" w:customStyle="1" w:styleId="1760">
    <w:name w:val="xl238"/>
    <w:basedOn w:val="1"/>
    <w:qFormat/>
    <w:uiPriority w:val="0"/>
    <w:pPr>
      <w:widowControl/>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left"/>
      <w:textAlignment w:val="center"/>
    </w:pPr>
    <w:rPr>
      <w:rFonts w:ascii="宋体" w:hAnsi="宋体" w:cs="宋体"/>
      <w:b/>
      <w:bCs/>
      <w:kern w:val="0"/>
      <w:sz w:val="24"/>
      <w:szCs w:val="24"/>
    </w:rPr>
  </w:style>
  <w:style w:type="paragraph" w:customStyle="1" w:styleId="1761">
    <w:name w:val="xl239"/>
    <w:basedOn w:val="1"/>
    <w:qFormat/>
    <w:uiPriority w:val="0"/>
    <w:pPr>
      <w:widowControl/>
      <w:pBdr>
        <w:top w:val="single" w:color="auto" w:sz="4" w:space="0"/>
        <w:left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762">
    <w:name w:val="xl240"/>
    <w:basedOn w:val="1"/>
    <w:qFormat/>
    <w:uiPriority w:val="0"/>
    <w:pPr>
      <w:widowControl/>
      <w:pBdr>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ascii="宋体" w:hAnsi="宋体" w:cs="宋体"/>
      <w:kern w:val="0"/>
      <w:sz w:val="24"/>
      <w:szCs w:val="24"/>
    </w:rPr>
  </w:style>
  <w:style w:type="paragraph" w:customStyle="1" w:styleId="1763">
    <w:name w:val="xl245"/>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64">
    <w:name w:val="xl246"/>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65">
    <w:name w:val="xl2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66">
    <w:name w:val="xl249"/>
    <w:basedOn w:val="1"/>
    <w:qFormat/>
    <w:uiPriority w:val="0"/>
    <w:pPr>
      <w:widowControl/>
      <w:pBdr>
        <w:top w:val="single" w:color="auto" w:sz="4" w:space="0"/>
        <w:left w:val="single" w:color="auto" w:sz="4" w:space="0"/>
        <w:bottom w:val="single" w:color="auto" w:sz="4" w:space="0"/>
      </w:pBdr>
      <w:shd w:val="clear" w:color="000000" w:fill="A5E2AC"/>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67">
    <w:name w:val="xl25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68">
    <w:name w:val="xl254"/>
    <w:basedOn w:val="1"/>
    <w:qFormat/>
    <w:uiPriority w:val="0"/>
    <w:pPr>
      <w:widowControl/>
      <w:pBdr>
        <w:top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69">
    <w:name w:val="xl258"/>
    <w:basedOn w:val="1"/>
    <w:qFormat/>
    <w:uiPriority w:val="0"/>
    <w:pPr>
      <w:widowControl/>
      <w:pBdr>
        <w:top w:val="single" w:color="auto" w:sz="4" w:space="0"/>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770">
    <w:name w:val="xl261"/>
    <w:basedOn w:val="1"/>
    <w:qFormat/>
    <w:uiPriority w:val="0"/>
    <w:pPr>
      <w:widowControl/>
      <w:pBdr>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color w:val="0000CC"/>
      <w:kern w:val="0"/>
      <w:sz w:val="24"/>
      <w:szCs w:val="24"/>
    </w:rPr>
  </w:style>
  <w:style w:type="paragraph" w:customStyle="1" w:styleId="1771">
    <w:name w:val="xl264"/>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color w:val="0000CC"/>
      <w:kern w:val="0"/>
      <w:sz w:val="24"/>
      <w:szCs w:val="24"/>
    </w:rPr>
  </w:style>
  <w:style w:type="paragraph" w:customStyle="1" w:styleId="1772">
    <w:name w:val="xl268"/>
    <w:basedOn w:val="1"/>
    <w:qFormat/>
    <w:uiPriority w:val="0"/>
    <w:pPr>
      <w:widowControl/>
      <w:pBdr>
        <w:left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773">
    <w:name w:val="xl269"/>
    <w:basedOn w:val="1"/>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center"/>
      <w:textAlignment w:val="center"/>
    </w:pPr>
    <w:rPr>
      <w:rFonts w:ascii="宋体" w:hAnsi="宋体" w:cs="宋体"/>
      <w:kern w:val="0"/>
      <w:sz w:val="24"/>
      <w:szCs w:val="24"/>
    </w:rPr>
  </w:style>
  <w:style w:type="paragraph" w:customStyle="1" w:styleId="1774">
    <w:name w:val="xl271"/>
    <w:basedOn w:val="1"/>
    <w:qFormat/>
    <w:uiPriority w:val="0"/>
    <w:pPr>
      <w:widowControl/>
      <w:pBdr>
        <w:left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75">
    <w:name w:val="xl272"/>
    <w:basedOn w:val="1"/>
    <w:qFormat/>
    <w:uiPriority w:val="0"/>
    <w:pPr>
      <w:widowControl/>
      <w:pBdr>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ascii="宋体" w:hAnsi="宋体" w:cs="宋体"/>
      <w:kern w:val="0"/>
      <w:sz w:val="24"/>
      <w:szCs w:val="24"/>
    </w:rPr>
  </w:style>
  <w:style w:type="paragraph" w:customStyle="1" w:styleId="1776">
    <w:name w:val="xl273"/>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77">
    <w:name w:val="xl276"/>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78">
    <w:name w:val="xl277"/>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79">
    <w:name w:val="xl28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b/>
      <w:bCs/>
      <w:kern w:val="0"/>
      <w:sz w:val="24"/>
      <w:szCs w:val="24"/>
    </w:rPr>
  </w:style>
  <w:style w:type="paragraph" w:customStyle="1" w:styleId="1780">
    <w:name w:val="xl283"/>
    <w:basedOn w:val="1"/>
    <w:qFormat/>
    <w:uiPriority w:val="0"/>
    <w:pPr>
      <w:widowControl/>
      <w:pBdr>
        <w:top w:val="single" w:color="auto" w:sz="4" w:space="0"/>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81">
    <w:name w:val="xl284"/>
    <w:basedOn w:val="1"/>
    <w:qFormat/>
    <w:uiPriority w:val="0"/>
    <w:pPr>
      <w:widowControl/>
      <w:pBdr>
        <w:left w:val="single" w:color="auto" w:sz="4" w:space="0"/>
        <w:righ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82">
    <w:name w:val="xl286"/>
    <w:basedOn w:val="1"/>
    <w:qFormat/>
    <w:uiPriority w:val="0"/>
    <w:pPr>
      <w:widowControl/>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left"/>
      <w:textAlignment w:val="center"/>
    </w:pPr>
    <w:rPr>
      <w:rFonts w:ascii="宋体" w:hAnsi="宋体" w:cs="宋体"/>
      <w:b/>
      <w:bCs/>
      <w:color w:val="0000CC"/>
      <w:kern w:val="0"/>
      <w:sz w:val="24"/>
      <w:szCs w:val="24"/>
    </w:rPr>
  </w:style>
  <w:style w:type="paragraph" w:customStyle="1" w:styleId="1783">
    <w:name w:val="xl287"/>
    <w:basedOn w:val="1"/>
    <w:qFormat/>
    <w:uiPriority w:val="0"/>
    <w:pPr>
      <w:widowControl/>
      <w:pBdr>
        <w:top w:val="double" w:color="auto" w:sz="6"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84">
    <w:name w:val="xl289"/>
    <w:basedOn w:val="1"/>
    <w:qFormat/>
    <w:uiPriority w:val="0"/>
    <w:pPr>
      <w:widowControl/>
      <w:pBdr>
        <w:top w:val="single" w:color="auto" w:sz="4" w:space="0"/>
        <w:lef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85">
    <w:name w:val="xl290"/>
    <w:basedOn w:val="1"/>
    <w:qFormat/>
    <w:uiPriority w:val="0"/>
    <w:pPr>
      <w:widowControl/>
      <w:pBdr>
        <w:left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86">
    <w:name w:val="xl291"/>
    <w:basedOn w:val="1"/>
    <w:qFormat/>
    <w:uiPriority w:val="0"/>
    <w:pPr>
      <w:widowControl/>
      <w:pBdr>
        <w:left w:val="single" w:color="auto" w:sz="4" w:space="0"/>
        <w:bottom w:val="single" w:color="auto" w:sz="4" w:space="0"/>
      </w:pBdr>
      <w:shd w:val="clear" w:color="000000" w:fill="A5E2AC"/>
      <w:spacing w:before="100" w:beforeAutospacing="1" w:after="100" w:afterAutospacing="1"/>
      <w:jc w:val="center"/>
      <w:textAlignment w:val="center"/>
    </w:pPr>
    <w:rPr>
      <w:rFonts w:ascii="宋体" w:hAnsi="宋体" w:cs="宋体"/>
      <w:kern w:val="0"/>
      <w:sz w:val="24"/>
      <w:szCs w:val="24"/>
    </w:rPr>
  </w:style>
  <w:style w:type="paragraph" w:customStyle="1" w:styleId="1787">
    <w:name w:val="xl292"/>
    <w:basedOn w:val="1"/>
    <w:qFormat/>
    <w:uiPriority w:val="0"/>
    <w:pPr>
      <w:widowControl/>
      <w:pBdr>
        <w:lef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88">
    <w:name w:val="xl29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789">
    <w:name w:val="xl294"/>
    <w:basedOn w:val="1"/>
    <w:qFormat/>
    <w:uiPriority w:val="0"/>
    <w:pPr>
      <w:widowControl/>
      <w:pBdr>
        <w:top w:val="single" w:color="auto" w:sz="4" w:space="0"/>
        <w:left w:val="single" w:color="auto" w:sz="4" w:space="0"/>
        <w:bottom w:val="single" w:color="auto" w:sz="4" w:space="0"/>
      </w:pBdr>
      <w:shd w:val="clear" w:color="000000" w:fill="A5E2AC"/>
      <w:spacing w:before="100" w:beforeAutospacing="1" w:after="100" w:afterAutospacing="1"/>
      <w:jc w:val="center"/>
      <w:textAlignment w:val="center"/>
    </w:pPr>
    <w:rPr>
      <w:rFonts w:ascii="宋体" w:hAnsi="宋体" w:cs="宋体"/>
      <w:color w:val="0000CC"/>
      <w:kern w:val="0"/>
      <w:sz w:val="24"/>
      <w:szCs w:val="24"/>
    </w:rPr>
  </w:style>
  <w:style w:type="paragraph" w:customStyle="1" w:styleId="1790">
    <w:name w:val="xl295"/>
    <w:basedOn w:val="1"/>
    <w:qFormat/>
    <w:uiPriority w:val="0"/>
    <w:pPr>
      <w:widowControl/>
      <w:pBdr>
        <w:top w:val="single" w:color="auto" w:sz="4" w:space="0"/>
        <w:left w:val="single" w:color="auto" w:sz="4" w:space="0"/>
        <w:bottom w:val="single" w:color="auto" w:sz="4" w:space="0"/>
      </w:pBdr>
      <w:shd w:val="clear" w:color="000000" w:fill="C5D9F1"/>
      <w:spacing w:before="100" w:beforeAutospacing="1" w:after="100" w:afterAutospacing="1"/>
      <w:jc w:val="center"/>
      <w:textAlignment w:val="center"/>
    </w:pPr>
    <w:rPr>
      <w:rFonts w:ascii="宋体" w:hAnsi="宋体" w:cs="宋体"/>
      <w:color w:val="0000CC"/>
      <w:kern w:val="0"/>
      <w:sz w:val="24"/>
      <w:szCs w:val="24"/>
    </w:rPr>
  </w:style>
  <w:style w:type="paragraph" w:customStyle="1" w:styleId="1791">
    <w:name w:val="font14"/>
    <w:basedOn w:val="1"/>
    <w:qFormat/>
    <w:uiPriority w:val="0"/>
    <w:pPr>
      <w:widowControl/>
      <w:spacing w:before="100" w:beforeAutospacing="1" w:after="100" w:afterAutospacing="1"/>
      <w:jc w:val="left"/>
    </w:pPr>
    <w:rPr>
      <w:color w:val="0000FF"/>
      <w:kern w:val="0"/>
      <w:sz w:val="20"/>
    </w:rPr>
  </w:style>
  <w:style w:type="paragraph" w:customStyle="1" w:styleId="1792">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793">
    <w:name w:val="表格格式"/>
    <w:basedOn w:val="1"/>
    <w:qFormat/>
    <w:uiPriority w:val="0"/>
    <w:pPr>
      <w:spacing w:line="320" w:lineRule="exact"/>
      <w:jc w:val="center"/>
    </w:pPr>
    <w:rPr>
      <w:color w:val="000000"/>
      <w:kern w:val="0"/>
      <w:sz w:val="18"/>
      <w:szCs w:val="21"/>
    </w:rPr>
  </w:style>
  <w:style w:type="paragraph" w:customStyle="1" w:styleId="1794">
    <w:name w:val="Char3"/>
    <w:basedOn w:val="1"/>
    <w:qFormat/>
    <w:uiPriority w:val="0"/>
    <w:rPr>
      <w:sz w:val="18"/>
    </w:rPr>
  </w:style>
  <w:style w:type="paragraph" w:customStyle="1" w:styleId="1795">
    <w:name w:val="Char Char Char Char Char Char4"/>
    <w:basedOn w:val="1"/>
    <w:qFormat/>
    <w:uiPriority w:val="0"/>
    <w:rPr>
      <w:szCs w:val="21"/>
    </w:rPr>
  </w:style>
  <w:style w:type="paragraph" w:customStyle="1" w:styleId="1796">
    <w:name w:val="日期13"/>
    <w:basedOn w:val="1"/>
    <w:next w:val="1"/>
    <w:qFormat/>
    <w:uiPriority w:val="0"/>
    <w:pPr>
      <w:adjustRightInd w:val="0"/>
      <w:textAlignment w:val="baseline"/>
    </w:pPr>
    <w:rPr>
      <w:rFonts w:ascii="宋体"/>
    </w:rPr>
  </w:style>
  <w:style w:type="paragraph" w:customStyle="1" w:styleId="1797">
    <w:name w:val="Char Char1 Char Char Char Char Char Char Char3"/>
    <w:basedOn w:val="1"/>
    <w:qFormat/>
    <w:uiPriority w:val="0"/>
    <w:rPr>
      <w:szCs w:val="24"/>
    </w:rPr>
  </w:style>
  <w:style w:type="paragraph" w:customStyle="1" w:styleId="1798">
    <w:name w:val="正文文本 22"/>
    <w:basedOn w:val="1"/>
    <w:qFormat/>
    <w:uiPriority w:val="0"/>
    <w:pPr>
      <w:tabs>
        <w:tab w:val="left" w:pos="567"/>
      </w:tabs>
      <w:adjustRightInd w:val="0"/>
      <w:spacing w:line="410" w:lineRule="atLeast"/>
      <w:ind w:firstLine="480"/>
      <w:textAlignment w:val="baseline"/>
    </w:pPr>
    <w:rPr>
      <w:rFonts w:ascii="宋体"/>
      <w:kern w:val="0"/>
      <w:sz w:val="24"/>
    </w:rPr>
  </w:style>
  <w:style w:type="paragraph" w:customStyle="1" w:styleId="1799">
    <w:name w:val="Char Char Char Char Char Char Char Char Char Char Char Char Char3"/>
    <w:basedOn w:val="1"/>
    <w:qFormat/>
    <w:uiPriority w:val="0"/>
    <w:pPr>
      <w:adjustRightInd w:val="0"/>
      <w:spacing w:line="360" w:lineRule="auto"/>
      <w:ind w:firstLine="540" w:firstLineChars="225"/>
      <w:jc w:val="left"/>
    </w:pPr>
    <w:rPr>
      <w:rFonts w:ascii="宋体" w:hAnsi="宋体"/>
      <w:snapToGrid w:val="0"/>
      <w:kern w:val="0"/>
      <w:lang w:val="eu-ES"/>
    </w:rPr>
  </w:style>
  <w:style w:type="paragraph" w:customStyle="1" w:styleId="1800">
    <w:name w:val="Char Char Char Char Char Char1 Char4"/>
    <w:basedOn w:val="1"/>
    <w:qFormat/>
    <w:uiPriority w:val="0"/>
    <w:rPr>
      <w:sz w:val="24"/>
      <w:szCs w:val="24"/>
    </w:rPr>
  </w:style>
  <w:style w:type="paragraph" w:customStyle="1" w:styleId="1801">
    <w:name w:val="Char14"/>
    <w:basedOn w:val="1"/>
    <w:qFormat/>
    <w:uiPriority w:val="0"/>
    <w:pPr>
      <w:spacing w:line="360" w:lineRule="auto"/>
      <w:ind w:firstLine="200" w:firstLineChars="200"/>
    </w:pPr>
  </w:style>
  <w:style w:type="paragraph" w:customStyle="1" w:styleId="1802">
    <w:name w:val="Char44"/>
    <w:basedOn w:val="1"/>
    <w:qFormat/>
    <w:uiPriority w:val="0"/>
    <w:pPr>
      <w:spacing w:line="360" w:lineRule="auto"/>
      <w:ind w:firstLine="200" w:firstLineChars="200"/>
    </w:pPr>
    <w:rPr>
      <w:rFonts w:ascii="宋体" w:hAnsi="宋体" w:cs="宋体"/>
      <w:sz w:val="24"/>
      <w:szCs w:val="24"/>
    </w:rPr>
  </w:style>
  <w:style w:type="paragraph" w:customStyle="1" w:styleId="1803">
    <w:name w:val="Char Char1 Char4"/>
    <w:basedOn w:val="1"/>
    <w:qFormat/>
    <w:uiPriority w:val="0"/>
    <w:pPr>
      <w:spacing w:line="360" w:lineRule="auto"/>
      <w:ind w:firstLine="200" w:firstLineChars="200"/>
    </w:pPr>
    <w:rPr>
      <w:rFonts w:ascii="宋体" w:hAnsi="宋体" w:cs="宋体"/>
      <w:sz w:val="24"/>
      <w:szCs w:val="24"/>
    </w:rPr>
  </w:style>
  <w:style w:type="paragraph" w:customStyle="1" w:styleId="1804">
    <w:name w:val="Char Char3 Char Char Char1 Char3"/>
    <w:basedOn w:val="1"/>
    <w:qFormat/>
    <w:uiPriority w:val="0"/>
  </w:style>
  <w:style w:type="paragraph" w:customStyle="1" w:styleId="1805">
    <w:name w:val="批注框文本13"/>
    <w:basedOn w:val="1"/>
    <w:qFormat/>
    <w:uiPriority w:val="0"/>
    <w:rPr>
      <w:sz w:val="18"/>
      <w:szCs w:val="18"/>
    </w:rPr>
  </w:style>
  <w:style w:type="paragraph" w:customStyle="1" w:styleId="1806">
    <w:name w:val="z-窗体底端13"/>
    <w:basedOn w:val="1"/>
    <w:next w:val="1"/>
    <w:qFormat/>
    <w:uiPriority w:val="0"/>
    <w:pPr>
      <w:pBdr>
        <w:top w:val="single" w:color="auto" w:sz="6" w:space="1"/>
      </w:pBdr>
      <w:jc w:val="center"/>
    </w:pPr>
    <w:rPr>
      <w:rFonts w:hint="eastAsia" w:ascii="Arial" w:hAnsi="Arial"/>
      <w:vanish/>
      <w:sz w:val="16"/>
    </w:rPr>
  </w:style>
  <w:style w:type="paragraph" w:customStyle="1" w:styleId="1807">
    <w:name w:val="批注主题13"/>
    <w:basedOn w:val="39"/>
    <w:next w:val="39"/>
    <w:qFormat/>
    <w:uiPriority w:val="0"/>
    <w:rPr>
      <w:rFonts w:ascii="Calibri" w:hAnsi="Calibri"/>
      <w:szCs w:val="24"/>
    </w:rPr>
  </w:style>
  <w:style w:type="paragraph" w:customStyle="1" w:styleId="1808">
    <w:name w:val="正文文本缩进13"/>
    <w:basedOn w:val="1"/>
    <w:qFormat/>
    <w:uiPriority w:val="0"/>
    <w:pPr>
      <w:spacing w:after="120"/>
      <w:ind w:left="420" w:leftChars="200"/>
    </w:pPr>
    <w:rPr>
      <w:rFonts w:hint="eastAsia"/>
    </w:rPr>
  </w:style>
  <w:style w:type="paragraph" w:customStyle="1" w:styleId="1809">
    <w:name w:val="Char Char Char1 Char3"/>
    <w:basedOn w:val="1"/>
    <w:qFormat/>
    <w:uiPriority w:val="0"/>
    <w:rPr>
      <w:szCs w:val="24"/>
    </w:rPr>
  </w:style>
  <w:style w:type="paragraph" w:customStyle="1" w:styleId="1810">
    <w:name w:val="Char Char Char3"/>
    <w:basedOn w:val="1"/>
    <w:qFormat/>
    <w:uiPriority w:val="0"/>
    <w:pPr>
      <w:spacing w:line="360" w:lineRule="auto"/>
      <w:ind w:firstLine="200" w:firstLineChars="200"/>
    </w:pPr>
    <w:rPr>
      <w:rFonts w:ascii="宋体" w:hAnsi="宋体" w:cs="宋体"/>
      <w:sz w:val="24"/>
      <w:szCs w:val="24"/>
    </w:rPr>
  </w:style>
  <w:style w:type="paragraph" w:customStyle="1" w:styleId="1811">
    <w:name w:val="Char Char Char Char Char Char Char Char2"/>
    <w:basedOn w:val="1"/>
    <w:qFormat/>
    <w:uiPriority w:val="0"/>
    <w:rPr>
      <w:sz w:val="24"/>
      <w:szCs w:val="24"/>
    </w:rPr>
  </w:style>
  <w:style w:type="paragraph" w:customStyle="1" w:styleId="1812">
    <w:name w:val="Char Char Char12"/>
    <w:basedOn w:val="1"/>
    <w:qFormat/>
    <w:uiPriority w:val="0"/>
    <w:pPr>
      <w:spacing w:line="360" w:lineRule="auto"/>
      <w:ind w:firstLine="200" w:firstLineChars="200"/>
    </w:pPr>
    <w:rPr>
      <w:rFonts w:ascii="宋体" w:hAnsi="宋体" w:cs="宋体"/>
      <w:sz w:val="24"/>
      <w:szCs w:val="24"/>
    </w:rPr>
  </w:style>
  <w:style w:type="paragraph" w:customStyle="1" w:styleId="1813">
    <w:name w:val="Char3 Char Char Char Char Char Char2"/>
    <w:basedOn w:val="1"/>
    <w:qFormat/>
    <w:uiPriority w:val="0"/>
    <w:rPr>
      <w:szCs w:val="21"/>
    </w:rPr>
  </w:style>
  <w:style w:type="paragraph" w:customStyle="1" w:styleId="1814">
    <w:name w:val="正文文本缩进 212"/>
    <w:basedOn w:val="1"/>
    <w:qFormat/>
    <w:uiPriority w:val="0"/>
    <w:pPr>
      <w:adjustRightInd w:val="0"/>
      <w:spacing w:after="120" w:line="480" w:lineRule="auto"/>
      <w:ind w:left="420"/>
      <w:textAlignment w:val="baseline"/>
    </w:pPr>
    <w:rPr>
      <w:sz w:val="28"/>
    </w:rPr>
  </w:style>
  <w:style w:type="paragraph" w:customStyle="1" w:styleId="1815">
    <w:name w:val="Char Char Char1 Char Char Char Char Char Char2"/>
    <w:basedOn w:val="1"/>
    <w:qFormat/>
    <w:uiPriority w:val="0"/>
    <w:pPr>
      <w:spacing w:line="360" w:lineRule="auto"/>
      <w:ind w:firstLine="200" w:firstLineChars="200"/>
    </w:pPr>
    <w:rPr>
      <w:rFonts w:ascii="宋体" w:hAnsi="宋体" w:cs="宋体"/>
      <w:sz w:val="24"/>
      <w:szCs w:val="24"/>
    </w:rPr>
  </w:style>
  <w:style w:type="paragraph" w:customStyle="1" w:styleId="1816">
    <w:name w:val="正文文本缩进 312"/>
    <w:basedOn w:val="1"/>
    <w:qFormat/>
    <w:uiPriority w:val="0"/>
    <w:pPr>
      <w:adjustRightInd w:val="0"/>
      <w:ind w:firstLine="538"/>
      <w:textAlignment w:val="baseline"/>
    </w:pPr>
    <w:rPr>
      <w:rFonts w:ascii="仿宋_GB2312" w:hAnsi="宋体" w:eastAsia="仿宋_GB2312"/>
      <w:kern w:val="28"/>
      <w:sz w:val="28"/>
    </w:rPr>
  </w:style>
  <w:style w:type="paragraph" w:customStyle="1" w:styleId="1817">
    <w:name w:val="Char Char Char Char Char Char Char Char Char1 Char Char Char1 Char Char Char Char2"/>
    <w:basedOn w:val="1"/>
    <w:qFormat/>
    <w:uiPriority w:val="0"/>
    <w:pPr>
      <w:spacing w:line="360" w:lineRule="auto"/>
      <w:ind w:firstLine="200" w:firstLineChars="200"/>
    </w:pPr>
    <w:rPr>
      <w:rFonts w:ascii="宋体" w:hAnsi="宋体" w:cs="宋体"/>
      <w:sz w:val="24"/>
      <w:szCs w:val="24"/>
    </w:rPr>
  </w:style>
  <w:style w:type="paragraph" w:customStyle="1" w:styleId="1818">
    <w:name w:val="Char Char Char Char Char Char Char Char Char Char Char Char Char Char Char Char2"/>
    <w:basedOn w:val="1"/>
    <w:qFormat/>
    <w:uiPriority w:val="0"/>
    <w:pPr>
      <w:spacing w:line="360" w:lineRule="auto"/>
      <w:ind w:firstLine="200" w:firstLineChars="200"/>
    </w:pPr>
    <w:rPr>
      <w:rFonts w:ascii="宋体" w:hAnsi="宋体" w:cs="宋体"/>
      <w:sz w:val="24"/>
      <w:szCs w:val="28"/>
    </w:rPr>
  </w:style>
  <w:style w:type="paragraph" w:customStyle="1" w:styleId="1819">
    <w:name w:val="正文42"/>
    <w:basedOn w:val="1"/>
    <w:qFormat/>
    <w:uiPriority w:val="0"/>
    <w:pPr>
      <w:adjustRightInd w:val="0"/>
      <w:spacing w:line="480" w:lineRule="exact"/>
      <w:textAlignment w:val="baseline"/>
    </w:pPr>
    <w:rPr>
      <w:spacing w:val="-2"/>
      <w:kern w:val="0"/>
      <w:sz w:val="28"/>
    </w:rPr>
  </w:style>
  <w:style w:type="paragraph" w:customStyle="1" w:styleId="1820">
    <w:name w:val="正文首行缩进12"/>
    <w:basedOn w:val="3"/>
    <w:qFormat/>
    <w:uiPriority w:val="0"/>
    <w:pPr>
      <w:ind w:firstLine="420"/>
      <w:jc w:val="both"/>
    </w:pPr>
    <w:rPr>
      <w:rFonts w:ascii="Calibri" w:hAnsi="Calibri" w:cs="Mangal"/>
      <w:sz w:val="24"/>
      <w:szCs w:val="22"/>
    </w:rPr>
  </w:style>
  <w:style w:type="paragraph" w:customStyle="1" w:styleId="1821">
    <w:name w:val=" Char Char Char Char Char Char Char Char Char Char Char Char1 Char Char Char Char"/>
    <w:basedOn w:val="1"/>
    <w:qFormat/>
    <w:uiPriority w:val="0"/>
    <w:pPr>
      <w:spacing w:line="360" w:lineRule="auto"/>
      <w:ind w:firstLine="200" w:firstLineChars="200"/>
    </w:pPr>
    <w:rPr>
      <w:rFonts w:ascii="宋体" w:hAnsi="宋体" w:cs="宋体"/>
      <w:sz w:val="24"/>
      <w:szCs w:val="24"/>
    </w:rPr>
  </w:style>
  <w:style w:type="paragraph" w:customStyle="1" w:styleId="1822">
    <w:name w:val=" Char4 Char Char Char"/>
    <w:basedOn w:val="1"/>
    <w:qFormat/>
    <w:uiPriority w:val="0"/>
    <w:pPr>
      <w:adjustRightInd w:val="0"/>
      <w:snapToGrid w:val="0"/>
      <w:spacing w:line="360" w:lineRule="auto"/>
      <w:ind w:firstLine="200" w:firstLineChars="200"/>
    </w:pPr>
    <w:rPr>
      <w:rFonts w:ascii="宋体" w:hAnsi="宋体" w:cs="宋体"/>
      <w:sz w:val="24"/>
      <w:szCs w:val="26"/>
    </w:rPr>
  </w:style>
  <w:style w:type="paragraph" w:customStyle="1" w:styleId="1823">
    <w:name w:val=" Char Char3"/>
    <w:basedOn w:val="1"/>
    <w:qFormat/>
    <w:uiPriority w:val="0"/>
    <w:pPr>
      <w:widowControl/>
      <w:spacing w:after="160" w:line="240" w:lineRule="exact"/>
      <w:jc w:val="left"/>
    </w:pPr>
    <w:rPr>
      <w:szCs w:val="24"/>
    </w:rPr>
  </w:style>
  <w:style w:type="paragraph" w:customStyle="1" w:styleId="1824">
    <w:name w:val=" Char Char4 Char Char"/>
    <w:basedOn w:val="1"/>
    <w:qFormat/>
    <w:uiPriority w:val="0"/>
    <w:pPr>
      <w:spacing w:line="360" w:lineRule="auto"/>
      <w:ind w:firstLine="200" w:firstLineChars="200"/>
    </w:pPr>
    <w:rPr>
      <w:szCs w:val="24"/>
    </w:rPr>
  </w:style>
  <w:style w:type="paragraph" w:customStyle="1" w:styleId="1825">
    <w:name w:val=" Char Char1 Char Char Char Char"/>
    <w:basedOn w:val="1"/>
    <w:qFormat/>
    <w:uiPriority w:val="0"/>
  </w:style>
  <w:style w:type="paragraph" w:customStyle="1" w:styleId="1826">
    <w:name w:val=" Char Char3 Char Char"/>
    <w:basedOn w:val="1"/>
    <w:qFormat/>
    <w:uiPriority w:val="0"/>
    <w:pPr>
      <w:widowControl/>
      <w:spacing w:after="160" w:line="240" w:lineRule="exact"/>
      <w:jc w:val="left"/>
    </w:pPr>
    <w:rPr>
      <w:szCs w:val="24"/>
    </w:rPr>
  </w:style>
  <w:style w:type="paragraph" w:customStyle="1" w:styleId="1827">
    <w:name w:val=" Char Char Char Char Char Char1 Char Char Char Char"/>
    <w:basedOn w:val="1"/>
    <w:qFormat/>
    <w:uiPriority w:val="0"/>
    <w:pPr>
      <w:widowControl/>
      <w:spacing w:after="160" w:line="240" w:lineRule="exact"/>
      <w:jc w:val="left"/>
    </w:pPr>
    <w:rPr>
      <w:rFonts w:ascii="Arial" w:hAnsi="Arial" w:eastAsia="Times New Roman" w:cs="Verdana"/>
      <w:b/>
      <w:kern w:val="0"/>
      <w:sz w:val="24"/>
      <w:szCs w:val="24"/>
      <w:lang w:eastAsia="en-US"/>
    </w:rPr>
  </w:style>
  <w:style w:type="paragraph" w:customStyle="1" w:styleId="1828">
    <w:name w:val="~~~正文"/>
    <w:qFormat/>
    <w:uiPriority w:val="0"/>
    <w:pPr>
      <w:spacing w:line="360" w:lineRule="auto"/>
      <w:ind w:firstLine="200" w:firstLineChars="200"/>
    </w:pPr>
    <w:rPr>
      <w:rFonts w:ascii="Times New Roman" w:hAnsi="Times New Roman" w:eastAsia="宋体" w:cs="Times New Roman"/>
      <w:color w:val="0000FF"/>
      <w:kern w:val="2"/>
      <w:sz w:val="24"/>
      <w:szCs w:val="24"/>
      <w:lang w:val="en-US" w:eastAsia="zh-CN" w:bidi="ar-SA"/>
    </w:rPr>
  </w:style>
  <w:style w:type="table" w:customStyle="1" w:styleId="1829">
    <w:name w:val="设计院"/>
    <w:basedOn w:val="94"/>
    <w:qFormat/>
    <w:uiPriority w:val="0"/>
    <w:rPr>
      <w:szCs w:val="21"/>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1830">
    <w:name w:val="cmr"/>
    <w:basedOn w:val="92"/>
    <w:qFormat/>
    <w:uiPriority w:val="0"/>
    <w:pPr>
      <w:jc w:val="center"/>
    </w:pPr>
    <w:rPr>
      <w:lang w:bidi="sa-IN"/>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831">
    <w:name w:val="样板"/>
    <w:basedOn w:val="94"/>
    <w:qFormat/>
    <w:uiPriority w:val="0"/>
    <w:rPr>
      <w:lang w:bidi="sa-IN"/>
    </w:rPr>
    <w:tblPr>
      <w:tblBorders>
        <w:top w:val="single" w:color="auto" w:sz="12" w:space="0"/>
        <w:bottom w:val="single" w:color="auto" w:sz="12" w:space="0"/>
      </w:tblBorders>
    </w:tblPr>
  </w:style>
  <w:style w:type="table" w:customStyle="1" w:styleId="1832">
    <w:name w:val="南昌院表格"/>
    <w:basedOn w:val="92"/>
    <w:semiHidden/>
    <w:qFormat/>
    <w:uiPriority w:val="0"/>
    <w:pPr>
      <w:jc w:val="center"/>
    </w:pPr>
    <w:rPr>
      <w:lang w:bidi="sa-IN"/>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tblStylePr w:type="firstRow">
      <w:rPr>
        <w:rFonts w:eastAsia="Arial"/>
      </w:rPr>
      <w:tcPr>
        <w:tcBorders>
          <w:top w:val="single" w:color="auto" w:sz="12" w:space="0"/>
          <w:left w:val="double" w:color="auto" w:sz="4" w:space="0"/>
          <w:bottom w:val="single" w:color="auto" w:sz="12" w:space="0"/>
          <w:right w:val="single" w:color="auto" w:sz="12" w:space="0"/>
          <w:insideH w:val="nil"/>
          <w:insideV w:val="single" w:sz="4" w:space="0"/>
          <w:tl2br w:val="nil"/>
          <w:tr2bl w:val="nil"/>
        </w:tcBorders>
      </w:tcPr>
    </w:tblStylePr>
  </w:style>
  <w:style w:type="table" w:customStyle="1" w:styleId="1833">
    <w:name w:val="网格型11"/>
    <w:basedOn w:val="92"/>
    <w:semiHidden/>
    <w:qFormat/>
    <w:uiPriority w:val="0"/>
    <w:pPr>
      <w:widowControl w:val="0"/>
      <w:spacing w:line="360" w:lineRule="auto"/>
    </w:pPr>
    <w:rPr>
      <w:lang w:bidi="sa-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34">
    <w:name w:val="左右无边框"/>
    <w:basedOn w:val="92"/>
    <w:qFormat/>
    <w:uiPriority w:val="0"/>
    <w:pPr>
      <w:jc w:val="center"/>
    </w:pPr>
    <w:rPr>
      <w:sz w:val="18"/>
      <w:lang w:bidi="sa-IN"/>
    </w:rPr>
    <w:tblPr>
      <w:jc w:val="center"/>
      <w:tblBorders>
        <w:top w:val="single" w:color="auto" w:sz="12" w:space="0"/>
        <w:bottom w:val="single" w:color="auto" w:sz="12" w:space="0"/>
        <w:insideH w:val="single" w:color="auto" w:sz="4" w:space="0"/>
        <w:insideV w:val="single" w:color="auto" w:sz="4" w:space="0"/>
      </w:tblBorders>
      <w:tblCellMar>
        <w:left w:w="57" w:type="dxa"/>
        <w:right w:w="57" w:type="dxa"/>
      </w:tblCellMar>
    </w:tblPr>
    <w:trPr>
      <w:jc w:val="center"/>
    </w:trPr>
    <w:tcPr>
      <w:vAlign w:val="center"/>
    </w:tcPr>
    <w:tblStylePr w:type="firstRow">
      <w:tcPr>
        <w:tcBorders>
          <w:top w:val="nil"/>
          <w:left w:val="single" w:color="auto" w:sz="12" w:space="0"/>
          <w:bottom w:val="nil"/>
          <w:right w:val="nil"/>
          <w:insideH w:val="nil"/>
          <w:insideV w:val="nil"/>
          <w:tl2br w:val="nil"/>
          <w:tr2bl w:val="nil"/>
        </w:tcBorders>
      </w:tcPr>
    </w:tblStylePr>
  </w:style>
  <w:style w:type="table" w:customStyle="1" w:styleId="1835">
    <w:name w:val="正文+宋体1"/>
    <w:basedOn w:val="92"/>
    <w:qFormat/>
    <w:uiPriority w:val="0"/>
    <w:pPr>
      <w:widowControl w:val="0"/>
      <w:jc w:val="both"/>
    </w:pPr>
    <w:rPr>
      <w:lang w:bidi="sa-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36">
    <w:name w:val="正文+宋体2"/>
    <w:basedOn w:val="92"/>
    <w:qFormat/>
    <w:uiPriority w:val="0"/>
    <w:pPr>
      <w:widowControl w:val="0"/>
      <w:jc w:val="both"/>
    </w:pPr>
    <w:rPr>
      <w:lang w:bidi="sa-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37">
    <w:name w:val="网格型2"/>
    <w:basedOn w:val="92"/>
    <w:qFormat/>
    <w:uiPriority w:val="59"/>
    <w:rPr>
      <w:rFonts w:ascii="Calibri" w:hAnsi="Calibri"/>
      <w:lang w:bidi="sa-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838">
    <w:name w:val="页脚 Char1"/>
    <w:semiHidden/>
    <w:qFormat/>
    <w:uiPriority w:val="99"/>
    <w:rPr>
      <w:rFonts w:ascii="Times New Roman" w:hAnsi="Times New Roman" w:eastAsia="宋体" w:cs="Times New Roman"/>
      <w:sz w:val="18"/>
      <w:szCs w:val="18"/>
    </w:rPr>
  </w:style>
  <w:style w:type="character" w:customStyle="1" w:styleId="1839">
    <w:name w:val="页眉 Char1"/>
    <w:semiHidden/>
    <w:qFormat/>
    <w:uiPriority w:val="99"/>
    <w:rPr>
      <w:rFonts w:ascii="Times New Roman" w:hAnsi="Times New Roman" w:eastAsia="宋体" w:cs="Times New Roman"/>
      <w:sz w:val="18"/>
      <w:szCs w:val="18"/>
    </w:rPr>
  </w:style>
  <w:style w:type="paragraph" w:customStyle="1" w:styleId="1840">
    <w:name w:val="font15"/>
    <w:basedOn w:val="1"/>
    <w:qFormat/>
    <w:uiPriority w:val="0"/>
    <w:pPr>
      <w:widowControl/>
      <w:spacing w:before="100" w:beforeAutospacing="1" w:after="100" w:afterAutospacing="1"/>
      <w:jc w:val="left"/>
    </w:pPr>
    <w:rPr>
      <w:rFonts w:ascii="宋体" w:hAnsi="宋体" w:cs="宋体"/>
      <w:b/>
      <w:bCs/>
      <w:color w:val="FF0000"/>
      <w:kern w:val="0"/>
      <w:sz w:val="20"/>
    </w:rPr>
  </w:style>
  <w:style w:type="paragraph" w:customStyle="1" w:styleId="1841">
    <w:name w:val="font16"/>
    <w:basedOn w:val="1"/>
    <w:qFormat/>
    <w:uiPriority w:val="0"/>
    <w:pPr>
      <w:widowControl/>
      <w:spacing w:before="100" w:beforeAutospacing="1" w:after="100" w:afterAutospacing="1"/>
      <w:jc w:val="left"/>
    </w:pPr>
    <w:rPr>
      <w:b/>
      <w:bCs/>
      <w:color w:val="FF0000"/>
      <w:kern w:val="0"/>
      <w:sz w:val="20"/>
    </w:rPr>
  </w:style>
  <w:style w:type="paragraph" w:customStyle="1" w:styleId="1842">
    <w:name w:val="font17"/>
    <w:basedOn w:val="1"/>
    <w:qFormat/>
    <w:uiPriority w:val="0"/>
    <w:pPr>
      <w:widowControl/>
      <w:spacing w:before="100" w:beforeAutospacing="1" w:after="100" w:afterAutospacing="1"/>
      <w:jc w:val="left"/>
    </w:pPr>
    <w:rPr>
      <w:b/>
      <w:bCs/>
      <w:kern w:val="0"/>
      <w:sz w:val="20"/>
    </w:rPr>
  </w:style>
  <w:style w:type="paragraph" w:customStyle="1" w:styleId="1843">
    <w:name w:val="font18"/>
    <w:basedOn w:val="1"/>
    <w:qFormat/>
    <w:uiPriority w:val="0"/>
    <w:pPr>
      <w:widowControl/>
      <w:spacing w:before="100" w:beforeAutospacing="1" w:after="100" w:afterAutospacing="1"/>
      <w:jc w:val="left"/>
    </w:pPr>
    <w:rPr>
      <w:rFonts w:ascii="宋体" w:hAnsi="宋体" w:cs="宋体"/>
      <w:b/>
      <w:bCs/>
      <w:kern w:val="0"/>
      <w:sz w:val="20"/>
    </w:rPr>
  </w:style>
  <w:style w:type="paragraph" w:customStyle="1" w:styleId="1844">
    <w:name w:val="font19"/>
    <w:basedOn w:val="1"/>
    <w:qFormat/>
    <w:uiPriority w:val="0"/>
    <w:pPr>
      <w:widowControl/>
      <w:spacing w:before="100" w:beforeAutospacing="1" w:after="100" w:afterAutospacing="1"/>
      <w:jc w:val="left"/>
    </w:pPr>
    <w:rPr>
      <w:rFonts w:ascii="宋体" w:hAnsi="宋体" w:cs="宋体"/>
      <w:kern w:val="0"/>
      <w:sz w:val="20"/>
    </w:rPr>
  </w:style>
  <w:style w:type="paragraph" w:customStyle="1" w:styleId="1845">
    <w:name w:val="font20"/>
    <w:basedOn w:val="1"/>
    <w:qFormat/>
    <w:uiPriority w:val="0"/>
    <w:pPr>
      <w:widowControl/>
      <w:spacing w:before="100" w:beforeAutospacing="1" w:after="100" w:afterAutospacing="1"/>
      <w:jc w:val="left"/>
    </w:pPr>
    <w:rPr>
      <w:b/>
      <w:bCs/>
      <w:kern w:val="0"/>
      <w:sz w:val="20"/>
    </w:rPr>
  </w:style>
  <w:style w:type="paragraph" w:customStyle="1" w:styleId="1846">
    <w:name w:val="font22"/>
    <w:basedOn w:val="1"/>
    <w:qFormat/>
    <w:uiPriority w:val="0"/>
    <w:pPr>
      <w:widowControl/>
      <w:spacing w:before="100" w:beforeAutospacing="1" w:after="100" w:afterAutospacing="1"/>
      <w:jc w:val="left"/>
    </w:pPr>
    <w:rPr>
      <w:rFonts w:ascii="宋体" w:hAnsi="宋体" w:cs="宋体"/>
      <w:color w:val="FF0000"/>
      <w:kern w:val="0"/>
      <w:sz w:val="20"/>
    </w:rPr>
  </w:style>
  <w:style w:type="paragraph" w:customStyle="1" w:styleId="1847">
    <w:name w:val="font23"/>
    <w:basedOn w:val="1"/>
    <w:qFormat/>
    <w:uiPriority w:val="0"/>
    <w:pPr>
      <w:widowControl/>
      <w:spacing w:before="100" w:beforeAutospacing="1" w:after="100" w:afterAutospacing="1"/>
      <w:jc w:val="left"/>
    </w:pPr>
    <w:rPr>
      <w:b/>
      <w:bCs/>
      <w:color w:val="FF0000"/>
      <w:kern w:val="0"/>
      <w:sz w:val="20"/>
    </w:rPr>
  </w:style>
  <w:style w:type="paragraph" w:customStyle="1" w:styleId="1848">
    <w:name w:val="font24"/>
    <w:basedOn w:val="1"/>
    <w:qFormat/>
    <w:uiPriority w:val="0"/>
    <w:pPr>
      <w:widowControl/>
      <w:spacing w:before="100" w:beforeAutospacing="1" w:after="100" w:afterAutospacing="1"/>
      <w:jc w:val="left"/>
    </w:pPr>
    <w:rPr>
      <w:rFonts w:ascii="宋体" w:hAnsi="宋体" w:cs="宋体"/>
      <w:kern w:val="0"/>
      <w:sz w:val="20"/>
    </w:rPr>
  </w:style>
  <w:style w:type="paragraph" w:customStyle="1" w:styleId="1849">
    <w:name w:val="font25"/>
    <w:basedOn w:val="1"/>
    <w:qFormat/>
    <w:uiPriority w:val="0"/>
    <w:pPr>
      <w:widowControl/>
      <w:spacing w:before="100" w:beforeAutospacing="1" w:after="100" w:afterAutospacing="1"/>
      <w:jc w:val="left"/>
    </w:pPr>
    <w:rPr>
      <w:rFonts w:ascii="宋体" w:hAnsi="宋体" w:cs="宋体"/>
      <w:kern w:val="0"/>
      <w:sz w:val="20"/>
    </w:rPr>
  </w:style>
  <w:style w:type="paragraph" w:customStyle="1" w:styleId="1850">
    <w:name w:val="font26"/>
    <w:basedOn w:val="1"/>
    <w:qFormat/>
    <w:uiPriority w:val="0"/>
    <w:pPr>
      <w:widowControl/>
      <w:spacing w:before="100" w:beforeAutospacing="1" w:after="100" w:afterAutospacing="1"/>
      <w:jc w:val="left"/>
    </w:pPr>
    <w:rPr>
      <w:color w:val="000000"/>
      <w:kern w:val="0"/>
      <w:sz w:val="20"/>
    </w:rPr>
  </w:style>
  <w:style w:type="paragraph" w:customStyle="1" w:styleId="1851">
    <w:name w:val="font27"/>
    <w:basedOn w:val="1"/>
    <w:qFormat/>
    <w:uiPriority w:val="0"/>
    <w:pPr>
      <w:widowControl/>
      <w:spacing w:before="100" w:beforeAutospacing="1" w:after="100" w:afterAutospacing="1"/>
      <w:jc w:val="left"/>
    </w:pPr>
    <w:rPr>
      <w:b/>
      <w:bCs/>
      <w:color w:val="0000FF"/>
      <w:kern w:val="0"/>
      <w:sz w:val="20"/>
    </w:rPr>
  </w:style>
  <w:style w:type="character" w:customStyle="1" w:styleId="1852">
    <w:name w:val="访问过的超链接2"/>
    <w:qFormat/>
    <w:uiPriority w:val="0"/>
    <w:rPr>
      <w:rFonts w:hint="default" w:ascii="Times New Roman"/>
      <w:color w:val="800080"/>
      <w:u w:val="single"/>
    </w:rPr>
  </w:style>
  <w:style w:type="character" w:customStyle="1" w:styleId="1853">
    <w:name w:val="标题7"/>
    <w:qFormat/>
    <w:uiPriority w:val="0"/>
  </w:style>
  <w:style w:type="character" w:customStyle="1" w:styleId="1854">
    <w:name w:val="HTML 代码2"/>
    <w:qFormat/>
    <w:uiPriority w:val="0"/>
    <w:rPr>
      <w:rFonts w:hint="eastAsia" w:ascii="黑体" w:hAnsi="Courier New" w:eastAsia="黑体"/>
      <w:sz w:val="24"/>
    </w:rPr>
  </w:style>
  <w:style w:type="character" w:customStyle="1" w:styleId="1855">
    <w:name w:val="页码2"/>
    <w:qFormat/>
    <w:uiPriority w:val="0"/>
  </w:style>
  <w:style w:type="paragraph" w:customStyle="1" w:styleId="1856">
    <w:name w:val="列出段落2"/>
    <w:basedOn w:val="1"/>
    <w:qFormat/>
    <w:uiPriority w:val="0"/>
    <w:pPr>
      <w:ind w:firstLine="420" w:firstLineChars="200"/>
    </w:pPr>
    <w:rPr>
      <w:rFonts w:ascii="Calibri" w:hAnsi="Calibri"/>
      <w:szCs w:val="22"/>
    </w:rPr>
  </w:style>
  <w:style w:type="paragraph" w:customStyle="1" w:styleId="1857">
    <w:name w:val="z-窗体底端2"/>
    <w:basedOn w:val="1"/>
    <w:next w:val="1"/>
    <w:qFormat/>
    <w:uiPriority w:val="0"/>
    <w:pPr>
      <w:pBdr>
        <w:top w:val="single" w:color="auto" w:sz="6" w:space="1"/>
      </w:pBdr>
      <w:jc w:val="center"/>
    </w:pPr>
    <w:rPr>
      <w:rFonts w:hint="eastAsia" w:ascii="Arial" w:hAnsi="Arial"/>
      <w:vanish/>
      <w:sz w:val="16"/>
    </w:rPr>
  </w:style>
  <w:style w:type="paragraph" w:customStyle="1" w:styleId="1858">
    <w:name w:val="HTML 预设格式2"/>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hint="eastAsia" w:ascii="Arial" w:hAnsi="Arial"/>
    </w:rPr>
  </w:style>
  <w:style w:type="paragraph" w:customStyle="1" w:styleId="1859">
    <w:name w:val="正文首行缩进2"/>
    <w:basedOn w:val="3"/>
    <w:qFormat/>
    <w:uiPriority w:val="0"/>
    <w:pPr>
      <w:ind w:firstLine="420"/>
      <w:jc w:val="both"/>
    </w:pPr>
    <w:rPr>
      <w:sz w:val="24"/>
    </w:rPr>
  </w:style>
  <w:style w:type="paragraph" w:customStyle="1" w:styleId="1860">
    <w:name w:val="普通(网站)2"/>
    <w:basedOn w:val="1"/>
    <w:qFormat/>
    <w:uiPriority w:val="0"/>
    <w:pPr>
      <w:widowControl/>
      <w:spacing w:before="100" w:beforeAutospacing="1" w:after="100" w:afterAutospacing="1"/>
      <w:jc w:val="left"/>
    </w:pPr>
    <w:rPr>
      <w:rFonts w:hint="eastAsia" w:ascii="Arial Unicode MS" w:hAnsi="Arial Unicode MS" w:eastAsia="Arial Unicode MS"/>
      <w:sz w:val="24"/>
    </w:rPr>
  </w:style>
  <w:style w:type="paragraph" w:customStyle="1" w:styleId="1861">
    <w:name w:val="日期2"/>
    <w:basedOn w:val="1"/>
    <w:next w:val="1"/>
    <w:qFormat/>
    <w:uiPriority w:val="0"/>
    <w:pPr>
      <w:adjustRightInd w:val="0"/>
      <w:ind w:left="100"/>
      <w:textAlignment w:val="baseline"/>
    </w:pPr>
    <w:rPr>
      <w:sz w:val="28"/>
    </w:rPr>
  </w:style>
  <w:style w:type="paragraph" w:customStyle="1" w:styleId="1862">
    <w:name w:val="正文文本缩进 22"/>
    <w:basedOn w:val="1"/>
    <w:qFormat/>
    <w:uiPriority w:val="0"/>
    <w:pPr>
      <w:adjustRightInd w:val="0"/>
      <w:spacing w:after="120" w:line="480" w:lineRule="auto"/>
      <w:ind w:left="420"/>
      <w:textAlignment w:val="baseline"/>
    </w:pPr>
    <w:rPr>
      <w:sz w:val="28"/>
    </w:rPr>
  </w:style>
  <w:style w:type="paragraph" w:customStyle="1" w:styleId="1863">
    <w:name w:val="正文6"/>
    <w:basedOn w:val="1"/>
    <w:qFormat/>
    <w:uiPriority w:val="0"/>
    <w:pPr>
      <w:adjustRightInd w:val="0"/>
      <w:spacing w:line="480" w:lineRule="exact"/>
      <w:textAlignment w:val="baseline"/>
    </w:pPr>
    <w:rPr>
      <w:spacing w:val="-2"/>
      <w:kern w:val="0"/>
      <w:sz w:val="28"/>
    </w:rPr>
  </w:style>
  <w:style w:type="paragraph" w:customStyle="1" w:styleId="1864">
    <w:name w:val="正文文本缩进 32"/>
    <w:basedOn w:val="1"/>
    <w:qFormat/>
    <w:uiPriority w:val="0"/>
    <w:pPr>
      <w:adjustRightInd w:val="0"/>
      <w:ind w:firstLine="538"/>
      <w:textAlignment w:val="baseline"/>
    </w:pPr>
    <w:rPr>
      <w:rFonts w:ascii="仿宋_GB2312" w:hAnsi="宋体" w:eastAsia="仿宋_GB2312"/>
      <w:kern w:val="28"/>
      <w:sz w:val="28"/>
    </w:rPr>
  </w:style>
  <w:style w:type="paragraph" w:customStyle="1" w:styleId="1865">
    <w:name w:val="纯文本2"/>
    <w:basedOn w:val="1"/>
    <w:qFormat/>
    <w:uiPriority w:val="0"/>
    <w:pPr>
      <w:adjustRightInd w:val="0"/>
      <w:textAlignment w:val="baseline"/>
    </w:pPr>
    <w:rPr>
      <w:rFonts w:ascii="宋体" w:hAnsi="Courier New"/>
    </w:rPr>
  </w:style>
  <w:style w:type="paragraph" w:customStyle="1" w:styleId="1866">
    <w:name w:val="正文文本缩进2"/>
    <w:basedOn w:val="1"/>
    <w:qFormat/>
    <w:uiPriority w:val="0"/>
    <w:pPr>
      <w:spacing w:after="120"/>
      <w:ind w:left="420" w:leftChars="200"/>
    </w:pPr>
    <w:rPr>
      <w:rFonts w:hint="eastAsia"/>
    </w:rPr>
  </w:style>
  <w:style w:type="paragraph" w:customStyle="1" w:styleId="1867">
    <w:name w:val="正文文本 23"/>
    <w:basedOn w:val="1"/>
    <w:qFormat/>
    <w:uiPriority w:val="0"/>
    <w:pPr>
      <w:tabs>
        <w:tab w:val="left" w:pos="567"/>
      </w:tabs>
      <w:adjustRightInd w:val="0"/>
      <w:spacing w:line="410" w:lineRule="atLeast"/>
      <w:ind w:firstLine="480"/>
      <w:textAlignment w:val="baseline"/>
    </w:pPr>
    <w:rPr>
      <w:rFonts w:ascii="宋体"/>
      <w:kern w:val="0"/>
      <w:sz w:val="24"/>
    </w:rPr>
  </w:style>
  <w:style w:type="paragraph" w:customStyle="1" w:styleId="1868">
    <w:name w:val="批注主题2"/>
    <w:basedOn w:val="39"/>
    <w:next w:val="39"/>
    <w:qFormat/>
    <w:uiPriority w:val="0"/>
    <w:rPr>
      <w:szCs w:val="24"/>
    </w:rPr>
  </w:style>
  <w:style w:type="paragraph" w:customStyle="1" w:styleId="1869">
    <w:name w:val="z-窗体顶端2"/>
    <w:basedOn w:val="1"/>
    <w:next w:val="1"/>
    <w:qFormat/>
    <w:uiPriority w:val="0"/>
    <w:pPr>
      <w:pBdr>
        <w:bottom w:val="single" w:color="auto" w:sz="6" w:space="1"/>
      </w:pBdr>
      <w:jc w:val="center"/>
    </w:pPr>
    <w:rPr>
      <w:rFonts w:hint="eastAsia" w:ascii="Arial" w:hAnsi="Arial"/>
      <w:vanish/>
      <w:sz w:val="16"/>
    </w:rPr>
  </w:style>
  <w:style w:type="paragraph" w:customStyle="1" w:styleId="1870">
    <w:name w:val="批注框文本2"/>
    <w:basedOn w:val="1"/>
    <w:qFormat/>
    <w:uiPriority w:val="0"/>
    <w:rPr>
      <w:rFonts w:ascii="Calibri" w:hAnsi="Calibri" w:eastAsia="宋体" w:cs="Times New Roman"/>
      <w:sz w:val="18"/>
      <w:szCs w:val="18"/>
    </w:rPr>
  </w:style>
  <w:style w:type="paragraph" w:customStyle="1" w:styleId="1871">
    <w:name w:val="正文7"/>
    <w:basedOn w:val="1"/>
    <w:qFormat/>
    <w:uiPriority w:val="0"/>
    <w:pPr>
      <w:adjustRightInd w:val="0"/>
      <w:spacing w:after="156" w:afterLines="50" w:line="315" w:lineRule="atLeast"/>
      <w:jc w:val="left"/>
      <w:textAlignment w:val="baseline"/>
    </w:pPr>
    <w:rPr>
      <w:rFonts w:ascii="宋体"/>
      <w:kern w:val="0"/>
    </w:rPr>
  </w:style>
  <w:style w:type="paragraph" w:customStyle="1" w:styleId="1872">
    <w:name w:val="无间隔2"/>
    <w:qFormat/>
    <w:uiPriority w:val="0"/>
    <w:pPr>
      <w:widowControl w:val="0"/>
      <w:jc w:val="both"/>
    </w:pPr>
    <w:rPr>
      <w:rFonts w:ascii="Calibri" w:hAnsi="Calibri" w:eastAsia="宋体" w:cs="Calibri"/>
      <w:kern w:val="2"/>
      <w:sz w:val="21"/>
      <w:szCs w:val="21"/>
      <w:lang w:val="en-US" w:eastAsia="zh-CN" w:bidi="ar-SA"/>
    </w:rPr>
  </w:style>
  <w:style w:type="paragraph" w:customStyle="1" w:styleId="1873">
    <w:name w:val="Q-表格文字"/>
    <w:basedOn w:val="1874"/>
    <w:qFormat/>
    <w:uiPriority w:val="0"/>
    <w:pPr>
      <w:jc w:val="center"/>
    </w:pPr>
    <w:rPr>
      <w:rFonts w:cs="宋体"/>
      <w:szCs w:val="18"/>
    </w:rPr>
  </w:style>
  <w:style w:type="paragraph" w:styleId="1874">
    <w:name w:val="No Spacing"/>
    <w:qFormat/>
    <w:uiPriority w:val="1"/>
    <w:pPr>
      <w:widowControl w:val="0"/>
      <w:jc w:val="both"/>
    </w:pPr>
    <w:rPr>
      <w:rFonts w:ascii="Times New Roman" w:hAnsi="Times New Roman" w:eastAsia="宋体" w:cs="Times New Roman"/>
      <w:kern w:val="2"/>
      <w:sz w:val="21"/>
      <w:lang w:val="en-US" w:eastAsia="zh-CN" w:bidi="ar-SA"/>
    </w:rPr>
  </w:style>
  <w:style w:type="paragraph" w:customStyle="1" w:styleId="1875">
    <w:name w:val="正文缩"/>
    <w:basedOn w:val="1"/>
    <w:next w:val="1"/>
    <w:qFormat/>
    <w:uiPriority w:val="0"/>
    <w:pPr>
      <w:adjustRightInd w:val="0"/>
      <w:snapToGrid w:val="0"/>
      <w:spacing w:line="480" w:lineRule="atLeast"/>
      <w:ind w:firstLine="567"/>
      <w:jc w:val="left"/>
      <w:textAlignment w:val="baseline"/>
    </w:pPr>
    <w:rPr>
      <w:rFonts w:ascii="宋体"/>
      <w:spacing w:val="6"/>
      <w:kern w:val="0"/>
      <w:sz w:val="28"/>
      <w:szCs w:val="24"/>
    </w:rPr>
  </w:style>
  <w:style w:type="paragraph" w:customStyle="1" w:styleId="1876">
    <w:name w:val="彪哥"/>
    <w:basedOn w:val="1"/>
    <w:qFormat/>
    <w:uiPriority w:val="0"/>
    <w:pPr>
      <w:widowControl/>
      <w:spacing w:line="360" w:lineRule="auto"/>
      <w:jc w:val="center"/>
    </w:pPr>
    <w:rPr>
      <w:position w:val="-2"/>
      <w:szCs w:val="24"/>
    </w:rPr>
  </w:style>
  <w:style w:type="table" w:customStyle="1" w:styleId="1877">
    <w:name w:val="网格型3"/>
    <w:basedOn w:val="92"/>
    <w:qFormat/>
    <w:uiPriority w:val="59"/>
    <w:rPr>
      <w:rFonts w:ascii="Calibri" w:hAnsi="Calibri" w:eastAsia="微软雅黑" w:cs="Times New Roman"/>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78">
    <w:name w:val="Q-正文"/>
    <w:basedOn w:val="1"/>
    <w:next w:val="1"/>
    <w:qFormat/>
    <w:uiPriority w:val="0"/>
    <w:pPr>
      <w:widowControl w:val="0"/>
      <w:spacing w:line="500" w:lineRule="exact"/>
      <w:ind w:firstLine="200" w:firstLineChars="200"/>
      <w:jc w:val="both"/>
    </w:pPr>
    <w:rPr>
      <w:sz w:val="24"/>
      <w:szCs w:val="22"/>
    </w:rPr>
  </w:style>
  <w:style w:type="character" w:customStyle="1" w:styleId="1879">
    <w:name w:val="表格（小5号） Char"/>
    <w:link w:val="1880"/>
    <w:semiHidden/>
    <w:qFormat/>
    <w:uiPriority w:val="0"/>
    <w:rPr>
      <w:rFonts w:ascii="Arial" w:hAnsi="Arial"/>
      <w:color w:val="000000"/>
      <w:kern w:val="18"/>
      <w:sz w:val="18"/>
    </w:rPr>
  </w:style>
  <w:style w:type="paragraph" w:customStyle="1" w:styleId="1880">
    <w:name w:val="表格（小5号）"/>
    <w:basedOn w:val="1"/>
    <w:link w:val="1879"/>
    <w:semiHidden/>
    <w:qFormat/>
    <w:uiPriority w:val="0"/>
    <w:pPr>
      <w:widowControl w:val="0"/>
      <w:tabs>
        <w:tab w:val="left" w:pos="900"/>
      </w:tabs>
      <w:spacing w:line="240" w:lineRule="atLeast"/>
      <w:jc w:val="center"/>
    </w:pPr>
    <w:rPr>
      <w:rFonts w:ascii="Arial" w:hAnsi="Arial"/>
      <w:color w:val="000000"/>
      <w:kern w:val="18"/>
      <w:sz w:val="18"/>
    </w:rPr>
  </w:style>
  <w:style w:type="character" w:customStyle="1" w:styleId="1881">
    <w:name w:val="font81"/>
    <w:qFormat/>
    <w:uiPriority w:val="0"/>
    <w:rPr>
      <w:rFonts w:hint="eastAsia" w:ascii="宋体" w:hAnsi="宋体" w:eastAsia="宋体" w:cs="宋体"/>
      <w:color w:val="000000"/>
      <w:sz w:val="21"/>
      <w:szCs w:val="21"/>
      <w:u w:val="none"/>
    </w:rPr>
  </w:style>
  <w:style w:type="character" w:customStyle="1" w:styleId="1882">
    <w:name w:val="font61"/>
    <w:qFormat/>
    <w:uiPriority w:val="0"/>
    <w:rPr>
      <w:rFonts w:hint="default" w:ascii="Times New Roman" w:hAnsi="Times New Roman" w:cs="Times New Roman"/>
      <w:color w:val="000000"/>
      <w:sz w:val="21"/>
      <w:szCs w:val="21"/>
      <w:u w:val="none"/>
    </w:rPr>
  </w:style>
  <w:style w:type="character" w:customStyle="1" w:styleId="1883">
    <w:name w:val="注释"/>
    <w:qFormat/>
    <w:uiPriority w:val="0"/>
    <w:rPr>
      <w:rFonts w:ascii="Arial" w:hAnsi="Arial"/>
      <w:sz w:val="18"/>
    </w:rPr>
  </w:style>
  <w:style w:type="character" w:customStyle="1" w:styleId="1884">
    <w:name w:val="表格（5号） Char Char"/>
    <w:qFormat/>
    <w:uiPriority w:val="0"/>
    <w:rPr>
      <w:rFonts w:ascii="Arial" w:hAnsi="Arial" w:eastAsia="宋体"/>
      <w:color w:val="000000"/>
      <w:kern w:val="18"/>
      <w:sz w:val="18"/>
      <w:lang w:val="en-US" w:eastAsia="zh-CN" w:bidi="ar-SA"/>
    </w:rPr>
  </w:style>
  <w:style w:type="character" w:customStyle="1" w:styleId="1885">
    <w:name w:val="font71"/>
    <w:qFormat/>
    <w:uiPriority w:val="0"/>
    <w:rPr>
      <w:rFonts w:hint="eastAsia" w:ascii="宋体" w:hAnsi="宋体" w:eastAsia="宋体" w:cs="宋体"/>
      <w:color w:val="000000"/>
      <w:sz w:val="21"/>
      <w:szCs w:val="21"/>
      <w:u w:val="none"/>
    </w:rPr>
  </w:style>
  <w:style w:type="character" w:customStyle="1" w:styleId="1886">
    <w:name w:val="font91"/>
    <w:qFormat/>
    <w:uiPriority w:val="0"/>
    <w:rPr>
      <w:rFonts w:hint="default" w:ascii="Times New Roman" w:hAnsi="Times New Roman" w:cs="Times New Roman"/>
      <w:color w:val="000000"/>
      <w:sz w:val="21"/>
      <w:szCs w:val="21"/>
      <w:u w:val="none"/>
    </w:rPr>
  </w:style>
  <w:style w:type="paragraph" w:customStyle="1" w:styleId="1887">
    <w:name w:val="_Style 1881"/>
    <w:semiHidden/>
    <w:qFormat/>
    <w:uiPriority w:val="99"/>
    <w:rPr>
      <w:rFonts w:ascii="Times New Roman" w:hAnsi="Times New Roman" w:eastAsia="宋体" w:cs="Times New Roman"/>
      <w:kern w:val="2"/>
      <w:sz w:val="21"/>
      <w:szCs w:val="24"/>
      <w:lang w:val="en-US" w:eastAsia="zh-CN" w:bidi="ar-SA"/>
    </w:rPr>
  </w:style>
  <w:style w:type="paragraph" w:customStyle="1" w:styleId="1888">
    <w:name w:val=" Char Char Char Char Char Char1 Char Char Char Char Char Char1 Char"/>
    <w:basedOn w:val="1"/>
    <w:semiHidden/>
    <w:qFormat/>
    <w:uiPriority w:val="0"/>
    <w:pPr>
      <w:widowControl w:val="0"/>
      <w:spacing w:after="156" w:afterLines="50" w:line="560" w:lineRule="exact"/>
      <w:jc w:val="both"/>
    </w:pPr>
    <w:rPr>
      <w:rFonts w:eastAsia="黑体"/>
      <w:sz w:val="30"/>
      <w:szCs w:val="30"/>
    </w:rPr>
  </w:style>
  <w:style w:type="character" w:customStyle="1" w:styleId="1889">
    <w:name w:val="样式 Char Char"/>
    <w:qFormat/>
    <w:uiPriority w:val="0"/>
    <w:rPr>
      <w:rFonts w:ascii="Arial" w:hAnsi="Arial" w:eastAsia="宋体" w:cs="宋体"/>
      <w:kern w:val="2"/>
      <w:sz w:val="24"/>
      <w:lang w:val="en-US" w:eastAsia="zh-CN" w:bidi="ar-SA"/>
    </w:rPr>
  </w:style>
  <w:style w:type="character" w:customStyle="1" w:styleId="1890">
    <w:name w:val="表格标题 Char Char1"/>
    <w:qFormat/>
    <w:uiPriority w:val="0"/>
    <w:rPr>
      <w:rFonts w:eastAsia="黑体" w:cs="宋体"/>
      <w:sz w:val="24"/>
      <w:szCs w:val="24"/>
    </w:rPr>
  </w:style>
  <w:style w:type="table" w:customStyle="1" w:styleId="1891">
    <w:name w:val="文中表格"/>
    <w:basedOn w:val="92"/>
    <w:qFormat/>
    <w:uiPriority w:val="99"/>
    <w:pPr>
      <w:jc w:val="center"/>
    </w:pPr>
    <w:rPr>
      <w:rFonts w:ascii="Calibri" w:hAnsi="Calibri"/>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1892">
    <w:name w:val="图格式"/>
    <w:basedOn w:val="1"/>
    <w:link w:val="1893"/>
    <w:qFormat/>
    <w:uiPriority w:val="0"/>
    <w:pPr>
      <w:widowControl w:val="0"/>
      <w:snapToGrid w:val="0"/>
      <w:jc w:val="center"/>
    </w:pPr>
    <w:rPr>
      <w:rFonts w:ascii="宋体"/>
      <w:sz w:val="24"/>
    </w:rPr>
  </w:style>
  <w:style w:type="character" w:customStyle="1" w:styleId="1893">
    <w:name w:val="图格式 Char Char"/>
    <w:link w:val="1892"/>
    <w:qFormat/>
    <w:uiPriority w:val="0"/>
    <w:rPr>
      <w:rFonts w:ascii="宋体"/>
      <w:kern w:val="2"/>
      <w:sz w:val="24"/>
    </w:rPr>
  </w:style>
  <w:style w:type="paragraph" w:customStyle="1" w:styleId="1894">
    <w:name w:val="pd煤电港化产业园表头"/>
    <w:basedOn w:val="1"/>
    <w:qFormat/>
    <w:uiPriority w:val="0"/>
    <w:pPr>
      <w:widowControl w:val="0"/>
      <w:spacing w:line="500" w:lineRule="exact"/>
      <w:ind w:firstLine="480" w:firstLineChars="200"/>
      <w:jc w:val="center"/>
    </w:pPr>
    <w:rPr>
      <w:rFonts w:ascii="Arial" w:hAnsi="Arial" w:cs="Arial"/>
      <w:b/>
      <w:bCs/>
      <w:kern w:val="0"/>
      <w:szCs w:val="21"/>
    </w:rPr>
  </w:style>
  <w:style w:type="paragraph" w:customStyle="1" w:styleId="1895">
    <w:name w:val="pd表格小5"/>
    <w:basedOn w:val="1896"/>
    <w:qFormat/>
    <w:uiPriority w:val="0"/>
    <w:pPr>
      <w:spacing w:line="320" w:lineRule="exact"/>
      <w:ind w:firstLine="0" w:firstLineChars="0"/>
    </w:pPr>
    <w:rPr>
      <w:sz w:val="18"/>
    </w:rPr>
  </w:style>
  <w:style w:type="paragraph" w:customStyle="1" w:styleId="1896">
    <w:name w:val="表格5号"/>
    <w:basedOn w:val="1"/>
    <w:qFormat/>
    <w:uiPriority w:val="0"/>
    <w:pPr>
      <w:widowControl w:val="0"/>
      <w:spacing w:line="360" w:lineRule="exact"/>
      <w:ind w:left="-57" w:right="-57" w:firstLine="880" w:firstLineChars="200"/>
      <w:jc w:val="center"/>
    </w:pPr>
    <w:rPr>
      <w:rFonts w:ascii="Arial" w:hAnsi="Arial"/>
      <w:sz w:val="24"/>
      <w:szCs w:val="22"/>
    </w:rPr>
  </w:style>
  <w:style w:type="paragraph" w:customStyle="1" w:styleId="1897">
    <w:name w:val="表格（小五）"/>
    <w:basedOn w:val="1"/>
    <w:qFormat/>
    <w:uiPriority w:val="99"/>
    <w:pPr>
      <w:widowControl w:val="0"/>
      <w:adjustRightInd w:val="0"/>
      <w:snapToGrid w:val="0"/>
      <w:spacing w:line="320" w:lineRule="exact"/>
      <w:ind w:left="-48" w:leftChars="-20" w:right="-48" w:rightChars="-20"/>
      <w:jc w:val="center"/>
      <w:textAlignment w:val="baseline"/>
    </w:pPr>
    <w:rPr>
      <w:rFonts w:ascii="Arial" w:hAnsi="Arial"/>
      <w:sz w:val="18"/>
      <w:szCs w:val="22"/>
    </w:rPr>
  </w:style>
  <w:style w:type="paragraph" w:customStyle="1" w:styleId="1898">
    <w:name w:val="样式 正文文本缩进 + 首行缩进:  2 字符"/>
    <w:basedOn w:val="26"/>
    <w:qFormat/>
    <w:uiPriority w:val="0"/>
    <w:pPr>
      <w:widowControl w:val="0"/>
      <w:spacing w:line="440" w:lineRule="exact"/>
      <w:ind w:firstLine="200" w:firstLineChars="200"/>
      <w:jc w:val="both"/>
    </w:pPr>
    <w:rPr>
      <w:rFonts w:ascii="Times New Roman" w:hAnsi="Times New Roman" w:cs="宋体"/>
    </w:rPr>
  </w:style>
  <w:style w:type="paragraph" w:customStyle="1" w:styleId="1899">
    <w:name w:val="zg1"/>
    <w:basedOn w:val="26"/>
    <w:qFormat/>
    <w:uiPriority w:val="0"/>
    <w:pPr>
      <w:widowControl w:val="0"/>
      <w:spacing w:line="360" w:lineRule="auto"/>
      <w:ind w:firstLine="425"/>
      <w:jc w:val="both"/>
    </w:pPr>
    <w:rPr>
      <w:rFonts w:ascii="Times New Roman" w:hAnsi="Times New Roman"/>
    </w:rPr>
  </w:style>
  <w:style w:type="paragraph" w:customStyle="1" w:styleId="1900">
    <w:name w:val="13"/>
    <w:basedOn w:val="1"/>
    <w:qFormat/>
    <w:uiPriority w:val="34"/>
    <w:pPr>
      <w:widowControl w:val="0"/>
      <w:spacing w:line="360" w:lineRule="auto"/>
      <w:ind w:firstLine="200" w:firstLineChars="200"/>
      <w:jc w:val="both"/>
    </w:pPr>
  </w:style>
  <w:style w:type="character" w:customStyle="1" w:styleId="1901">
    <w:name w:val="正文文本 Char1"/>
    <w:qFormat/>
    <w:uiPriority w:val="99"/>
    <w:rPr>
      <w:rFonts w:ascii="宋体"/>
      <w:sz w:val="21"/>
    </w:rPr>
  </w:style>
  <w:style w:type="character" w:customStyle="1" w:styleId="1902">
    <w:name w:val="文档结构图 Char1"/>
    <w:semiHidden/>
    <w:qFormat/>
    <w:uiPriority w:val="0"/>
    <w:rPr>
      <w:rFonts w:ascii="宋体"/>
      <w:sz w:val="18"/>
      <w:szCs w:val="18"/>
    </w:rPr>
  </w:style>
  <w:style w:type="character" w:customStyle="1" w:styleId="1903">
    <w:name w:val="正文文本缩进 3 Char1"/>
    <w:semiHidden/>
    <w:qFormat/>
    <w:uiPriority w:val="0"/>
    <w:rPr>
      <w:rFonts w:ascii="宋体"/>
      <w:sz w:val="16"/>
      <w:szCs w:val="16"/>
    </w:rPr>
  </w:style>
  <w:style w:type="character" w:customStyle="1" w:styleId="1904">
    <w:name w:val="标题 7 Char1"/>
    <w:semiHidden/>
    <w:qFormat/>
    <w:uiPriority w:val="0"/>
    <w:rPr>
      <w:b/>
      <w:bCs/>
      <w:kern w:val="2"/>
      <w:sz w:val="24"/>
      <w:szCs w:val="24"/>
    </w:rPr>
  </w:style>
  <w:style w:type="character" w:customStyle="1" w:styleId="1905">
    <w:name w:val="正文文本 3 Char1"/>
    <w:semiHidden/>
    <w:qFormat/>
    <w:uiPriority w:val="0"/>
    <w:rPr>
      <w:rFonts w:ascii="宋体"/>
      <w:sz w:val="16"/>
      <w:szCs w:val="16"/>
    </w:rPr>
  </w:style>
  <w:style w:type="character" w:customStyle="1" w:styleId="1906">
    <w:name w:val="正文加黑 Char"/>
    <w:link w:val="1907"/>
    <w:qFormat/>
    <w:locked/>
    <w:uiPriority w:val="0"/>
    <w:rPr>
      <w:rFonts w:ascii="Arial" w:hAnsi="Arial" w:cs="Arial"/>
      <w:b/>
      <w:color w:val="000000"/>
      <w:kern w:val="2"/>
      <w:sz w:val="24"/>
      <w:szCs w:val="24"/>
    </w:rPr>
  </w:style>
  <w:style w:type="paragraph" w:customStyle="1" w:styleId="1907">
    <w:name w:val="正文加黑"/>
    <w:basedOn w:val="1"/>
    <w:link w:val="1906"/>
    <w:qFormat/>
    <w:uiPriority w:val="0"/>
    <w:pPr>
      <w:widowControl w:val="0"/>
      <w:spacing w:line="360" w:lineRule="auto"/>
      <w:ind w:firstLine="200" w:firstLineChars="200"/>
      <w:jc w:val="both"/>
    </w:pPr>
    <w:rPr>
      <w:rFonts w:ascii="Arial" w:hAnsi="Arial"/>
      <w:b/>
      <w:color w:val="000000"/>
      <w:sz w:val="24"/>
      <w:szCs w:val="24"/>
    </w:rPr>
  </w:style>
  <w:style w:type="character" w:customStyle="1" w:styleId="1908">
    <w:name w:val="标题 8 Char1"/>
    <w:semiHidden/>
    <w:qFormat/>
    <w:uiPriority w:val="0"/>
    <w:rPr>
      <w:rFonts w:ascii="Cambria" w:hAnsi="Cambria" w:eastAsia="宋体" w:cs="Times New Roman"/>
      <w:sz w:val="24"/>
      <w:szCs w:val="24"/>
    </w:rPr>
  </w:style>
  <w:style w:type="character" w:customStyle="1" w:styleId="1909">
    <w:name w:val="标题 9 Char1"/>
    <w:semiHidden/>
    <w:qFormat/>
    <w:uiPriority w:val="0"/>
    <w:rPr>
      <w:rFonts w:ascii="Cambria" w:hAnsi="Cambria" w:eastAsia="宋体" w:cs="Times New Roman"/>
      <w:sz w:val="21"/>
      <w:szCs w:val="21"/>
    </w:rPr>
  </w:style>
  <w:style w:type="character" w:customStyle="1" w:styleId="1910">
    <w:name w:val="信息标题 Char1"/>
    <w:semiHidden/>
    <w:qFormat/>
    <w:uiPriority w:val="0"/>
    <w:rPr>
      <w:rFonts w:ascii="Cambria" w:hAnsi="Cambria" w:eastAsia="宋体" w:cs="Times New Roman"/>
      <w:sz w:val="24"/>
      <w:szCs w:val="24"/>
      <w:shd w:val="pct20" w:color="auto" w:fill="auto"/>
    </w:rPr>
  </w:style>
  <w:style w:type="character" w:customStyle="1" w:styleId="1911">
    <w:name w:val="宏文本 Char1"/>
    <w:qFormat/>
    <w:uiPriority w:val="0"/>
    <w:rPr>
      <w:rFonts w:ascii="Courier New" w:hAnsi="Courier New" w:cs="Courier New"/>
      <w:sz w:val="24"/>
      <w:szCs w:val="24"/>
    </w:rPr>
  </w:style>
  <w:style w:type="character" w:customStyle="1" w:styleId="1912">
    <w:name w:val="尾注文本 Char1"/>
    <w:semiHidden/>
    <w:qFormat/>
    <w:uiPriority w:val="0"/>
    <w:rPr>
      <w:rFonts w:ascii="宋体"/>
      <w:sz w:val="21"/>
    </w:rPr>
  </w:style>
  <w:style w:type="character" w:customStyle="1" w:styleId="1913">
    <w:name w:val="签名 Char1"/>
    <w:semiHidden/>
    <w:qFormat/>
    <w:uiPriority w:val="0"/>
    <w:rPr>
      <w:rFonts w:ascii="宋体"/>
      <w:sz w:val="21"/>
    </w:rPr>
  </w:style>
  <w:style w:type="character" w:customStyle="1" w:styleId="1914">
    <w:name w:val="称呼 Char1"/>
    <w:semiHidden/>
    <w:qFormat/>
    <w:uiPriority w:val="0"/>
    <w:rPr>
      <w:rFonts w:ascii="宋体"/>
      <w:sz w:val="21"/>
    </w:rPr>
  </w:style>
  <w:style w:type="character" w:customStyle="1" w:styleId="1915">
    <w:name w:val="电子邮件签名 Char1"/>
    <w:semiHidden/>
    <w:qFormat/>
    <w:uiPriority w:val="0"/>
    <w:rPr>
      <w:rFonts w:ascii="宋体"/>
      <w:sz w:val="21"/>
    </w:rPr>
  </w:style>
  <w:style w:type="character" w:customStyle="1" w:styleId="1916">
    <w:name w:val="脚注文本 Char1"/>
    <w:semiHidden/>
    <w:qFormat/>
    <w:uiPriority w:val="99"/>
    <w:rPr>
      <w:rFonts w:ascii="宋体"/>
      <w:sz w:val="18"/>
      <w:szCs w:val="18"/>
    </w:rPr>
  </w:style>
  <w:style w:type="character" w:customStyle="1" w:styleId="1917">
    <w:name w:val="company-content"/>
    <w:qFormat/>
    <w:uiPriority w:val="0"/>
  </w:style>
  <w:style w:type="character" w:customStyle="1" w:styleId="1918">
    <w:name w:val="正文首行缩进 Char1 Char Char"/>
    <w:qFormat/>
    <w:uiPriority w:val="0"/>
    <w:rPr>
      <w:rFonts w:hint="eastAsia" w:ascii="宋体" w:hAnsi="宋体" w:eastAsia="宋体"/>
      <w:kern w:val="2"/>
      <w:sz w:val="21"/>
      <w:szCs w:val="24"/>
      <w:lang w:val="en-US" w:eastAsia="zh-CN" w:bidi="ar-SA"/>
    </w:rPr>
  </w:style>
  <w:style w:type="paragraph" w:customStyle="1" w:styleId="1919">
    <w:name w:val="TOC 标题1"/>
    <w:basedOn w:val="7"/>
    <w:next w:val="1"/>
    <w:qFormat/>
    <w:uiPriority w:val="0"/>
    <w:pPr>
      <w:spacing w:before="480" w:after="0" w:line="276" w:lineRule="auto"/>
      <w:outlineLvl w:val="9"/>
    </w:pPr>
    <w:rPr>
      <w:rFonts w:ascii="Cambria" w:hAnsi="Cambria"/>
      <w:bCs/>
      <w:color w:val="365F91"/>
      <w:kern w:val="0"/>
      <w:sz w:val="28"/>
      <w:szCs w:val="28"/>
    </w:rPr>
  </w:style>
  <w:style w:type="character" w:customStyle="1" w:styleId="1920">
    <w:name w:val="不明显参考1"/>
    <w:qFormat/>
    <w:uiPriority w:val="31"/>
    <w:rPr>
      <w:smallCaps/>
      <w:color w:val="C0504D"/>
      <w:u w:val="single"/>
    </w:rPr>
  </w:style>
  <w:style w:type="paragraph" w:customStyle="1" w:styleId="1921">
    <w:name w:val="font28"/>
    <w:basedOn w:val="1"/>
    <w:qFormat/>
    <w:uiPriority w:val="0"/>
    <w:pPr>
      <w:spacing w:before="100" w:beforeAutospacing="1" w:after="100" w:afterAutospacing="1"/>
    </w:pPr>
    <w:rPr>
      <w:kern w:val="0"/>
      <w:sz w:val="20"/>
    </w:rPr>
  </w:style>
  <w:style w:type="paragraph" w:customStyle="1" w:styleId="1922">
    <w:name w:val="font29"/>
    <w:basedOn w:val="1"/>
    <w:qFormat/>
    <w:uiPriority w:val="0"/>
    <w:pPr>
      <w:spacing w:before="100" w:beforeAutospacing="1" w:after="100" w:afterAutospacing="1"/>
    </w:pPr>
    <w:rPr>
      <w:rFonts w:ascii="宋体" w:hAnsi="宋体" w:cs="宋体"/>
      <w:color w:val="0000FF"/>
      <w:kern w:val="0"/>
      <w:sz w:val="20"/>
    </w:rPr>
  </w:style>
  <w:style w:type="character" w:customStyle="1" w:styleId="1923">
    <w:name w:val="z-窗体顶端 Char1"/>
    <w:semiHidden/>
    <w:qFormat/>
    <w:uiPriority w:val="99"/>
    <w:rPr>
      <w:rFonts w:ascii="Arial" w:hAnsi="Arial" w:eastAsia="宋体" w:cs="Arial"/>
      <w:vanish/>
      <w:kern w:val="2"/>
      <w:sz w:val="16"/>
      <w:szCs w:val="16"/>
    </w:rPr>
  </w:style>
  <w:style w:type="character" w:customStyle="1" w:styleId="1924">
    <w:name w:val="z-窗体底端 Char1"/>
    <w:semiHidden/>
    <w:qFormat/>
    <w:uiPriority w:val="99"/>
    <w:rPr>
      <w:rFonts w:ascii="Arial" w:hAnsi="Arial" w:eastAsia="宋体" w:cs="Arial"/>
      <w:vanish/>
      <w:kern w:val="2"/>
      <w:sz w:val="16"/>
      <w:szCs w:val="16"/>
    </w:rPr>
  </w:style>
  <w:style w:type="character" w:customStyle="1" w:styleId="1925">
    <w:name w:val="Char Char29"/>
    <w:qFormat/>
    <w:uiPriority w:val="0"/>
    <w:rPr>
      <w:kern w:val="2"/>
      <w:sz w:val="21"/>
      <w:szCs w:val="24"/>
    </w:rPr>
  </w:style>
  <w:style w:type="character" w:customStyle="1" w:styleId="1926">
    <w:name w:val="Char Char27"/>
    <w:qFormat/>
    <w:uiPriority w:val="0"/>
    <w:rPr>
      <w:kern w:val="2"/>
      <w:sz w:val="18"/>
      <w:szCs w:val="18"/>
    </w:rPr>
  </w:style>
  <w:style w:type="character" w:customStyle="1" w:styleId="1927">
    <w:name w:val="a"/>
    <w:qFormat/>
    <w:uiPriority w:val="0"/>
  </w:style>
  <w:style w:type="character" w:customStyle="1" w:styleId="1928">
    <w:name w:val="Char Char36"/>
    <w:qFormat/>
    <w:uiPriority w:val="0"/>
    <w:rPr>
      <w:b/>
      <w:sz w:val="24"/>
    </w:rPr>
  </w:style>
  <w:style w:type="character" w:customStyle="1" w:styleId="1929">
    <w:name w:val="Char Char35"/>
    <w:qFormat/>
    <w:uiPriority w:val="0"/>
    <w:rPr>
      <w:rFonts w:ascii="Arial" w:hAnsi="Arial" w:eastAsia="黑体"/>
      <w:sz w:val="24"/>
    </w:rPr>
  </w:style>
  <w:style w:type="character" w:customStyle="1" w:styleId="1930">
    <w:name w:val="Char Char34"/>
    <w:qFormat/>
    <w:uiPriority w:val="0"/>
    <w:rPr>
      <w:rFonts w:ascii="Arial" w:hAnsi="Arial" w:eastAsia="黑体"/>
      <w:kern w:val="2"/>
      <w:sz w:val="28"/>
    </w:rPr>
  </w:style>
  <w:style w:type="character" w:customStyle="1" w:styleId="1931">
    <w:name w:val="Char Char32"/>
    <w:qFormat/>
    <w:uiPriority w:val="0"/>
    <w:rPr>
      <w:kern w:val="2"/>
      <w:sz w:val="21"/>
      <w:szCs w:val="24"/>
    </w:rPr>
  </w:style>
  <w:style w:type="paragraph" w:customStyle="1" w:styleId="1932">
    <w:name w:val="正文五号"/>
    <w:basedOn w:val="1"/>
    <w:link w:val="1933"/>
    <w:qFormat/>
    <w:uiPriority w:val="0"/>
    <w:pPr>
      <w:widowControl w:val="0"/>
      <w:spacing w:line="400" w:lineRule="exact"/>
      <w:ind w:firstLine="420" w:firstLineChars="200"/>
      <w:jc w:val="both"/>
    </w:pPr>
    <w:rPr>
      <w:rFonts w:ascii="宋体" w:hAnsi="宋体"/>
      <w:szCs w:val="21"/>
    </w:rPr>
  </w:style>
  <w:style w:type="character" w:customStyle="1" w:styleId="1933">
    <w:name w:val="正文五号 Char"/>
    <w:link w:val="1932"/>
    <w:qFormat/>
    <w:uiPriority w:val="0"/>
    <w:rPr>
      <w:rFonts w:ascii="宋体" w:hAnsi="宋体"/>
      <w:kern w:val="2"/>
      <w:sz w:val="21"/>
      <w:szCs w:val="21"/>
    </w:rPr>
  </w:style>
  <w:style w:type="paragraph" w:customStyle="1" w:styleId="1934">
    <w:name w:val="reader-word-layer reader-word-s1-9"/>
    <w:basedOn w:val="1"/>
    <w:qFormat/>
    <w:uiPriority w:val="0"/>
    <w:pPr>
      <w:spacing w:before="100" w:beforeAutospacing="1" w:after="100" w:afterAutospacing="1"/>
    </w:pPr>
    <w:rPr>
      <w:rFonts w:ascii="宋体" w:hAnsi="宋体" w:cs="宋体"/>
      <w:kern w:val="0"/>
      <w:sz w:val="24"/>
      <w:szCs w:val="24"/>
    </w:rPr>
  </w:style>
  <w:style w:type="paragraph" w:customStyle="1" w:styleId="1935">
    <w:name w:val="reader-word-layer reader-word-s1-8"/>
    <w:basedOn w:val="1"/>
    <w:qFormat/>
    <w:uiPriority w:val="0"/>
    <w:pPr>
      <w:spacing w:before="100" w:beforeAutospacing="1" w:after="100" w:afterAutospacing="1"/>
    </w:pPr>
    <w:rPr>
      <w:rFonts w:ascii="宋体" w:hAnsi="宋体" w:cs="宋体"/>
      <w:kern w:val="0"/>
      <w:sz w:val="24"/>
      <w:szCs w:val="24"/>
    </w:rPr>
  </w:style>
  <w:style w:type="character" w:customStyle="1" w:styleId="1936">
    <w:name w:val="Char Char26"/>
    <w:qFormat/>
    <w:locked/>
    <w:uiPriority w:val="0"/>
    <w:rPr>
      <w:rFonts w:ascii="华文行楷" w:eastAsia="华文行楷"/>
      <w:i/>
      <w:iCs/>
      <w:color w:val="FF0000"/>
      <w:kern w:val="2"/>
      <w:sz w:val="32"/>
      <w:szCs w:val="24"/>
      <w:lang w:val="en-US" w:eastAsia="zh-CN" w:bidi="ar-SA"/>
    </w:rPr>
  </w:style>
  <w:style w:type="character" w:customStyle="1" w:styleId="1937">
    <w:name w:val="Char Char15"/>
    <w:qFormat/>
    <w:locked/>
    <w:uiPriority w:val="0"/>
    <w:rPr>
      <w:rFonts w:ascii="Arial" w:hAnsi="Arial" w:eastAsia="宋体" w:cs="Arial"/>
      <w:b/>
      <w:bCs/>
      <w:kern w:val="28"/>
      <w:sz w:val="32"/>
      <w:szCs w:val="32"/>
      <w:lang w:bidi="ar-SA"/>
    </w:rPr>
  </w:style>
  <w:style w:type="character" w:customStyle="1" w:styleId="1938">
    <w:name w:val="Char Char24"/>
    <w:qFormat/>
    <w:locked/>
    <w:uiPriority w:val="0"/>
    <w:rPr>
      <w:rFonts w:ascii="宋体" w:hAnsi="宋体" w:eastAsia="宋体"/>
      <w:kern w:val="2"/>
      <w:sz w:val="21"/>
      <w:szCs w:val="24"/>
      <w:lang w:bidi="ar-SA"/>
    </w:rPr>
  </w:style>
  <w:style w:type="character" w:customStyle="1" w:styleId="1939">
    <w:name w:val="Char Char17"/>
    <w:qFormat/>
    <w:locked/>
    <w:uiPriority w:val="0"/>
    <w:rPr>
      <w:rFonts w:ascii="宋体" w:hAnsi="宋体" w:eastAsia="宋体"/>
      <w:kern w:val="2"/>
      <w:sz w:val="24"/>
      <w:szCs w:val="24"/>
      <w:lang w:bidi="ar-SA"/>
    </w:rPr>
  </w:style>
  <w:style w:type="character" w:customStyle="1" w:styleId="1940">
    <w:name w:val="Char Char23"/>
    <w:qFormat/>
    <w:locked/>
    <w:uiPriority w:val="0"/>
    <w:rPr>
      <w:rFonts w:ascii="宋体" w:hAnsi="宋体" w:eastAsia="宋体"/>
      <w:kern w:val="2"/>
      <w:sz w:val="21"/>
      <w:szCs w:val="24"/>
      <w:lang w:bidi="ar-SA"/>
    </w:rPr>
  </w:style>
  <w:style w:type="character" w:customStyle="1" w:styleId="1941">
    <w:name w:val="Char Char30"/>
    <w:qFormat/>
    <w:locked/>
    <w:uiPriority w:val="0"/>
    <w:rPr>
      <w:rFonts w:ascii="宋体" w:hAnsi="宋体" w:eastAsia="宋体"/>
      <w:kern w:val="2"/>
      <w:sz w:val="24"/>
      <w:szCs w:val="24"/>
      <w:lang w:bidi="ar-SA"/>
    </w:rPr>
  </w:style>
  <w:style w:type="character" w:customStyle="1" w:styleId="1942">
    <w:name w:val="Char Char33"/>
    <w:qFormat/>
    <w:locked/>
    <w:uiPriority w:val="0"/>
    <w:rPr>
      <w:rFonts w:ascii="宋体" w:hAnsi="宋体" w:eastAsia="宋体"/>
      <w:kern w:val="2"/>
      <w:sz w:val="16"/>
      <w:szCs w:val="16"/>
      <w:lang w:bidi="ar-SA"/>
    </w:rPr>
  </w:style>
  <w:style w:type="character" w:customStyle="1" w:styleId="1943">
    <w:name w:val="我的样式7 Char Char"/>
    <w:link w:val="1944"/>
    <w:qFormat/>
    <w:uiPriority w:val="0"/>
    <w:rPr>
      <w:sz w:val="24"/>
      <w:szCs w:val="24"/>
    </w:rPr>
  </w:style>
  <w:style w:type="paragraph" w:customStyle="1" w:styleId="1944">
    <w:name w:val="我的样式7 Char"/>
    <w:basedOn w:val="1"/>
    <w:next w:val="1"/>
    <w:link w:val="1943"/>
    <w:qFormat/>
    <w:uiPriority w:val="0"/>
    <w:pPr>
      <w:widowControl w:val="0"/>
      <w:tabs>
        <w:tab w:val="left" w:pos="870"/>
      </w:tabs>
      <w:spacing w:line="520" w:lineRule="exact"/>
      <w:ind w:left="-90" w:firstLine="510"/>
      <w:jc w:val="both"/>
    </w:pPr>
    <w:rPr>
      <w:kern w:val="0"/>
      <w:sz w:val="24"/>
      <w:szCs w:val="24"/>
    </w:rPr>
  </w:style>
  <w:style w:type="character" w:customStyle="1" w:styleId="1945">
    <w:name w:val="a121"/>
    <w:qFormat/>
    <w:uiPriority w:val="0"/>
    <w:rPr>
      <w:rFonts w:hint="default" w:ascii="ˎ̥" w:hAnsi="ˎ̥"/>
      <w:color w:val="004891"/>
      <w:sz w:val="18"/>
      <w:szCs w:val="18"/>
      <w:u w:val="none"/>
    </w:rPr>
  </w:style>
  <w:style w:type="paragraph" w:customStyle="1" w:styleId="1946">
    <w:name w:val="样式 (中文) 仿宋_GB2312 小四 行距: 1.5 倍行距"/>
    <w:basedOn w:val="1"/>
    <w:next w:val="1"/>
    <w:qFormat/>
    <w:uiPriority w:val="0"/>
    <w:pPr>
      <w:widowControl w:val="0"/>
      <w:spacing w:line="360" w:lineRule="auto"/>
      <w:ind w:firstLine="480" w:firstLineChars="200"/>
      <w:jc w:val="both"/>
    </w:pPr>
    <w:rPr>
      <w:rFonts w:eastAsia="仿宋_GB2312" w:cs="宋体"/>
      <w:sz w:val="24"/>
      <w:szCs w:val="24"/>
    </w:rPr>
  </w:style>
  <w:style w:type="paragraph" w:customStyle="1" w:styleId="1947">
    <w:name w:val="正文四号缩进"/>
    <w:basedOn w:val="1"/>
    <w:qFormat/>
    <w:uiPriority w:val="0"/>
    <w:pPr>
      <w:widowControl w:val="0"/>
      <w:spacing w:after="50" w:afterLines="50"/>
      <w:ind w:firstLine="200" w:firstLineChars="200"/>
      <w:jc w:val="both"/>
    </w:pPr>
    <w:rPr>
      <w:rFonts w:ascii="宋体"/>
      <w:spacing w:val="10"/>
      <w:sz w:val="24"/>
      <w:szCs w:val="28"/>
    </w:rPr>
  </w:style>
  <w:style w:type="paragraph" w:customStyle="1" w:styleId="1948">
    <w:name w:val="y2"/>
    <w:basedOn w:val="1"/>
    <w:link w:val="1949"/>
    <w:qFormat/>
    <w:uiPriority w:val="0"/>
    <w:pPr>
      <w:widowControl w:val="0"/>
      <w:ind w:firstLine="200" w:firstLineChars="200"/>
      <w:jc w:val="both"/>
    </w:pPr>
    <w:rPr>
      <w:rFonts w:ascii="宋体"/>
      <w:kern w:val="0"/>
      <w:sz w:val="24"/>
      <w:szCs w:val="24"/>
    </w:rPr>
  </w:style>
  <w:style w:type="character" w:customStyle="1" w:styleId="1949">
    <w:name w:val="y2 Char"/>
    <w:link w:val="1948"/>
    <w:qFormat/>
    <w:uiPriority w:val="0"/>
    <w:rPr>
      <w:rFonts w:ascii="宋体"/>
      <w:sz w:val="24"/>
      <w:szCs w:val="24"/>
    </w:rPr>
  </w:style>
  <w:style w:type="paragraph" w:customStyle="1" w:styleId="1950">
    <w:name w:val="首缩"/>
    <w:basedOn w:val="1"/>
    <w:qFormat/>
    <w:uiPriority w:val="0"/>
    <w:pPr>
      <w:widowControl w:val="0"/>
      <w:adjustRightInd w:val="0"/>
      <w:snapToGrid w:val="0"/>
      <w:spacing w:line="500" w:lineRule="exact"/>
      <w:ind w:firstLine="200" w:firstLineChars="200"/>
      <w:jc w:val="both"/>
    </w:pPr>
    <w:rPr>
      <w:rFonts w:eastAsia="仿宋_GB2312"/>
      <w:snapToGrid w:val="0"/>
      <w:kern w:val="0"/>
      <w:sz w:val="28"/>
    </w:rPr>
  </w:style>
  <w:style w:type="character" w:customStyle="1" w:styleId="1951">
    <w:name w:val="样式 宋体"/>
    <w:qFormat/>
    <w:uiPriority w:val="0"/>
    <w:rPr>
      <w:rFonts w:ascii="宋体" w:hAnsi="宋体" w:eastAsia="楷体_GB2312"/>
      <w:sz w:val="32"/>
    </w:rPr>
  </w:style>
  <w:style w:type="paragraph" w:customStyle="1" w:styleId="1952">
    <w:name w:val="16"/>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953">
    <w:name w:val="Char Char2 Char Char Char Char Char Char"/>
    <w:basedOn w:val="1"/>
    <w:qFormat/>
    <w:uiPriority w:val="0"/>
    <w:pPr>
      <w:widowControl w:val="0"/>
      <w:spacing w:line="360" w:lineRule="auto"/>
      <w:jc w:val="both"/>
    </w:pPr>
    <w:rPr>
      <w:rFonts w:ascii="宋体" w:hAnsi="宋体"/>
      <w:sz w:val="22"/>
      <w:szCs w:val="24"/>
    </w:rPr>
  </w:style>
  <w:style w:type="paragraph" w:customStyle="1" w:styleId="1954">
    <w:name w:val=" Char Char Char Char Char Char Char Char2 Char Char Char Char Char Char Char Char Char Char"/>
    <w:basedOn w:val="1"/>
    <w:next w:val="1"/>
    <w:semiHidden/>
    <w:qFormat/>
    <w:uiPriority w:val="0"/>
    <w:pPr>
      <w:widowControl w:val="0"/>
      <w:spacing w:line="336" w:lineRule="auto"/>
      <w:ind w:firstLine="200" w:firstLineChars="200"/>
      <w:jc w:val="both"/>
    </w:pPr>
    <w:rPr>
      <w:rFonts w:ascii="宋体" w:hAnsi="宋体" w:eastAsia="汉鼎简书宋" w:cs="宋体"/>
      <w:spacing w:val="4"/>
      <w:sz w:val="24"/>
      <w:szCs w:val="24"/>
    </w:rPr>
  </w:style>
  <w:style w:type="paragraph" w:customStyle="1" w:styleId="1955">
    <w:name w:val="表字体1"/>
    <w:basedOn w:val="1"/>
    <w:qFormat/>
    <w:uiPriority w:val="0"/>
    <w:pPr>
      <w:widowControl w:val="0"/>
      <w:jc w:val="center"/>
    </w:pPr>
    <w:rPr>
      <w:rFonts w:ascii="Calibri" w:hAnsi="Calibri" w:eastAsia="宋体" w:cs="Times New Roman"/>
      <w:szCs w:val="21"/>
    </w:rPr>
  </w:style>
  <w:style w:type="character" w:customStyle="1" w:styleId="1956">
    <w:name w:val="访问过的超链接14"/>
    <w:qFormat/>
    <w:uiPriority w:val="0"/>
    <w:rPr>
      <w:rFonts w:hint="default" w:ascii="Times New Roman"/>
      <w:color w:val="800080"/>
      <w:u w:val="single"/>
    </w:rPr>
  </w:style>
  <w:style w:type="character" w:customStyle="1" w:styleId="1957">
    <w:name w:val="Char Char191"/>
    <w:qFormat/>
    <w:uiPriority w:val="0"/>
    <w:rPr>
      <w:rFonts w:ascii="Arial" w:hAnsi="Arial" w:eastAsia="仿宋_GB2312" w:cs="Arial"/>
      <w:b/>
      <w:bCs/>
      <w:kern w:val="2"/>
      <w:sz w:val="44"/>
      <w:szCs w:val="32"/>
      <w:lang w:val="en-US" w:eastAsia="zh-CN" w:bidi="ar-SA"/>
    </w:rPr>
  </w:style>
  <w:style w:type="character" w:customStyle="1" w:styleId="1958">
    <w:name w:val="Char Char201"/>
    <w:qFormat/>
    <w:uiPriority w:val="0"/>
    <w:rPr>
      <w:rFonts w:eastAsia="宋体"/>
      <w:b/>
      <w:bCs/>
      <w:kern w:val="2"/>
      <w:sz w:val="21"/>
      <w:szCs w:val="24"/>
      <w:lang w:val="en-US" w:eastAsia="zh-CN" w:bidi="ar-SA"/>
    </w:rPr>
  </w:style>
  <w:style w:type="character" w:customStyle="1" w:styleId="1959">
    <w:name w:val="Char Char162"/>
    <w:qFormat/>
    <w:uiPriority w:val="0"/>
    <w:rPr>
      <w:rFonts w:eastAsia="宋体"/>
      <w:bCs/>
      <w:kern w:val="44"/>
      <w:sz w:val="44"/>
      <w:szCs w:val="44"/>
      <w:lang w:val="en-US" w:eastAsia="zh-CN" w:bidi="ar-SA"/>
    </w:rPr>
  </w:style>
  <w:style w:type="character" w:customStyle="1" w:styleId="1960">
    <w:name w:val="Char Char112"/>
    <w:qFormat/>
    <w:uiPriority w:val="0"/>
    <w:rPr>
      <w:snapToGrid/>
      <w:sz w:val="24"/>
    </w:rPr>
  </w:style>
  <w:style w:type="character" w:customStyle="1" w:styleId="1961">
    <w:name w:val="Char Char122"/>
    <w:qFormat/>
    <w:uiPriority w:val="0"/>
    <w:rPr>
      <w:snapToGrid/>
      <w:sz w:val="24"/>
    </w:rPr>
  </w:style>
  <w:style w:type="character" w:customStyle="1" w:styleId="1962">
    <w:name w:val="Char Char221"/>
    <w:qFormat/>
    <w:uiPriority w:val="0"/>
    <w:rPr>
      <w:rFonts w:ascii="华文行楷" w:eastAsia="华文行楷"/>
      <w:i/>
      <w:iCs/>
      <w:color w:val="FF0000"/>
      <w:kern w:val="2"/>
      <w:sz w:val="32"/>
      <w:szCs w:val="24"/>
      <w:lang w:val="en-US" w:eastAsia="zh-CN" w:bidi="ar-SA"/>
    </w:rPr>
  </w:style>
  <w:style w:type="character" w:customStyle="1" w:styleId="1963">
    <w:name w:val="Char Char43"/>
    <w:qFormat/>
    <w:uiPriority w:val="0"/>
    <w:rPr>
      <w:kern w:val="2"/>
      <w:sz w:val="18"/>
      <w:szCs w:val="18"/>
    </w:rPr>
  </w:style>
  <w:style w:type="character" w:customStyle="1" w:styleId="1964">
    <w:name w:val="Char Char63"/>
    <w:qFormat/>
    <w:uiPriority w:val="0"/>
    <w:rPr>
      <w:rFonts w:ascii="华文行楷" w:eastAsia="华文行楷"/>
      <w:i/>
      <w:iCs/>
      <w:color w:val="FF0000"/>
      <w:kern w:val="2"/>
      <w:sz w:val="32"/>
      <w:szCs w:val="24"/>
      <w:lang w:val="en-US" w:eastAsia="zh-CN" w:bidi="ar-SA"/>
    </w:rPr>
  </w:style>
  <w:style w:type="character" w:customStyle="1" w:styleId="1965">
    <w:name w:val="Char Char132"/>
    <w:qFormat/>
    <w:uiPriority w:val="0"/>
    <w:rPr>
      <w:rFonts w:eastAsia="宋体"/>
      <w:b/>
      <w:kern w:val="44"/>
      <w:sz w:val="44"/>
      <w:lang w:val="en-US" w:eastAsia="zh-CN"/>
    </w:rPr>
  </w:style>
  <w:style w:type="character" w:customStyle="1" w:styleId="1966">
    <w:name w:val="Char Char51"/>
    <w:qFormat/>
    <w:uiPriority w:val="0"/>
    <w:rPr>
      <w:rFonts w:ascii="宋体" w:hAnsi="Courier New"/>
      <w:snapToGrid/>
      <w:sz w:val="21"/>
    </w:rPr>
  </w:style>
  <w:style w:type="character" w:customStyle="1" w:styleId="1967">
    <w:name w:val="Char Char181"/>
    <w:qFormat/>
    <w:uiPriority w:val="0"/>
    <w:rPr>
      <w:rFonts w:ascii="Arial" w:hAnsi="Arial" w:eastAsia="宋体" w:cs="Arial"/>
      <w:sz w:val="21"/>
      <w:szCs w:val="21"/>
      <w:lang w:val="en-US" w:eastAsia="zh-CN" w:bidi="ar-SA"/>
    </w:rPr>
  </w:style>
  <w:style w:type="character" w:customStyle="1" w:styleId="1968">
    <w:name w:val="Char Char281"/>
    <w:qFormat/>
    <w:uiPriority w:val="0"/>
    <w:rPr>
      <w:rFonts w:ascii="华文行楷" w:eastAsia="华文行楷"/>
      <w:i/>
      <w:iCs/>
      <w:color w:val="FF0000"/>
      <w:kern w:val="2"/>
      <w:sz w:val="32"/>
      <w:szCs w:val="24"/>
      <w:lang w:val="en-US" w:eastAsia="zh-CN" w:bidi="ar-SA"/>
    </w:rPr>
  </w:style>
  <w:style w:type="paragraph" w:customStyle="1" w:styleId="1969">
    <w:name w:val="Char Char3 Char Char Char1 Char4"/>
    <w:basedOn w:val="1"/>
    <w:qFormat/>
    <w:uiPriority w:val="0"/>
    <w:pPr>
      <w:widowControl w:val="0"/>
      <w:jc w:val="both"/>
    </w:pPr>
  </w:style>
  <w:style w:type="paragraph" w:customStyle="1" w:styleId="1970">
    <w:name w:val="z-窗体底端15"/>
    <w:basedOn w:val="1"/>
    <w:next w:val="1"/>
    <w:qFormat/>
    <w:uiPriority w:val="0"/>
    <w:pPr>
      <w:widowControl w:val="0"/>
      <w:pBdr>
        <w:top w:val="single" w:color="auto" w:sz="6" w:space="1"/>
      </w:pBdr>
      <w:jc w:val="center"/>
    </w:pPr>
    <w:rPr>
      <w:rFonts w:hint="eastAsia" w:ascii="Arial" w:hAnsi="Arial"/>
      <w:vanish/>
      <w:sz w:val="16"/>
    </w:rPr>
  </w:style>
  <w:style w:type="paragraph" w:customStyle="1" w:styleId="1971">
    <w:name w:val="Char Char Char Char Char Char1 Char Char Char1 Char Char Char1 Char Char Char Char Char Char Char Char Char Char5"/>
    <w:basedOn w:val="1"/>
    <w:next w:val="1"/>
    <w:qFormat/>
    <w:uiPriority w:val="0"/>
    <w:pPr>
      <w:widowControl w:val="0"/>
      <w:spacing w:line="360" w:lineRule="auto"/>
      <w:ind w:firstLine="200" w:firstLineChars="200"/>
      <w:jc w:val="both"/>
    </w:pPr>
    <w:rPr>
      <w:rFonts w:ascii="楷体_GB2312" w:hAnsi="宋体" w:eastAsia="楷体_GB2312" w:cs="宋体"/>
      <w:sz w:val="24"/>
      <w:szCs w:val="24"/>
    </w:rPr>
  </w:style>
  <w:style w:type="paragraph" w:customStyle="1" w:styleId="1972">
    <w:name w:val="Char Char Char Char5"/>
    <w:basedOn w:val="1"/>
    <w:qFormat/>
    <w:uiPriority w:val="0"/>
    <w:pPr>
      <w:widowControl w:val="0"/>
      <w:jc w:val="both"/>
    </w:pPr>
    <w:rPr>
      <w:sz w:val="24"/>
    </w:rPr>
  </w:style>
  <w:style w:type="paragraph" w:customStyle="1" w:styleId="1973">
    <w:name w:val="Char Char Char Char Char Char5"/>
    <w:basedOn w:val="1"/>
    <w:qFormat/>
    <w:uiPriority w:val="0"/>
    <w:pPr>
      <w:widowControl w:val="0"/>
      <w:jc w:val="both"/>
    </w:pPr>
    <w:rPr>
      <w:szCs w:val="21"/>
    </w:rPr>
  </w:style>
  <w:style w:type="paragraph" w:customStyle="1" w:styleId="1974">
    <w:name w:val="Char Char Char Char Char Char Char Char Char Char4"/>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75">
    <w:name w:val="Char24"/>
    <w:basedOn w:val="1"/>
    <w:qFormat/>
    <w:uiPriority w:val="0"/>
    <w:pPr>
      <w:spacing w:after="160" w:line="240" w:lineRule="exact"/>
    </w:pPr>
    <w:rPr>
      <w:rFonts w:ascii="Verdana" w:hAnsi="Verdana"/>
      <w:kern w:val="0"/>
      <w:sz w:val="20"/>
      <w:lang w:eastAsia="en-US"/>
    </w:rPr>
  </w:style>
  <w:style w:type="paragraph" w:customStyle="1" w:styleId="1976">
    <w:name w:val="标题12"/>
    <w:basedOn w:val="1"/>
    <w:qFormat/>
    <w:uiPriority w:val="0"/>
    <w:pPr>
      <w:widowControl w:val="0"/>
      <w:adjustRightInd w:val="0"/>
      <w:ind w:left="210" w:hanging="210"/>
      <w:textAlignment w:val="baseline"/>
    </w:pPr>
    <w:rPr>
      <w:kern w:val="0"/>
      <w:sz w:val="24"/>
    </w:rPr>
  </w:style>
  <w:style w:type="paragraph" w:customStyle="1" w:styleId="1977">
    <w:name w:val="Char Char Char Char Char Char Char4"/>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78">
    <w:name w:val="日期14"/>
    <w:basedOn w:val="1"/>
    <w:next w:val="1"/>
    <w:qFormat/>
    <w:uiPriority w:val="0"/>
    <w:pPr>
      <w:widowControl w:val="0"/>
      <w:adjustRightInd w:val="0"/>
      <w:jc w:val="both"/>
      <w:textAlignment w:val="baseline"/>
    </w:pPr>
    <w:rPr>
      <w:rFonts w:ascii="宋体"/>
    </w:rPr>
  </w:style>
  <w:style w:type="paragraph" w:customStyle="1" w:styleId="1979">
    <w:name w:val="Char Char Char Char Char Char Char Char Char4"/>
    <w:basedOn w:val="1"/>
    <w:qFormat/>
    <w:uiPriority w:val="0"/>
    <w:pPr>
      <w:spacing w:line="500" w:lineRule="exact"/>
      <w:ind w:firstLine="200" w:firstLineChars="200"/>
    </w:pPr>
    <w:rPr>
      <w:rFonts w:ascii="Verdana" w:hAnsi="Verdana"/>
      <w:kern w:val="0"/>
      <w:sz w:val="24"/>
      <w:szCs w:val="24"/>
      <w:lang w:eastAsia="en-US"/>
    </w:rPr>
  </w:style>
  <w:style w:type="paragraph" w:customStyle="1" w:styleId="1980">
    <w:name w:val="Char Char1 Char5"/>
    <w:basedOn w:val="1"/>
    <w:qFormat/>
    <w:uiPriority w:val="0"/>
    <w:pPr>
      <w:widowControl w:val="0"/>
      <w:jc w:val="both"/>
    </w:pPr>
    <w:rPr>
      <w:szCs w:val="24"/>
    </w:rPr>
  </w:style>
  <w:style w:type="paragraph" w:customStyle="1" w:styleId="1981">
    <w:name w:val="正文文本缩进14"/>
    <w:basedOn w:val="1"/>
    <w:qFormat/>
    <w:uiPriority w:val="0"/>
    <w:pPr>
      <w:widowControl w:val="0"/>
      <w:spacing w:after="120"/>
      <w:ind w:left="420" w:leftChars="200"/>
      <w:jc w:val="both"/>
    </w:pPr>
    <w:rPr>
      <w:rFonts w:hint="eastAsia"/>
    </w:rPr>
  </w:style>
  <w:style w:type="paragraph" w:customStyle="1" w:styleId="1982">
    <w:name w:val="Char Char Char Char Char Char Char Char Char Char Char Char4"/>
    <w:basedOn w:val="1"/>
    <w:qFormat/>
    <w:uiPriority w:val="0"/>
    <w:pPr>
      <w:widowControl w:val="0"/>
      <w:adjustRightInd w:val="0"/>
      <w:spacing w:line="360" w:lineRule="auto"/>
      <w:ind w:firstLine="540" w:firstLineChars="225"/>
    </w:pPr>
    <w:rPr>
      <w:rFonts w:ascii="宋体" w:hAnsi="宋体" w:cs="Arial"/>
      <w:snapToGrid w:val="0"/>
      <w:kern w:val="0"/>
      <w:szCs w:val="21"/>
      <w:lang w:val="eu-ES"/>
    </w:rPr>
  </w:style>
  <w:style w:type="paragraph" w:customStyle="1" w:styleId="1983">
    <w:name w:val="字元 字元 Char Char 字元 字元15"/>
    <w:basedOn w:val="1"/>
    <w:qFormat/>
    <w:uiPriority w:val="0"/>
    <w:pPr>
      <w:widowControl w:val="0"/>
      <w:jc w:val="both"/>
    </w:pPr>
    <w:rPr>
      <w:sz w:val="24"/>
      <w:szCs w:val="24"/>
    </w:rPr>
  </w:style>
  <w:style w:type="paragraph" w:customStyle="1" w:styleId="1984">
    <w:name w:val="z-窗体顶端15"/>
    <w:basedOn w:val="1"/>
    <w:next w:val="1"/>
    <w:qFormat/>
    <w:uiPriority w:val="0"/>
    <w:pPr>
      <w:widowControl w:val="0"/>
      <w:pBdr>
        <w:bottom w:val="single" w:color="auto" w:sz="6" w:space="1"/>
      </w:pBdr>
      <w:jc w:val="center"/>
    </w:pPr>
    <w:rPr>
      <w:rFonts w:hint="eastAsia" w:ascii="Arial" w:hAnsi="Arial"/>
      <w:vanish/>
      <w:sz w:val="16"/>
    </w:rPr>
  </w:style>
  <w:style w:type="paragraph" w:customStyle="1" w:styleId="1985">
    <w:name w:val="Char Char1 Char Char Char Char Char Char Char4"/>
    <w:basedOn w:val="1"/>
    <w:qFormat/>
    <w:uiPriority w:val="0"/>
    <w:pPr>
      <w:widowControl w:val="0"/>
      <w:jc w:val="both"/>
    </w:pPr>
    <w:rPr>
      <w:szCs w:val="24"/>
    </w:rPr>
  </w:style>
  <w:style w:type="paragraph" w:customStyle="1" w:styleId="1986">
    <w:name w:val="z-窗体底端14"/>
    <w:basedOn w:val="1"/>
    <w:next w:val="1"/>
    <w:qFormat/>
    <w:uiPriority w:val="0"/>
    <w:pPr>
      <w:widowControl w:val="0"/>
      <w:pBdr>
        <w:top w:val="single" w:color="auto" w:sz="6" w:space="1"/>
      </w:pBdr>
      <w:jc w:val="center"/>
    </w:pPr>
    <w:rPr>
      <w:rFonts w:hint="eastAsia" w:ascii="Arial" w:hAnsi="Arial"/>
      <w:vanish/>
      <w:sz w:val="16"/>
    </w:rPr>
  </w:style>
  <w:style w:type="paragraph" w:customStyle="1" w:styleId="1987">
    <w:name w:val="z-窗体顶端14"/>
    <w:basedOn w:val="1"/>
    <w:next w:val="1"/>
    <w:qFormat/>
    <w:uiPriority w:val="0"/>
    <w:pPr>
      <w:widowControl w:val="0"/>
      <w:pBdr>
        <w:bottom w:val="single" w:color="auto" w:sz="6" w:space="1"/>
      </w:pBdr>
      <w:jc w:val="center"/>
    </w:pPr>
    <w:rPr>
      <w:rFonts w:hint="eastAsia" w:ascii="Arial" w:hAnsi="Arial"/>
      <w:vanish/>
      <w:sz w:val="16"/>
    </w:rPr>
  </w:style>
  <w:style w:type="paragraph" w:customStyle="1" w:styleId="1988">
    <w:name w:val="Char Char Char1 Char4"/>
    <w:basedOn w:val="1"/>
    <w:qFormat/>
    <w:uiPriority w:val="0"/>
    <w:pPr>
      <w:widowControl w:val="0"/>
      <w:jc w:val="both"/>
    </w:pPr>
    <w:rPr>
      <w:szCs w:val="24"/>
    </w:rPr>
  </w:style>
  <w:style w:type="paragraph" w:customStyle="1" w:styleId="1989">
    <w:name w:val="Char Char Char Char Char Char Char Char Char Char Char Char Char4"/>
    <w:basedOn w:val="1"/>
    <w:qFormat/>
    <w:uiPriority w:val="0"/>
    <w:pPr>
      <w:widowControl w:val="0"/>
      <w:adjustRightInd w:val="0"/>
      <w:spacing w:line="360" w:lineRule="auto"/>
      <w:ind w:firstLine="540" w:firstLineChars="225"/>
    </w:pPr>
    <w:rPr>
      <w:rFonts w:ascii="宋体" w:hAnsi="宋体"/>
      <w:snapToGrid w:val="0"/>
      <w:kern w:val="0"/>
      <w:lang w:val="eu-ES"/>
    </w:rPr>
  </w:style>
  <w:style w:type="paragraph" w:customStyle="1" w:styleId="1990">
    <w:name w:val="Char Char1 Char Char Char Char Char Char Char Char Char Char Char Char Char Char Char Char Char Char Char Char1 Char5"/>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1">
    <w:name w:val="Char Char Char Char Char Char1 Char5"/>
    <w:basedOn w:val="1"/>
    <w:qFormat/>
    <w:uiPriority w:val="0"/>
    <w:pPr>
      <w:widowControl w:val="0"/>
      <w:jc w:val="both"/>
    </w:pPr>
    <w:rPr>
      <w:sz w:val="24"/>
      <w:szCs w:val="24"/>
    </w:rPr>
  </w:style>
  <w:style w:type="paragraph" w:customStyle="1" w:styleId="1992">
    <w:name w:val="Char15"/>
    <w:basedOn w:val="1"/>
    <w:qFormat/>
    <w:uiPriority w:val="0"/>
    <w:pPr>
      <w:widowControl w:val="0"/>
      <w:spacing w:line="360" w:lineRule="auto"/>
      <w:ind w:firstLine="200" w:firstLineChars="200"/>
      <w:jc w:val="both"/>
    </w:pPr>
  </w:style>
  <w:style w:type="paragraph" w:customStyle="1" w:styleId="1993">
    <w:name w:val="Char45"/>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4">
    <w:name w:val="Char Char Char4"/>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5">
    <w:name w:val="Char Char Char Char Char Char Char Char3"/>
    <w:basedOn w:val="1"/>
    <w:qFormat/>
    <w:uiPriority w:val="0"/>
    <w:pPr>
      <w:widowControl w:val="0"/>
      <w:jc w:val="both"/>
    </w:pPr>
    <w:rPr>
      <w:sz w:val="24"/>
      <w:szCs w:val="24"/>
    </w:rPr>
  </w:style>
  <w:style w:type="paragraph" w:customStyle="1" w:styleId="1996">
    <w:name w:val="Char Char Char Char Char Char Char Char Char1 Char Char Char1 Char Char Char Char Char Char Char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7">
    <w:name w:val="Char1 Char Char Char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8">
    <w:name w:val="Char Char Char1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1999">
    <w:name w:val="Char3 Char Char Char Char Char Char3"/>
    <w:basedOn w:val="1"/>
    <w:qFormat/>
    <w:uiPriority w:val="0"/>
    <w:pPr>
      <w:widowControl w:val="0"/>
      <w:jc w:val="both"/>
    </w:pPr>
    <w:rPr>
      <w:szCs w:val="21"/>
    </w:rPr>
  </w:style>
  <w:style w:type="paragraph" w:customStyle="1" w:styleId="2000">
    <w:name w:val="Char Char Char1 Char Char Char Char Char Char Char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2001">
    <w:name w:val="正文文本缩进 213"/>
    <w:basedOn w:val="1"/>
    <w:qFormat/>
    <w:uiPriority w:val="0"/>
    <w:pPr>
      <w:widowControl w:val="0"/>
      <w:adjustRightInd w:val="0"/>
      <w:spacing w:after="120" w:line="480" w:lineRule="auto"/>
      <w:ind w:left="420"/>
      <w:jc w:val="both"/>
      <w:textAlignment w:val="baseline"/>
    </w:pPr>
    <w:rPr>
      <w:sz w:val="28"/>
    </w:rPr>
  </w:style>
  <w:style w:type="paragraph" w:customStyle="1" w:styleId="2002">
    <w:name w:val="Char Char Char Char Char Char Char Char Char Char Char1 Char3"/>
    <w:basedOn w:val="1"/>
    <w:qFormat/>
    <w:uiPriority w:val="0"/>
    <w:pPr>
      <w:widowControl w:val="0"/>
      <w:jc w:val="both"/>
    </w:pPr>
    <w:rPr>
      <w:sz w:val="24"/>
      <w:szCs w:val="24"/>
    </w:rPr>
  </w:style>
  <w:style w:type="paragraph" w:customStyle="1" w:styleId="2003">
    <w:name w:val="Char Char Char1 Char Char Char Char Char Char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2004">
    <w:name w:val="正文文本缩进 313"/>
    <w:basedOn w:val="1"/>
    <w:qFormat/>
    <w:uiPriority w:val="0"/>
    <w:pPr>
      <w:widowControl w:val="0"/>
      <w:adjustRightInd w:val="0"/>
      <w:ind w:firstLine="538"/>
      <w:jc w:val="both"/>
      <w:textAlignment w:val="baseline"/>
    </w:pPr>
    <w:rPr>
      <w:rFonts w:ascii="仿宋_GB2312" w:hAnsi="宋体" w:eastAsia="仿宋_GB2312"/>
      <w:kern w:val="28"/>
      <w:sz w:val="28"/>
    </w:rPr>
  </w:style>
  <w:style w:type="paragraph" w:customStyle="1" w:styleId="2005">
    <w:name w:val="Char Char Char Char Char Char Char Char Char1 Char Char Char1 Char Char Char Char3"/>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2006">
    <w:name w:val="Char Char Char Char Char Char Char Char Char Char Char Char Char Char Char Char3"/>
    <w:basedOn w:val="1"/>
    <w:qFormat/>
    <w:uiPriority w:val="0"/>
    <w:pPr>
      <w:widowControl w:val="0"/>
      <w:spacing w:line="360" w:lineRule="auto"/>
      <w:ind w:firstLine="200" w:firstLineChars="200"/>
      <w:jc w:val="both"/>
    </w:pPr>
    <w:rPr>
      <w:rFonts w:ascii="宋体" w:hAnsi="宋体" w:cs="宋体"/>
      <w:sz w:val="24"/>
      <w:szCs w:val="28"/>
    </w:rPr>
  </w:style>
  <w:style w:type="paragraph" w:customStyle="1" w:styleId="2007">
    <w:name w:val="正文43"/>
    <w:basedOn w:val="1"/>
    <w:qFormat/>
    <w:uiPriority w:val="0"/>
    <w:pPr>
      <w:widowControl w:val="0"/>
      <w:adjustRightInd w:val="0"/>
      <w:spacing w:line="480" w:lineRule="exact"/>
      <w:jc w:val="both"/>
      <w:textAlignment w:val="baseline"/>
    </w:pPr>
    <w:rPr>
      <w:spacing w:val="-2"/>
      <w:kern w:val="0"/>
      <w:sz w:val="28"/>
    </w:rPr>
  </w:style>
  <w:style w:type="paragraph" w:customStyle="1" w:styleId="2008">
    <w:name w:val="正文首行缩进13"/>
    <w:basedOn w:val="3"/>
    <w:qFormat/>
    <w:uiPriority w:val="0"/>
    <w:pPr>
      <w:widowControl w:val="0"/>
      <w:ind w:firstLine="420"/>
      <w:jc w:val="both"/>
    </w:pPr>
    <w:rPr>
      <w:rFonts w:ascii="Calibri" w:hAnsi="Calibri" w:cs="Mangal"/>
      <w:sz w:val="24"/>
      <w:szCs w:val="22"/>
    </w:rPr>
  </w:style>
  <w:style w:type="paragraph" w:customStyle="1" w:styleId="2009">
    <w:name w:val="正文51"/>
    <w:basedOn w:val="1"/>
    <w:qFormat/>
    <w:uiPriority w:val="0"/>
    <w:pPr>
      <w:widowControl w:val="0"/>
      <w:adjustRightInd w:val="0"/>
      <w:spacing w:line="480" w:lineRule="exact"/>
      <w:jc w:val="both"/>
      <w:textAlignment w:val="baseline"/>
    </w:pPr>
    <w:rPr>
      <w:spacing w:val="-2"/>
      <w:kern w:val="0"/>
      <w:sz w:val="28"/>
    </w:rPr>
  </w:style>
  <w:style w:type="paragraph" w:customStyle="1" w:styleId="2010">
    <w:name w:val="列出段落11"/>
    <w:basedOn w:val="1"/>
    <w:qFormat/>
    <w:uiPriority w:val="0"/>
    <w:pPr>
      <w:widowControl w:val="0"/>
      <w:ind w:firstLine="420" w:firstLineChars="200"/>
      <w:jc w:val="both"/>
    </w:pPr>
    <w:rPr>
      <w:rFonts w:ascii="Calibri" w:hAnsi="Calibri"/>
      <w:szCs w:val="22"/>
    </w:rPr>
  </w:style>
  <w:style w:type="paragraph" w:customStyle="1" w:styleId="2011">
    <w:name w:val="纯文本11"/>
    <w:basedOn w:val="1"/>
    <w:qFormat/>
    <w:uiPriority w:val="0"/>
    <w:pPr>
      <w:widowControl w:val="0"/>
      <w:adjustRightInd w:val="0"/>
      <w:jc w:val="both"/>
      <w:textAlignment w:val="baseline"/>
    </w:pPr>
    <w:rPr>
      <w:rFonts w:ascii="宋体" w:hAnsi="Courier New"/>
    </w:rPr>
  </w:style>
  <w:style w:type="paragraph" w:customStyle="1" w:styleId="2012">
    <w:name w:val="正文文本 221"/>
    <w:basedOn w:val="1"/>
    <w:qFormat/>
    <w:uiPriority w:val="0"/>
    <w:pPr>
      <w:widowControl w:val="0"/>
      <w:tabs>
        <w:tab w:val="left" w:pos="567"/>
      </w:tabs>
      <w:adjustRightInd w:val="0"/>
      <w:spacing w:line="410" w:lineRule="atLeast"/>
      <w:ind w:firstLine="480"/>
      <w:jc w:val="both"/>
      <w:textAlignment w:val="baseline"/>
    </w:pPr>
    <w:rPr>
      <w:rFonts w:ascii="宋体"/>
      <w:kern w:val="0"/>
      <w:sz w:val="24"/>
    </w:rPr>
  </w:style>
  <w:style w:type="paragraph" w:customStyle="1" w:styleId="2013">
    <w:name w:val="Char Char Char Char Char Char Char Char Char Char Char Char1 Char Char Char Char2"/>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2014">
    <w:name w:val="Char4 Char Char Char2"/>
    <w:basedOn w:val="1"/>
    <w:qFormat/>
    <w:uiPriority w:val="0"/>
    <w:pPr>
      <w:widowControl w:val="0"/>
      <w:adjustRightInd w:val="0"/>
      <w:snapToGrid w:val="0"/>
      <w:spacing w:line="360" w:lineRule="auto"/>
      <w:ind w:firstLine="200" w:firstLineChars="200"/>
      <w:jc w:val="both"/>
    </w:pPr>
    <w:rPr>
      <w:rFonts w:ascii="宋体" w:hAnsi="宋体" w:cs="宋体"/>
      <w:sz w:val="24"/>
      <w:szCs w:val="26"/>
    </w:rPr>
  </w:style>
  <w:style w:type="paragraph" w:customStyle="1" w:styleId="2015">
    <w:name w:val="Char Char4 Char Char2"/>
    <w:basedOn w:val="1"/>
    <w:qFormat/>
    <w:uiPriority w:val="0"/>
    <w:pPr>
      <w:widowControl w:val="0"/>
      <w:spacing w:line="360" w:lineRule="auto"/>
      <w:ind w:firstLine="200" w:firstLineChars="200"/>
      <w:jc w:val="both"/>
    </w:pPr>
    <w:rPr>
      <w:szCs w:val="24"/>
    </w:rPr>
  </w:style>
  <w:style w:type="paragraph" w:customStyle="1" w:styleId="2016">
    <w:name w:val="Char Char1 Char Char Char Char2"/>
    <w:basedOn w:val="1"/>
    <w:qFormat/>
    <w:uiPriority w:val="0"/>
    <w:pPr>
      <w:widowControl w:val="0"/>
      <w:jc w:val="both"/>
    </w:pPr>
  </w:style>
  <w:style w:type="paragraph" w:customStyle="1" w:styleId="2017">
    <w:name w:val="Char Char3 Char Char2"/>
    <w:basedOn w:val="1"/>
    <w:qFormat/>
    <w:uiPriority w:val="0"/>
    <w:pPr>
      <w:spacing w:after="160" w:line="240" w:lineRule="exact"/>
    </w:pPr>
    <w:rPr>
      <w:szCs w:val="24"/>
    </w:rPr>
  </w:style>
  <w:style w:type="paragraph" w:customStyle="1" w:styleId="2018">
    <w:name w:val="Char Char Char Char Char Char1 Char Char Char Char2"/>
    <w:basedOn w:val="1"/>
    <w:qFormat/>
    <w:uiPriority w:val="0"/>
    <w:pPr>
      <w:spacing w:after="160" w:line="240" w:lineRule="exact"/>
    </w:pPr>
    <w:rPr>
      <w:rFonts w:ascii="Arial" w:hAnsi="Arial" w:eastAsia="Times New Roman" w:cs="Verdana"/>
      <w:b/>
      <w:kern w:val="0"/>
      <w:sz w:val="24"/>
      <w:szCs w:val="24"/>
      <w:lang w:eastAsia="en-US"/>
    </w:rPr>
  </w:style>
  <w:style w:type="character" w:customStyle="1" w:styleId="2019">
    <w:name w:val="font01"/>
    <w:qFormat/>
    <w:uiPriority w:val="0"/>
    <w:rPr>
      <w:rFonts w:hint="eastAsia" w:ascii="宋体" w:hAnsi="宋体" w:eastAsia="宋体" w:cs="宋体"/>
      <w:color w:val="000000"/>
      <w:sz w:val="24"/>
      <w:szCs w:val="24"/>
      <w:u w:val="none"/>
    </w:rPr>
  </w:style>
  <w:style w:type="paragraph" w:customStyle="1" w:styleId="2020">
    <w:name w:val="Char Char Char Char6"/>
    <w:basedOn w:val="1"/>
    <w:qFormat/>
    <w:uiPriority w:val="0"/>
    <w:pPr>
      <w:widowControl w:val="0"/>
      <w:jc w:val="both"/>
    </w:pPr>
  </w:style>
  <w:style w:type="paragraph" w:customStyle="1" w:styleId="2021">
    <w:name w:val="Char Char Char Char7"/>
    <w:basedOn w:val="1"/>
    <w:qFormat/>
    <w:uiPriority w:val="0"/>
    <w:pPr>
      <w:widowControl w:val="0"/>
      <w:jc w:val="both"/>
    </w:pPr>
  </w:style>
  <w:style w:type="paragraph" w:customStyle="1" w:styleId="2022">
    <w:name w:val="Char Char Char Char8"/>
    <w:basedOn w:val="1"/>
    <w:qFormat/>
    <w:uiPriority w:val="0"/>
    <w:pPr>
      <w:widowControl w:val="0"/>
      <w:jc w:val="both"/>
    </w:pPr>
  </w:style>
  <w:style w:type="paragraph" w:customStyle="1" w:styleId="2023">
    <w:name w:val="Char46"/>
    <w:basedOn w:val="1"/>
    <w:qFormat/>
    <w:uiPriority w:val="0"/>
    <w:pPr>
      <w:widowControl w:val="0"/>
      <w:spacing w:line="360" w:lineRule="auto"/>
      <w:ind w:firstLine="200" w:firstLineChars="200"/>
      <w:jc w:val="both"/>
    </w:pPr>
  </w:style>
  <w:style w:type="character" w:customStyle="1" w:styleId="2024">
    <w:name w:val="不明显参考11"/>
    <w:qFormat/>
    <w:uiPriority w:val="31"/>
    <w:rPr>
      <w:smallCaps/>
      <w:color w:val="C0504D"/>
      <w:u w:val="single"/>
    </w:rPr>
  </w:style>
  <w:style w:type="paragraph" w:customStyle="1" w:styleId="2025">
    <w:name w:val="TOC 标题11"/>
    <w:basedOn w:val="7"/>
    <w:next w:val="1"/>
    <w:qFormat/>
    <w:uiPriority w:val="0"/>
    <w:pPr>
      <w:spacing w:before="480" w:after="0" w:line="276" w:lineRule="auto"/>
      <w:outlineLvl w:val="9"/>
    </w:pPr>
    <w:rPr>
      <w:rFonts w:ascii="Cambria" w:hAnsi="Cambria"/>
      <w:bCs/>
      <w:color w:val="365F91"/>
      <w:kern w:val="0"/>
      <w:sz w:val="28"/>
      <w:szCs w:val="28"/>
    </w:rPr>
  </w:style>
  <w:style w:type="paragraph" w:customStyle="1" w:styleId="2026">
    <w:name w:val="Char47"/>
    <w:basedOn w:val="1"/>
    <w:qFormat/>
    <w:uiPriority w:val="0"/>
    <w:pPr>
      <w:widowControl w:val="0"/>
      <w:spacing w:line="360" w:lineRule="auto"/>
      <w:ind w:firstLine="200" w:firstLineChars="200"/>
      <w:jc w:val="both"/>
    </w:pPr>
  </w:style>
  <w:style w:type="paragraph" w:customStyle="1" w:styleId="2027">
    <w:name w:val="Char48"/>
    <w:basedOn w:val="1"/>
    <w:qFormat/>
    <w:uiPriority w:val="0"/>
    <w:pPr>
      <w:widowControl w:val="0"/>
      <w:spacing w:line="360" w:lineRule="auto"/>
      <w:ind w:firstLine="200" w:firstLineChars="200"/>
      <w:jc w:val="both"/>
    </w:pPr>
  </w:style>
  <w:style w:type="paragraph" w:customStyle="1" w:styleId="2028">
    <w:name w:val="表格文本"/>
    <w:basedOn w:val="1"/>
    <w:link w:val="2029"/>
    <w:qFormat/>
    <w:uiPriority w:val="0"/>
    <w:pPr>
      <w:widowControl w:val="0"/>
      <w:jc w:val="center"/>
    </w:pPr>
    <w:rPr>
      <w:bCs/>
      <w:szCs w:val="21"/>
    </w:rPr>
  </w:style>
  <w:style w:type="character" w:customStyle="1" w:styleId="2029">
    <w:name w:val="表格文本 字符"/>
    <w:link w:val="2028"/>
    <w:qFormat/>
    <w:uiPriority w:val="0"/>
    <w:rPr>
      <w:bCs/>
      <w:kern w:val="2"/>
      <w:sz w:val="21"/>
      <w:szCs w:val="21"/>
    </w:rPr>
  </w:style>
  <w:style w:type="paragraph" w:customStyle="1" w:styleId="2030">
    <w:name w:val="表格标题智汇元"/>
    <w:basedOn w:val="1"/>
    <w:link w:val="2031"/>
    <w:qFormat/>
    <w:uiPriority w:val="0"/>
    <w:pPr>
      <w:keepNext/>
      <w:spacing w:before="50" w:beforeLines="50"/>
      <w:jc w:val="center"/>
    </w:pPr>
    <w:rPr>
      <w:rFonts w:eastAsia="黑体"/>
      <w:sz w:val="24"/>
      <w:szCs w:val="22"/>
    </w:rPr>
  </w:style>
  <w:style w:type="character" w:customStyle="1" w:styleId="2031">
    <w:name w:val="表格标题智汇元 字符"/>
    <w:link w:val="2030"/>
    <w:qFormat/>
    <w:uiPriority w:val="0"/>
    <w:rPr>
      <w:rFonts w:eastAsia="黑体"/>
      <w:kern w:val="2"/>
      <w:sz w:val="24"/>
      <w:szCs w:val="22"/>
    </w:rPr>
  </w:style>
  <w:style w:type="table" w:customStyle="1" w:styleId="2032">
    <w:name w:val="三线格"/>
    <w:basedOn w:val="92"/>
    <w:qFormat/>
    <w:uiPriority w:val="99"/>
    <w:pPr>
      <w:jc w:val="center"/>
    </w:pPr>
    <w:rPr>
      <w:rFonts w:ascii="Calibri" w:hAnsi="Calibri"/>
    </w:rPr>
    <w:tblPr>
      <w:tblBorders>
        <w:top w:val="single" w:color="auto" w:sz="12" w:space="0"/>
        <w:bottom w:val="single" w:color="auto" w:sz="12" w:space="0"/>
        <w:insideH w:val="single" w:color="auto" w:sz="8" w:space="0"/>
        <w:insideV w:val="single" w:color="auto" w:sz="8" w:space="0"/>
      </w:tblBorders>
    </w:tblPr>
    <w:tcPr>
      <w:vAlign w:val="center"/>
    </w:tcPr>
    <w:tblStylePr w:type="firstRow">
      <w:pPr>
        <w:jc w:val="center"/>
      </w:pPr>
      <w:tcPr>
        <w:tcBorders>
          <w:top w:val="single" w:color="000000" w:sz="12" w:space="0"/>
          <w:left w:val="single" w:color="000000" w:sz="12" w:space="0"/>
          <w:bottom w:val="nil"/>
          <w:right w:val="nil"/>
          <w:insideH w:val="single" w:sz="4" w:space="0"/>
          <w:insideV w:val="single" w:sz="4" w:space="0"/>
          <w:tl2br w:val="nil"/>
          <w:tr2bl w:val="nil"/>
        </w:tcBorders>
      </w:tcPr>
    </w:tblStylePr>
  </w:style>
  <w:style w:type="paragraph" w:customStyle="1" w:styleId="2033">
    <w:name w:val="_Style 1"/>
    <w:basedOn w:val="1"/>
    <w:qFormat/>
    <w:uiPriority w:val="1"/>
    <w:rPr>
      <w:kern w:val="0"/>
      <w:sz w:val="24"/>
      <w:szCs w:val="32"/>
    </w:rPr>
  </w:style>
  <w:style w:type="character" w:customStyle="1" w:styleId="2034">
    <w:name w:val="p21"/>
    <w:qFormat/>
    <w:uiPriority w:val="0"/>
    <w:rPr>
      <w:sz w:val="18"/>
      <w:szCs w:val="18"/>
    </w:rPr>
  </w:style>
  <w:style w:type="character" w:customStyle="1" w:styleId="2035">
    <w:name w:val="xiao1"/>
    <w:qFormat/>
    <w:uiPriority w:val="0"/>
    <w:rPr>
      <w:sz w:val="18"/>
      <w:szCs w:val="18"/>
    </w:rPr>
  </w:style>
  <w:style w:type="character" w:customStyle="1" w:styleId="2036">
    <w:name w:val="Char Char7"/>
    <w:qFormat/>
    <w:uiPriority w:val="0"/>
    <w:rPr>
      <w:rFonts w:ascii="宋体" w:hAnsi="宋体"/>
      <w:kern w:val="2"/>
      <w:sz w:val="24"/>
      <w:szCs w:val="24"/>
    </w:rPr>
  </w:style>
  <w:style w:type="character" w:customStyle="1" w:styleId="2037">
    <w:name w:val="样式3 Char"/>
    <w:qFormat/>
    <w:uiPriority w:val="0"/>
    <w:rPr>
      <w:rFonts w:eastAsia="宋体"/>
      <w:kern w:val="2"/>
      <w:sz w:val="18"/>
      <w:szCs w:val="18"/>
      <w:lang w:val="en-US" w:eastAsia="zh-CN" w:bidi="ar-SA"/>
    </w:rPr>
  </w:style>
  <w:style w:type="character" w:customStyle="1" w:styleId="2038">
    <w:name w:val="h3 Char Char"/>
    <w:qFormat/>
    <w:uiPriority w:val="0"/>
    <w:rPr>
      <w:rFonts w:eastAsia="宋体"/>
      <w:sz w:val="24"/>
      <w:lang w:val="en-US" w:eastAsia="zh-CN" w:bidi="ar-SA"/>
    </w:rPr>
  </w:style>
  <w:style w:type="character" w:customStyle="1" w:styleId="2039">
    <w:name w:val="Char Char10"/>
    <w:qFormat/>
    <w:uiPriority w:val="0"/>
    <w:rPr>
      <w:rFonts w:eastAsia="宋体"/>
      <w:kern w:val="2"/>
      <w:sz w:val="21"/>
      <w:szCs w:val="24"/>
      <w:lang w:val="en-US" w:eastAsia="zh-CN" w:bidi="ar-SA"/>
    </w:rPr>
  </w:style>
  <w:style w:type="character" w:customStyle="1" w:styleId="2040">
    <w:name w:val="项标题(1) Char"/>
    <w:qFormat/>
    <w:uiPriority w:val="0"/>
    <w:rPr>
      <w:rFonts w:ascii="宋体" w:hAnsi="Tms Rmn" w:eastAsia="宋体"/>
      <w:b/>
      <w:kern w:val="2"/>
      <w:sz w:val="24"/>
      <w:lang w:val="en-US" w:eastAsia="zh-CN" w:bidi="ar-SA"/>
    </w:rPr>
  </w:style>
  <w:style w:type="character" w:customStyle="1" w:styleId="2041">
    <w:name w:val="Char Char9"/>
    <w:qFormat/>
    <w:uiPriority w:val="0"/>
    <w:rPr>
      <w:kern w:val="2"/>
      <w:sz w:val="18"/>
      <w:szCs w:val="18"/>
    </w:rPr>
  </w:style>
  <w:style w:type="character" w:customStyle="1" w:styleId="2042">
    <w:name w:val="9css21"/>
    <w:qFormat/>
    <w:uiPriority w:val="0"/>
    <w:rPr>
      <w:spacing w:val="268"/>
      <w:sz w:val="20"/>
      <w:szCs w:val="20"/>
    </w:rPr>
  </w:style>
  <w:style w:type="character" w:customStyle="1" w:styleId="2043">
    <w:name w:val="ttitle1"/>
    <w:qFormat/>
    <w:uiPriority w:val="0"/>
    <w:rPr>
      <w:spacing w:val="120"/>
      <w:sz w:val="21"/>
      <w:szCs w:val="21"/>
    </w:rPr>
  </w:style>
  <w:style w:type="character" w:customStyle="1" w:styleId="2044">
    <w:name w:val="H8 Char"/>
    <w:qFormat/>
    <w:uiPriority w:val="0"/>
    <w:rPr>
      <w:rFonts w:ascii="Arial" w:hAnsi="Arial" w:eastAsia="黑体"/>
      <w:kern w:val="2"/>
      <w:sz w:val="24"/>
      <w:lang w:val="en-US" w:eastAsia="zh-CN" w:bidi="ar-SA"/>
    </w:rPr>
  </w:style>
  <w:style w:type="character" w:customStyle="1" w:styleId="2045">
    <w:name w:val="Char Char8"/>
    <w:qFormat/>
    <w:uiPriority w:val="0"/>
    <w:rPr>
      <w:kern w:val="2"/>
      <w:sz w:val="18"/>
      <w:szCs w:val="18"/>
    </w:rPr>
  </w:style>
  <w:style w:type="character" w:customStyle="1" w:styleId="2046">
    <w:name w:val="title9"/>
    <w:qFormat/>
    <w:uiPriority w:val="0"/>
  </w:style>
  <w:style w:type="character" w:customStyle="1" w:styleId="2047">
    <w:name w:val="纯文本 Char Char Char Char1"/>
    <w:qFormat/>
    <w:uiPriority w:val="0"/>
    <w:rPr>
      <w:rFonts w:ascii="宋体" w:hAnsi="Courier New" w:eastAsia="仿宋_GB2312"/>
      <w:kern w:val="2"/>
      <w:sz w:val="24"/>
      <w:lang w:val="en-US" w:eastAsia="zh-CN" w:bidi="ar-SA"/>
    </w:rPr>
  </w:style>
  <w:style w:type="character" w:customStyle="1" w:styleId="2048">
    <w:name w:val="count3"/>
    <w:qFormat/>
    <w:uiPriority w:val="0"/>
  </w:style>
  <w:style w:type="paragraph" w:customStyle="1" w:styleId="2049">
    <w:name w:val="注×："/>
    <w:qFormat/>
    <w:uiPriority w:val="0"/>
    <w:pPr>
      <w:widowControl w:val="0"/>
      <w:tabs>
        <w:tab w:val="left" w:pos="630"/>
      </w:tabs>
      <w:autoSpaceDE w:val="0"/>
      <w:autoSpaceDN w:val="0"/>
      <w:ind w:left="900" w:hanging="500"/>
      <w:jc w:val="both"/>
    </w:pPr>
    <w:rPr>
      <w:rFonts w:ascii="宋体" w:hAnsi="Times New Roman" w:eastAsia="宋体" w:cs="Times New Roman"/>
      <w:sz w:val="18"/>
      <w:lang w:val="en-US" w:eastAsia="zh-CN" w:bidi="ar-SA"/>
    </w:rPr>
  </w:style>
  <w:style w:type="character" w:customStyle="1" w:styleId="2050">
    <w:name w:val="表格1 Char Char"/>
    <w:qFormat/>
    <w:uiPriority w:val="0"/>
    <w:rPr>
      <w:rFonts w:ascii="Arial" w:hAnsi="Arial"/>
      <w:kern w:val="2"/>
      <w:sz w:val="21"/>
      <w:szCs w:val="24"/>
    </w:rPr>
  </w:style>
  <w:style w:type="character" w:customStyle="1" w:styleId="2051">
    <w:name w:val="居中 Char Char"/>
    <w:qFormat/>
    <w:uiPriority w:val="0"/>
    <w:rPr>
      <w:kern w:val="2"/>
      <w:sz w:val="24"/>
      <w:szCs w:val="24"/>
    </w:rPr>
  </w:style>
  <w:style w:type="paragraph" w:customStyle="1" w:styleId="2052">
    <w:name w:val="宏福正文-2"/>
    <w:basedOn w:val="2"/>
    <w:qFormat/>
    <w:uiPriority w:val="0"/>
    <w:pPr>
      <w:widowControl w:val="0"/>
      <w:overflowPunct/>
      <w:autoSpaceDE/>
      <w:autoSpaceDN/>
      <w:adjustRightInd/>
      <w:snapToGrid w:val="0"/>
      <w:spacing w:before="240" w:line="400" w:lineRule="atLeast"/>
      <w:ind w:firstLine="567"/>
      <w:jc w:val="both"/>
      <w:textAlignment w:val="auto"/>
    </w:pPr>
    <w:rPr>
      <w:kern w:val="2"/>
    </w:rPr>
  </w:style>
  <w:style w:type="paragraph" w:customStyle="1" w:styleId="2053">
    <w:name w:val="表格内容."/>
    <w:basedOn w:val="1"/>
    <w:next w:val="1"/>
    <w:qFormat/>
    <w:uiPriority w:val="0"/>
    <w:pPr>
      <w:widowControl w:val="0"/>
      <w:autoSpaceDE w:val="0"/>
      <w:autoSpaceDN w:val="0"/>
      <w:adjustRightInd w:val="0"/>
      <w:spacing w:before="20" w:after="40"/>
    </w:pPr>
    <w:rPr>
      <w:rFonts w:ascii="Times New Roman;Symbol;Arial;婼" w:eastAsia="Times New Roman;Symbol;Arial;婼"/>
      <w:kern w:val="0"/>
      <w:sz w:val="24"/>
      <w:szCs w:val="24"/>
    </w:rPr>
  </w:style>
  <w:style w:type="paragraph" w:customStyle="1" w:styleId="2054">
    <w:name w:val="环评表格样式"/>
    <w:basedOn w:val="1"/>
    <w:qFormat/>
    <w:uiPriority w:val="0"/>
    <w:pPr>
      <w:widowControl w:val="0"/>
      <w:spacing w:line="680" w:lineRule="atLeast"/>
      <w:ind w:firstLine="573"/>
      <w:jc w:val="both"/>
    </w:pPr>
    <w:rPr>
      <w:sz w:val="28"/>
    </w:rPr>
  </w:style>
  <w:style w:type="paragraph" w:customStyle="1" w:styleId="2055">
    <w:name w:val="日期."/>
    <w:basedOn w:val="2056"/>
    <w:next w:val="2056"/>
    <w:qFormat/>
    <w:uiPriority w:val="0"/>
    <w:pPr>
      <w:ind w:left="100"/>
      <w:jc w:val="left"/>
    </w:pPr>
    <w:rPr>
      <w:sz w:val="24"/>
      <w:szCs w:val="24"/>
    </w:rPr>
  </w:style>
  <w:style w:type="paragraph" w:customStyle="1" w:styleId="2056">
    <w:name w:val="正文."/>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character" w:customStyle="1" w:styleId="2057">
    <w:name w:val="表内格式 Char Char"/>
    <w:qFormat/>
    <w:uiPriority w:val="0"/>
    <w:rPr>
      <w:kern w:val="2"/>
      <w:sz w:val="18"/>
    </w:rPr>
  </w:style>
  <w:style w:type="paragraph" w:customStyle="1" w:styleId="2058">
    <w:name w:val="示例"/>
    <w:next w:val="932"/>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2059">
    <w:name w:val="样式1，备注"/>
    <w:basedOn w:val="1"/>
    <w:qFormat/>
    <w:uiPriority w:val="0"/>
    <w:pPr>
      <w:widowControl w:val="0"/>
      <w:adjustRightInd w:val="0"/>
      <w:snapToGrid w:val="0"/>
      <w:jc w:val="both"/>
    </w:pPr>
    <w:rPr>
      <w:snapToGrid w:val="0"/>
      <w:kern w:val="0"/>
      <w:szCs w:val="21"/>
    </w:rPr>
  </w:style>
  <w:style w:type="paragraph" w:customStyle="1" w:styleId="2060">
    <w:name w:val="正文图标题"/>
    <w:next w:val="932"/>
    <w:qFormat/>
    <w:uiPriority w:val="0"/>
    <w:pPr>
      <w:jc w:val="center"/>
    </w:pPr>
    <w:rPr>
      <w:rFonts w:ascii="黑体" w:hAnsi="Times New Roman" w:eastAsia="黑体" w:cs="Times New Roman"/>
      <w:sz w:val="21"/>
      <w:lang w:val="en-US" w:eastAsia="zh-CN" w:bidi="ar-SA"/>
    </w:rPr>
  </w:style>
  <w:style w:type="paragraph" w:customStyle="1" w:styleId="2061">
    <w:name w:val="涪陵表格"/>
    <w:basedOn w:val="28"/>
    <w:qFormat/>
    <w:uiPriority w:val="0"/>
    <w:pPr>
      <w:widowControl w:val="0"/>
      <w:spacing w:line="360" w:lineRule="auto"/>
      <w:ind w:left="0" w:firstLine="0" w:firstLineChars="0"/>
      <w:jc w:val="center"/>
    </w:pPr>
    <w:rPr>
      <w:rFonts w:ascii="宋体"/>
      <w:position w:val="-3"/>
      <w:sz w:val="24"/>
    </w:rPr>
  </w:style>
  <w:style w:type="paragraph" w:customStyle="1" w:styleId="2062">
    <w:name w:val="正文（首行缩进两字）."/>
    <w:basedOn w:val="2056"/>
    <w:qFormat/>
    <w:uiPriority w:val="0"/>
    <w:pPr>
      <w:ind w:left="1260" w:firstLine="420"/>
      <w:jc w:val="left"/>
    </w:pPr>
    <w:rPr>
      <w:sz w:val="28"/>
      <w:szCs w:val="28"/>
    </w:rPr>
  </w:style>
  <w:style w:type="paragraph" w:customStyle="1" w:styleId="2063">
    <w:name w:val="Char Char2 Char Char Char Char"/>
    <w:basedOn w:val="1"/>
    <w:qFormat/>
    <w:uiPriority w:val="0"/>
    <w:pPr>
      <w:spacing w:after="160" w:line="240" w:lineRule="exact"/>
    </w:pPr>
    <w:rPr>
      <w:rFonts w:ascii="Verdana" w:hAnsi="Verdana" w:eastAsia="仿宋_GB2312"/>
      <w:kern w:val="0"/>
      <w:sz w:val="24"/>
      <w:lang w:eastAsia="en-US"/>
    </w:rPr>
  </w:style>
  <w:style w:type="paragraph" w:customStyle="1" w:styleId="2064">
    <w:name w:val="TOC Heading"/>
    <w:basedOn w:val="7"/>
    <w:next w:val="1"/>
    <w:qFormat/>
    <w:uiPriority w:val="0"/>
    <w:pPr>
      <w:spacing w:before="480" w:after="0" w:line="276" w:lineRule="auto"/>
      <w:outlineLvl w:val="9"/>
    </w:pPr>
    <w:rPr>
      <w:rFonts w:ascii="Cambria" w:hAnsi="Cambria"/>
      <w:bCs/>
      <w:color w:val="365F91"/>
      <w:kern w:val="0"/>
      <w:sz w:val="28"/>
      <w:szCs w:val="28"/>
    </w:rPr>
  </w:style>
  <w:style w:type="paragraph" w:customStyle="1" w:styleId="2065">
    <w:name w:val="Revision"/>
    <w:semiHidden/>
    <w:qFormat/>
    <w:uiPriority w:val="99"/>
    <w:rPr>
      <w:rFonts w:ascii="Times New Roman" w:hAnsi="Times New Roman" w:eastAsia="宋体" w:cs="Times New Roman"/>
      <w:kern w:val="2"/>
      <w:sz w:val="21"/>
      <w:szCs w:val="24"/>
      <w:lang w:val="en-US" w:eastAsia="zh-CN" w:bidi="ar-SA"/>
    </w:rPr>
  </w:style>
  <w:style w:type="paragraph" w:customStyle="1" w:styleId="2066">
    <w:name w:val="album-div"/>
    <w:basedOn w:val="1"/>
    <w:qFormat/>
    <w:uiPriority w:val="0"/>
    <w:pPr>
      <w:spacing w:before="100" w:beforeAutospacing="1" w:after="100" w:afterAutospacing="1"/>
    </w:pPr>
    <w:rPr>
      <w:rFonts w:ascii="宋体" w:hAnsi="宋体" w:cs="宋体"/>
      <w:kern w:val="0"/>
      <w:sz w:val="24"/>
      <w:szCs w:val="24"/>
    </w:rPr>
  </w:style>
  <w:style w:type="paragraph" w:customStyle="1" w:styleId="2067">
    <w:name w:val="8--"/>
    <w:basedOn w:val="1"/>
    <w:qFormat/>
    <w:uiPriority w:val="0"/>
    <w:pPr>
      <w:widowControl w:val="0"/>
      <w:adjustRightInd w:val="0"/>
      <w:spacing w:line="360" w:lineRule="atLeast"/>
      <w:textAlignment w:val="baseline"/>
    </w:pPr>
    <w:rPr>
      <w:kern w:val="0"/>
      <w:sz w:val="24"/>
    </w:rPr>
  </w:style>
  <w:style w:type="paragraph" w:customStyle="1" w:styleId="2068">
    <w:name w:val="修订1"/>
    <w:semiHidden/>
    <w:qFormat/>
    <w:uiPriority w:val="99"/>
    <w:rPr>
      <w:rFonts w:ascii="Times New Roman" w:hAnsi="Times New Roman" w:eastAsia="宋体" w:cs="Times New Roman"/>
      <w:kern w:val="2"/>
      <w:sz w:val="21"/>
      <w:szCs w:val="24"/>
      <w:lang w:val="en-US" w:eastAsia="zh-CN" w:bidi="ar-SA"/>
    </w:rPr>
  </w:style>
  <w:style w:type="table" w:customStyle="1" w:styleId="2069">
    <w:name w:val="lily 表格111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0">
    <w:name w:val="lily 表格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1">
    <w:name w:val="lily 表格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2">
    <w:name w:val="lily 表格1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3">
    <w:name w:val="lily 表格3"/>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4">
    <w:name w:val="lily 表格1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5">
    <w:name w:val="lily 表格2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6">
    <w:name w:val="lily 表格11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7">
    <w:name w:val="lily 表格4"/>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8">
    <w:name w:val="lily 表格13"/>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79">
    <w:name w:val="lily 表格2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80">
    <w:name w:val="lily 表格112"/>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81">
    <w:name w:val="lily 表格3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82">
    <w:name w:val="lily 表格12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83">
    <w:name w:val="lily 表格211"/>
    <w:basedOn w:val="9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84">
    <w:name w:val="正文加黑 Char Char"/>
    <w:qFormat/>
    <w:uiPriority w:val="0"/>
    <w:rPr>
      <w:rFonts w:ascii="Arial" w:hAnsi="Arial" w:cs="Arial"/>
      <w:b/>
      <w:color w:val="000000"/>
      <w:kern w:val="2"/>
      <w:sz w:val="24"/>
      <w:szCs w:val="24"/>
    </w:rPr>
  </w:style>
  <w:style w:type="character" w:customStyle="1" w:styleId="2085">
    <w:name w:val="批注框文本 Char Char"/>
    <w:qFormat/>
    <w:uiPriority w:val="0"/>
    <w:rPr>
      <w:snapToGrid w:val="0"/>
      <w:sz w:val="18"/>
      <w:szCs w:val="18"/>
    </w:rPr>
  </w:style>
  <w:style w:type="character" w:customStyle="1" w:styleId="2086">
    <w:name w:val=" Char Char10"/>
    <w:qFormat/>
    <w:uiPriority w:val="0"/>
    <w:rPr>
      <w:rFonts w:eastAsia="宋体"/>
      <w:kern w:val="2"/>
      <w:sz w:val="21"/>
      <w:szCs w:val="24"/>
      <w:lang w:val="en-US" w:eastAsia="zh-CN" w:bidi="ar-SA"/>
    </w:rPr>
  </w:style>
  <w:style w:type="character" w:customStyle="1" w:styleId="2087">
    <w:name w:val="新 5 Char Char"/>
    <w:qFormat/>
    <w:uiPriority w:val="0"/>
    <w:rPr>
      <w:rFonts w:ascii="宋体" w:hAnsi="Tms Rmn" w:eastAsia="宋体"/>
      <w:b/>
      <w:sz w:val="28"/>
      <w:lang w:val="en-US" w:eastAsia="zh-CN"/>
    </w:rPr>
  </w:style>
  <w:style w:type="character" w:customStyle="1" w:styleId="2088">
    <w:name w:val=" Char Char15"/>
    <w:qFormat/>
    <w:uiPriority w:val="0"/>
    <w:rPr>
      <w:rFonts w:eastAsia="宋体"/>
      <w:kern w:val="2"/>
      <w:sz w:val="21"/>
      <w:lang w:val="en-US" w:eastAsia="zh-CN" w:bidi="ar-SA"/>
    </w:rPr>
  </w:style>
  <w:style w:type="character" w:customStyle="1" w:styleId="2089">
    <w:name w:val=" Char Char30"/>
    <w:qFormat/>
    <w:uiPriority w:val="0"/>
    <w:rPr>
      <w:kern w:val="2"/>
      <w:sz w:val="21"/>
      <w:szCs w:val="24"/>
    </w:rPr>
  </w:style>
  <w:style w:type="character" w:customStyle="1" w:styleId="2090">
    <w:name w:val="样式2 Char Char"/>
    <w:qFormat/>
    <w:uiPriority w:val="0"/>
    <w:rPr>
      <w:rFonts w:ascii="黑体" w:eastAsia="黑体"/>
      <w:kern w:val="2"/>
      <w:sz w:val="21"/>
      <w:lang w:val="en-US" w:eastAsia="zh-CN" w:bidi="ar-SA"/>
    </w:rPr>
  </w:style>
  <w:style w:type="character" w:customStyle="1" w:styleId="2091">
    <w:name w:val="样式 题注 + (西文) Times New Roman (中文) 宋体 Char Char"/>
    <w:qFormat/>
    <w:uiPriority w:val="0"/>
    <w:rPr>
      <w:rFonts w:cs="仿宋_GB2312"/>
      <w:b/>
      <w:bCs/>
      <w:kern w:val="2"/>
      <w:sz w:val="24"/>
      <w:szCs w:val="21"/>
    </w:rPr>
  </w:style>
  <w:style w:type="character" w:customStyle="1" w:styleId="2092">
    <w:name w:val="样式 标准文本 首行缩进:2 字符 行距1.5倍 + 首行缩进:  2 字符1 Char Char"/>
    <w:qFormat/>
    <w:uiPriority w:val="0"/>
  </w:style>
  <w:style w:type="character" w:customStyle="1" w:styleId="2093">
    <w:name w:val="标题样式1 Char Char"/>
    <w:qFormat/>
    <w:uiPriority w:val="0"/>
    <w:rPr>
      <w:rFonts w:ascii="黑体" w:eastAsia="黑体"/>
      <w:b/>
      <w:bCs/>
      <w:kern w:val="44"/>
      <w:sz w:val="28"/>
      <w:szCs w:val="28"/>
    </w:rPr>
  </w:style>
  <w:style w:type="character" w:customStyle="1" w:styleId="2094">
    <w:name w:val="样式 首行缩进:  2 字符 Char Char"/>
    <w:qFormat/>
    <w:uiPriority w:val="0"/>
    <w:rPr>
      <w:rFonts w:eastAsia="宋体" w:cs="宋体"/>
      <w:kern w:val="2"/>
      <w:sz w:val="24"/>
      <w:lang w:val="en-US" w:eastAsia="zh-CN" w:bidi="ar-SA"/>
    </w:rPr>
  </w:style>
  <w:style w:type="character" w:customStyle="1" w:styleId="2095">
    <w:name w:val="表蕊 Char Char"/>
    <w:qFormat/>
    <w:uiPriority w:val="0"/>
    <w:rPr>
      <w:rFonts w:eastAsia="华文楷体"/>
      <w:szCs w:val="21"/>
    </w:rPr>
  </w:style>
  <w:style w:type="character" w:customStyle="1" w:styleId="2096">
    <w:name w:val=" Char Char7"/>
    <w:qFormat/>
    <w:uiPriority w:val="0"/>
    <w:rPr>
      <w:rFonts w:ascii="宋体" w:hAnsi="宋体"/>
      <w:kern w:val="2"/>
      <w:sz w:val="24"/>
      <w:szCs w:val="24"/>
    </w:rPr>
  </w:style>
  <w:style w:type="character" w:customStyle="1" w:styleId="2097">
    <w:name w:val="君邦正文 Char Char"/>
    <w:qFormat/>
    <w:uiPriority w:val="0"/>
    <w:rPr>
      <w:rFonts w:eastAsia="宋体"/>
      <w:bCs/>
      <w:snapToGrid w:val="0"/>
      <w:sz w:val="24"/>
      <w:lang w:val="en-US" w:eastAsia="zh-CN" w:bidi="ar-SA"/>
    </w:rPr>
  </w:style>
  <w:style w:type="character" w:customStyle="1" w:styleId="2098">
    <w:name w:val="表格文本 五号 居中 单倍行距 Char Char Char Char Char Char"/>
    <w:qFormat/>
    <w:uiPriority w:val="0"/>
    <w:rPr>
      <w:rFonts w:eastAsia="宋体" w:cs="宋体"/>
      <w:kern w:val="2"/>
      <w:sz w:val="21"/>
      <w:szCs w:val="21"/>
      <w:lang w:val="en-US" w:eastAsia="zh-CN" w:bidi="ar-SA"/>
    </w:rPr>
  </w:style>
  <w:style w:type="character" w:customStyle="1" w:styleId="2099">
    <w:name w:val="样式3表头 Char Char"/>
    <w:qFormat/>
    <w:uiPriority w:val="0"/>
    <w:rPr>
      <w:rFonts w:ascii="宋体" w:hAnsi="宋体" w:eastAsia="黑体" w:cs="宋体"/>
      <w:bCs/>
      <w:color w:val="000000"/>
      <w:sz w:val="24"/>
      <w:szCs w:val="24"/>
      <w:lang w:val="en-US" w:eastAsia="zh-CN" w:bidi="ar-SA"/>
    </w:rPr>
  </w:style>
  <w:style w:type="character" w:customStyle="1" w:styleId="2100">
    <w:name w:val="样式3 Char Char"/>
    <w:qFormat/>
    <w:uiPriority w:val="0"/>
    <w:rPr>
      <w:rFonts w:eastAsia="宋体"/>
      <w:kern w:val="2"/>
      <w:sz w:val="18"/>
      <w:szCs w:val="18"/>
      <w:lang w:val="en-US" w:eastAsia="zh-CN" w:bidi="ar-SA"/>
    </w:rPr>
  </w:style>
  <w:style w:type="character" w:customStyle="1" w:styleId="2101">
    <w:name w:val="Normal Char Char Char Char"/>
    <w:qFormat/>
    <w:uiPriority w:val="0"/>
    <w:rPr>
      <w:rFonts w:ascii="宋体"/>
      <w:kern w:val="2"/>
      <w:sz w:val="34"/>
      <w:szCs w:val="24"/>
      <w:lang w:val="en-US" w:eastAsia="zh-CN" w:bidi="ar-SA"/>
    </w:rPr>
  </w:style>
  <w:style w:type="character" w:customStyle="1" w:styleId="2102">
    <w:name w:val="环科院表格标题 Char Char"/>
    <w:qFormat/>
    <w:uiPriority w:val="0"/>
    <w:rPr>
      <w:rFonts w:hAnsi="华文中宋" w:eastAsia="华文中宋"/>
      <w:b/>
      <w:kern w:val="2"/>
      <w:sz w:val="21"/>
      <w:lang w:val="en-US" w:eastAsia="zh-CN" w:bidi="ar-SA"/>
    </w:rPr>
  </w:style>
  <w:style w:type="character" w:customStyle="1" w:styleId="2103">
    <w:name w:val="样式 四号 右侧:  -0.26 厘米 Char Char"/>
    <w:qFormat/>
    <w:uiPriority w:val="0"/>
    <w:rPr>
      <w:rFonts w:eastAsia="宋体" w:cs="宋体"/>
      <w:kern w:val="2"/>
      <w:sz w:val="28"/>
      <w:lang w:val="en-US" w:eastAsia="zh-CN" w:bidi="ar-SA"/>
    </w:rPr>
  </w:style>
  <w:style w:type="character" w:customStyle="1" w:styleId="2104">
    <w:name w:val="表格名称 Char Char"/>
    <w:qFormat/>
    <w:uiPriority w:val="0"/>
    <w:rPr>
      <w:rFonts w:ascii="黑体" w:hAnsi="宋体" w:eastAsia="黑体"/>
      <w:snapToGrid w:val="0"/>
      <w:kern w:val="2"/>
      <w:sz w:val="21"/>
      <w:lang w:val="eu-ES" w:eastAsia="zh-CN" w:bidi="ar-SA"/>
    </w:rPr>
  </w:style>
  <w:style w:type="character" w:customStyle="1" w:styleId="2105">
    <w:name w:val="表底说明 Char Char"/>
    <w:qFormat/>
    <w:uiPriority w:val="0"/>
    <w:rPr>
      <w:rFonts w:eastAsia="宋体"/>
      <w:kern w:val="2"/>
      <w:sz w:val="18"/>
      <w:szCs w:val="24"/>
      <w:lang w:val="en-US" w:eastAsia="zh-CN" w:bidi="ar-SA"/>
    </w:rPr>
  </w:style>
  <w:style w:type="character" w:customStyle="1" w:styleId="2106">
    <w:name w:val="正文啊 Char Char"/>
    <w:qFormat/>
    <w:uiPriority w:val="0"/>
    <w:rPr>
      <w:rFonts w:ascii="Calibri" w:hAnsi="Calibri"/>
      <w:kern w:val="2"/>
      <w:sz w:val="24"/>
      <w:szCs w:val="22"/>
    </w:rPr>
  </w:style>
  <w:style w:type="character" w:customStyle="1" w:styleId="2107">
    <w:name w:val="册除格式 Char Char Char Char Char"/>
    <w:qFormat/>
    <w:uiPriority w:val="0"/>
    <w:rPr>
      <w:rFonts w:ascii="黑体" w:hAnsi="Arial" w:eastAsia="宋体" w:cs="Arial"/>
      <w:snapToGrid w:val="0"/>
      <w:spacing w:val="4"/>
      <w:kern w:val="18"/>
      <w:sz w:val="24"/>
      <w:szCs w:val="28"/>
      <w:lang w:val="en-US" w:eastAsia="zh-CN" w:bidi="ar-SA"/>
    </w:rPr>
  </w:style>
  <w:style w:type="character" w:customStyle="1" w:styleId="2108">
    <w:name w:val="列表编号 5 Char Char"/>
    <w:qFormat/>
    <w:uiPriority w:val="0"/>
    <w:rPr>
      <w:rFonts w:eastAsia="宋体"/>
      <w:kern w:val="2"/>
      <w:sz w:val="24"/>
      <w:szCs w:val="24"/>
      <w:lang w:val="en-US" w:eastAsia="zh-CN" w:bidi="ar-SA"/>
    </w:rPr>
  </w:style>
  <w:style w:type="character" w:customStyle="1" w:styleId="2109">
    <w:name w:val="标准文本 首行缩进:2 字符 行距1倍 Char Char Char Char Char Char"/>
    <w:qFormat/>
    <w:uiPriority w:val="0"/>
    <w:rPr>
      <w:rFonts w:eastAsia="宋体" w:cs="宋体"/>
      <w:kern w:val="2"/>
      <w:sz w:val="24"/>
      <w:szCs w:val="24"/>
      <w:lang w:val="en-US" w:eastAsia="zh-CN" w:bidi="ar-SA"/>
    </w:rPr>
  </w:style>
  <w:style w:type="character" w:customStyle="1" w:styleId="2110">
    <w:name w:val="样式3正文 Char Char"/>
    <w:qFormat/>
    <w:uiPriority w:val="0"/>
    <w:rPr>
      <w:rFonts w:eastAsia="宋体"/>
      <w:kern w:val="2"/>
      <w:sz w:val="24"/>
      <w:szCs w:val="24"/>
      <w:lang w:val="en-US" w:eastAsia="zh-CN" w:bidi="ar-SA"/>
    </w:rPr>
  </w:style>
  <w:style w:type="character" w:customStyle="1" w:styleId="2111">
    <w:name w:val="样式 标题 2 + 非加粗 Char Char"/>
    <w:qFormat/>
    <w:uiPriority w:val="0"/>
    <w:rPr>
      <w:rFonts w:eastAsia="黑体"/>
      <w:b/>
      <w:bCs/>
      <w:kern w:val="2"/>
      <w:sz w:val="24"/>
      <w:szCs w:val="32"/>
      <w:lang w:val="en-US" w:eastAsia="zh-CN" w:bidi="ar-SA"/>
    </w:rPr>
  </w:style>
  <w:style w:type="character" w:customStyle="1" w:styleId="2112">
    <w:name w:val=" Char Char14"/>
    <w:qFormat/>
    <w:uiPriority w:val="0"/>
    <w:rPr>
      <w:rFonts w:ascii="华文行楷" w:eastAsia="华文行楷"/>
      <w:i/>
      <w:iCs/>
      <w:color w:val="FF0000"/>
      <w:kern w:val="2"/>
      <w:sz w:val="32"/>
      <w:szCs w:val="24"/>
      <w:lang w:val="en-US" w:eastAsia="zh-CN" w:bidi="ar-SA"/>
    </w:rPr>
  </w:style>
  <w:style w:type="character" w:customStyle="1" w:styleId="2113">
    <w:name w:val="font41"/>
    <w:qFormat/>
    <w:uiPriority w:val="0"/>
    <w:rPr>
      <w:rFonts w:hint="default" w:ascii="Times New Roman" w:hAnsi="Times New Roman" w:cs="Times New Roman"/>
      <w:b/>
      <w:bCs/>
      <w:color w:val="000000"/>
      <w:sz w:val="20"/>
      <w:szCs w:val="20"/>
      <w:u w:val="none"/>
    </w:rPr>
  </w:style>
  <w:style w:type="character" w:customStyle="1" w:styleId="2114">
    <w:name w:val=" Char Char21"/>
    <w:qFormat/>
    <w:uiPriority w:val="0"/>
    <w:rPr>
      <w:rFonts w:ascii="Arial" w:hAnsi="Arial" w:eastAsia="黑体"/>
      <w:sz w:val="21"/>
      <w:lang w:val="en-US" w:eastAsia="zh-CN"/>
    </w:rPr>
  </w:style>
  <w:style w:type="character" w:customStyle="1" w:styleId="2115">
    <w:name w:val="black121"/>
    <w:qFormat/>
    <w:uiPriority w:val="0"/>
    <w:rPr>
      <w:color w:val="333333"/>
      <w:sz w:val="24"/>
      <w:szCs w:val="24"/>
      <w:u w:val="none"/>
    </w:rPr>
  </w:style>
  <w:style w:type="character" w:customStyle="1" w:styleId="2116">
    <w:name w:val="ct Char Char"/>
    <w:qFormat/>
    <w:uiPriority w:val="0"/>
    <w:rPr>
      <w:rFonts w:eastAsia="黑体"/>
      <w:b/>
      <w:sz w:val="21"/>
      <w:szCs w:val="21"/>
      <w:lang w:bidi="en-US"/>
    </w:rPr>
  </w:style>
  <w:style w:type="character" w:customStyle="1" w:styleId="2117">
    <w:name w:val="文字缩进 Char Char"/>
    <w:qFormat/>
    <w:uiPriority w:val="0"/>
    <w:rPr>
      <w:rFonts w:ascii="宋体" w:hAnsi="Courier New" w:eastAsia="宋体" w:cs="Courier New"/>
      <w:kern w:val="2"/>
      <w:sz w:val="21"/>
      <w:szCs w:val="21"/>
      <w:lang w:val="en-US" w:eastAsia="zh-CN" w:bidi="ar-SA"/>
    </w:rPr>
  </w:style>
  <w:style w:type="character" w:customStyle="1" w:styleId="2118">
    <w:name w:val="表头样式1 Char Char"/>
    <w:qFormat/>
    <w:uiPriority w:val="0"/>
    <w:rPr>
      <w:rFonts w:eastAsia="黑体"/>
      <w:b/>
      <w:kern w:val="2"/>
      <w:sz w:val="24"/>
      <w:lang w:val="en-US" w:eastAsia="zh-CN" w:bidi="ar-SA"/>
    </w:rPr>
  </w:style>
  <w:style w:type="character" w:customStyle="1" w:styleId="2119">
    <w:name w:val="newstitle1"/>
    <w:qFormat/>
    <w:uiPriority w:val="0"/>
    <w:rPr>
      <w:b/>
      <w:bCs/>
      <w:color w:val="3399FF"/>
      <w:sz w:val="30"/>
      <w:szCs w:val="30"/>
    </w:rPr>
  </w:style>
  <w:style w:type="character" w:customStyle="1" w:styleId="2120">
    <w:name w:val=" Char Char38"/>
    <w:qFormat/>
    <w:uiPriority w:val="0"/>
    <w:rPr>
      <w:rFonts w:ascii="黑体" w:eastAsia="黑体"/>
      <w:bCs/>
      <w:kern w:val="2"/>
      <w:sz w:val="24"/>
      <w:szCs w:val="24"/>
      <w:lang w:val="en-US" w:eastAsia="zh-CN" w:bidi="ar-SA"/>
    </w:rPr>
  </w:style>
  <w:style w:type="character" w:customStyle="1" w:styleId="2121">
    <w:name w:val=" Char Char9"/>
    <w:qFormat/>
    <w:uiPriority w:val="0"/>
    <w:rPr>
      <w:kern w:val="2"/>
      <w:sz w:val="18"/>
      <w:szCs w:val="18"/>
    </w:rPr>
  </w:style>
  <w:style w:type="character" w:customStyle="1" w:styleId="2122">
    <w:name w:val="正文样式 Char Char Char Char Char Char Char Char"/>
    <w:qFormat/>
    <w:uiPriority w:val="0"/>
    <w:rPr>
      <w:rFonts w:ascii="宋体" w:hAnsi="宋体" w:eastAsia="宋体"/>
      <w:color w:val="000000"/>
      <w:kern w:val="2"/>
      <w:sz w:val="24"/>
      <w:szCs w:val="24"/>
      <w:lang w:val="en-US" w:eastAsia="zh-CN" w:bidi="ar-SA"/>
    </w:rPr>
  </w:style>
  <w:style w:type="character" w:customStyle="1" w:styleId="2123">
    <w:name w:val="环科院正文 Char Char"/>
    <w:qFormat/>
    <w:uiPriority w:val="0"/>
    <w:rPr>
      <w:rFonts w:eastAsia="宋体"/>
      <w:snapToGrid w:val="0"/>
      <w:color w:val="000000"/>
      <w:sz w:val="24"/>
      <w:lang w:val="en-US" w:eastAsia="zh-CN" w:bidi="ar-SA"/>
    </w:rPr>
  </w:style>
  <w:style w:type="character" w:customStyle="1" w:styleId="2124">
    <w:name w:val="表头1 Char Char"/>
    <w:qFormat/>
    <w:uiPriority w:val="0"/>
    <w:rPr>
      <w:rFonts w:eastAsia="黑体"/>
      <w:sz w:val="21"/>
      <w:szCs w:val="28"/>
      <w:lang w:val="en-US" w:eastAsia="zh-CN" w:bidi="ar-SA"/>
    </w:rPr>
  </w:style>
  <w:style w:type="character" w:customStyle="1" w:styleId="2125">
    <w:name w:val="表 头 Char Char"/>
    <w:qFormat/>
    <w:uiPriority w:val="0"/>
    <w:rPr>
      <w:rFonts w:ascii="Arial" w:eastAsia="黑体"/>
      <w:b/>
      <w:color w:val="000000"/>
      <w:kern w:val="2"/>
      <w:sz w:val="21"/>
      <w:lang w:val="en-US" w:eastAsia="zh-CN" w:bidi="ar-SA"/>
    </w:rPr>
  </w:style>
  <w:style w:type="character" w:customStyle="1" w:styleId="2126">
    <w:name w:val="正文(首行缩进) Char Char"/>
    <w:qFormat/>
    <w:uiPriority w:val="0"/>
    <w:rPr>
      <w:rFonts w:eastAsia="宋体"/>
      <w:snapToGrid w:val="0"/>
      <w:sz w:val="24"/>
      <w:szCs w:val="24"/>
      <w:lang w:val="en-US" w:eastAsia="zh-CN" w:bidi="ar-SA"/>
    </w:rPr>
  </w:style>
  <w:style w:type="character" w:customStyle="1" w:styleId="2127">
    <w:name w:val="样式3四级 Char Char"/>
    <w:qFormat/>
    <w:uiPriority w:val="0"/>
    <w:rPr>
      <w:rFonts w:ascii="仿宋_GB2312" w:hAnsi="宋体" w:eastAsia="仿宋_GB2312"/>
      <w:kern w:val="2"/>
      <w:sz w:val="28"/>
      <w:szCs w:val="24"/>
      <w:lang w:val="en-US" w:eastAsia="zh-CN" w:bidi="ar-SA"/>
    </w:rPr>
  </w:style>
  <w:style w:type="character" w:customStyle="1" w:styleId="2128">
    <w:name w:val="标准文本 首行缩进:2 字符 行距1.5倍 Char Char"/>
    <w:qFormat/>
    <w:uiPriority w:val="0"/>
    <w:rPr>
      <w:rFonts w:eastAsia="宋体" w:cs="宋体"/>
      <w:kern w:val="2"/>
      <w:sz w:val="24"/>
      <w:szCs w:val="24"/>
      <w:lang w:val="en-US" w:eastAsia="zh-CN" w:bidi="ar-SA"/>
    </w:rPr>
  </w:style>
  <w:style w:type="character" w:customStyle="1" w:styleId="2129">
    <w:name w:val="11 Char Char"/>
    <w:qFormat/>
    <w:uiPriority w:val="0"/>
    <w:rPr>
      <w:rFonts w:eastAsia="仿宋_GB2312"/>
      <w:color w:val="FF0000"/>
      <w:sz w:val="24"/>
      <w:szCs w:val="24"/>
      <w:lang w:val="en-US" w:eastAsia="zh-CN" w:bidi="ar-SA"/>
    </w:rPr>
  </w:style>
  <w:style w:type="character" w:customStyle="1" w:styleId="2130">
    <w:name w:val="正文样式 Char Char Char Char Char Char Char Char Char"/>
    <w:qFormat/>
    <w:uiPriority w:val="0"/>
    <w:rPr>
      <w:rFonts w:ascii="宋体" w:hAnsi="宋体" w:eastAsia="宋体"/>
      <w:color w:val="000000"/>
      <w:kern w:val="2"/>
      <w:sz w:val="24"/>
      <w:szCs w:val="24"/>
      <w:lang w:val="en-US" w:eastAsia="zh-CN" w:bidi="ar-SA"/>
    </w:rPr>
  </w:style>
  <w:style w:type="character" w:customStyle="1" w:styleId="2131">
    <w:name w:val="样式3三级 Char Char"/>
    <w:qFormat/>
    <w:uiPriority w:val="0"/>
    <w:rPr>
      <w:rFonts w:ascii="黑体" w:hAnsi="宋体" w:eastAsia="黑体" w:cs="宋体"/>
      <w:sz w:val="30"/>
      <w:szCs w:val="24"/>
      <w:lang w:val="en-US" w:eastAsia="zh-CN" w:bidi="ar-SA"/>
    </w:rPr>
  </w:style>
  <w:style w:type="character" w:customStyle="1" w:styleId="2132">
    <w:name w:val="正文首行缩进 Char Char"/>
    <w:qFormat/>
    <w:uiPriority w:val="0"/>
    <w:rPr>
      <w:rFonts w:eastAsia="宋体"/>
      <w:kern w:val="2"/>
      <w:sz w:val="24"/>
      <w:szCs w:val="24"/>
      <w:lang w:val="en-US" w:eastAsia="zh-CN" w:bidi="ar-SA"/>
    </w:rPr>
  </w:style>
  <w:style w:type="character" w:customStyle="1" w:styleId="2133">
    <w:name w:val="样式1正文 Char Char"/>
    <w:qFormat/>
    <w:uiPriority w:val="0"/>
    <w:rPr>
      <w:rFonts w:ascii="仿宋_GB2312" w:hAnsi="仿宋_GB2312" w:eastAsia="仿宋_GB2312" w:cs="宋体"/>
      <w:kern w:val="2"/>
      <w:sz w:val="28"/>
      <w:lang w:val="en-US" w:eastAsia="zh-CN" w:bidi="ar-SA"/>
    </w:rPr>
  </w:style>
  <w:style w:type="character" w:customStyle="1" w:styleId="2134">
    <w:name w:val="news"/>
    <w:qFormat/>
    <w:uiPriority w:val="0"/>
  </w:style>
  <w:style w:type="character" w:customStyle="1" w:styleId="2135">
    <w:name w:val="正文样式 Char Char Char Char Char Char Char Char Char Char"/>
    <w:qFormat/>
    <w:uiPriority w:val="0"/>
    <w:rPr>
      <w:rFonts w:ascii="宋体" w:hAnsi="宋体" w:eastAsia="宋体"/>
      <w:color w:val="000000"/>
      <w:kern w:val="2"/>
      <w:sz w:val="24"/>
      <w:szCs w:val="24"/>
      <w:lang w:val="en-US" w:eastAsia="zh-CN" w:bidi="ar-SA"/>
    </w:rPr>
  </w:style>
  <w:style w:type="character" w:customStyle="1" w:styleId="2136">
    <w:name w:val="样式 表头 + 宋体 Char Char"/>
    <w:qFormat/>
    <w:uiPriority w:val="0"/>
    <w:rPr>
      <w:rFonts w:eastAsia="黑体"/>
      <w:b/>
      <w:sz w:val="21"/>
      <w:szCs w:val="21"/>
      <w:lang w:val="en-US" w:eastAsia="zh-CN" w:bidi="ar-SA"/>
    </w:rPr>
  </w:style>
  <w:style w:type="character" w:customStyle="1" w:styleId="2137">
    <w:name w:val="标题样式3 Char Char Char"/>
    <w:qFormat/>
    <w:uiPriority w:val="0"/>
    <w:rPr>
      <w:rFonts w:ascii="黑体" w:eastAsia="黑体" w:cs="黑体"/>
      <w:b/>
      <w:bCs/>
      <w:color w:val="000000"/>
      <w:kern w:val="2"/>
      <w:sz w:val="24"/>
      <w:szCs w:val="28"/>
      <w:lang w:val="zh-CN" w:eastAsia="zh-CN" w:bidi="ar-SA"/>
    </w:rPr>
  </w:style>
  <w:style w:type="character" w:customStyle="1" w:styleId="2138">
    <w:name w:val="表名称 Char Char"/>
    <w:qFormat/>
    <w:uiPriority w:val="0"/>
    <w:rPr>
      <w:rFonts w:hAnsi="宋体" w:eastAsia="宋体"/>
      <w:b/>
      <w:kern w:val="2"/>
      <w:sz w:val="24"/>
      <w:szCs w:val="24"/>
      <w:lang w:val="en-US" w:eastAsia="zh-CN" w:bidi="ar-SA"/>
    </w:rPr>
  </w:style>
  <w:style w:type="character" w:customStyle="1" w:styleId="2139">
    <w:name w:val="报告表正文 Char Char"/>
    <w:qFormat/>
    <w:uiPriority w:val="0"/>
    <w:rPr>
      <w:rFonts w:eastAsia="楷体_GB2312"/>
      <w:kern w:val="2"/>
      <w:sz w:val="24"/>
      <w:szCs w:val="24"/>
      <w:lang w:val="en-US" w:eastAsia="zh-CN" w:bidi="ar-SA"/>
    </w:rPr>
  </w:style>
  <w:style w:type="character" w:customStyle="1" w:styleId="2140">
    <w:name w:val="正文 1 Char Char"/>
    <w:qFormat/>
    <w:uiPriority w:val="0"/>
    <w:rPr>
      <w:kern w:val="2"/>
      <w:sz w:val="24"/>
      <w:szCs w:val="24"/>
    </w:rPr>
  </w:style>
  <w:style w:type="character" w:customStyle="1" w:styleId="2141">
    <w:name w:val="公式 首行缩进:  2 字符 Char Char"/>
    <w:qFormat/>
    <w:uiPriority w:val="0"/>
    <w:rPr>
      <w:rFonts w:eastAsia="宋体" w:cs="宋体"/>
      <w:kern w:val="2"/>
      <w:sz w:val="24"/>
      <w:szCs w:val="24"/>
      <w:lang w:val="en-US" w:eastAsia="zh-CN" w:bidi="ar-SA"/>
    </w:rPr>
  </w:style>
  <w:style w:type="character" w:customStyle="1" w:styleId="2142">
    <w:name w:val=" Char Char24"/>
    <w:qFormat/>
    <w:uiPriority w:val="0"/>
    <w:rPr>
      <w:rFonts w:ascii="宋体" w:hAnsi="Tms Rmn" w:eastAsia="宋体"/>
      <w:b/>
      <w:sz w:val="24"/>
      <w:lang w:val="en-US" w:eastAsia="zh-CN"/>
    </w:rPr>
  </w:style>
  <w:style w:type="character" w:customStyle="1" w:styleId="2143">
    <w:name w:val="图表 Char Char"/>
    <w:qFormat/>
    <w:uiPriority w:val="0"/>
    <w:rPr>
      <w:rFonts w:eastAsia="宋体"/>
      <w:snapToGrid w:val="0"/>
      <w:sz w:val="21"/>
      <w:szCs w:val="21"/>
      <w:lang w:val="en-US" w:eastAsia="zh-CN" w:bidi="ar-SA"/>
    </w:rPr>
  </w:style>
  <w:style w:type="character" w:customStyle="1" w:styleId="2144">
    <w:name w:val="font101"/>
    <w:qFormat/>
    <w:uiPriority w:val="0"/>
    <w:rPr>
      <w:rFonts w:hint="default" w:ascii="Times New Roman" w:hAnsi="Times New Roman" w:cs="Times New Roman"/>
      <w:b/>
      <w:color w:val="000000"/>
      <w:sz w:val="20"/>
      <w:szCs w:val="20"/>
      <w:u w:val="none"/>
    </w:rPr>
  </w:style>
  <w:style w:type="character" w:customStyle="1" w:styleId="2145">
    <w:name w:val="样式5二级 Char Char"/>
    <w:qFormat/>
    <w:uiPriority w:val="0"/>
    <w:rPr>
      <w:rFonts w:eastAsia="宋体"/>
      <w:b/>
      <w:bCs/>
      <w:kern w:val="2"/>
      <w:sz w:val="28"/>
      <w:szCs w:val="24"/>
      <w:lang w:val="en-US" w:eastAsia="zh-CN" w:bidi="ar-SA"/>
    </w:rPr>
  </w:style>
  <w:style w:type="character" w:customStyle="1" w:styleId="2146">
    <w:name w:val="样式4 Char Char"/>
    <w:qFormat/>
    <w:uiPriority w:val="0"/>
    <w:rPr>
      <w:rFonts w:ascii="宋体" w:hAnsi="宋体" w:eastAsia="宋体"/>
      <w:b/>
      <w:bCs/>
      <w:color w:val="000000"/>
      <w:kern w:val="2"/>
      <w:sz w:val="21"/>
      <w:szCs w:val="21"/>
      <w:lang w:val="en-US" w:eastAsia="zh-CN" w:bidi="ar-SA"/>
    </w:rPr>
  </w:style>
  <w:style w:type="character" w:customStyle="1" w:styleId="2147">
    <w:name w:val=" Char Char8"/>
    <w:qFormat/>
    <w:uiPriority w:val="0"/>
    <w:rPr>
      <w:kern w:val="2"/>
      <w:sz w:val="18"/>
      <w:szCs w:val="18"/>
    </w:rPr>
  </w:style>
  <w:style w:type="character" w:customStyle="1" w:styleId="2148">
    <w:name w:val="样式 报告表正文 + (中文) 宋体 Char Char"/>
    <w:link w:val="2149"/>
    <w:qFormat/>
    <w:uiPriority w:val="0"/>
    <w:rPr>
      <w:kern w:val="2"/>
      <w:sz w:val="24"/>
    </w:rPr>
  </w:style>
  <w:style w:type="paragraph" w:customStyle="1" w:styleId="2149">
    <w:name w:val="样式 报告表正文 + (中文) 宋体"/>
    <w:basedOn w:val="1"/>
    <w:link w:val="2148"/>
    <w:qFormat/>
    <w:uiPriority w:val="0"/>
    <w:pPr>
      <w:widowControl w:val="0"/>
      <w:spacing w:line="360" w:lineRule="auto"/>
      <w:ind w:firstLine="480" w:firstLineChars="200"/>
      <w:jc w:val="both"/>
    </w:pPr>
    <w:rPr>
      <w:sz w:val="24"/>
    </w:rPr>
  </w:style>
  <w:style w:type="character" w:customStyle="1" w:styleId="2150">
    <w:name w:val="振文 Char Char"/>
    <w:qFormat/>
    <w:uiPriority w:val="0"/>
    <w:rPr>
      <w:rFonts w:ascii="宋体" w:hAnsi="宋体"/>
      <w:kern w:val="2"/>
      <w:sz w:val="24"/>
      <w:szCs w:val="24"/>
    </w:rPr>
  </w:style>
  <w:style w:type="character" w:customStyle="1" w:styleId="2151">
    <w:name w:val="图名称 Char Char Char Char Char Char Char Char Char Char Char Char"/>
    <w:qFormat/>
    <w:uiPriority w:val="0"/>
    <w:rPr>
      <w:rFonts w:ascii="黑体" w:eastAsia="黑体"/>
      <w:b/>
      <w:bCs/>
      <w:spacing w:val="16"/>
      <w:sz w:val="28"/>
      <w:szCs w:val="28"/>
      <w:lang w:val="en-US" w:eastAsia="zh-CN" w:bidi="ar-SA"/>
    </w:rPr>
  </w:style>
  <w:style w:type="character" w:customStyle="1" w:styleId="2152">
    <w:name w:val="正文样式1 Char Char"/>
    <w:qFormat/>
    <w:uiPriority w:val="0"/>
    <w:rPr>
      <w:rFonts w:ascii="宋体" w:hAnsi="Courier New" w:eastAsia="宋体" w:cs="Courier New"/>
      <w:sz w:val="24"/>
      <w:szCs w:val="21"/>
      <w:lang w:val="en-US" w:eastAsia="zh-CN" w:bidi="ar-SA"/>
    </w:rPr>
  </w:style>
  <w:style w:type="character" w:customStyle="1" w:styleId="2153">
    <w:name w:val="样式 标题 41.1.1.1 Char1.1.1.1标题 4.1.1.1.1标题 4 Char款标4段H4H4... Char Char"/>
    <w:qFormat/>
    <w:uiPriority w:val="0"/>
    <w:rPr>
      <w:rFonts w:ascii="宋体" w:hAnsi="宋体" w:eastAsia="宋体"/>
      <w:b/>
      <w:bCs/>
      <w:sz w:val="24"/>
      <w:szCs w:val="24"/>
      <w:lang w:val="en-US" w:eastAsia="zh-CN" w:bidi="ar-SA"/>
    </w:rPr>
  </w:style>
  <w:style w:type="character" w:customStyle="1" w:styleId="2154">
    <w:name w:val="标准文本 居中 行距1.5倍 Char Char"/>
    <w:qFormat/>
    <w:uiPriority w:val="0"/>
    <w:rPr>
      <w:rFonts w:eastAsia="宋体" w:cs="宋体"/>
      <w:kern w:val="2"/>
      <w:sz w:val="24"/>
      <w:szCs w:val="24"/>
      <w:lang w:val="en-US" w:eastAsia="zh-CN" w:bidi="ar-SA"/>
    </w:rPr>
  </w:style>
  <w:style w:type="character" w:customStyle="1" w:styleId="2155">
    <w:name w:val="样式5正文 Char Char"/>
    <w:qFormat/>
    <w:uiPriority w:val="0"/>
    <w:rPr>
      <w:rFonts w:eastAsia="宋体"/>
      <w:kern w:val="2"/>
      <w:sz w:val="24"/>
      <w:szCs w:val="24"/>
      <w:lang w:val="en-US" w:eastAsia="zh-CN" w:bidi="ar-SA"/>
    </w:rPr>
  </w:style>
  <w:style w:type="character" w:customStyle="1" w:styleId="2156">
    <w:name w:val=" Char Char23"/>
    <w:qFormat/>
    <w:uiPriority w:val="0"/>
    <w:rPr>
      <w:rFonts w:ascii="Arial" w:hAnsi="Arial" w:eastAsia="黑体"/>
      <w:sz w:val="24"/>
      <w:lang w:val="en-US" w:eastAsia="zh-CN"/>
    </w:rPr>
  </w:style>
  <w:style w:type="character" w:customStyle="1" w:styleId="2157">
    <w:name w:val="样式 标题 2标题21.1H2节标题 1.11.1标题2b2节标题h2第一层条4.1二级标题标题 lxb... Char Char"/>
    <w:qFormat/>
    <w:uiPriority w:val="0"/>
  </w:style>
  <w:style w:type="character" w:customStyle="1" w:styleId="2158">
    <w:name w:val="正文五号 Char Char"/>
    <w:qFormat/>
    <w:uiPriority w:val="0"/>
    <w:rPr>
      <w:rFonts w:ascii="宋体" w:hAnsi="宋体"/>
      <w:kern w:val="2"/>
      <w:sz w:val="21"/>
      <w:szCs w:val="21"/>
    </w:rPr>
  </w:style>
  <w:style w:type="character" w:customStyle="1" w:styleId="2159">
    <w:name w:val="缩进 Char Char Char Char"/>
    <w:qFormat/>
    <w:uiPriority w:val="0"/>
    <w:rPr>
      <w:rFonts w:hAnsi="宋体" w:eastAsia="宋体"/>
      <w:kern w:val="2"/>
      <w:sz w:val="24"/>
      <w:szCs w:val="24"/>
      <w:lang w:val="en-US" w:eastAsia="zh-CN" w:bidi="ar-SA"/>
    </w:rPr>
  </w:style>
  <w:style w:type="character" w:customStyle="1" w:styleId="2160">
    <w:name w:val="表格 32 Char Char"/>
    <w:qFormat/>
    <w:uiPriority w:val="0"/>
    <w:rPr>
      <w:rFonts w:eastAsia="宋体"/>
      <w:sz w:val="21"/>
      <w:lang w:bidi="ar-SA"/>
    </w:rPr>
  </w:style>
  <w:style w:type="character" w:customStyle="1" w:styleId="2161">
    <w:name w:val="环科院标题2 Char Char"/>
    <w:qFormat/>
    <w:uiPriority w:val="0"/>
    <w:rPr>
      <w:rFonts w:eastAsia="黑体"/>
      <w:b/>
      <w:bCs/>
      <w:kern w:val="2"/>
      <w:sz w:val="32"/>
      <w:szCs w:val="32"/>
      <w:lang w:val="en-US" w:eastAsia="zh-CN" w:bidi="ar-SA"/>
    </w:rPr>
  </w:style>
  <w:style w:type="character" w:customStyle="1" w:styleId="2162">
    <w:name w:val="标准文本 居中 单倍行距 Char Char Char Char Char"/>
    <w:qFormat/>
    <w:uiPriority w:val="0"/>
    <w:rPr>
      <w:rFonts w:eastAsia="宋体" w:cs="宋体"/>
      <w:kern w:val="2"/>
      <w:sz w:val="24"/>
      <w:szCs w:val="24"/>
      <w:lang w:val="en-US" w:eastAsia="zh-CN" w:bidi="ar-SA"/>
    </w:rPr>
  </w:style>
  <w:style w:type="character" w:customStyle="1" w:styleId="2163">
    <w:name w:val="样式 标题 2Chapter Heading2nd levelh22Titre2l2H2Header 2UND...2 Char Char"/>
    <w:qFormat/>
    <w:uiPriority w:val="0"/>
    <w:rPr>
      <w:rFonts w:ascii="Arial" w:hAnsi="Arial" w:eastAsia="黑体"/>
      <w:kern w:val="2"/>
      <w:sz w:val="24"/>
      <w:lang w:val="en-US" w:eastAsia="zh-CN" w:bidi="ar-SA"/>
    </w:rPr>
  </w:style>
  <w:style w:type="character" w:customStyle="1" w:styleId="2164">
    <w:name w:val="段落 Char Char"/>
    <w:qFormat/>
    <w:uiPriority w:val="0"/>
    <w:rPr>
      <w:rFonts w:ascii="宋体" w:hAnsi="宋体" w:eastAsia="宋体" w:cs="Arial"/>
      <w:kern w:val="2"/>
      <w:sz w:val="28"/>
      <w:szCs w:val="30"/>
      <w:lang w:val="en-US" w:eastAsia="zh-CN" w:bidi="ar-SA"/>
    </w:rPr>
  </w:style>
  <w:style w:type="character" w:customStyle="1" w:styleId="2165">
    <w:name w:val="Char Char38"/>
    <w:qFormat/>
    <w:uiPriority w:val="0"/>
    <w:rPr>
      <w:rFonts w:hint="eastAsia" w:ascii="黑体" w:hAnsi="黑体" w:eastAsia="黑体"/>
      <w:bCs/>
      <w:kern w:val="2"/>
      <w:sz w:val="24"/>
      <w:szCs w:val="24"/>
      <w:lang w:val="en-US" w:eastAsia="zh-CN" w:bidi="ar-SA"/>
    </w:rPr>
  </w:style>
  <w:style w:type="paragraph" w:customStyle="1" w:styleId="2166">
    <w:name w:val="reader-word-layer reader-word-s1-2"/>
    <w:basedOn w:val="1"/>
    <w:qFormat/>
    <w:uiPriority w:val="0"/>
    <w:pPr>
      <w:spacing w:before="100" w:beforeAutospacing="1" w:after="100" w:afterAutospacing="1"/>
    </w:pPr>
    <w:rPr>
      <w:rFonts w:ascii="宋体" w:hAnsi="宋体" w:cs="宋体"/>
      <w:kern w:val="0"/>
      <w:sz w:val="24"/>
      <w:szCs w:val="24"/>
    </w:rPr>
  </w:style>
  <w:style w:type="character" w:customStyle="1" w:styleId="2167">
    <w:name w:val="z-窗体底端 Char2"/>
    <w:semiHidden/>
    <w:qFormat/>
    <w:uiPriority w:val="99"/>
    <w:rPr>
      <w:rFonts w:ascii="Arial" w:hAnsi="Arial" w:cs="Arial"/>
      <w:vanish/>
      <w:kern w:val="2"/>
      <w:sz w:val="16"/>
      <w:szCs w:val="16"/>
    </w:rPr>
  </w:style>
  <w:style w:type="paragraph" w:customStyle="1" w:styleId="2168">
    <w:name w:val="- 页码 -"/>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2169">
    <w:name w:val="reader-word-layer reader-word-s1-1"/>
    <w:basedOn w:val="1"/>
    <w:qFormat/>
    <w:uiPriority w:val="0"/>
    <w:pPr>
      <w:spacing w:before="100" w:beforeAutospacing="1" w:after="100" w:afterAutospacing="1"/>
    </w:pPr>
    <w:rPr>
      <w:rFonts w:ascii="宋体" w:hAnsi="宋体" w:cs="宋体"/>
      <w:kern w:val="0"/>
      <w:sz w:val="24"/>
      <w:szCs w:val="24"/>
    </w:rPr>
  </w:style>
  <w:style w:type="paragraph" w:customStyle="1" w:styleId="2170">
    <w:name w:val="正文aa"/>
    <w:basedOn w:val="1"/>
    <w:qFormat/>
    <w:uiPriority w:val="0"/>
    <w:pPr>
      <w:widowControl w:val="0"/>
      <w:spacing w:line="360" w:lineRule="auto"/>
      <w:ind w:firstLine="200" w:firstLineChars="200"/>
      <w:jc w:val="both"/>
    </w:pPr>
    <w:rPr>
      <w:sz w:val="24"/>
      <w:szCs w:val="24"/>
    </w:rPr>
  </w:style>
  <w:style w:type="paragraph" w:customStyle="1" w:styleId="2171">
    <w:name w:val="jie"/>
    <w:basedOn w:val="1"/>
    <w:qFormat/>
    <w:uiPriority w:val="0"/>
    <w:pPr>
      <w:spacing w:before="100" w:beforeAutospacing="1" w:after="100" w:afterAutospacing="1"/>
    </w:pPr>
    <w:rPr>
      <w:rFonts w:ascii="宋体" w:hAnsi="宋体"/>
      <w:kern w:val="0"/>
      <w:sz w:val="24"/>
      <w:szCs w:val="24"/>
    </w:rPr>
  </w:style>
  <w:style w:type="character" w:customStyle="1" w:styleId="2172">
    <w:name w:val="z-窗体顶端 Char2"/>
    <w:semiHidden/>
    <w:qFormat/>
    <w:uiPriority w:val="99"/>
    <w:rPr>
      <w:rFonts w:ascii="Arial" w:hAnsi="Arial" w:cs="Arial"/>
      <w:vanish/>
      <w:kern w:val="2"/>
      <w:sz w:val="16"/>
      <w:szCs w:val="16"/>
    </w:rPr>
  </w:style>
  <w:style w:type="paragraph" w:customStyle="1" w:styleId="2173">
    <w:name w:val="bt2"/>
    <w:basedOn w:val="1"/>
    <w:qFormat/>
    <w:uiPriority w:val="0"/>
    <w:pPr>
      <w:widowControl w:val="0"/>
      <w:spacing w:line="500" w:lineRule="exact"/>
      <w:ind w:firstLine="567"/>
      <w:jc w:val="both"/>
    </w:pPr>
    <w:rPr>
      <w:b/>
      <w:sz w:val="30"/>
    </w:rPr>
  </w:style>
  <w:style w:type="paragraph" w:customStyle="1" w:styleId="2174">
    <w:name w:val=" Char Char2 Char Char Char Char"/>
    <w:basedOn w:val="1"/>
    <w:qFormat/>
    <w:uiPriority w:val="0"/>
    <w:pPr>
      <w:spacing w:after="160" w:line="240" w:lineRule="exact"/>
    </w:pPr>
    <w:rPr>
      <w:rFonts w:ascii="Verdana" w:hAnsi="Verdana" w:eastAsia="仿宋_GB2312"/>
      <w:kern w:val="0"/>
      <w:sz w:val="24"/>
      <w:lang w:eastAsia="en-US"/>
    </w:rPr>
  </w:style>
  <w:style w:type="paragraph" w:customStyle="1" w:styleId="2175">
    <w:name w:val="正文（首行缩进两个字） + 首行缩进:  2 字符"/>
    <w:basedOn w:val="1"/>
    <w:qFormat/>
    <w:uiPriority w:val="0"/>
    <w:pPr>
      <w:spacing w:line="440" w:lineRule="exact"/>
      <w:ind w:firstLine="200" w:firstLineChars="200"/>
    </w:pPr>
    <w:rPr>
      <w:rFonts w:eastAsia="仿宋_GB2312" w:cs="宋体"/>
      <w:sz w:val="24"/>
      <w:lang w:val="zh-CN"/>
    </w:rPr>
  </w:style>
  <w:style w:type="paragraph" w:customStyle="1" w:styleId="2176">
    <w:name w:val="表格小五（1）"/>
    <w:basedOn w:val="1"/>
    <w:qFormat/>
    <w:uiPriority w:val="0"/>
    <w:pPr>
      <w:widowControl w:val="0"/>
      <w:adjustRightInd w:val="0"/>
      <w:snapToGrid w:val="0"/>
      <w:spacing w:line="320" w:lineRule="exact"/>
      <w:jc w:val="both"/>
    </w:pPr>
    <w:rPr>
      <w:rFonts w:ascii="宋体" w:hAnsi="宋体"/>
      <w:sz w:val="18"/>
      <w:szCs w:val="24"/>
    </w:rPr>
  </w:style>
  <w:style w:type="paragraph" w:customStyle="1" w:styleId="2177">
    <w:name w:val="et142"/>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78">
    <w:name w:val="et160"/>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79">
    <w:name w:val="et15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80">
    <w:name w:val="页号"/>
    <w:basedOn w:val="62"/>
    <w:qFormat/>
    <w:uiPriority w:val="0"/>
    <w:pPr>
      <w:widowControl w:val="0"/>
      <w:tabs>
        <w:tab w:val="center" w:pos="4320"/>
        <w:tab w:val="right" w:pos="8640"/>
        <w:tab w:val="clear" w:pos="4153"/>
        <w:tab w:val="clear" w:pos="8306"/>
      </w:tabs>
      <w:adjustRightInd w:val="0"/>
      <w:snapToGrid/>
      <w:jc w:val="center"/>
      <w:textAlignment w:val="baseline"/>
    </w:pPr>
    <w:rPr>
      <w:rFonts w:ascii="宋体" w:hAnsi="Arial"/>
      <w:spacing w:val="3"/>
      <w:kern w:val="24"/>
      <w:sz w:val="24"/>
    </w:rPr>
  </w:style>
  <w:style w:type="paragraph" w:customStyle="1" w:styleId="2181">
    <w:name w:val="正文内芯"/>
    <w:basedOn w:val="1"/>
    <w:qFormat/>
    <w:uiPriority w:val="0"/>
    <w:pPr>
      <w:widowControl w:val="0"/>
      <w:spacing w:line="600" w:lineRule="exact"/>
      <w:ind w:firstLine="640" w:firstLineChars="200"/>
      <w:jc w:val="both"/>
    </w:pPr>
    <w:rPr>
      <w:rFonts w:ascii="仿宋_GB2312" w:eastAsia="仿宋_GB2312"/>
      <w:sz w:val="32"/>
      <w:szCs w:val="24"/>
    </w:rPr>
  </w:style>
  <w:style w:type="paragraph" w:customStyle="1" w:styleId="2182">
    <w:name w:val="et80"/>
    <w:basedOn w:val="1"/>
    <w:qFormat/>
    <w:uiPriority w:val="0"/>
    <w:pPr>
      <w:spacing w:before="100" w:beforeAutospacing="1" w:after="100" w:afterAutospacing="1"/>
      <w:textAlignment w:val="bottom"/>
    </w:pPr>
    <w:rPr>
      <w:color w:val="000000"/>
      <w:kern w:val="0"/>
      <w:sz w:val="22"/>
      <w:szCs w:val="22"/>
    </w:rPr>
  </w:style>
  <w:style w:type="paragraph" w:customStyle="1" w:styleId="2183">
    <w:name w:val="et89"/>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84">
    <w:name w:val="et77"/>
    <w:basedOn w:val="1"/>
    <w:qFormat/>
    <w:uiPriority w:val="0"/>
    <w:pPr>
      <w:spacing w:before="100" w:beforeAutospacing="1" w:after="100" w:afterAutospacing="1"/>
      <w:textAlignment w:val="bottom"/>
    </w:pPr>
    <w:rPr>
      <w:color w:val="000000"/>
      <w:kern w:val="0"/>
      <w:sz w:val="22"/>
      <w:szCs w:val="22"/>
    </w:rPr>
  </w:style>
  <w:style w:type="paragraph" w:customStyle="1" w:styleId="2185">
    <w:name w:val="et86"/>
    <w:basedOn w:val="1"/>
    <w:qFormat/>
    <w:uiPriority w:val="0"/>
    <w:pPr>
      <w:spacing w:before="100" w:beforeAutospacing="1" w:after="100" w:afterAutospacing="1"/>
      <w:textAlignment w:val="bottom"/>
    </w:pPr>
    <w:rPr>
      <w:color w:val="000000"/>
      <w:kern w:val="0"/>
      <w:sz w:val="22"/>
      <w:szCs w:val="22"/>
    </w:rPr>
  </w:style>
  <w:style w:type="paragraph" w:customStyle="1" w:styleId="2186">
    <w:name w:val="et100"/>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87">
    <w:name w:val="et97"/>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88">
    <w:name w:val="et7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89">
    <w:name w:val="et87"/>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90">
    <w:name w:val="et9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91">
    <w:name w:val="表内5"/>
    <w:basedOn w:val="1"/>
    <w:qFormat/>
    <w:uiPriority w:val="0"/>
    <w:pPr>
      <w:widowControl w:val="0"/>
      <w:adjustRightInd w:val="0"/>
      <w:snapToGrid w:val="0"/>
      <w:spacing w:line="360" w:lineRule="auto"/>
      <w:jc w:val="both"/>
    </w:pPr>
    <w:rPr>
      <w:szCs w:val="21"/>
    </w:rPr>
  </w:style>
  <w:style w:type="paragraph" w:customStyle="1" w:styleId="2192">
    <w:name w:val="reader-word-layer reader-word-s1-6"/>
    <w:basedOn w:val="1"/>
    <w:qFormat/>
    <w:uiPriority w:val="0"/>
    <w:pPr>
      <w:spacing w:before="100" w:beforeAutospacing="1" w:after="100" w:afterAutospacing="1"/>
    </w:pPr>
    <w:rPr>
      <w:rFonts w:ascii="宋体" w:hAnsi="宋体" w:cs="宋体"/>
      <w:kern w:val="0"/>
      <w:sz w:val="24"/>
      <w:szCs w:val="24"/>
    </w:rPr>
  </w:style>
  <w:style w:type="paragraph" w:customStyle="1" w:styleId="2193">
    <w:name w:val="et8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194">
    <w:name w:val="图题"/>
    <w:basedOn w:val="9"/>
    <w:qFormat/>
    <w:uiPriority w:val="0"/>
    <w:pPr>
      <w:adjustRightInd w:val="0"/>
      <w:snapToGrid w:val="0"/>
      <w:spacing w:before="0" w:after="0" w:line="240" w:lineRule="auto"/>
      <w:jc w:val="center"/>
    </w:pPr>
    <w:rPr>
      <w:rFonts w:ascii="方正大标宋简体" w:eastAsia="方正大标宋简体" w:cs="方正大标宋简体"/>
      <w:b w:val="0"/>
      <w:kern w:val="0"/>
      <w:sz w:val="24"/>
      <w:szCs w:val="24"/>
    </w:rPr>
  </w:style>
  <w:style w:type="paragraph" w:customStyle="1" w:styleId="2195">
    <w:name w:val="font2"/>
    <w:basedOn w:val="1"/>
    <w:qFormat/>
    <w:uiPriority w:val="0"/>
    <w:pPr>
      <w:spacing w:before="100" w:beforeAutospacing="1" w:after="100" w:afterAutospacing="1"/>
    </w:pPr>
    <w:rPr>
      <w:rFonts w:ascii="宋体" w:hAnsi="宋体" w:cs="宋体"/>
      <w:color w:val="000000"/>
      <w:kern w:val="0"/>
      <w:sz w:val="20"/>
    </w:rPr>
  </w:style>
  <w:style w:type="paragraph" w:customStyle="1" w:styleId="2196">
    <w:name w:val="font3"/>
    <w:basedOn w:val="1"/>
    <w:qFormat/>
    <w:uiPriority w:val="0"/>
    <w:pPr>
      <w:spacing w:before="100" w:beforeAutospacing="1" w:after="100" w:afterAutospacing="1"/>
    </w:pPr>
    <w:rPr>
      <w:color w:val="000000"/>
      <w:kern w:val="0"/>
      <w:sz w:val="20"/>
    </w:rPr>
  </w:style>
  <w:style w:type="paragraph" w:customStyle="1" w:styleId="2197">
    <w:name w:val="font4"/>
    <w:basedOn w:val="1"/>
    <w:qFormat/>
    <w:uiPriority w:val="0"/>
    <w:pPr>
      <w:spacing w:before="100" w:beforeAutospacing="1" w:after="100" w:afterAutospacing="1"/>
    </w:pPr>
    <w:rPr>
      <w:b/>
      <w:bCs/>
      <w:color w:val="000000"/>
      <w:kern w:val="0"/>
      <w:sz w:val="20"/>
    </w:rPr>
  </w:style>
  <w:style w:type="paragraph" w:customStyle="1" w:styleId="2198">
    <w:name w:val="et3"/>
    <w:basedOn w:val="1"/>
    <w:qFormat/>
    <w:uiPriority w:val="0"/>
    <w:pPr>
      <w:spacing w:before="100" w:beforeAutospacing="1" w:after="100" w:afterAutospacing="1"/>
      <w:textAlignment w:val="bottom"/>
    </w:pPr>
    <w:rPr>
      <w:color w:val="000000"/>
      <w:kern w:val="0"/>
      <w:sz w:val="22"/>
      <w:szCs w:val="22"/>
    </w:rPr>
  </w:style>
  <w:style w:type="paragraph" w:customStyle="1" w:styleId="2199">
    <w:name w:val="et4"/>
    <w:basedOn w:val="1"/>
    <w:qFormat/>
    <w:uiPriority w:val="0"/>
    <w:pPr>
      <w:spacing w:before="100" w:beforeAutospacing="1" w:after="100" w:afterAutospacing="1"/>
      <w:textAlignment w:val="bottom"/>
    </w:pPr>
    <w:rPr>
      <w:color w:val="000000"/>
      <w:kern w:val="0"/>
      <w:sz w:val="22"/>
      <w:szCs w:val="22"/>
    </w:rPr>
  </w:style>
  <w:style w:type="paragraph" w:customStyle="1" w:styleId="2200">
    <w:name w:val="et5"/>
    <w:basedOn w:val="1"/>
    <w:qFormat/>
    <w:uiPriority w:val="0"/>
    <w:pPr>
      <w:spacing w:before="100" w:beforeAutospacing="1" w:after="100" w:afterAutospacing="1"/>
      <w:textAlignment w:val="bottom"/>
    </w:pPr>
    <w:rPr>
      <w:color w:val="000000"/>
      <w:kern w:val="0"/>
      <w:sz w:val="22"/>
      <w:szCs w:val="22"/>
    </w:rPr>
  </w:style>
  <w:style w:type="paragraph" w:customStyle="1" w:styleId="2201">
    <w:name w:val="et6"/>
    <w:basedOn w:val="1"/>
    <w:qFormat/>
    <w:uiPriority w:val="0"/>
    <w:pPr>
      <w:spacing w:before="100" w:beforeAutospacing="1" w:after="100" w:afterAutospacing="1"/>
      <w:textAlignment w:val="bottom"/>
    </w:pPr>
    <w:rPr>
      <w:color w:val="000000"/>
      <w:kern w:val="0"/>
      <w:sz w:val="22"/>
      <w:szCs w:val="22"/>
    </w:rPr>
  </w:style>
  <w:style w:type="paragraph" w:customStyle="1" w:styleId="2202">
    <w:name w:val="et7"/>
    <w:basedOn w:val="1"/>
    <w:qFormat/>
    <w:uiPriority w:val="0"/>
    <w:pPr>
      <w:spacing w:before="100" w:beforeAutospacing="1" w:after="100" w:afterAutospacing="1"/>
      <w:textAlignment w:val="bottom"/>
    </w:pPr>
    <w:rPr>
      <w:color w:val="000000"/>
      <w:kern w:val="0"/>
      <w:sz w:val="22"/>
      <w:szCs w:val="22"/>
    </w:rPr>
  </w:style>
  <w:style w:type="paragraph" w:customStyle="1" w:styleId="2203">
    <w:name w:val="et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04">
    <w:name w:val="et9"/>
    <w:basedOn w:val="1"/>
    <w:qFormat/>
    <w:uiPriority w:val="0"/>
    <w:pPr>
      <w:spacing w:before="100" w:beforeAutospacing="1" w:after="100" w:afterAutospacing="1"/>
      <w:textAlignment w:val="bottom"/>
    </w:pPr>
    <w:rPr>
      <w:color w:val="000000"/>
      <w:kern w:val="0"/>
      <w:sz w:val="22"/>
      <w:szCs w:val="22"/>
    </w:rPr>
  </w:style>
  <w:style w:type="paragraph" w:customStyle="1" w:styleId="2205">
    <w:name w:val="et10"/>
    <w:basedOn w:val="1"/>
    <w:qFormat/>
    <w:uiPriority w:val="0"/>
    <w:pPr>
      <w:spacing w:before="100" w:beforeAutospacing="1" w:after="100" w:afterAutospacing="1"/>
      <w:textAlignment w:val="bottom"/>
    </w:pPr>
    <w:rPr>
      <w:color w:val="000000"/>
      <w:kern w:val="0"/>
      <w:sz w:val="22"/>
      <w:szCs w:val="22"/>
    </w:rPr>
  </w:style>
  <w:style w:type="paragraph" w:customStyle="1" w:styleId="2206">
    <w:name w:val="et11"/>
    <w:basedOn w:val="1"/>
    <w:qFormat/>
    <w:uiPriority w:val="0"/>
    <w:pPr>
      <w:spacing w:before="100" w:beforeAutospacing="1" w:after="100" w:afterAutospacing="1"/>
      <w:textAlignment w:val="bottom"/>
    </w:pPr>
    <w:rPr>
      <w:color w:val="000000"/>
      <w:kern w:val="0"/>
      <w:sz w:val="22"/>
      <w:szCs w:val="22"/>
    </w:rPr>
  </w:style>
  <w:style w:type="paragraph" w:customStyle="1" w:styleId="2207">
    <w:name w:val="et12"/>
    <w:basedOn w:val="1"/>
    <w:qFormat/>
    <w:uiPriority w:val="0"/>
    <w:pPr>
      <w:spacing w:before="100" w:beforeAutospacing="1" w:after="100" w:afterAutospacing="1"/>
      <w:textAlignment w:val="bottom"/>
    </w:pPr>
    <w:rPr>
      <w:color w:val="000000"/>
      <w:kern w:val="0"/>
      <w:sz w:val="22"/>
      <w:szCs w:val="22"/>
    </w:rPr>
  </w:style>
  <w:style w:type="paragraph" w:customStyle="1" w:styleId="2208">
    <w:name w:val="et13"/>
    <w:basedOn w:val="1"/>
    <w:qFormat/>
    <w:uiPriority w:val="0"/>
    <w:pPr>
      <w:spacing w:before="100" w:beforeAutospacing="1" w:after="100" w:afterAutospacing="1"/>
      <w:textAlignment w:val="bottom"/>
    </w:pPr>
    <w:rPr>
      <w:color w:val="000000"/>
      <w:kern w:val="0"/>
      <w:sz w:val="22"/>
      <w:szCs w:val="22"/>
    </w:rPr>
  </w:style>
  <w:style w:type="paragraph" w:customStyle="1" w:styleId="2209">
    <w:name w:val="et14"/>
    <w:basedOn w:val="1"/>
    <w:qFormat/>
    <w:uiPriority w:val="0"/>
    <w:pPr>
      <w:spacing w:before="100" w:beforeAutospacing="1" w:after="100" w:afterAutospacing="1"/>
      <w:textAlignment w:val="bottom"/>
    </w:pPr>
    <w:rPr>
      <w:color w:val="000000"/>
      <w:kern w:val="0"/>
      <w:sz w:val="22"/>
      <w:szCs w:val="22"/>
    </w:rPr>
  </w:style>
  <w:style w:type="paragraph" w:customStyle="1" w:styleId="2210">
    <w:name w:val="et15"/>
    <w:basedOn w:val="1"/>
    <w:qFormat/>
    <w:uiPriority w:val="0"/>
    <w:pPr>
      <w:spacing w:before="100" w:beforeAutospacing="1" w:after="100" w:afterAutospacing="1"/>
      <w:textAlignment w:val="bottom"/>
    </w:pPr>
    <w:rPr>
      <w:color w:val="000000"/>
      <w:kern w:val="0"/>
      <w:sz w:val="22"/>
      <w:szCs w:val="22"/>
    </w:rPr>
  </w:style>
  <w:style w:type="paragraph" w:customStyle="1" w:styleId="2211">
    <w:name w:val="et16"/>
    <w:basedOn w:val="1"/>
    <w:qFormat/>
    <w:uiPriority w:val="0"/>
    <w:pPr>
      <w:spacing w:before="100" w:beforeAutospacing="1" w:after="100" w:afterAutospacing="1"/>
      <w:textAlignment w:val="bottom"/>
    </w:pPr>
    <w:rPr>
      <w:color w:val="000000"/>
      <w:kern w:val="0"/>
      <w:sz w:val="22"/>
      <w:szCs w:val="22"/>
    </w:rPr>
  </w:style>
  <w:style w:type="paragraph" w:customStyle="1" w:styleId="2212">
    <w:name w:val="et17"/>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13">
    <w:name w:val="et19"/>
    <w:basedOn w:val="1"/>
    <w:qFormat/>
    <w:uiPriority w:val="0"/>
    <w:pPr>
      <w:spacing w:before="100" w:beforeAutospacing="1" w:after="100" w:afterAutospacing="1"/>
      <w:textAlignment w:val="bottom"/>
    </w:pPr>
    <w:rPr>
      <w:color w:val="000000"/>
      <w:kern w:val="0"/>
      <w:sz w:val="22"/>
      <w:szCs w:val="22"/>
    </w:rPr>
  </w:style>
  <w:style w:type="paragraph" w:customStyle="1" w:styleId="2214">
    <w:name w:val="et21"/>
    <w:basedOn w:val="1"/>
    <w:qFormat/>
    <w:uiPriority w:val="0"/>
    <w:pPr>
      <w:spacing w:before="100" w:beforeAutospacing="1" w:after="100" w:afterAutospacing="1"/>
      <w:textAlignment w:val="bottom"/>
    </w:pPr>
    <w:rPr>
      <w:color w:val="000000"/>
      <w:kern w:val="0"/>
      <w:sz w:val="22"/>
      <w:szCs w:val="22"/>
    </w:rPr>
  </w:style>
  <w:style w:type="paragraph" w:customStyle="1" w:styleId="2215">
    <w:name w:val="et23"/>
    <w:basedOn w:val="1"/>
    <w:qFormat/>
    <w:uiPriority w:val="0"/>
    <w:pPr>
      <w:spacing w:before="100" w:beforeAutospacing="1" w:after="100" w:afterAutospacing="1"/>
      <w:textAlignment w:val="bottom"/>
    </w:pPr>
    <w:rPr>
      <w:color w:val="000000"/>
      <w:kern w:val="0"/>
      <w:sz w:val="22"/>
      <w:szCs w:val="22"/>
    </w:rPr>
  </w:style>
  <w:style w:type="paragraph" w:customStyle="1" w:styleId="2216">
    <w:name w:val="et25"/>
    <w:basedOn w:val="1"/>
    <w:qFormat/>
    <w:uiPriority w:val="0"/>
    <w:pPr>
      <w:spacing w:before="100" w:beforeAutospacing="1" w:after="100" w:afterAutospacing="1"/>
      <w:textAlignment w:val="bottom"/>
    </w:pPr>
    <w:rPr>
      <w:color w:val="000000"/>
      <w:kern w:val="0"/>
      <w:sz w:val="22"/>
      <w:szCs w:val="22"/>
    </w:rPr>
  </w:style>
  <w:style w:type="paragraph" w:customStyle="1" w:styleId="2217">
    <w:name w:val="et27"/>
    <w:basedOn w:val="1"/>
    <w:qFormat/>
    <w:uiPriority w:val="0"/>
    <w:pPr>
      <w:spacing w:before="100" w:beforeAutospacing="1" w:after="100" w:afterAutospacing="1"/>
      <w:textAlignment w:val="bottom"/>
    </w:pPr>
    <w:rPr>
      <w:color w:val="000000"/>
      <w:kern w:val="0"/>
      <w:sz w:val="22"/>
      <w:szCs w:val="22"/>
    </w:rPr>
  </w:style>
  <w:style w:type="paragraph" w:customStyle="1" w:styleId="2218">
    <w:name w:val="et35"/>
    <w:basedOn w:val="1"/>
    <w:qFormat/>
    <w:uiPriority w:val="0"/>
    <w:pPr>
      <w:spacing w:before="100" w:beforeAutospacing="1" w:after="100" w:afterAutospacing="1"/>
      <w:textAlignment w:val="bottom"/>
    </w:pPr>
    <w:rPr>
      <w:color w:val="000000"/>
      <w:kern w:val="0"/>
      <w:sz w:val="22"/>
      <w:szCs w:val="22"/>
    </w:rPr>
  </w:style>
  <w:style w:type="paragraph" w:customStyle="1" w:styleId="2219">
    <w:name w:val="et36"/>
    <w:basedOn w:val="1"/>
    <w:qFormat/>
    <w:uiPriority w:val="0"/>
    <w:pPr>
      <w:spacing w:before="100" w:beforeAutospacing="1" w:after="100" w:afterAutospacing="1"/>
      <w:textAlignment w:val="bottom"/>
    </w:pPr>
    <w:rPr>
      <w:color w:val="000000"/>
      <w:kern w:val="0"/>
      <w:sz w:val="22"/>
      <w:szCs w:val="22"/>
    </w:rPr>
  </w:style>
  <w:style w:type="paragraph" w:customStyle="1" w:styleId="2220">
    <w:name w:val="et43"/>
    <w:basedOn w:val="1"/>
    <w:qFormat/>
    <w:uiPriority w:val="0"/>
    <w:pPr>
      <w:spacing w:before="100" w:beforeAutospacing="1" w:after="100" w:afterAutospacing="1"/>
      <w:textAlignment w:val="bottom"/>
    </w:pPr>
    <w:rPr>
      <w:color w:val="000000"/>
      <w:kern w:val="0"/>
      <w:sz w:val="22"/>
      <w:szCs w:val="22"/>
    </w:rPr>
  </w:style>
  <w:style w:type="paragraph" w:customStyle="1" w:styleId="2221">
    <w:name w:val="et44"/>
    <w:basedOn w:val="1"/>
    <w:qFormat/>
    <w:uiPriority w:val="0"/>
    <w:pPr>
      <w:spacing w:before="100" w:beforeAutospacing="1" w:after="100" w:afterAutospacing="1"/>
      <w:textAlignment w:val="bottom"/>
    </w:pPr>
    <w:rPr>
      <w:color w:val="000000"/>
      <w:kern w:val="0"/>
      <w:sz w:val="22"/>
      <w:szCs w:val="22"/>
    </w:rPr>
  </w:style>
  <w:style w:type="paragraph" w:customStyle="1" w:styleId="2222">
    <w:name w:val="et45"/>
    <w:basedOn w:val="1"/>
    <w:qFormat/>
    <w:uiPriority w:val="0"/>
    <w:pPr>
      <w:spacing w:before="100" w:beforeAutospacing="1" w:after="100" w:afterAutospacing="1"/>
      <w:textAlignment w:val="bottom"/>
    </w:pPr>
    <w:rPr>
      <w:color w:val="000000"/>
      <w:kern w:val="0"/>
      <w:sz w:val="22"/>
      <w:szCs w:val="22"/>
    </w:rPr>
  </w:style>
  <w:style w:type="paragraph" w:customStyle="1" w:styleId="2223">
    <w:name w:val="et46"/>
    <w:basedOn w:val="1"/>
    <w:qFormat/>
    <w:uiPriority w:val="0"/>
    <w:pPr>
      <w:spacing w:before="100" w:beforeAutospacing="1" w:after="100" w:afterAutospacing="1"/>
      <w:textAlignment w:val="bottom"/>
    </w:pPr>
    <w:rPr>
      <w:color w:val="000000"/>
      <w:kern w:val="0"/>
      <w:sz w:val="22"/>
      <w:szCs w:val="22"/>
    </w:rPr>
  </w:style>
  <w:style w:type="paragraph" w:customStyle="1" w:styleId="2224">
    <w:name w:val="et47"/>
    <w:basedOn w:val="1"/>
    <w:qFormat/>
    <w:uiPriority w:val="0"/>
    <w:pPr>
      <w:spacing w:before="100" w:beforeAutospacing="1" w:after="100" w:afterAutospacing="1"/>
      <w:textAlignment w:val="bottom"/>
    </w:pPr>
    <w:rPr>
      <w:color w:val="000000"/>
      <w:kern w:val="0"/>
      <w:sz w:val="22"/>
      <w:szCs w:val="22"/>
    </w:rPr>
  </w:style>
  <w:style w:type="paragraph" w:customStyle="1" w:styleId="2225">
    <w:name w:val="et48"/>
    <w:basedOn w:val="1"/>
    <w:qFormat/>
    <w:uiPriority w:val="0"/>
    <w:pPr>
      <w:spacing w:before="100" w:beforeAutospacing="1" w:after="100" w:afterAutospacing="1"/>
      <w:textAlignment w:val="bottom"/>
    </w:pPr>
    <w:rPr>
      <w:color w:val="000000"/>
      <w:kern w:val="0"/>
      <w:sz w:val="22"/>
      <w:szCs w:val="22"/>
    </w:rPr>
  </w:style>
  <w:style w:type="paragraph" w:customStyle="1" w:styleId="2226">
    <w:name w:val="et49"/>
    <w:basedOn w:val="1"/>
    <w:qFormat/>
    <w:uiPriority w:val="0"/>
    <w:pPr>
      <w:spacing w:before="100" w:beforeAutospacing="1" w:after="100" w:afterAutospacing="1"/>
      <w:textAlignment w:val="bottom"/>
    </w:pPr>
    <w:rPr>
      <w:color w:val="000000"/>
      <w:kern w:val="0"/>
      <w:sz w:val="22"/>
      <w:szCs w:val="22"/>
    </w:rPr>
  </w:style>
  <w:style w:type="paragraph" w:customStyle="1" w:styleId="2227">
    <w:name w:val="et51"/>
    <w:basedOn w:val="1"/>
    <w:qFormat/>
    <w:uiPriority w:val="0"/>
    <w:pPr>
      <w:spacing w:before="100" w:beforeAutospacing="1" w:after="100" w:afterAutospacing="1"/>
      <w:textAlignment w:val="bottom"/>
    </w:pPr>
    <w:rPr>
      <w:color w:val="000000"/>
      <w:kern w:val="0"/>
      <w:sz w:val="22"/>
      <w:szCs w:val="22"/>
    </w:rPr>
  </w:style>
  <w:style w:type="paragraph" w:customStyle="1" w:styleId="2228">
    <w:name w:val="et52"/>
    <w:basedOn w:val="1"/>
    <w:qFormat/>
    <w:uiPriority w:val="0"/>
    <w:pPr>
      <w:spacing w:before="100" w:beforeAutospacing="1" w:after="100" w:afterAutospacing="1"/>
      <w:textAlignment w:val="bottom"/>
    </w:pPr>
    <w:rPr>
      <w:color w:val="000000"/>
      <w:kern w:val="0"/>
      <w:sz w:val="22"/>
      <w:szCs w:val="22"/>
    </w:rPr>
  </w:style>
  <w:style w:type="paragraph" w:customStyle="1" w:styleId="2229">
    <w:name w:val="et53"/>
    <w:basedOn w:val="1"/>
    <w:qFormat/>
    <w:uiPriority w:val="0"/>
    <w:pPr>
      <w:spacing w:before="100" w:beforeAutospacing="1" w:after="100" w:afterAutospacing="1"/>
      <w:textAlignment w:val="bottom"/>
    </w:pPr>
    <w:rPr>
      <w:color w:val="000000"/>
      <w:kern w:val="0"/>
      <w:sz w:val="22"/>
      <w:szCs w:val="22"/>
    </w:rPr>
  </w:style>
  <w:style w:type="paragraph" w:customStyle="1" w:styleId="2230">
    <w:name w:val="et56"/>
    <w:basedOn w:val="1"/>
    <w:qFormat/>
    <w:uiPriority w:val="0"/>
    <w:pPr>
      <w:spacing w:before="100" w:beforeAutospacing="1" w:after="100" w:afterAutospacing="1"/>
      <w:textAlignment w:val="bottom"/>
    </w:pPr>
    <w:rPr>
      <w:color w:val="000000"/>
      <w:kern w:val="0"/>
      <w:sz w:val="22"/>
      <w:szCs w:val="22"/>
    </w:rPr>
  </w:style>
  <w:style w:type="paragraph" w:customStyle="1" w:styleId="2231">
    <w:name w:val="et57"/>
    <w:basedOn w:val="1"/>
    <w:qFormat/>
    <w:uiPriority w:val="0"/>
    <w:pPr>
      <w:spacing w:before="100" w:beforeAutospacing="1" w:after="100" w:afterAutospacing="1"/>
      <w:textAlignment w:val="bottom"/>
    </w:pPr>
    <w:rPr>
      <w:color w:val="000000"/>
      <w:kern w:val="0"/>
      <w:sz w:val="22"/>
      <w:szCs w:val="22"/>
    </w:rPr>
  </w:style>
  <w:style w:type="paragraph" w:customStyle="1" w:styleId="2232">
    <w:name w:val="et58"/>
    <w:basedOn w:val="1"/>
    <w:qFormat/>
    <w:uiPriority w:val="0"/>
    <w:pPr>
      <w:spacing w:before="100" w:beforeAutospacing="1" w:after="100" w:afterAutospacing="1"/>
      <w:textAlignment w:val="bottom"/>
    </w:pPr>
    <w:rPr>
      <w:color w:val="000000"/>
      <w:kern w:val="0"/>
      <w:sz w:val="22"/>
      <w:szCs w:val="22"/>
    </w:rPr>
  </w:style>
  <w:style w:type="paragraph" w:customStyle="1" w:styleId="2233">
    <w:name w:val="et59"/>
    <w:basedOn w:val="1"/>
    <w:qFormat/>
    <w:uiPriority w:val="0"/>
    <w:pPr>
      <w:spacing w:before="100" w:beforeAutospacing="1" w:after="100" w:afterAutospacing="1"/>
      <w:textAlignment w:val="bottom"/>
    </w:pPr>
    <w:rPr>
      <w:color w:val="000000"/>
      <w:kern w:val="0"/>
      <w:sz w:val="22"/>
      <w:szCs w:val="22"/>
    </w:rPr>
  </w:style>
  <w:style w:type="paragraph" w:customStyle="1" w:styleId="2234">
    <w:name w:val="et62"/>
    <w:basedOn w:val="1"/>
    <w:qFormat/>
    <w:uiPriority w:val="0"/>
    <w:pPr>
      <w:spacing w:before="100" w:beforeAutospacing="1" w:after="100" w:afterAutospacing="1"/>
      <w:textAlignment w:val="bottom"/>
    </w:pPr>
    <w:rPr>
      <w:color w:val="000000"/>
      <w:kern w:val="0"/>
      <w:sz w:val="22"/>
      <w:szCs w:val="22"/>
    </w:rPr>
  </w:style>
  <w:style w:type="paragraph" w:customStyle="1" w:styleId="2235">
    <w:name w:val="et6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36">
    <w:name w:val="et6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37">
    <w:name w:val="et65"/>
    <w:basedOn w:val="1"/>
    <w:qFormat/>
    <w:uiPriority w:val="0"/>
    <w:pPr>
      <w:spacing w:before="100" w:beforeAutospacing="1" w:after="100" w:afterAutospacing="1"/>
      <w:textAlignment w:val="bottom"/>
    </w:pPr>
    <w:rPr>
      <w:color w:val="000000"/>
      <w:kern w:val="0"/>
      <w:sz w:val="22"/>
      <w:szCs w:val="22"/>
    </w:rPr>
  </w:style>
  <w:style w:type="paragraph" w:customStyle="1" w:styleId="2238">
    <w:name w:val="et6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39">
    <w:name w:val="et67"/>
    <w:basedOn w:val="1"/>
    <w:qFormat/>
    <w:uiPriority w:val="0"/>
    <w:pPr>
      <w:spacing w:before="100" w:beforeAutospacing="1" w:after="100" w:afterAutospacing="1"/>
      <w:textAlignment w:val="bottom"/>
    </w:pPr>
    <w:rPr>
      <w:color w:val="000000"/>
      <w:kern w:val="0"/>
      <w:sz w:val="22"/>
      <w:szCs w:val="22"/>
    </w:rPr>
  </w:style>
  <w:style w:type="paragraph" w:customStyle="1" w:styleId="2240">
    <w:name w:val="et68"/>
    <w:basedOn w:val="1"/>
    <w:qFormat/>
    <w:uiPriority w:val="0"/>
    <w:pPr>
      <w:spacing w:before="100" w:beforeAutospacing="1" w:after="100" w:afterAutospacing="1"/>
      <w:textAlignment w:val="bottom"/>
    </w:pPr>
    <w:rPr>
      <w:color w:val="000000"/>
      <w:kern w:val="0"/>
      <w:sz w:val="22"/>
      <w:szCs w:val="22"/>
    </w:rPr>
  </w:style>
  <w:style w:type="paragraph" w:customStyle="1" w:styleId="2241">
    <w:name w:val="et69"/>
    <w:basedOn w:val="1"/>
    <w:qFormat/>
    <w:uiPriority w:val="0"/>
    <w:pPr>
      <w:spacing w:before="100" w:beforeAutospacing="1" w:after="100" w:afterAutospacing="1"/>
      <w:textAlignment w:val="bottom"/>
    </w:pPr>
    <w:rPr>
      <w:color w:val="000000"/>
      <w:kern w:val="0"/>
      <w:sz w:val="22"/>
      <w:szCs w:val="22"/>
    </w:rPr>
  </w:style>
  <w:style w:type="paragraph" w:customStyle="1" w:styleId="2242">
    <w:name w:val="et70"/>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43">
    <w:name w:val="et7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44">
    <w:name w:val="et73"/>
    <w:basedOn w:val="1"/>
    <w:qFormat/>
    <w:uiPriority w:val="0"/>
    <w:pPr>
      <w:spacing w:before="100" w:beforeAutospacing="1" w:after="100" w:afterAutospacing="1"/>
      <w:textAlignment w:val="bottom"/>
    </w:pPr>
    <w:rPr>
      <w:color w:val="000000"/>
      <w:kern w:val="0"/>
      <w:sz w:val="22"/>
      <w:szCs w:val="22"/>
    </w:rPr>
  </w:style>
  <w:style w:type="paragraph" w:customStyle="1" w:styleId="2245">
    <w:name w:val="et7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46">
    <w:name w:val="et7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47">
    <w:name w:val="et7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48">
    <w:name w:val="et79"/>
    <w:basedOn w:val="1"/>
    <w:qFormat/>
    <w:uiPriority w:val="0"/>
    <w:pPr>
      <w:spacing w:before="100" w:beforeAutospacing="1" w:after="100" w:afterAutospacing="1"/>
      <w:textAlignment w:val="bottom"/>
    </w:pPr>
    <w:rPr>
      <w:color w:val="000000"/>
      <w:kern w:val="0"/>
      <w:sz w:val="22"/>
      <w:szCs w:val="22"/>
    </w:rPr>
  </w:style>
  <w:style w:type="paragraph" w:customStyle="1" w:styleId="2249">
    <w:name w:val="et8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0">
    <w:name w:val="et82"/>
    <w:basedOn w:val="1"/>
    <w:qFormat/>
    <w:uiPriority w:val="0"/>
    <w:pPr>
      <w:spacing w:before="100" w:beforeAutospacing="1" w:after="100" w:afterAutospacing="1"/>
      <w:textAlignment w:val="bottom"/>
    </w:pPr>
    <w:rPr>
      <w:color w:val="000000"/>
      <w:kern w:val="0"/>
      <w:sz w:val="22"/>
      <w:szCs w:val="22"/>
    </w:rPr>
  </w:style>
  <w:style w:type="paragraph" w:customStyle="1" w:styleId="2251">
    <w:name w:val="et8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2">
    <w:name w:val="et8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3">
    <w:name w:val="et90"/>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4">
    <w:name w:val="et9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5">
    <w:name w:val="et9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6">
    <w:name w:val="et9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7">
    <w:name w:val="et9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8">
    <w:name w:val="et9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59">
    <w:name w:val="et99"/>
    <w:basedOn w:val="1"/>
    <w:qFormat/>
    <w:uiPriority w:val="0"/>
    <w:pPr>
      <w:spacing w:before="100" w:beforeAutospacing="1" w:after="100" w:afterAutospacing="1"/>
      <w:textAlignment w:val="bottom"/>
    </w:pPr>
    <w:rPr>
      <w:color w:val="000000"/>
      <w:kern w:val="0"/>
      <w:sz w:val="22"/>
      <w:szCs w:val="22"/>
    </w:rPr>
  </w:style>
  <w:style w:type="paragraph" w:customStyle="1" w:styleId="2260">
    <w:name w:val="et102"/>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1">
    <w:name w:val="et10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2">
    <w:name w:val="et10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3">
    <w:name w:val="et107"/>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4">
    <w:name w:val="et10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5">
    <w:name w:val="et109"/>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6">
    <w:name w:val="et110"/>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7">
    <w:name w:val="et11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8">
    <w:name w:val="et11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69">
    <w:name w:val="et11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0">
    <w:name w:val="et11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1">
    <w:name w:val="et117"/>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2">
    <w:name w:val="et11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3">
    <w:name w:val="et12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4">
    <w:name w:val="et122"/>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5">
    <w:name w:val="et12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6">
    <w:name w:val="et12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7">
    <w:name w:val="et12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8">
    <w:name w:val="et12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79">
    <w:name w:val="et129"/>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0">
    <w:name w:val="et13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1">
    <w:name w:val="et13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2">
    <w:name w:val="et139"/>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3">
    <w:name w:val="et141"/>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4">
    <w:name w:val="et143"/>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5">
    <w:name w:val="et14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6">
    <w:name w:val="et14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7">
    <w:name w:val="et149"/>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8">
    <w:name w:val="et152"/>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89">
    <w:name w:val="et154"/>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90">
    <w:name w:val="et155"/>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91">
    <w:name w:val="et156"/>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92">
    <w:name w:val="et158"/>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93">
    <w:name w:val="et161"/>
    <w:basedOn w:val="1"/>
    <w:qFormat/>
    <w:uiPriority w:val="0"/>
    <w:pPr>
      <w:spacing w:before="100" w:beforeAutospacing="1" w:after="100" w:afterAutospacing="1"/>
      <w:textAlignment w:val="bottom"/>
    </w:pPr>
    <w:rPr>
      <w:color w:val="000000"/>
      <w:kern w:val="0"/>
      <w:sz w:val="22"/>
      <w:szCs w:val="22"/>
    </w:rPr>
  </w:style>
  <w:style w:type="paragraph" w:customStyle="1" w:styleId="2294">
    <w:name w:val="et162"/>
    <w:basedOn w:val="1"/>
    <w:qFormat/>
    <w:uiPriority w:val="0"/>
    <w:pPr>
      <w:spacing w:before="100" w:beforeAutospacing="1" w:after="100" w:afterAutospacing="1"/>
      <w:textAlignment w:val="bottom"/>
    </w:pPr>
    <w:rPr>
      <w:rFonts w:ascii="宋体" w:hAnsi="宋体" w:cs="宋体"/>
      <w:color w:val="000000"/>
      <w:kern w:val="0"/>
      <w:sz w:val="22"/>
      <w:szCs w:val="22"/>
    </w:rPr>
  </w:style>
  <w:style w:type="paragraph" w:customStyle="1" w:styleId="2295">
    <w:name w:val="图表标题"/>
    <w:basedOn w:val="1"/>
    <w:qFormat/>
    <w:uiPriority w:val="0"/>
    <w:pPr>
      <w:widowControl w:val="0"/>
      <w:adjustRightInd w:val="0"/>
      <w:snapToGrid w:val="0"/>
      <w:spacing w:line="360" w:lineRule="auto"/>
      <w:jc w:val="center"/>
    </w:pPr>
    <w:rPr>
      <w:rFonts w:ascii="黑体" w:eastAsia="黑体"/>
      <w:b/>
      <w:kern w:val="0"/>
      <w:sz w:val="24"/>
      <w:szCs w:val="24"/>
    </w:rPr>
  </w:style>
  <w:style w:type="paragraph" w:customStyle="1" w:styleId="2296">
    <w:name w:val="INDEX"/>
    <w:basedOn w:val="1"/>
    <w:qFormat/>
    <w:uiPriority w:val="0"/>
    <w:pPr>
      <w:widowControl w:val="0"/>
      <w:adjustRightInd w:val="0"/>
      <w:spacing w:line="360" w:lineRule="atLeast"/>
      <w:ind w:left="720" w:hanging="720"/>
    </w:pPr>
    <w:rPr>
      <w:rFonts w:ascii="全真楷書" w:eastAsia="全真楷書"/>
      <w:kern w:val="0"/>
      <w:sz w:val="24"/>
      <w:lang w:eastAsia="zh-TW"/>
    </w:rPr>
  </w:style>
  <w:style w:type="paragraph" w:customStyle="1" w:styleId="2297">
    <w:name w:val="正文-1"/>
    <w:basedOn w:val="1"/>
    <w:qFormat/>
    <w:uiPriority w:val="0"/>
    <w:pPr>
      <w:widowControl w:val="0"/>
      <w:spacing w:line="440" w:lineRule="atLeast"/>
      <w:ind w:firstLine="480" w:firstLineChars="200"/>
      <w:jc w:val="both"/>
    </w:pPr>
    <w:rPr>
      <w:sz w:val="24"/>
      <w:szCs w:val="24"/>
    </w:rPr>
  </w:style>
  <w:style w:type="paragraph" w:customStyle="1" w:styleId="2298">
    <w:name w:val="Char Char Char Char Char Char Char Char Char Char Char Char Char Char Char Char Char Char Char Char Char Char Char Char Char"/>
    <w:basedOn w:val="1"/>
    <w:qFormat/>
    <w:uiPriority w:val="0"/>
    <w:pPr>
      <w:widowControl w:val="0"/>
      <w:spacing w:afterLines="50" w:line="560" w:lineRule="exact"/>
      <w:jc w:val="both"/>
    </w:pPr>
    <w:rPr>
      <w:rFonts w:eastAsia="黑体"/>
      <w:sz w:val="30"/>
      <w:szCs w:val="30"/>
    </w:rPr>
  </w:style>
  <w:style w:type="paragraph" w:customStyle="1" w:styleId="2299">
    <w:name w:val="环科院无编号标题1"/>
    <w:basedOn w:val="7"/>
    <w:qFormat/>
    <w:uiPriority w:val="0"/>
    <w:pPr>
      <w:keepNext w:val="0"/>
      <w:keepLines w:val="0"/>
      <w:widowControl w:val="0"/>
      <w:tabs>
        <w:tab w:val="left" w:pos="482"/>
      </w:tabs>
      <w:spacing w:before="240" w:after="120" w:line="240" w:lineRule="auto"/>
      <w:jc w:val="both"/>
    </w:pPr>
    <w:rPr>
      <w:rFonts w:eastAsia="华文中宋"/>
      <w:szCs w:val="44"/>
    </w:rPr>
  </w:style>
  <w:style w:type="character" w:customStyle="1" w:styleId="2300">
    <w:name w:val="市环科院正文 Char Char"/>
    <w:qFormat/>
    <w:locked/>
    <w:uiPriority w:val="0"/>
    <w:rPr>
      <w:sz w:val="24"/>
      <w:szCs w:val="24"/>
    </w:rPr>
  </w:style>
  <w:style w:type="paragraph" w:customStyle="1" w:styleId="2301">
    <w:name w:val="bodytext2"/>
    <w:basedOn w:val="1"/>
    <w:qFormat/>
    <w:uiPriority w:val="0"/>
    <w:pPr>
      <w:spacing w:before="100" w:beforeAutospacing="1" w:after="100" w:afterAutospacing="1"/>
    </w:pPr>
    <w:rPr>
      <w:rFonts w:ascii="Arial" w:hAnsi="Arial"/>
      <w:color w:val="4B4B4B"/>
      <w:kern w:val="0"/>
      <w:sz w:val="18"/>
    </w:rPr>
  </w:style>
  <w:style w:type="paragraph" w:customStyle="1" w:styleId="2302">
    <w:name w:val="质报书正文"/>
    <w:basedOn w:val="1"/>
    <w:qFormat/>
    <w:uiPriority w:val="0"/>
    <w:pPr>
      <w:widowControl w:val="0"/>
      <w:ind w:firstLine="480" w:firstLineChars="200"/>
      <w:jc w:val="both"/>
    </w:pPr>
    <w:rPr>
      <w:kern w:val="0"/>
      <w:sz w:val="24"/>
    </w:rPr>
  </w:style>
  <w:style w:type="paragraph" w:customStyle="1" w:styleId="2303">
    <w:name w:val="Char Char Char Char Char Char Char Char Char Char Char Char Char Char Char Char Char Char Char Char Char Char"/>
    <w:basedOn w:val="1"/>
    <w:qFormat/>
    <w:uiPriority w:val="0"/>
    <w:pPr>
      <w:widowControl w:val="0"/>
      <w:spacing w:afterLines="50" w:line="560" w:lineRule="exact"/>
      <w:jc w:val="both"/>
    </w:pPr>
    <w:rPr>
      <w:rFonts w:eastAsia="黑体"/>
      <w:sz w:val="30"/>
      <w:szCs w:val="30"/>
    </w:rPr>
  </w:style>
  <w:style w:type="character" w:customStyle="1" w:styleId="2304">
    <w:name w:val="报告的正文 Char Char"/>
    <w:link w:val="2305"/>
    <w:qFormat/>
    <w:locked/>
    <w:uiPriority w:val="0"/>
    <w:rPr>
      <w:rFonts w:ascii="宋体" w:hAnsi="宋体"/>
      <w:kern w:val="2"/>
      <w:sz w:val="28"/>
      <w:szCs w:val="28"/>
    </w:rPr>
  </w:style>
  <w:style w:type="paragraph" w:customStyle="1" w:styleId="2305">
    <w:name w:val="报告的正文"/>
    <w:basedOn w:val="1"/>
    <w:link w:val="2304"/>
    <w:qFormat/>
    <w:uiPriority w:val="0"/>
    <w:pPr>
      <w:widowControl w:val="0"/>
      <w:spacing w:line="520" w:lineRule="exact"/>
      <w:ind w:firstLine="560" w:firstLineChars="200"/>
      <w:jc w:val="both"/>
    </w:pPr>
    <w:rPr>
      <w:rFonts w:ascii="宋体" w:hAnsi="宋体"/>
      <w:sz w:val="28"/>
      <w:szCs w:val="28"/>
    </w:rPr>
  </w:style>
  <w:style w:type="paragraph" w:customStyle="1" w:styleId="2306">
    <w:name w:val="正文文字一"/>
    <w:basedOn w:val="1"/>
    <w:qFormat/>
    <w:uiPriority w:val="0"/>
    <w:pPr>
      <w:spacing w:line="520" w:lineRule="exact"/>
      <w:ind w:firstLine="567"/>
    </w:pPr>
    <w:rPr>
      <w:rFonts w:ascii="宋体" w:hAnsi="宋体" w:cs="宋体"/>
      <w:kern w:val="0"/>
      <w:sz w:val="28"/>
      <w:szCs w:val="24"/>
    </w:rPr>
  </w:style>
  <w:style w:type="paragraph" w:customStyle="1" w:styleId="2307">
    <w:name w:val="标题C"/>
    <w:basedOn w:val="1"/>
    <w:qFormat/>
    <w:uiPriority w:val="0"/>
    <w:pPr>
      <w:widowControl w:val="0"/>
      <w:spacing w:line="360" w:lineRule="auto"/>
      <w:jc w:val="both"/>
      <w:outlineLvl w:val="2"/>
    </w:pPr>
    <w:rPr>
      <w:rFonts w:cs="宋体"/>
      <w:b/>
      <w:bCs/>
      <w:sz w:val="24"/>
    </w:rPr>
  </w:style>
  <w:style w:type="character" w:customStyle="1" w:styleId="2308">
    <w:name w:val="样式 环科院正文 + (西文) 宋体 加粗 Char Char"/>
    <w:link w:val="2309"/>
    <w:qFormat/>
    <w:locked/>
    <w:uiPriority w:val="0"/>
    <w:rPr>
      <w:rFonts w:ascii="宋体" w:hAnsi="宋体"/>
      <w:b/>
      <w:bCs/>
      <w:color w:val="000000"/>
      <w:sz w:val="24"/>
      <w:szCs w:val="24"/>
    </w:rPr>
  </w:style>
  <w:style w:type="paragraph" w:customStyle="1" w:styleId="2309">
    <w:name w:val="样式 环科院正文 + (西文) 宋体 加粗"/>
    <w:basedOn w:val="403"/>
    <w:link w:val="2308"/>
    <w:qFormat/>
    <w:uiPriority w:val="0"/>
    <w:pPr>
      <w:widowControl w:val="0"/>
      <w:snapToGrid w:val="0"/>
      <w:spacing w:line="300" w:lineRule="auto"/>
      <w:jc w:val="both"/>
    </w:pPr>
    <w:rPr>
      <w:rFonts w:ascii="宋体" w:hAnsi="宋体"/>
      <w:b/>
      <w:bCs/>
      <w:snapToGrid/>
      <w:szCs w:val="24"/>
    </w:rPr>
  </w:style>
  <w:style w:type="paragraph" w:customStyle="1" w:styleId="2310">
    <w:name w:val="环科院页眉"/>
    <w:basedOn w:val="63"/>
    <w:qFormat/>
    <w:uiPriority w:val="0"/>
    <w:pPr>
      <w:widowControl w:val="0"/>
      <w:pBdr>
        <w:bottom w:val="thickThinSmallGap" w:color="auto" w:sz="24" w:space="1"/>
      </w:pBdr>
      <w:jc w:val="distribute"/>
    </w:pPr>
    <w:rPr>
      <w:sz w:val="15"/>
      <w:szCs w:val="15"/>
    </w:rPr>
  </w:style>
  <w:style w:type="paragraph" w:customStyle="1" w:styleId="2311">
    <w:name w:val="表名、图名"/>
    <w:basedOn w:val="1"/>
    <w:qFormat/>
    <w:uiPriority w:val="0"/>
    <w:pPr>
      <w:widowControl w:val="0"/>
      <w:jc w:val="center"/>
    </w:pPr>
    <w:rPr>
      <w:rFonts w:eastAsia="黑体"/>
      <w:szCs w:val="24"/>
    </w:rPr>
  </w:style>
  <w:style w:type="paragraph" w:customStyle="1" w:styleId="2312">
    <w:name w:val="1环科院标题1"/>
    <w:basedOn w:val="7"/>
    <w:qFormat/>
    <w:uiPriority w:val="0"/>
    <w:pPr>
      <w:keepNext w:val="0"/>
      <w:keepLines w:val="0"/>
      <w:widowControl w:val="0"/>
      <w:tabs>
        <w:tab w:val="left" w:pos="425"/>
      </w:tabs>
      <w:spacing w:before="240" w:after="120" w:line="240" w:lineRule="auto"/>
      <w:ind w:left="425" w:hanging="425"/>
      <w:jc w:val="both"/>
    </w:pPr>
    <w:rPr>
      <w:rFonts w:hAnsi="华文中宋" w:eastAsia="华文中宋"/>
      <w:szCs w:val="44"/>
    </w:rPr>
  </w:style>
  <w:style w:type="paragraph" w:customStyle="1" w:styleId="2313">
    <w:name w:val="样式 环科院表格标题 + 加粗"/>
    <w:basedOn w:val="394"/>
    <w:qFormat/>
    <w:uiPriority w:val="0"/>
    <w:pPr>
      <w:widowControl w:val="0"/>
      <w:spacing w:before="0"/>
    </w:pPr>
    <w:rPr>
      <w:rFonts w:hint="eastAsia" w:ascii="黑体" w:hAnsi="黑体" w:eastAsia="黑体"/>
      <w:bCs/>
      <w:kern w:val="0"/>
      <w:szCs w:val="21"/>
    </w:rPr>
  </w:style>
  <w:style w:type="paragraph" w:customStyle="1" w:styleId="2314">
    <w:name w:val="样式 环科院表格标题 + 段前: 0.5 行"/>
    <w:basedOn w:val="394"/>
    <w:qFormat/>
    <w:uiPriority w:val="0"/>
    <w:pPr>
      <w:widowControl w:val="0"/>
      <w:spacing w:before="0"/>
    </w:pPr>
    <w:rPr>
      <w:rFonts w:hint="eastAsia" w:ascii="黑体" w:hAnsi="黑体" w:eastAsia="黑体" w:cs="宋体"/>
      <w:kern w:val="0"/>
    </w:rPr>
  </w:style>
  <w:style w:type="paragraph" w:customStyle="1" w:styleId="2315">
    <w:name w:val="样式 环科院插图标题 + 段后: 0.5 行"/>
    <w:basedOn w:val="775"/>
    <w:qFormat/>
    <w:uiPriority w:val="0"/>
    <w:pPr>
      <w:widowControl w:val="0"/>
      <w:spacing w:after="120" w:line="240" w:lineRule="auto"/>
    </w:pPr>
    <w:rPr>
      <w:rFonts w:hint="eastAsia" w:ascii="黑体" w:hAnsi="黑体" w:cs="宋体"/>
      <w:b w:val="0"/>
      <w:bCs/>
      <w:sz w:val="24"/>
    </w:rPr>
  </w:style>
  <w:style w:type="paragraph" w:customStyle="1" w:styleId="2316">
    <w:name w:val="lily 标题1"/>
    <w:basedOn w:val="7"/>
    <w:qFormat/>
    <w:uiPriority w:val="0"/>
    <w:pPr>
      <w:keepNext w:val="0"/>
      <w:keepLines w:val="0"/>
      <w:widowControl w:val="0"/>
      <w:tabs>
        <w:tab w:val="left" w:pos="432"/>
      </w:tabs>
      <w:spacing w:before="300" w:after="300" w:line="240" w:lineRule="auto"/>
      <w:ind w:left="432" w:hanging="432"/>
      <w:jc w:val="both"/>
    </w:pPr>
    <w:rPr>
      <w:rFonts w:eastAsia="黑体"/>
      <w:szCs w:val="32"/>
    </w:rPr>
  </w:style>
  <w:style w:type="paragraph" w:customStyle="1" w:styleId="2317">
    <w:name w:val="标题3  Xia"/>
    <w:basedOn w:val="1"/>
    <w:qFormat/>
    <w:uiPriority w:val="0"/>
    <w:pPr>
      <w:widowControl w:val="0"/>
      <w:spacing w:afterLines="50" w:line="560" w:lineRule="exact"/>
      <w:jc w:val="both"/>
    </w:pPr>
    <w:rPr>
      <w:rFonts w:eastAsia="黑体"/>
      <w:sz w:val="24"/>
      <w:szCs w:val="30"/>
    </w:rPr>
  </w:style>
  <w:style w:type="paragraph" w:customStyle="1" w:styleId="2318">
    <w:name w:val="bodytext1"/>
    <w:basedOn w:val="1"/>
    <w:qFormat/>
    <w:uiPriority w:val="0"/>
    <w:pPr>
      <w:spacing w:before="100" w:beforeAutospacing="1" w:after="100" w:afterAutospacing="1"/>
      <w:jc w:val="both"/>
    </w:pPr>
    <w:rPr>
      <w:rFonts w:ascii="Arial" w:hAnsi="Arial"/>
      <w:color w:val="4B4B4B"/>
      <w:kern w:val="0"/>
      <w:sz w:val="18"/>
    </w:rPr>
  </w:style>
  <w:style w:type="paragraph" w:customStyle="1" w:styleId="2319">
    <w:name w:val="lily 表内文字"/>
    <w:basedOn w:val="53"/>
    <w:qFormat/>
    <w:uiPriority w:val="0"/>
    <w:pPr>
      <w:snapToGrid w:val="0"/>
      <w:jc w:val="center"/>
    </w:pPr>
    <w:rPr>
      <w:rFonts w:ascii="Times New Roman" w:hAnsi="Times New Roman"/>
      <w:kern w:val="0"/>
      <w:sz w:val="18"/>
      <w:szCs w:val="24"/>
    </w:rPr>
  </w:style>
  <w:style w:type="paragraph" w:customStyle="1" w:styleId="2320">
    <w:name w:val="Char Char Char Char Char Char Char Char Char Char Char Char Char Char Char Char Char Char Char Char Char Char Char Char Char Char Char Char Char Char Char Char Char Char Char Char Char Char Char Char Char Char Char"/>
    <w:basedOn w:val="1"/>
    <w:qFormat/>
    <w:uiPriority w:val="0"/>
    <w:pPr>
      <w:widowControl w:val="0"/>
      <w:spacing w:afterLines="50" w:line="560" w:lineRule="exact"/>
      <w:jc w:val="both"/>
    </w:pPr>
    <w:rPr>
      <w:rFonts w:eastAsia="黑体"/>
      <w:sz w:val="30"/>
      <w:szCs w:val="30"/>
    </w:rPr>
  </w:style>
  <w:style w:type="character" w:customStyle="1" w:styleId="2321">
    <w:name w:val="环科院正文加粗 Char Char"/>
    <w:link w:val="2322"/>
    <w:qFormat/>
    <w:locked/>
    <w:uiPriority w:val="0"/>
    <w:rPr>
      <w:rFonts w:ascii="宋体" w:hAnsi="宋体"/>
      <w:b/>
      <w:color w:val="000000"/>
      <w:sz w:val="24"/>
      <w:szCs w:val="24"/>
    </w:rPr>
  </w:style>
  <w:style w:type="paragraph" w:customStyle="1" w:styleId="2322">
    <w:name w:val="环科院正文加粗"/>
    <w:basedOn w:val="403"/>
    <w:link w:val="2321"/>
    <w:qFormat/>
    <w:uiPriority w:val="0"/>
    <w:pPr>
      <w:widowControl w:val="0"/>
      <w:snapToGrid w:val="0"/>
      <w:spacing w:line="300" w:lineRule="auto"/>
      <w:ind w:firstLine="482"/>
      <w:jc w:val="both"/>
    </w:pPr>
    <w:rPr>
      <w:rFonts w:ascii="宋体" w:hAnsi="宋体"/>
      <w:b/>
      <w:snapToGrid/>
      <w:szCs w:val="24"/>
    </w:rPr>
  </w:style>
  <w:style w:type="character" w:customStyle="1" w:styleId="2323">
    <w:name w:val="环科院表格 Char Char"/>
    <w:link w:val="2324"/>
    <w:qFormat/>
    <w:locked/>
    <w:uiPriority w:val="0"/>
    <w:rPr>
      <w:sz w:val="18"/>
      <w:szCs w:val="18"/>
    </w:rPr>
  </w:style>
  <w:style w:type="paragraph" w:customStyle="1" w:styleId="2324">
    <w:name w:val="环科院表格"/>
    <w:basedOn w:val="1"/>
    <w:link w:val="2323"/>
    <w:qFormat/>
    <w:uiPriority w:val="0"/>
    <w:pPr>
      <w:widowControl w:val="0"/>
      <w:kinsoku w:val="0"/>
      <w:overflowPunct w:val="0"/>
      <w:autoSpaceDE w:val="0"/>
      <w:autoSpaceDN w:val="0"/>
      <w:spacing w:line="240" w:lineRule="exact"/>
      <w:jc w:val="center"/>
    </w:pPr>
    <w:rPr>
      <w:kern w:val="0"/>
      <w:sz w:val="18"/>
      <w:szCs w:val="18"/>
    </w:rPr>
  </w:style>
  <w:style w:type="character" w:customStyle="1" w:styleId="2325">
    <w:name w:val="样式 表内格式 + 左  -0.5 字符 Char Char"/>
    <w:link w:val="2326"/>
    <w:qFormat/>
    <w:locked/>
    <w:uiPriority w:val="0"/>
    <w:rPr>
      <w:color w:val="0000FF"/>
      <w:kern w:val="2"/>
      <w:sz w:val="18"/>
      <w:szCs w:val="18"/>
    </w:rPr>
  </w:style>
  <w:style w:type="paragraph" w:customStyle="1" w:styleId="2326">
    <w:name w:val="样式 表内格式 + 左  -0.5 字符"/>
    <w:basedOn w:val="257"/>
    <w:link w:val="2325"/>
    <w:qFormat/>
    <w:uiPriority w:val="0"/>
    <w:pPr>
      <w:widowControl w:val="0"/>
      <w:snapToGrid/>
      <w:spacing w:line="0" w:lineRule="atLeast"/>
      <w:ind w:left="-105" w:leftChars="-50" w:right="-105" w:rightChars="-50"/>
    </w:pPr>
    <w:rPr>
      <w:color w:val="0000FF"/>
      <w:szCs w:val="18"/>
    </w:rPr>
  </w:style>
  <w:style w:type="paragraph" w:customStyle="1" w:styleId="2327">
    <w:name w:val="Char3 Char Char Char"/>
    <w:basedOn w:val="1"/>
    <w:qFormat/>
    <w:uiPriority w:val="0"/>
    <w:pPr>
      <w:widowControl w:val="0"/>
      <w:spacing w:line="360" w:lineRule="auto"/>
      <w:ind w:firstLine="200" w:firstLineChars="200"/>
      <w:jc w:val="both"/>
    </w:pPr>
    <w:rPr>
      <w:rFonts w:ascii="宋体" w:hAnsi="宋体" w:cs="宋体"/>
      <w:sz w:val="24"/>
      <w:szCs w:val="24"/>
    </w:rPr>
  </w:style>
  <w:style w:type="paragraph" w:customStyle="1" w:styleId="2328">
    <w:name w:val="Char Char Char1 Char Char Char Char"/>
    <w:basedOn w:val="1"/>
    <w:next w:val="1"/>
    <w:qFormat/>
    <w:uiPriority w:val="0"/>
    <w:pPr>
      <w:widowControl w:val="0"/>
      <w:spacing w:line="360" w:lineRule="auto"/>
      <w:ind w:firstLine="200" w:firstLineChars="200"/>
      <w:jc w:val="both"/>
    </w:pPr>
    <w:rPr>
      <w:rFonts w:ascii="宋体" w:hAnsi="宋体" w:cs="宋体"/>
      <w:sz w:val="24"/>
      <w:szCs w:val="21"/>
    </w:rPr>
  </w:style>
  <w:style w:type="paragraph" w:customStyle="1" w:styleId="2329">
    <w:name w:val="表格字体"/>
    <w:basedOn w:val="1"/>
    <w:link w:val="2330"/>
    <w:qFormat/>
    <w:uiPriority w:val="0"/>
    <w:pPr>
      <w:widowControl w:val="0"/>
      <w:jc w:val="center"/>
    </w:pPr>
    <w:rPr>
      <w:rFonts w:eastAsia="仿宋_GB2312"/>
      <w:szCs w:val="24"/>
    </w:rPr>
  </w:style>
  <w:style w:type="character" w:customStyle="1" w:styleId="2330">
    <w:name w:val="表格字体 Char"/>
    <w:link w:val="2329"/>
    <w:qFormat/>
    <w:uiPriority w:val="0"/>
    <w:rPr>
      <w:rFonts w:eastAsia="仿宋_GB2312"/>
      <w:kern w:val="2"/>
      <w:sz w:val="21"/>
      <w:szCs w:val="24"/>
    </w:rPr>
  </w:style>
  <w:style w:type="paragraph" w:customStyle="1" w:styleId="2331">
    <w:name w:val="5H-MC"/>
    <w:basedOn w:val="1"/>
    <w:qFormat/>
    <w:uiPriority w:val="0"/>
    <w:pPr>
      <w:widowControl w:val="0"/>
      <w:ind w:firstLine="21" w:firstLineChars="200"/>
    </w:pPr>
    <w:rPr>
      <w:kern w:val="0"/>
    </w:rPr>
  </w:style>
  <w:style w:type="character" w:customStyle="1" w:styleId="2332">
    <w:name w:val="T环科院正文 Char Char"/>
    <w:link w:val="2333"/>
    <w:qFormat/>
    <w:locked/>
    <w:uiPriority w:val="0"/>
    <w:rPr>
      <w:kern w:val="2"/>
      <w:sz w:val="24"/>
      <w:szCs w:val="24"/>
    </w:rPr>
  </w:style>
  <w:style w:type="paragraph" w:customStyle="1" w:styleId="2333">
    <w:name w:val="T环科院正文"/>
    <w:basedOn w:val="1"/>
    <w:link w:val="2332"/>
    <w:qFormat/>
    <w:uiPriority w:val="0"/>
    <w:pPr>
      <w:widowControl w:val="0"/>
      <w:spacing w:line="300" w:lineRule="auto"/>
      <w:ind w:firstLine="480" w:firstLineChars="200"/>
      <w:jc w:val="both"/>
    </w:pPr>
    <w:rPr>
      <w:sz w:val="24"/>
      <w:szCs w:val="24"/>
    </w:rPr>
  </w:style>
  <w:style w:type="character" w:customStyle="1" w:styleId="2334">
    <w:name w:val="fontxs1"/>
    <w:qFormat/>
    <w:uiPriority w:val="0"/>
    <w:rPr>
      <w:rFonts w:hint="default" w:ascii="Ђˎ̥" w:hAnsi="Ђˎ̥"/>
      <w:sz w:val="18"/>
      <w:szCs w:val="18"/>
    </w:rPr>
  </w:style>
  <w:style w:type="character" w:customStyle="1" w:styleId="2335">
    <w:name w:val="ca-71"/>
    <w:qFormat/>
    <w:uiPriority w:val="0"/>
    <w:rPr>
      <w:rFonts w:hint="eastAsia" w:ascii="宋体" w:hAnsi="宋体" w:eastAsia="宋体"/>
      <w:sz w:val="24"/>
      <w:szCs w:val="24"/>
    </w:rPr>
  </w:style>
  <w:style w:type="character" w:customStyle="1" w:styleId="2336">
    <w:name w:val="text"/>
    <w:qFormat/>
    <w:uiPriority w:val="0"/>
  </w:style>
  <w:style w:type="character" w:customStyle="1" w:styleId="2337">
    <w:name w:val="cr"/>
    <w:qFormat/>
    <w:uiPriority w:val="0"/>
  </w:style>
  <w:style w:type="paragraph" w:customStyle="1" w:styleId="2338">
    <w:name w:val="样式 环科院正文加粗 + (西文) 宋体 蓝色"/>
    <w:basedOn w:val="1"/>
    <w:link w:val="2339"/>
    <w:qFormat/>
    <w:uiPriority w:val="0"/>
    <w:pPr>
      <w:widowControl w:val="0"/>
      <w:jc w:val="both"/>
    </w:pPr>
  </w:style>
  <w:style w:type="character" w:customStyle="1" w:styleId="2339">
    <w:name w:val="样式 环科院正文加粗 + (西文) 宋体 蓝色 Char Char"/>
    <w:link w:val="2338"/>
    <w:qFormat/>
    <w:locked/>
    <w:uiPriority w:val="0"/>
    <w:rPr>
      <w:kern w:val="2"/>
      <w:sz w:val="21"/>
    </w:rPr>
  </w:style>
  <w:style w:type="character" w:customStyle="1" w:styleId="2340">
    <w:name w:val="环科院正文 Char1"/>
    <w:qFormat/>
    <w:uiPriority w:val="0"/>
    <w:rPr>
      <w:rFonts w:hint="eastAsia" w:ascii="宋体" w:hAnsi="宋体" w:eastAsia="宋体"/>
      <w:sz w:val="24"/>
      <w:szCs w:val="24"/>
      <w:lang w:val="en-US" w:eastAsia="zh-CN" w:bidi="ar-SA"/>
    </w:rPr>
  </w:style>
  <w:style w:type="character" w:customStyle="1" w:styleId="2341">
    <w:name w:val="bodytext11"/>
    <w:qFormat/>
    <w:uiPriority w:val="0"/>
    <w:rPr>
      <w:rFonts w:hint="default" w:ascii="Arial" w:hAnsi="Arial" w:cs="Arial"/>
      <w:color w:val="4B4B4B"/>
      <w:sz w:val="18"/>
    </w:rPr>
  </w:style>
  <w:style w:type="character" w:customStyle="1" w:styleId="2342">
    <w:name w:val="标题 3 Char Char Char Char Char Char Char Char Char Char Char Char Char Char Char Char"/>
    <w:qFormat/>
    <w:uiPriority w:val="0"/>
    <w:rPr>
      <w:rFonts w:hint="eastAsia" w:ascii="宋体" w:hAnsi="宋体" w:eastAsia="宋体"/>
      <w:szCs w:val="32"/>
    </w:rPr>
  </w:style>
  <w:style w:type="character" w:customStyle="1" w:styleId="2343">
    <w:name w:val="main_matter_td_41"/>
    <w:qFormat/>
    <w:uiPriority w:val="0"/>
    <w:rPr>
      <w:color w:val="0D357E"/>
      <w:sz w:val="18"/>
      <w:szCs w:val="18"/>
    </w:rPr>
  </w:style>
  <w:style w:type="paragraph" w:customStyle="1" w:styleId="2344">
    <w:name w:val="样式 君邦正文 + 蓝色1"/>
    <w:basedOn w:val="1"/>
    <w:link w:val="2345"/>
    <w:qFormat/>
    <w:uiPriority w:val="0"/>
    <w:pPr>
      <w:widowControl w:val="0"/>
      <w:jc w:val="both"/>
    </w:pPr>
  </w:style>
  <w:style w:type="character" w:customStyle="1" w:styleId="2345">
    <w:name w:val="样式 君邦正文 + 蓝色1 Char Char"/>
    <w:link w:val="2344"/>
    <w:qFormat/>
    <w:locked/>
    <w:uiPriority w:val="0"/>
    <w:rPr>
      <w:kern w:val="2"/>
      <w:sz w:val="21"/>
    </w:rPr>
  </w:style>
  <w:style w:type="character" w:customStyle="1" w:styleId="2346">
    <w:name w:val="纯文本 Char Char"/>
    <w:qFormat/>
    <w:uiPriority w:val="0"/>
    <w:rPr>
      <w:rFonts w:hint="eastAsia" w:ascii="宋体" w:hAnsi="宋体" w:eastAsia="宋体"/>
      <w:kern w:val="2"/>
      <w:sz w:val="24"/>
      <w:lang w:val="en-US" w:eastAsia="zh-CN" w:bidi="ar-SA"/>
    </w:rPr>
  </w:style>
  <w:style w:type="paragraph" w:customStyle="1" w:styleId="2347">
    <w:name w:val="样式 环科院正文 + (符号) 宋体 自动设置"/>
    <w:basedOn w:val="403"/>
    <w:qFormat/>
    <w:uiPriority w:val="0"/>
    <w:pPr>
      <w:widowControl w:val="0"/>
      <w:spacing w:line="300" w:lineRule="auto"/>
      <w:jc w:val="both"/>
    </w:pPr>
    <w:rPr>
      <w:snapToGrid/>
      <w:color w:val="auto"/>
      <w:kern w:val="2"/>
      <w:szCs w:val="24"/>
    </w:rPr>
  </w:style>
  <w:style w:type="paragraph" w:customStyle="1" w:styleId="2348">
    <w:name w:val="s设计正文"/>
    <w:basedOn w:val="5"/>
    <w:qFormat/>
    <w:uiPriority w:val="0"/>
    <w:pPr>
      <w:widowControl w:val="0"/>
      <w:spacing w:line="360" w:lineRule="auto"/>
      <w:ind w:firstLine="437"/>
      <w:jc w:val="both"/>
    </w:pPr>
  </w:style>
  <w:style w:type="paragraph" w:customStyle="1" w:styleId="2349">
    <w:name w:val="正文0"/>
    <w:basedOn w:val="1"/>
    <w:link w:val="2350"/>
    <w:qFormat/>
    <w:uiPriority w:val="0"/>
    <w:pPr>
      <w:widowControl w:val="0"/>
      <w:spacing w:line="360" w:lineRule="auto"/>
      <w:ind w:firstLine="200" w:firstLineChars="200"/>
      <w:jc w:val="both"/>
    </w:pPr>
    <w:rPr>
      <w:rFonts w:eastAsia="楷体"/>
      <w:kern w:val="0"/>
      <w:sz w:val="24"/>
      <w:szCs w:val="24"/>
    </w:rPr>
  </w:style>
  <w:style w:type="character" w:customStyle="1" w:styleId="2350">
    <w:name w:val="正文0 Char"/>
    <w:link w:val="2349"/>
    <w:qFormat/>
    <w:uiPriority w:val="0"/>
    <w:rPr>
      <w:rFonts w:eastAsia="楷体"/>
      <w:sz w:val="24"/>
      <w:szCs w:val="24"/>
    </w:rPr>
  </w:style>
  <w:style w:type="character" w:customStyle="1" w:styleId="2351">
    <w:name w:val="rwzf_text011"/>
    <w:qFormat/>
    <w:uiPriority w:val="0"/>
    <w:rPr>
      <w:rFonts w:hint="default" w:ascii="Arial" w:hAnsi="Arial" w:cs="Arial"/>
      <w:color w:val="222222"/>
      <w:sz w:val="21"/>
      <w:szCs w:val="21"/>
      <w:u w:val="none"/>
    </w:rPr>
  </w:style>
  <w:style w:type="character" w:customStyle="1" w:styleId="2352">
    <w:name w:val="正文文本 Char Char"/>
    <w:qFormat/>
    <w:uiPriority w:val="0"/>
    <w:rPr>
      <w:rFonts w:ascii="宋体" w:hAnsi="宋体"/>
      <w:bCs/>
      <w:kern w:val="2"/>
      <w:sz w:val="28"/>
      <w:szCs w:val="26"/>
    </w:rPr>
  </w:style>
  <w:style w:type="character" w:customStyle="1" w:styleId="2353">
    <w:name w:val="comment-text1"/>
    <w:qFormat/>
    <w:uiPriority w:val="0"/>
    <w:rPr>
      <w:color w:val="808080"/>
      <w:sz w:val="22"/>
      <w:szCs w:val="22"/>
    </w:rPr>
  </w:style>
  <w:style w:type="character" w:customStyle="1" w:styleId="2354">
    <w:name w:val="ZW Char Char"/>
    <w:link w:val="2355"/>
    <w:qFormat/>
    <w:uiPriority w:val="0"/>
    <w:rPr>
      <w:color w:val="000000"/>
      <w:sz w:val="24"/>
      <w:szCs w:val="24"/>
    </w:rPr>
  </w:style>
  <w:style w:type="paragraph" w:customStyle="1" w:styleId="2355">
    <w:name w:val="ZW"/>
    <w:basedOn w:val="1"/>
    <w:link w:val="2354"/>
    <w:qFormat/>
    <w:uiPriority w:val="0"/>
    <w:pPr>
      <w:widowControl w:val="0"/>
      <w:adjustRightInd w:val="0"/>
      <w:spacing w:line="360" w:lineRule="auto"/>
      <w:ind w:firstLine="540" w:firstLineChars="225"/>
      <w:jc w:val="both"/>
    </w:pPr>
    <w:rPr>
      <w:color w:val="000000"/>
      <w:kern w:val="0"/>
      <w:sz w:val="24"/>
      <w:szCs w:val="24"/>
    </w:rPr>
  </w:style>
  <w:style w:type="character" w:customStyle="1" w:styleId="2356">
    <w:name w:val="javascript1"/>
    <w:qFormat/>
    <w:uiPriority w:val="0"/>
    <w:rPr>
      <w:rFonts w:hint="default" w:ascii="Tahoma" w:hAnsi="Tahoma" w:cs="Tahoma"/>
      <w:sz w:val="12"/>
      <w:szCs w:val="12"/>
    </w:rPr>
  </w:style>
  <w:style w:type="character" w:customStyle="1" w:styleId="2357">
    <w:name w:val="ft109"/>
    <w:qFormat/>
    <w:uiPriority w:val="0"/>
    <w:rPr>
      <w:rFonts w:hint="default" w:ascii="Times" w:hAnsi="Times"/>
      <w:color w:val="000000"/>
      <w:spacing w:val="14"/>
      <w:sz w:val="30"/>
      <w:szCs w:val="30"/>
    </w:rPr>
  </w:style>
  <w:style w:type="character" w:customStyle="1" w:styleId="2358">
    <w:name w:val="新正文样式 Char Char"/>
    <w:link w:val="2359"/>
    <w:qFormat/>
    <w:uiPriority w:val="0"/>
    <w:rPr>
      <w:rFonts w:ascii="宋体" w:hAnsi="宋体"/>
      <w:spacing w:val="20"/>
      <w:kern w:val="2"/>
      <w:sz w:val="24"/>
      <w:szCs w:val="24"/>
    </w:rPr>
  </w:style>
  <w:style w:type="paragraph" w:customStyle="1" w:styleId="2359">
    <w:name w:val="新正文样式"/>
    <w:basedOn w:val="1"/>
    <w:link w:val="2358"/>
    <w:qFormat/>
    <w:uiPriority w:val="0"/>
    <w:pPr>
      <w:widowControl w:val="0"/>
      <w:tabs>
        <w:tab w:val="left" w:pos="567"/>
      </w:tabs>
      <w:spacing w:line="360" w:lineRule="auto"/>
      <w:ind w:firstLine="567"/>
      <w:jc w:val="both"/>
    </w:pPr>
    <w:rPr>
      <w:rFonts w:ascii="宋体" w:hAnsi="宋体"/>
      <w:spacing w:val="20"/>
      <w:sz w:val="24"/>
      <w:szCs w:val="24"/>
    </w:rPr>
  </w:style>
  <w:style w:type="character" w:customStyle="1" w:styleId="2360">
    <w:name w:val="font14 line-height"/>
    <w:qFormat/>
    <w:uiPriority w:val="0"/>
    <w:rPr>
      <w:rFonts w:ascii="宋体" w:hAnsi="宋体" w:eastAsia="宋体"/>
      <w:kern w:val="2"/>
      <w:sz w:val="24"/>
      <w:szCs w:val="24"/>
      <w:lang w:val="en-US" w:eastAsia="zh-CN" w:bidi="ar-SA"/>
    </w:rPr>
  </w:style>
  <w:style w:type="character" w:customStyle="1" w:styleId="2361">
    <w:name w:val="ft"/>
    <w:qFormat/>
    <w:uiPriority w:val="0"/>
    <w:rPr>
      <w:rFonts w:ascii="宋体" w:hAnsi="宋体" w:eastAsia="宋体"/>
      <w:kern w:val="2"/>
      <w:sz w:val="24"/>
      <w:szCs w:val="24"/>
      <w:lang w:val="en-US" w:eastAsia="zh-CN" w:bidi="ar-SA"/>
    </w:rPr>
  </w:style>
  <w:style w:type="character" w:customStyle="1" w:styleId="2362">
    <w:name w:val="headline-content3"/>
    <w:qFormat/>
    <w:uiPriority w:val="0"/>
    <w:rPr>
      <w:rFonts w:ascii="宋体" w:hAnsi="宋体" w:eastAsia="宋体"/>
      <w:kern w:val="2"/>
      <w:sz w:val="24"/>
      <w:szCs w:val="24"/>
      <w:lang w:val="en-US" w:eastAsia="zh-CN" w:bidi="ar-SA"/>
    </w:rPr>
  </w:style>
  <w:style w:type="character" w:customStyle="1" w:styleId="2363">
    <w:name w:val="ft510"/>
    <w:qFormat/>
    <w:uiPriority w:val="0"/>
    <w:rPr>
      <w:rFonts w:hint="default" w:ascii="Times" w:hAnsi="Times" w:cs="Times"/>
      <w:color w:val="000000"/>
      <w:spacing w:val="14"/>
      <w:sz w:val="29"/>
      <w:szCs w:val="29"/>
    </w:rPr>
  </w:style>
  <w:style w:type="character" w:customStyle="1" w:styleId="2364">
    <w:name w:val="表蕊居中 Char Char"/>
    <w:link w:val="2365"/>
    <w:qFormat/>
    <w:uiPriority w:val="0"/>
    <w:rPr>
      <w:sz w:val="21"/>
      <w:szCs w:val="21"/>
    </w:rPr>
  </w:style>
  <w:style w:type="paragraph" w:customStyle="1" w:styleId="2365">
    <w:name w:val="表蕊居中"/>
    <w:basedOn w:val="1"/>
    <w:link w:val="2364"/>
    <w:qFormat/>
    <w:uiPriority w:val="0"/>
    <w:pPr>
      <w:widowControl w:val="0"/>
      <w:spacing w:line="300" w:lineRule="exact"/>
      <w:jc w:val="center"/>
    </w:pPr>
    <w:rPr>
      <w:kern w:val="0"/>
      <w:szCs w:val="21"/>
    </w:rPr>
  </w:style>
  <w:style w:type="character" w:customStyle="1" w:styleId="2366">
    <w:name w:val="s1"/>
    <w:qFormat/>
    <w:uiPriority w:val="0"/>
    <w:rPr>
      <w:sz w:val="18"/>
      <w:szCs w:val="18"/>
    </w:rPr>
  </w:style>
  <w:style w:type="character" w:customStyle="1" w:styleId="2367">
    <w:name w:val="gray s"/>
    <w:qFormat/>
    <w:uiPriority w:val="0"/>
    <w:rPr>
      <w:rFonts w:ascii="宋体" w:hAnsi="宋体" w:eastAsia="宋体"/>
      <w:kern w:val="2"/>
      <w:sz w:val="24"/>
      <w:szCs w:val="24"/>
      <w:lang w:val="en-US" w:eastAsia="zh-CN" w:bidi="ar-SA"/>
    </w:rPr>
  </w:style>
  <w:style w:type="character" w:customStyle="1" w:styleId="2368">
    <w:name w:val="样式 样式 样式 样式 样式 样式 样式 正文缩进 + 首行缩进:  2 字符1 + 首行缩进:  2 字符1 + 四号 + 首... Char Char"/>
    <w:link w:val="2369"/>
    <w:qFormat/>
    <w:uiPriority w:val="0"/>
    <w:rPr>
      <w:rFonts w:hAnsi="宋体"/>
      <w:spacing w:val="8"/>
      <w:kern w:val="2"/>
      <w:sz w:val="28"/>
      <w:szCs w:val="28"/>
    </w:rPr>
  </w:style>
  <w:style w:type="paragraph" w:customStyle="1" w:styleId="2369">
    <w:name w:val="样式 样式 样式 样式 样式 样式 样式 正文缩进 + 首行缩进:  2 字符1 + 首行缩进:  2 字符1 + 四号 + 首..."/>
    <w:basedOn w:val="1"/>
    <w:link w:val="2368"/>
    <w:qFormat/>
    <w:uiPriority w:val="0"/>
    <w:pPr>
      <w:adjustRightInd w:val="0"/>
      <w:snapToGrid w:val="0"/>
      <w:spacing w:line="500" w:lineRule="exact"/>
      <w:ind w:firstLine="592" w:firstLineChars="200"/>
    </w:pPr>
    <w:rPr>
      <w:rFonts w:hAnsi="宋体"/>
      <w:spacing w:val="8"/>
      <w:sz w:val="28"/>
      <w:szCs w:val="28"/>
    </w:rPr>
  </w:style>
  <w:style w:type="character" w:customStyle="1" w:styleId="2370">
    <w:name w:val="big1"/>
    <w:qFormat/>
    <w:uiPriority w:val="0"/>
    <w:rPr>
      <w:rFonts w:hint="default" w:ascii="ˎ̥" w:hAnsi="ˎ̥"/>
      <w:color w:val="000000"/>
      <w:sz w:val="18"/>
      <w:szCs w:val="18"/>
    </w:rPr>
  </w:style>
  <w:style w:type="character" w:customStyle="1" w:styleId="2371">
    <w:name w:val="表左 Char Char"/>
    <w:link w:val="2372"/>
    <w:qFormat/>
    <w:uiPriority w:val="0"/>
    <w:rPr>
      <w:rFonts w:ascii="宋体" w:hAnsi="宋体" w:cs="宋体"/>
      <w:bCs/>
      <w:spacing w:val="6"/>
      <w:sz w:val="21"/>
      <w:szCs w:val="28"/>
    </w:rPr>
  </w:style>
  <w:style w:type="paragraph" w:customStyle="1" w:styleId="2372">
    <w:name w:val="表左"/>
    <w:basedOn w:val="1"/>
    <w:link w:val="2371"/>
    <w:qFormat/>
    <w:uiPriority w:val="0"/>
    <w:pPr>
      <w:widowControl w:val="0"/>
      <w:autoSpaceDE w:val="0"/>
      <w:autoSpaceDN w:val="0"/>
      <w:adjustRightInd w:val="0"/>
      <w:snapToGrid w:val="0"/>
      <w:spacing w:line="360" w:lineRule="exact"/>
    </w:pPr>
    <w:rPr>
      <w:rFonts w:ascii="宋体" w:hAnsi="宋体"/>
      <w:bCs/>
      <w:spacing w:val="6"/>
      <w:kern w:val="0"/>
      <w:szCs w:val="28"/>
    </w:rPr>
  </w:style>
  <w:style w:type="character" w:customStyle="1" w:styleId="2373">
    <w:name w:val="ft551"/>
    <w:qFormat/>
    <w:uiPriority w:val="0"/>
    <w:rPr>
      <w:rFonts w:hint="default" w:ascii="Times" w:hAnsi="Times"/>
      <w:color w:val="000000"/>
      <w:spacing w:val="14"/>
      <w:sz w:val="30"/>
      <w:szCs w:val="30"/>
    </w:rPr>
  </w:style>
  <w:style w:type="character" w:customStyle="1" w:styleId="2374">
    <w:name w:val="表后文 Char Char"/>
    <w:link w:val="2375"/>
    <w:qFormat/>
    <w:uiPriority w:val="0"/>
    <w:rPr>
      <w:rFonts w:cs="宋体"/>
      <w:sz w:val="28"/>
      <w:szCs w:val="28"/>
    </w:rPr>
  </w:style>
  <w:style w:type="paragraph" w:customStyle="1" w:styleId="2375">
    <w:name w:val="表后文"/>
    <w:basedOn w:val="1"/>
    <w:link w:val="2374"/>
    <w:qFormat/>
    <w:uiPriority w:val="0"/>
    <w:pPr>
      <w:widowControl w:val="0"/>
      <w:spacing w:before="120" w:line="520" w:lineRule="exact"/>
      <w:ind w:firstLine="560" w:firstLineChars="200"/>
    </w:pPr>
    <w:rPr>
      <w:kern w:val="0"/>
      <w:sz w:val="28"/>
      <w:szCs w:val="28"/>
    </w:rPr>
  </w:style>
  <w:style w:type="character" w:customStyle="1" w:styleId="2376">
    <w:name w:val="cssl1"/>
    <w:qFormat/>
    <w:uiPriority w:val="0"/>
    <w:rPr>
      <w:rFonts w:hint="default" w:ascii="ˎ̥" w:hAnsi="ˎ̥"/>
      <w:color w:val="3E6990"/>
      <w:sz w:val="18"/>
      <w:szCs w:val="18"/>
    </w:rPr>
  </w:style>
  <w:style w:type="character" w:customStyle="1" w:styleId="2377">
    <w:name w:val="ft541"/>
    <w:qFormat/>
    <w:uiPriority w:val="0"/>
    <w:rPr>
      <w:rFonts w:hint="default" w:ascii="Times" w:hAnsi="Times"/>
      <w:color w:val="000000"/>
      <w:spacing w:val="14"/>
      <w:sz w:val="30"/>
      <w:szCs w:val="30"/>
    </w:rPr>
  </w:style>
  <w:style w:type="character" w:customStyle="1" w:styleId="2378">
    <w:name w:val="ft410"/>
    <w:qFormat/>
    <w:uiPriority w:val="0"/>
    <w:rPr>
      <w:rFonts w:hint="default" w:ascii="Times" w:hAnsi="Times"/>
      <w:color w:val="000000"/>
      <w:spacing w:val="0"/>
      <w:sz w:val="29"/>
      <w:szCs w:val="29"/>
    </w:rPr>
  </w:style>
  <w:style w:type="character" w:customStyle="1" w:styleId="2379">
    <w:name w:val="页脚 Char Char"/>
    <w:qFormat/>
    <w:uiPriority w:val="0"/>
    <w:rPr>
      <w:rFonts w:eastAsia="宋体"/>
      <w:kern w:val="2"/>
      <w:sz w:val="18"/>
      <w:szCs w:val="18"/>
      <w:lang w:val="en-US" w:eastAsia="zh-CN" w:bidi="ar-SA"/>
    </w:rPr>
  </w:style>
  <w:style w:type="character" w:customStyle="1" w:styleId="2380">
    <w:name w:val="style2"/>
    <w:qFormat/>
    <w:uiPriority w:val="0"/>
    <w:rPr>
      <w:rFonts w:ascii="宋体" w:hAnsi="宋体" w:eastAsia="宋体"/>
      <w:kern w:val="2"/>
      <w:sz w:val="24"/>
      <w:szCs w:val="24"/>
      <w:lang w:val="en-US" w:eastAsia="zh-CN" w:bidi="ar-SA"/>
    </w:rPr>
  </w:style>
  <w:style w:type="character" w:customStyle="1" w:styleId="2381">
    <w:name w:val="页眉 Char Char"/>
    <w:qFormat/>
    <w:uiPriority w:val="0"/>
    <w:rPr>
      <w:kern w:val="2"/>
      <w:sz w:val="18"/>
      <w:szCs w:val="18"/>
    </w:rPr>
  </w:style>
  <w:style w:type="paragraph" w:customStyle="1" w:styleId="2382">
    <w:name w:val="款"/>
    <w:basedOn w:val="1"/>
    <w:qFormat/>
    <w:uiPriority w:val="0"/>
    <w:pPr>
      <w:widowControl w:val="0"/>
      <w:tabs>
        <w:tab w:val="left" w:pos="360"/>
      </w:tabs>
      <w:ind w:left="360" w:hanging="360"/>
      <w:jc w:val="both"/>
    </w:pPr>
    <w:rPr>
      <w:color w:val="000000"/>
    </w:rPr>
  </w:style>
  <w:style w:type="paragraph" w:customStyle="1" w:styleId="2383">
    <w:name w:val="三级03"/>
    <w:basedOn w:val="1"/>
    <w:qFormat/>
    <w:uiPriority w:val="0"/>
    <w:pPr>
      <w:widowControl w:val="0"/>
      <w:tabs>
        <w:tab w:val="left" w:pos="1260"/>
      </w:tabs>
      <w:spacing w:line="360" w:lineRule="auto"/>
      <w:outlineLvl w:val="2"/>
    </w:pPr>
    <w:rPr>
      <w:rFonts w:eastAsia="楷体"/>
      <w:b/>
      <w:sz w:val="24"/>
      <w:szCs w:val="24"/>
    </w:rPr>
  </w:style>
  <w:style w:type="paragraph" w:customStyle="1" w:styleId="2384">
    <w:name w:val="项目符号1"/>
    <w:basedOn w:val="1"/>
    <w:qFormat/>
    <w:uiPriority w:val="0"/>
    <w:pPr>
      <w:widowControl w:val="0"/>
      <w:overflowPunct w:val="0"/>
      <w:snapToGrid w:val="0"/>
      <w:spacing w:line="480" w:lineRule="exact"/>
      <w:jc w:val="both"/>
    </w:pPr>
    <w:rPr>
      <w:rFonts w:ascii="Arial" w:hAnsi="Arial" w:eastAsia="仿宋_GB2312"/>
      <w:sz w:val="28"/>
    </w:rPr>
  </w:style>
  <w:style w:type="paragraph" w:customStyle="1" w:styleId="2385">
    <w:name w:val="条1"/>
    <w:basedOn w:val="1"/>
    <w:next w:val="1"/>
    <w:qFormat/>
    <w:uiPriority w:val="0"/>
    <w:pPr>
      <w:widowControl w:val="0"/>
      <w:jc w:val="both"/>
      <w:outlineLvl w:val="1"/>
    </w:pPr>
    <w:rPr>
      <w:rFonts w:ascii="黑体" w:eastAsia="黑体"/>
      <w:kern w:val="21"/>
    </w:rPr>
  </w:style>
  <w:style w:type="paragraph" w:customStyle="1" w:styleId="2386">
    <w:name w:val="s标题2"/>
    <w:basedOn w:val="8"/>
    <w:qFormat/>
    <w:uiPriority w:val="0"/>
    <w:pPr>
      <w:widowControl w:val="0"/>
      <w:tabs>
        <w:tab w:val="left" w:pos="720"/>
        <w:tab w:val="left" w:pos="840"/>
      </w:tabs>
      <w:ind w:left="840" w:hanging="420"/>
      <w:jc w:val="both"/>
    </w:pPr>
    <w:rPr>
      <w:b w:val="0"/>
      <w:bCs/>
      <w:sz w:val="28"/>
      <w:szCs w:val="32"/>
    </w:rPr>
  </w:style>
  <w:style w:type="paragraph" w:customStyle="1" w:styleId="2387">
    <w:name w:val="条2"/>
    <w:basedOn w:val="1"/>
    <w:next w:val="1"/>
    <w:qFormat/>
    <w:uiPriority w:val="0"/>
    <w:pPr>
      <w:widowControl w:val="0"/>
      <w:jc w:val="both"/>
      <w:outlineLvl w:val="1"/>
    </w:pPr>
    <w:rPr>
      <w:rFonts w:ascii="黑体" w:eastAsia="黑体"/>
      <w:kern w:val="21"/>
    </w:rPr>
  </w:style>
  <w:style w:type="paragraph" w:customStyle="1" w:styleId="2388">
    <w:name w:val="Char Char Char Char Char Char1 Char Char Char Char Char Char Char"/>
    <w:basedOn w:val="1"/>
    <w:qFormat/>
    <w:uiPriority w:val="0"/>
    <w:pPr>
      <w:widowControl w:val="0"/>
      <w:jc w:val="both"/>
    </w:pPr>
    <w:rPr>
      <w:szCs w:val="21"/>
    </w:rPr>
  </w:style>
  <w:style w:type="paragraph" w:customStyle="1" w:styleId="2389">
    <w:name w:val="样式 正文缩进首行缩进文本条款特点表正文2正文非缩进1正文（首行缩进两字）2正文非缩进"/>
    <w:basedOn w:val="11"/>
    <w:qFormat/>
    <w:uiPriority w:val="0"/>
    <w:pPr>
      <w:snapToGrid w:val="0"/>
      <w:spacing w:line="440" w:lineRule="exact"/>
      <w:ind w:firstLine="540" w:firstLineChars="0"/>
      <w:jc w:val="both"/>
    </w:pPr>
    <w:rPr>
      <w:rFonts w:hint="eastAsia" w:ascii="宋体" w:hAnsi="宋体"/>
      <w:kern w:val="0"/>
      <w:sz w:val="24"/>
    </w:rPr>
  </w:style>
  <w:style w:type="paragraph" w:customStyle="1" w:styleId="2390">
    <w:name w:val="初设正文"/>
    <w:basedOn w:val="1"/>
    <w:qFormat/>
    <w:uiPriority w:val="0"/>
    <w:pPr>
      <w:widowControl w:val="0"/>
      <w:spacing w:after="120" w:line="440" w:lineRule="exact"/>
      <w:ind w:left="425" w:firstLine="425"/>
      <w:jc w:val="both"/>
    </w:pPr>
    <w:rPr>
      <w:rFonts w:ascii="Arial" w:hAnsi="Arial" w:cs="宋体"/>
      <w:kern w:val="0"/>
      <w:sz w:val="24"/>
    </w:rPr>
  </w:style>
  <w:style w:type="paragraph" w:customStyle="1" w:styleId="2391">
    <w:name w:val="标题4 宋体 行距: 固定值 24 磅"/>
    <w:basedOn w:val="10"/>
    <w:next w:val="1"/>
    <w:qFormat/>
    <w:uiPriority w:val="0"/>
    <w:pPr>
      <w:keepNext w:val="0"/>
      <w:keepLines w:val="0"/>
      <w:widowControl w:val="0"/>
      <w:numPr>
        <w:ilvl w:val="3"/>
        <w:numId w:val="0"/>
      </w:numPr>
      <w:spacing w:before="0" w:after="0" w:line="480" w:lineRule="exact"/>
      <w:jc w:val="both"/>
    </w:pPr>
    <w:rPr>
      <w:rFonts w:ascii="宋体" w:hAnsi="宋体" w:eastAsia="宋体" w:cs="宋体"/>
      <w:b w:val="0"/>
      <w:bCs/>
      <w:sz w:val="24"/>
    </w:rPr>
  </w:style>
  <w:style w:type="paragraph" w:customStyle="1" w:styleId="2392">
    <w:name w:val="[正文格式]"/>
    <w:basedOn w:val="1"/>
    <w:qFormat/>
    <w:uiPriority w:val="0"/>
    <w:pPr>
      <w:widowControl w:val="0"/>
      <w:spacing w:line="440" w:lineRule="exact"/>
      <w:ind w:firstLine="500" w:firstLineChars="200"/>
      <w:jc w:val="both"/>
    </w:pPr>
    <w:rPr>
      <w:rFonts w:cs="宋体"/>
      <w:sz w:val="25"/>
    </w:rPr>
  </w:style>
  <w:style w:type="paragraph" w:customStyle="1" w:styleId="2393">
    <w:name w:val="环评正文 Char"/>
    <w:qFormat/>
    <w:uiPriority w:val="0"/>
    <w:pPr>
      <w:spacing w:line="440" w:lineRule="exact"/>
      <w:ind w:firstLine="200" w:firstLineChars="200"/>
    </w:pPr>
    <w:rPr>
      <w:rFonts w:ascii="Times New Roman" w:hAnsi="Times New Roman" w:eastAsia="宋体" w:cs="Times New Roman"/>
      <w:kern w:val="2"/>
      <w:sz w:val="24"/>
      <w:lang w:val="en-US" w:eastAsia="zh-CN" w:bidi="ar-SA"/>
    </w:rPr>
  </w:style>
  <w:style w:type="paragraph" w:customStyle="1" w:styleId="2394">
    <w:name w:val="样式 标题 4 + (西文) Times New Roman (中文) 宋体 小四 左 段前: 12 磅 段后: 2 ..."/>
    <w:basedOn w:val="10"/>
    <w:next w:val="1"/>
    <w:qFormat/>
    <w:uiPriority w:val="0"/>
    <w:pPr>
      <w:widowControl w:val="0"/>
      <w:numPr>
        <w:ilvl w:val="3"/>
        <w:numId w:val="0"/>
      </w:numPr>
      <w:adjustRightInd w:val="0"/>
      <w:snapToGrid w:val="0"/>
      <w:spacing w:before="0" w:after="0" w:line="480" w:lineRule="exact"/>
      <w:textAlignment w:val="baseline"/>
    </w:pPr>
    <w:rPr>
      <w:rFonts w:ascii="宋体" w:hAnsi="宋体" w:eastAsia="宋体" w:cs="宋体"/>
      <w:b w:val="0"/>
      <w:bCs/>
      <w:sz w:val="24"/>
      <w:szCs w:val="24"/>
    </w:rPr>
  </w:style>
  <w:style w:type="paragraph" w:customStyle="1" w:styleId="2395">
    <w:name w:val="标题06"/>
    <w:basedOn w:val="1"/>
    <w:qFormat/>
    <w:uiPriority w:val="0"/>
    <w:pPr>
      <w:widowControl w:val="0"/>
      <w:adjustRightInd w:val="0"/>
      <w:spacing w:before="2040" w:line="400" w:lineRule="atLeast"/>
      <w:jc w:val="both"/>
      <w:textAlignment w:val="baseline"/>
    </w:pPr>
    <w:rPr>
      <w:rFonts w:eastAsia="黑体"/>
      <w:spacing w:val="10"/>
      <w:kern w:val="0"/>
      <w:sz w:val="28"/>
      <w:szCs w:val="24"/>
    </w:rPr>
  </w:style>
  <w:style w:type="paragraph" w:customStyle="1" w:styleId="2396">
    <w:name w:val="样式 标题4 + 宋体"/>
    <w:basedOn w:val="11"/>
    <w:qFormat/>
    <w:uiPriority w:val="0"/>
    <w:pPr>
      <w:widowControl w:val="0"/>
      <w:tabs>
        <w:tab w:val="left" w:pos="1050"/>
        <w:tab w:val="left" w:pos="1620"/>
      </w:tabs>
      <w:snapToGrid w:val="0"/>
      <w:spacing w:line="360" w:lineRule="auto"/>
      <w:ind w:firstLine="0" w:firstLineChars="0"/>
      <w:jc w:val="both"/>
    </w:pPr>
    <w:rPr>
      <w:rFonts w:hint="eastAsia" w:ascii="宋体" w:hAnsi="宋体"/>
      <w:sz w:val="24"/>
    </w:rPr>
  </w:style>
  <w:style w:type="paragraph" w:customStyle="1" w:styleId="2397">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2398">
    <w:name w:val="条4"/>
    <w:basedOn w:val="1"/>
    <w:next w:val="1"/>
    <w:qFormat/>
    <w:uiPriority w:val="0"/>
    <w:pPr>
      <w:widowControl w:val="0"/>
      <w:jc w:val="both"/>
      <w:outlineLvl w:val="1"/>
    </w:pPr>
    <w:rPr>
      <w:rFonts w:ascii="黑体" w:eastAsia="黑体"/>
      <w:kern w:val="21"/>
    </w:rPr>
  </w:style>
  <w:style w:type="paragraph" w:customStyle="1" w:styleId="2399">
    <w:name w:val="BG1"/>
    <w:basedOn w:val="1"/>
    <w:qFormat/>
    <w:uiPriority w:val="0"/>
    <w:pPr>
      <w:widowControl w:val="0"/>
      <w:autoSpaceDE w:val="0"/>
      <w:autoSpaceDN w:val="0"/>
      <w:spacing w:line="400" w:lineRule="exact"/>
      <w:jc w:val="center"/>
    </w:pPr>
    <w:rPr>
      <w:kern w:val="0"/>
      <w:sz w:val="24"/>
      <w:szCs w:val="24"/>
    </w:rPr>
  </w:style>
  <w:style w:type="paragraph" w:customStyle="1" w:styleId="2400">
    <w:name w:val="lemon中文"/>
    <w:basedOn w:val="1"/>
    <w:qFormat/>
    <w:uiPriority w:val="0"/>
    <w:pPr>
      <w:widowControl w:val="0"/>
      <w:snapToGrid w:val="0"/>
      <w:spacing w:before="120" w:after="120" w:line="360" w:lineRule="auto"/>
      <w:jc w:val="both"/>
    </w:pPr>
    <w:rPr>
      <w:rFonts w:ascii="Arial" w:hAnsi="Arial" w:cs="Arial"/>
      <w:sz w:val="24"/>
      <w:szCs w:val="24"/>
    </w:rPr>
  </w:style>
  <w:style w:type="paragraph" w:customStyle="1" w:styleId="2401">
    <w:name w:val=" Char Char Char Char Char Char1 Char Char Char Char Char Char Char"/>
    <w:basedOn w:val="1"/>
    <w:qFormat/>
    <w:uiPriority w:val="0"/>
    <w:pPr>
      <w:widowControl w:val="0"/>
      <w:jc w:val="both"/>
    </w:pPr>
    <w:rPr>
      <w:szCs w:val="21"/>
    </w:rPr>
  </w:style>
  <w:style w:type="paragraph" w:customStyle="1" w:styleId="2402">
    <w:name w:val="条5"/>
    <w:basedOn w:val="1"/>
    <w:next w:val="1"/>
    <w:qFormat/>
    <w:uiPriority w:val="0"/>
    <w:pPr>
      <w:widowControl w:val="0"/>
      <w:jc w:val="both"/>
      <w:outlineLvl w:val="1"/>
    </w:pPr>
    <w:rPr>
      <w:rFonts w:ascii="黑体" w:eastAsia="黑体"/>
      <w:kern w:val="21"/>
    </w:rPr>
  </w:style>
  <w:style w:type="paragraph" w:customStyle="1" w:styleId="2403">
    <w:name w:val="样式 标题 3 + (西文) Times New Roman (中文) 宋体 小四 左 段前: 12 磅 段后: 2 ..."/>
    <w:basedOn w:val="9"/>
    <w:qFormat/>
    <w:uiPriority w:val="0"/>
    <w:pPr>
      <w:widowControl w:val="0"/>
      <w:numPr>
        <w:ilvl w:val="2"/>
        <w:numId w:val="0"/>
      </w:numPr>
      <w:adjustRightInd w:val="0"/>
      <w:snapToGrid w:val="0"/>
      <w:spacing w:before="0" w:after="0" w:line="480" w:lineRule="exact"/>
      <w:textAlignment w:val="baseline"/>
    </w:pPr>
    <w:rPr>
      <w:rFonts w:ascii="宋体" w:cs="宋体"/>
      <w:b w:val="0"/>
      <w:bCs/>
      <w:sz w:val="24"/>
      <w:szCs w:val="24"/>
    </w:rPr>
  </w:style>
  <w:style w:type="paragraph" w:customStyle="1" w:styleId="2404">
    <w:name w:val="条3"/>
    <w:basedOn w:val="1"/>
    <w:next w:val="1"/>
    <w:qFormat/>
    <w:uiPriority w:val="0"/>
    <w:pPr>
      <w:widowControl w:val="0"/>
      <w:jc w:val="both"/>
      <w:outlineLvl w:val="1"/>
    </w:pPr>
    <w:rPr>
      <w:rFonts w:ascii="黑体" w:eastAsia="黑体"/>
      <w:kern w:val="21"/>
    </w:rPr>
  </w:style>
  <w:style w:type="paragraph" w:customStyle="1" w:styleId="2405">
    <w:name w:val="样式 标题 2标题2 + (西文) Arial (中文) 黑体 居中 段后: 2 磅"/>
    <w:basedOn w:val="8"/>
    <w:qFormat/>
    <w:uiPriority w:val="0"/>
    <w:pPr>
      <w:widowControl w:val="0"/>
      <w:numPr>
        <w:ilvl w:val="1"/>
        <w:numId w:val="0"/>
      </w:numPr>
      <w:adjustRightInd w:val="0"/>
      <w:snapToGrid w:val="0"/>
      <w:spacing w:before="312" w:beforeLines="100" w:after="0" w:line="480" w:lineRule="exact"/>
      <w:jc w:val="both"/>
      <w:textAlignment w:val="baseline"/>
    </w:pPr>
    <w:rPr>
      <w:rFonts w:ascii="宋体" w:hAnsi="宋体" w:eastAsia="宋体" w:cs="宋体"/>
      <w:bCs/>
      <w:sz w:val="24"/>
      <w:szCs w:val="24"/>
    </w:rPr>
  </w:style>
  <w:style w:type="paragraph" w:customStyle="1" w:styleId="2406">
    <w:name w:val="msonormal"/>
    <w:basedOn w:val="1"/>
    <w:qFormat/>
    <w:uiPriority w:val="0"/>
    <w:pPr>
      <w:spacing w:before="100" w:beforeAutospacing="1" w:after="100" w:afterAutospacing="1"/>
    </w:pPr>
    <w:rPr>
      <w:rFonts w:ascii="宋体" w:hAnsi="宋体" w:cs="宋体"/>
      <w:kern w:val="0"/>
      <w:sz w:val="24"/>
      <w:szCs w:val="24"/>
    </w:rPr>
  </w:style>
  <w:style w:type="character" w:customStyle="1" w:styleId="2407">
    <w:name w:val="正文-RED Char"/>
    <w:link w:val="2408"/>
    <w:qFormat/>
    <w:locked/>
    <w:uiPriority w:val="0"/>
    <w:rPr>
      <w:sz w:val="24"/>
      <w:lang w:val="en-US" w:eastAsia="zh-CN" w:bidi="ar-SA"/>
    </w:rPr>
  </w:style>
  <w:style w:type="paragraph" w:customStyle="1" w:styleId="2408">
    <w:name w:val="正文-RED"/>
    <w:link w:val="2407"/>
    <w:qFormat/>
    <w:uiPriority w:val="0"/>
    <w:pPr>
      <w:spacing w:line="360" w:lineRule="auto"/>
      <w:ind w:firstLine="420"/>
      <w:jc w:val="both"/>
    </w:pPr>
    <w:rPr>
      <w:rFonts w:ascii="Times New Roman" w:hAnsi="Times New Roman" w:eastAsia="宋体" w:cs="Times New Roman"/>
      <w:sz w:val="24"/>
      <w:lang w:val="en-US" w:eastAsia="zh-CN" w:bidi="ar-SA"/>
    </w:rPr>
  </w:style>
  <w:style w:type="table" w:customStyle="1" w:styleId="2409">
    <w:name w:val="网格型9"/>
    <w:basedOn w:val="92"/>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410">
    <w:name w:val="正文小四首缩1.3行距"/>
    <w:basedOn w:val="1"/>
    <w:link w:val="2411"/>
    <w:qFormat/>
    <w:uiPriority w:val="0"/>
    <w:pPr>
      <w:widowControl w:val="0"/>
      <w:adjustRightInd w:val="0"/>
      <w:snapToGrid w:val="0"/>
      <w:spacing w:line="312" w:lineRule="auto"/>
      <w:ind w:firstLine="420" w:firstLineChars="200"/>
      <w:jc w:val="both"/>
    </w:pPr>
    <w:rPr>
      <w:sz w:val="24"/>
      <w:szCs w:val="24"/>
    </w:rPr>
  </w:style>
  <w:style w:type="character" w:customStyle="1" w:styleId="2411">
    <w:name w:val="正文小四首缩1.3行距 Char"/>
    <w:link w:val="2410"/>
    <w:qFormat/>
    <w:uiPriority w:val="0"/>
    <w:rPr>
      <w:kern w:val="2"/>
      <w:sz w:val="24"/>
      <w:szCs w:val="24"/>
    </w:rPr>
  </w:style>
  <w:style w:type="paragraph" w:customStyle="1" w:styleId="2412">
    <w:name w:val="表格下面正文"/>
    <w:qFormat/>
    <w:uiPriority w:val="0"/>
    <w:pPr>
      <w:spacing w:after="50" w:afterLines="50"/>
    </w:pPr>
    <w:rPr>
      <w:rFonts w:ascii="Times New Roman" w:hAnsi="Times New Roman" w:eastAsia="宋体" w:cs="Times New Roman"/>
      <w:kern w:val="2"/>
      <w:sz w:val="21"/>
      <w:szCs w:val="24"/>
      <w:lang w:val="en-US" w:eastAsia="zh-CN" w:bidi="ar-SA"/>
    </w:rPr>
  </w:style>
  <w:style w:type="paragraph" w:customStyle="1" w:styleId="2413">
    <w:name w:val="正文-"/>
    <w:basedOn w:val="1"/>
    <w:link w:val="2414"/>
    <w:qFormat/>
    <w:uiPriority w:val="0"/>
    <w:pPr>
      <w:widowControl w:val="0"/>
      <w:spacing w:line="360" w:lineRule="auto"/>
      <w:ind w:firstLine="200" w:firstLineChars="200"/>
      <w:jc w:val="both"/>
    </w:pPr>
    <w:rPr>
      <w:bCs/>
      <w:sz w:val="24"/>
      <w:szCs w:val="22"/>
    </w:rPr>
  </w:style>
  <w:style w:type="character" w:customStyle="1" w:styleId="2414">
    <w:name w:val="正文- Char"/>
    <w:link w:val="2413"/>
    <w:qFormat/>
    <w:uiPriority w:val="0"/>
    <w:rPr>
      <w:bCs/>
      <w:kern w:val="2"/>
      <w:sz w:val="24"/>
      <w:szCs w:val="22"/>
    </w:rPr>
  </w:style>
  <w:style w:type="paragraph" w:customStyle="1" w:styleId="2415">
    <w:name w:val="01正文"/>
    <w:basedOn w:val="1"/>
    <w:link w:val="2416"/>
    <w:qFormat/>
    <w:uiPriority w:val="0"/>
    <w:pPr>
      <w:widowControl w:val="0"/>
      <w:adjustRightInd w:val="0"/>
      <w:snapToGrid w:val="0"/>
      <w:spacing w:line="360" w:lineRule="auto"/>
      <w:ind w:firstLine="200" w:firstLineChars="200"/>
      <w:jc w:val="both"/>
    </w:pPr>
    <w:rPr>
      <w:sz w:val="24"/>
      <w:szCs w:val="26"/>
    </w:rPr>
  </w:style>
  <w:style w:type="character" w:customStyle="1" w:styleId="2416">
    <w:name w:val="01正文 Char"/>
    <w:link w:val="2415"/>
    <w:qFormat/>
    <w:uiPriority w:val="0"/>
    <w:rPr>
      <w:kern w:val="2"/>
      <w:sz w:val="24"/>
      <w:szCs w:val="26"/>
    </w:rPr>
  </w:style>
  <w:style w:type="paragraph" w:customStyle="1" w:styleId="2417">
    <w:name w:val="03表格文字"/>
    <w:basedOn w:val="2415"/>
    <w:link w:val="2418"/>
    <w:qFormat/>
    <w:uiPriority w:val="0"/>
    <w:pPr>
      <w:spacing w:line="360" w:lineRule="exact"/>
      <w:ind w:firstLine="0" w:firstLineChars="0"/>
      <w:jc w:val="center"/>
    </w:pPr>
  </w:style>
  <w:style w:type="character" w:customStyle="1" w:styleId="2418">
    <w:name w:val="03表格文字 Char"/>
    <w:link w:val="2417"/>
    <w:qFormat/>
    <w:uiPriority w:val="0"/>
    <w:rPr>
      <w:kern w:val="2"/>
      <w:sz w:val="24"/>
      <w:szCs w:val="26"/>
    </w:rPr>
  </w:style>
  <w:style w:type="paragraph" w:customStyle="1" w:styleId="2419">
    <w:name w:val="02表格标题"/>
    <w:basedOn w:val="1"/>
    <w:link w:val="2420"/>
    <w:qFormat/>
    <w:uiPriority w:val="0"/>
    <w:pPr>
      <w:widowControl w:val="0"/>
      <w:adjustRightInd w:val="0"/>
      <w:snapToGrid w:val="0"/>
      <w:spacing w:beforeLines="50" w:line="360" w:lineRule="auto"/>
      <w:jc w:val="center"/>
      <w:outlineLvl w:val="4"/>
    </w:pPr>
    <w:rPr>
      <w:sz w:val="24"/>
      <w:szCs w:val="26"/>
    </w:rPr>
  </w:style>
  <w:style w:type="character" w:customStyle="1" w:styleId="2420">
    <w:name w:val="02表格标题 Char"/>
    <w:link w:val="2419"/>
    <w:qFormat/>
    <w:uiPriority w:val="0"/>
    <w:rPr>
      <w:kern w:val="2"/>
      <w:sz w:val="24"/>
      <w:szCs w:val="26"/>
    </w:rPr>
  </w:style>
  <w:style w:type="paragraph" w:customStyle="1" w:styleId="2421">
    <w:name w:val="04表格结尾"/>
    <w:basedOn w:val="1"/>
    <w:qFormat/>
    <w:uiPriority w:val="0"/>
    <w:pPr>
      <w:widowControl w:val="0"/>
      <w:adjustRightInd w:val="0"/>
      <w:snapToGrid w:val="0"/>
      <w:ind w:firstLine="420" w:firstLineChars="200"/>
      <w:jc w:val="both"/>
    </w:pPr>
    <w:rPr>
      <w:szCs w:val="24"/>
    </w:rPr>
  </w:style>
  <w:style w:type="paragraph" w:customStyle="1" w:styleId="2422">
    <w:name w:val="dxj正文"/>
    <w:basedOn w:val="1"/>
    <w:link w:val="2423"/>
    <w:qFormat/>
    <w:uiPriority w:val="0"/>
    <w:pPr>
      <w:widowControl w:val="0"/>
      <w:spacing w:line="360" w:lineRule="auto"/>
      <w:ind w:firstLine="200" w:firstLineChars="200"/>
      <w:jc w:val="both"/>
    </w:pPr>
    <w:rPr>
      <w:sz w:val="24"/>
      <w:szCs w:val="24"/>
    </w:rPr>
  </w:style>
  <w:style w:type="character" w:customStyle="1" w:styleId="2423">
    <w:name w:val="dxj正文 Char"/>
    <w:link w:val="2422"/>
    <w:qFormat/>
    <w:uiPriority w:val="0"/>
    <w:rPr>
      <w:kern w:val="2"/>
      <w:sz w:val="24"/>
      <w:szCs w:val="24"/>
    </w:rPr>
  </w:style>
  <w:style w:type="paragraph" w:customStyle="1" w:styleId="2424">
    <w:name w:val="正文首行缩进 2 + Times New Roman"/>
    <w:basedOn w:val="1"/>
    <w:link w:val="2425"/>
    <w:qFormat/>
    <w:uiPriority w:val="0"/>
    <w:pPr>
      <w:widowControl w:val="0"/>
      <w:tabs>
        <w:tab w:val="left" w:pos="-57"/>
        <w:tab w:val="left" w:pos="0"/>
      </w:tabs>
      <w:autoSpaceDE w:val="0"/>
      <w:autoSpaceDN w:val="0"/>
      <w:spacing w:line="400" w:lineRule="exact"/>
      <w:ind w:firstLine="73" w:firstLineChars="35"/>
      <w:jc w:val="both"/>
    </w:pPr>
    <w:rPr>
      <w:kern w:val="0"/>
      <w:sz w:val="24"/>
      <w:szCs w:val="24"/>
    </w:rPr>
  </w:style>
  <w:style w:type="character" w:customStyle="1" w:styleId="2425">
    <w:name w:val="正文首行缩进 2 + Times New Roman Char"/>
    <w:link w:val="2424"/>
    <w:qFormat/>
    <w:uiPriority w:val="0"/>
    <w:rPr>
      <w:sz w:val="24"/>
      <w:szCs w:val="24"/>
    </w:rPr>
  </w:style>
  <w:style w:type="paragraph" w:customStyle="1" w:styleId="2426">
    <w:name w:val="报告题目"/>
    <w:link w:val="2427"/>
    <w:qFormat/>
    <w:uiPriority w:val="0"/>
    <w:pPr>
      <w:jc w:val="center"/>
    </w:pPr>
    <w:rPr>
      <w:rFonts w:ascii="Times New Roman" w:hAnsi="Times New Roman" w:eastAsia="华康宋体W12(P)" w:cs="Times New Roman"/>
      <w:color w:val="000000"/>
      <w:kern w:val="2"/>
      <w:sz w:val="72"/>
      <w:szCs w:val="72"/>
      <w:lang w:val="en-US" w:eastAsia="zh-CN" w:bidi="ar-SA"/>
    </w:rPr>
  </w:style>
  <w:style w:type="character" w:customStyle="1" w:styleId="2427">
    <w:name w:val="报告题目 Char"/>
    <w:link w:val="2426"/>
    <w:qFormat/>
    <w:uiPriority w:val="0"/>
    <w:rPr>
      <w:rFonts w:eastAsia="华康宋体W12(P)"/>
      <w:color w:val="000000"/>
      <w:kern w:val="2"/>
      <w:sz w:val="72"/>
      <w:szCs w:val="72"/>
      <w:lang w:bidi="ar-SA"/>
    </w:rPr>
  </w:style>
  <w:style w:type="table" w:customStyle="1" w:styleId="2428">
    <w:name w:val="简明型 11"/>
    <w:basedOn w:val="92"/>
    <w:qFormat/>
    <w:uiPriority w:val="0"/>
    <w:pPr>
      <w:widowControl w:val="0"/>
      <w:jc w:val="both"/>
    </w:pPr>
    <w:tblPr>
      <w:tblBorders>
        <w:top w:val="single" w:color="008000" w:sz="12" w:space="0"/>
        <w:bottom w:val="single" w:color="008000" w:sz="12" w:space="0"/>
      </w:tblBorders>
    </w:tblPr>
    <w:tcPr>
      <w:shd w:val="clear" w:color="auto" w:fill="auto"/>
    </w:tcPr>
    <w:tblStylePr w:type="firstRow">
      <w:tcPr>
        <w:tcBorders>
          <w:top w:val="nil"/>
          <w:left w:val="single" w:color="008000" w:sz="6" w:space="0"/>
          <w:bottom w:val="nil"/>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paragraph" w:customStyle="1" w:styleId="2429">
    <w:name w:val="zwb-正文"/>
    <w:basedOn w:val="1"/>
    <w:link w:val="2430"/>
    <w:qFormat/>
    <w:uiPriority w:val="0"/>
    <w:pPr>
      <w:widowControl w:val="0"/>
      <w:spacing w:line="360" w:lineRule="auto"/>
      <w:ind w:firstLine="200" w:firstLineChars="200"/>
      <w:jc w:val="both"/>
    </w:pPr>
    <w:rPr>
      <w:sz w:val="24"/>
      <w:szCs w:val="24"/>
    </w:rPr>
  </w:style>
  <w:style w:type="character" w:customStyle="1" w:styleId="2430">
    <w:name w:val="zwb-正文 Char"/>
    <w:link w:val="2429"/>
    <w:qFormat/>
    <w:uiPriority w:val="0"/>
    <w:rPr>
      <w:kern w:val="2"/>
      <w:sz w:val="24"/>
      <w:szCs w:val="24"/>
    </w:rPr>
  </w:style>
  <w:style w:type="paragraph" w:customStyle="1" w:styleId="2431">
    <w:name w:val="zwb-图表标题"/>
    <w:basedOn w:val="1"/>
    <w:link w:val="2432"/>
    <w:qFormat/>
    <w:uiPriority w:val="0"/>
    <w:pPr>
      <w:widowControl w:val="0"/>
      <w:spacing w:line="360" w:lineRule="auto"/>
      <w:jc w:val="center"/>
    </w:pPr>
    <w:rPr>
      <w:b/>
      <w:sz w:val="24"/>
      <w:szCs w:val="24"/>
    </w:rPr>
  </w:style>
  <w:style w:type="character" w:customStyle="1" w:styleId="2432">
    <w:name w:val="zwb-图表标题 Char"/>
    <w:link w:val="2431"/>
    <w:qFormat/>
    <w:uiPriority w:val="0"/>
    <w:rPr>
      <w:b/>
      <w:kern w:val="2"/>
      <w:sz w:val="24"/>
      <w:szCs w:val="24"/>
    </w:rPr>
  </w:style>
  <w:style w:type="paragraph" w:customStyle="1" w:styleId="2433">
    <w:name w:val="标准书眉_奇数页"/>
    <w:next w:val="1"/>
    <w:qFormat/>
    <w:uiPriority w:val="0"/>
    <w:pPr>
      <w:tabs>
        <w:tab w:val="center" w:pos="4154"/>
        <w:tab w:val="right" w:pos="8306"/>
      </w:tabs>
      <w:spacing w:after="220"/>
      <w:jc w:val="right"/>
    </w:pPr>
    <w:rPr>
      <w:rFonts w:ascii="黑体" w:hAnsi="Times New Roman" w:eastAsia="黑体" w:cs="Times New Roman"/>
      <w:sz w:val="21"/>
      <w:szCs w:val="21"/>
      <w:lang w:val="en-US" w:eastAsia="zh-CN" w:bidi="ar-SA"/>
    </w:rPr>
  </w:style>
  <w:style w:type="paragraph" w:customStyle="1" w:styleId="2434">
    <w:name w:val="列项●（二级）"/>
    <w:qFormat/>
    <w:uiPriority w:val="0"/>
    <w:pPr>
      <w:tabs>
        <w:tab w:val="left" w:pos="760"/>
        <w:tab w:val="left" w:pos="840"/>
      </w:tabs>
      <w:ind w:left="1264" w:hanging="413"/>
      <w:jc w:val="both"/>
    </w:pPr>
    <w:rPr>
      <w:rFonts w:ascii="宋体" w:hAnsi="Times New Roman" w:eastAsia="宋体" w:cs="Times New Roman"/>
      <w:sz w:val="21"/>
      <w:lang w:val="en-US" w:eastAsia="zh-CN" w:bidi="ar-SA"/>
    </w:rPr>
  </w:style>
  <w:style w:type="paragraph" w:customStyle="1" w:styleId="2435">
    <w:name w:val="二级无"/>
    <w:basedOn w:val="1"/>
    <w:qFormat/>
    <w:uiPriority w:val="0"/>
    <w:pPr>
      <w:tabs>
        <w:tab w:val="left" w:pos="2160"/>
      </w:tabs>
      <w:ind w:hanging="720"/>
      <w:jc w:val="both"/>
      <w:outlineLvl w:val="3"/>
    </w:pPr>
    <w:rPr>
      <w:rFonts w:ascii="宋体"/>
      <w:kern w:val="0"/>
      <w:szCs w:val="21"/>
    </w:rPr>
  </w:style>
  <w:style w:type="paragraph" w:customStyle="1" w:styleId="2436">
    <w:name w:val="样式 楷体_GB2312 小四 左 行距: 1.5 倍行距 首行缩进:  2 字符"/>
    <w:basedOn w:val="1"/>
    <w:qFormat/>
    <w:uiPriority w:val="0"/>
    <w:pPr>
      <w:widowControl w:val="0"/>
      <w:spacing w:line="360" w:lineRule="auto"/>
      <w:ind w:firstLine="200" w:firstLineChars="200"/>
      <w:jc w:val="both"/>
    </w:pPr>
    <w:rPr>
      <w:rFonts w:ascii="宋体" w:hAnsi="宋体" w:cs="宋体"/>
      <w:sz w:val="24"/>
      <w:szCs w:val="24"/>
    </w:rPr>
  </w:style>
  <w:style w:type="character" w:customStyle="1" w:styleId="2437">
    <w:name w:val="占位符文本1"/>
    <w:semiHidden/>
    <w:qFormat/>
    <w:uiPriority w:val="99"/>
    <w:rPr>
      <w:color w:val="808080"/>
    </w:rPr>
  </w:style>
  <w:style w:type="paragraph" w:customStyle="1" w:styleId="2438">
    <w:name w:val="et2"/>
    <w:basedOn w:val="1"/>
    <w:qFormat/>
    <w:uiPriority w:val="0"/>
    <w:pPr>
      <w:spacing w:before="100" w:beforeAutospacing="1" w:after="100" w:afterAutospacing="1"/>
    </w:pPr>
    <w:rPr>
      <w:rFonts w:ascii="宋体" w:hAnsi="宋体" w:cs="宋体"/>
      <w:kern w:val="0"/>
      <w:sz w:val="20"/>
    </w:rPr>
  </w:style>
  <w:style w:type="paragraph" w:customStyle="1" w:styleId="2439">
    <w:name w:val="et18"/>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2440">
    <w:name w:val="et20"/>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黑体" w:hAnsi="黑体" w:eastAsia="黑体" w:cs="宋体"/>
      <w:kern w:val="0"/>
      <w:sz w:val="24"/>
      <w:szCs w:val="24"/>
    </w:rPr>
  </w:style>
  <w:style w:type="paragraph" w:customStyle="1" w:styleId="2441">
    <w:name w:val="et22"/>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黑体" w:hAnsi="黑体" w:eastAsia="黑体" w:cs="宋体"/>
      <w:color w:val="FF0000"/>
      <w:kern w:val="0"/>
      <w:sz w:val="24"/>
      <w:szCs w:val="24"/>
    </w:rPr>
  </w:style>
  <w:style w:type="paragraph" w:customStyle="1" w:styleId="2442">
    <w:name w:val="et24"/>
    <w:basedOn w:val="1"/>
    <w:qFormat/>
    <w:uiPriority w:val="0"/>
    <w:pPr>
      <w:spacing w:before="100" w:beforeAutospacing="1" w:after="100" w:afterAutospacing="1"/>
      <w:jc w:val="center"/>
    </w:pPr>
    <w:rPr>
      <w:rFonts w:ascii="宋体" w:hAnsi="宋体" w:cs="宋体"/>
      <w:b/>
      <w:bCs/>
      <w:color w:val="FF0000"/>
      <w:kern w:val="0"/>
      <w:sz w:val="20"/>
    </w:rPr>
  </w:style>
  <w:style w:type="character" w:customStyle="1" w:styleId="2443">
    <w:name w:val="font111"/>
    <w:qFormat/>
    <w:uiPriority w:val="0"/>
    <w:rPr>
      <w:rFonts w:hint="eastAsia" w:ascii="黑体" w:hAnsi="黑体" w:eastAsia="黑体"/>
      <w:color w:val="00B0F0"/>
      <w:sz w:val="20"/>
      <w:szCs w:val="20"/>
      <w:u w:val="none"/>
    </w:rPr>
  </w:style>
  <w:style w:type="character" w:customStyle="1" w:styleId="2444">
    <w:name w:val="_Style 2438"/>
    <w:qFormat/>
    <w:uiPriority w:val="33"/>
    <w:rPr>
      <w:b/>
      <w:bCs/>
      <w:smallCaps/>
      <w:spacing w:val="5"/>
    </w:rPr>
  </w:style>
  <w:style w:type="paragraph" w:customStyle="1" w:styleId="2445">
    <w:name w:val="表标头"/>
    <w:link w:val="2446"/>
    <w:qFormat/>
    <w:uiPriority w:val="0"/>
    <w:pPr>
      <w:adjustRightInd w:val="0"/>
      <w:snapToGrid w:val="0"/>
      <w:spacing w:beforeLines="50"/>
      <w:jc w:val="center"/>
    </w:pPr>
    <w:rPr>
      <w:rFonts w:ascii="Times New Roman" w:hAnsi="Times New Roman" w:eastAsia="宋体" w:cs="Times New Roman"/>
      <w:b/>
      <w:bCs/>
      <w:kern w:val="2"/>
      <w:sz w:val="21"/>
      <w:szCs w:val="28"/>
      <w:lang w:val="en-US" w:eastAsia="zh-CN" w:bidi="ar-SA"/>
    </w:rPr>
  </w:style>
  <w:style w:type="character" w:customStyle="1" w:styleId="2446">
    <w:name w:val="表标头 Char"/>
    <w:link w:val="2445"/>
    <w:qFormat/>
    <w:uiPriority w:val="0"/>
    <w:rPr>
      <w:b/>
      <w:bCs/>
      <w:kern w:val="2"/>
      <w:sz w:val="21"/>
      <w:szCs w:val="28"/>
      <w:lang w:bidi="ar-SA"/>
    </w:rPr>
  </w:style>
  <w:style w:type="character" w:customStyle="1" w:styleId="2447">
    <w:name w:val="正文缩进 字符"/>
    <w:qFormat/>
    <w:uiPriority w:val="0"/>
    <w:rPr>
      <w:rFonts w:ascii="_x000B__x000C_" w:hAnsi="_x000B__x000C_" w:cs="Times New Roman"/>
      <w:color w:val="000000"/>
      <w:kern w:val="2"/>
      <w:sz w:val="21"/>
      <w:szCs w:val="18"/>
    </w:rPr>
  </w:style>
  <w:style w:type="paragraph" w:customStyle="1" w:styleId="2448">
    <w:name w:val="意-表格文字"/>
    <w:basedOn w:val="1"/>
    <w:qFormat/>
    <w:uiPriority w:val="0"/>
    <w:pPr>
      <w:widowControl w:val="0"/>
      <w:adjustRightInd w:val="0"/>
      <w:snapToGrid w:val="0"/>
      <w:jc w:val="center"/>
    </w:pPr>
    <w:rPr>
      <w:rFonts w:cs="宋体"/>
      <w:sz w:val="18"/>
      <w:szCs w:val="28"/>
    </w:rPr>
  </w:style>
  <w:style w:type="character" w:customStyle="1" w:styleId="2449">
    <w:name w:val="武正文 Char"/>
    <w:link w:val="2450"/>
    <w:qFormat/>
    <w:uiPriority w:val="0"/>
    <w:rPr>
      <w:color w:val="000000"/>
      <w:sz w:val="24"/>
      <w:szCs w:val="21"/>
    </w:rPr>
  </w:style>
  <w:style w:type="paragraph" w:customStyle="1" w:styleId="2450">
    <w:name w:val="武正文"/>
    <w:basedOn w:val="1"/>
    <w:link w:val="2449"/>
    <w:qFormat/>
    <w:uiPriority w:val="0"/>
    <w:pPr>
      <w:widowControl w:val="0"/>
      <w:spacing w:line="440" w:lineRule="exact"/>
      <w:ind w:firstLine="200" w:firstLineChars="200"/>
      <w:jc w:val="both"/>
    </w:pPr>
    <w:rPr>
      <w:color w:val="000000"/>
      <w:kern w:val="0"/>
      <w:sz w:val="24"/>
      <w:szCs w:val="21"/>
    </w:rPr>
  </w:style>
  <w:style w:type="character" w:customStyle="1" w:styleId="2451">
    <w:name w:val="报告图名 Char"/>
    <w:link w:val="2452"/>
    <w:qFormat/>
    <w:uiPriority w:val="0"/>
    <w:rPr>
      <w:rFonts w:ascii="黑体" w:hAnsi="黑体"/>
      <w:b/>
      <w:sz w:val="24"/>
    </w:rPr>
  </w:style>
  <w:style w:type="paragraph" w:customStyle="1" w:styleId="2452">
    <w:name w:val="报告图名"/>
    <w:basedOn w:val="1"/>
    <w:link w:val="2451"/>
    <w:qFormat/>
    <w:uiPriority w:val="0"/>
    <w:pPr>
      <w:widowControl w:val="0"/>
      <w:overflowPunct w:val="0"/>
      <w:autoSpaceDE w:val="0"/>
      <w:autoSpaceDN w:val="0"/>
      <w:adjustRightInd w:val="0"/>
      <w:spacing w:before="60" w:after="120" w:line="380" w:lineRule="atLeast"/>
      <w:jc w:val="center"/>
      <w:textAlignment w:val="baseline"/>
    </w:pPr>
    <w:rPr>
      <w:rFonts w:ascii="黑体" w:hAnsi="黑体"/>
      <w:b/>
      <w:kern w:val="0"/>
      <w:sz w:val="24"/>
    </w:rPr>
  </w:style>
  <w:style w:type="character" w:customStyle="1" w:styleId="2453">
    <w:name w:val="样式120 Char"/>
    <w:link w:val="2454"/>
    <w:qFormat/>
    <w:uiPriority w:val="0"/>
    <w:rPr>
      <w:rFonts w:ascii="黑体" w:eastAsia="黑体"/>
      <w:color w:val="000000"/>
      <w:sz w:val="21"/>
      <w:szCs w:val="21"/>
    </w:rPr>
  </w:style>
  <w:style w:type="paragraph" w:customStyle="1" w:styleId="2454">
    <w:name w:val="样式120"/>
    <w:basedOn w:val="1"/>
    <w:link w:val="2453"/>
    <w:qFormat/>
    <w:uiPriority w:val="0"/>
    <w:pPr>
      <w:widowControl w:val="0"/>
      <w:spacing w:line="520" w:lineRule="exact"/>
      <w:jc w:val="center"/>
    </w:pPr>
    <w:rPr>
      <w:rFonts w:ascii="黑体" w:eastAsia="黑体"/>
      <w:color w:val="000000"/>
      <w:kern w:val="0"/>
      <w:szCs w:val="21"/>
    </w:rPr>
  </w:style>
  <w:style w:type="character" w:customStyle="1" w:styleId="2455">
    <w:name w:val="表头文字 Char Char Char Char"/>
    <w:link w:val="2456"/>
    <w:qFormat/>
    <w:uiPriority w:val="0"/>
    <w:rPr>
      <w:rFonts w:eastAsia="华文中宋"/>
      <w:b/>
      <w:kern w:val="2"/>
      <w:sz w:val="28"/>
      <w:szCs w:val="24"/>
    </w:rPr>
  </w:style>
  <w:style w:type="paragraph" w:customStyle="1" w:styleId="2456">
    <w:name w:val="表头文字 Char Char Char"/>
    <w:basedOn w:val="1"/>
    <w:link w:val="2455"/>
    <w:qFormat/>
    <w:uiPriority w:val="0"/>
    <w:pPr>
      <w:widowControl w:val="0"/>
      <w:spacing w:line="360" w:lineRule="auto"/>
      <w:jc w:val="center"/>
    </w:pPr>
    <w:rPr>
      <w:rFonts w:eastAsia="华文中宋"/>
      <w:b/>
      <w:sz w:val="28"/>
      <w:szCs w:val="24"/>
    </w:rPr>
  </w:style>
  <w:style w:type="character" w:customStyle="1" w:styleId="2457">
    <w:name w:val="标准正文 Char"/>
    <w:qFormat/>
    <w:uiPriority w:val="0"/>
    <w:rPr>
      <w:rFonts w:ascii="宋体" w:hAnsi="宋体" w:eastAsia="宋体"/>
      <w:color w:val="000000"/>
      <w:kern w:val="2"/>
      <w:sz w:val="24"/>
      <w:szCs w:val="24"/>
      <w:lang w:val="en-US" w:eastAsia="zh-CN" w:bidi="ar-SA"/>
    </w:rPr>
  </w:style>
  <w:style w:type="character" w:customStyle="1" w:styleId="2458">
    <w:name w:val="链接"/>
    <w:qFormat/>
    <w:uiPriority w:val="0"/>
    <w:rPr>
      <w:rFonts w:ascii="Times New Roman" w:eastAsia="宋体"/>
      <w:color w:val="0000FF"/>
      <w:sz w:val="21"/>
      <w:u w:val="single"/>
      <w:vertAlign w:val="baseline"/>
      <w:lang w:val="en-US"/>
    </w:rPr>
  </w:style>
  <w:style w:type="paragraph" w:customStyle="1" w:styleId="2459">
    <w:name w:val="_Style 2453"/>
    <w:unhideWhenUsed/>
    <w:qFormat/>
    <w:uiPriority w:val="99"/>
    <w:rPr>
      <w:rFonts w:ascii="Times New Roman" w:hAnsi="Times New Roman" w:eastAsia="宋体" w:cs="Times New Roman"/>
      <w:kern w:val="2"/>
      <w:sz w:val="21"/>
      <w:lang w:val="en-US" w:eastAsia="zh-CN" w:bidi="ar-SA"/>
    </w:rPr>
  </w:style>
  <w:style w:type="character" w:customStyle="1" w:styleId="2460">
    <w:name w:val="报告表名 Char1"/>
    <w:link w:val="2461"/>
    <w:qFormat/>
    <w:uiPriority w:val="0"/>
    <w:rPr>
      <w:b/>
      <w:bCs/>
      <w:sz w:val="24"/>
    </w:rPr>
  </w:style>
  <w:style w:type="paragraph" w:customStyle="1" w:styleId="2461">
    <w:name w:val="报告表名"/>
    <w:basedOn w:val="1"/>
    <w:link w:val="2460"/>
    <w:qFormat/>
    <w:uiPriority w:val="0"/>
    <w:pPr>
      <w:widowControl w:val="0"/>
      <w:adjustRightInd w:val="0"/>
      <w:spacing w:before="360" w:after="60" w:line="360" w:lineRule="auto"/>
      <w:jc w:val="center"/>
      <w:textAlignment w:val="baseline"/>
    </w:pPr>
    <w:rPr>
      <w:b/>
      <w:bCs/>
      <w:kern w:val="0"/>
      <w:sz w:val="24"/>
    </w:rPr>
  </w:style>
  <w:style w:type="character" w:customStyle="1" w:styleId="2462">
    <w:name w:val="样式 标题 4标题4款标题款标题1.1.1.1PIM 4H4h4blbbTitre44th levelse... Char"/>
    <w:link w:val="2463"/>
    <w:semiHidden/>
    <w:qFormat/>
    <w:uiPriority w:val="0"/>
    <w:rPr>
      <w:rFonts w:eastAsia="黑体"/>
      <w:b/>
      <w:kern w:val="2"/>
      <w:sz w:val="24"/>
      <w:szCs w:val="24"/>
    </w:rPr>
  </w:style>
  <w:style w:type="paragraph" w:customStyle="1" w:styleId="2463">
    <w:name w:val="样式 标题 4标题4款标题款标题1.1.1.1PIM 4H4h4blbbTitre44th levelse..."/>
    <w:basedOn w:val="10"/>
    <w:link w:val="2462"/>
    <w:semiHidden/>
    <w:qFormat/>
    <w:uiPriority w:val="0"/>
    <w:pPr>
      <w:numPr>
        <w:ilvl w:val="3"/>
        <w:numId w:val="0"/>
      </w:numPr>
      <w:spacing w:before="0" w:beforeLines="50" w:after="0" w:afterLines="50" w:line="240" w:lineRule="auto"/>
    </w:pPr>
    <w:rPr>
      <w:rFonts w:ascii="Times New Roman" w:hAnsi="Times New Roman"/>
      <w:sz w:val="24"/>
      <w:szCs w:val="24"/>
    </w:rPr>
  </w:style>
  <w:style w:type="character" w:customStyle="1" w:styleId="2464">
    <w:name w:val="报告表名 Char Char"/>
    <w:link w:val="2465"/>
    <w:qFormat/>
    <w:uiPriority w:val="0"/>
    <w:rPr>
      <w:b/>
      <w:bCs/>
      <w:kern w:val="2"/>
      <w:sz w:val="24"/>
      <w:szCs w:val="24"/>
    </w:rPr>
  </w:style>
  <w:style w:type="paragraph" w:customStyle="1" w:styleId="2465">
    <w:name w:val="报告表名 Char"/>
    <w:basedOn w:val="1"/>
    <w:link w:val="2464"/>
    <w:qFormat/>
    <w:uiPriority w:val="0"/>
    <w:pPr>
      <w:widowControl w:val="0"/>
      <w:adjustRightInd w:val="0"/>
      <w:spacing w:before="360" w:after="60" w:line="360" w:lineRule="auto"/>
      <w:jc w:val="center"/>
      <w:textAlignment w:val="baseline"/>
    </w:pPr>
    <w:rPr>
      <w:b/>
      <w:bCs/>
      <w:sz w:val="24"/>
      <w:szCs w:val="24"/>
    </w:rPr>
  </w:style>
  <w:style w:type="character" w:customStyle="1" w:styleId="2466">
    <w:name w:val="暂定图表名 Char Char Char Char"/>
    <w:link w:val="2467"/>
    <w:qFormat/>
    <w:uiPriority w:val="0"/>
    <w:rPr>
      <w:rFonts w:eastAsia="楷体_GB2312"/>
      <w:b/>
      <w:color w:val="008000"/>
      <w:kern w:val="2"/>
      <w:sz w:val="28"/>
      <w:szCs w:val="28"/>
    </w:rPr>
  </w:style>
  <w:style w:type="paragraph" w:customStyle="1" w:styleId="2467">
    <w:name w:val="暂定图表名 Char Char Char"/>
    <w:basedOn w:val="1"/>
    <w:link w:val="2466"/>
    <w:qFormat/>
    <w:uiPriority w:val="0"/>
    <w:pPr>
      <w:widowControl w:val="0"/>
      <w:spacing w:line="360" w:lineRule="auto"/>
      <w:ind w:firstLine="560" w:firstLineChars="200"/>
      <w:jc w:val="both"/>
    </w:pPr>
    <w:rPr>
      <w:rFonts w:eastAsia="楷体_GB2312"/>
      <w:b/>
      <w:color w:val="008000"/>
      <w:sz w:val="28"/>
      <w:szCs w:val="28"/>
    </w:rPr>
  </w:style>
  <w:style w:type="character" w:customStyle="1" w:styleId="2468">
    <w:name w:val="样式 题注 + 楷体_GB2312 Char"/>
    <w:link w:val="2469"/>
    <w:semiHidden/>
    <w:qFormat/>
    <w:uiPriority w:val="0"/>
    <w:rPr>
      <w:rFonts w:ascii="楷体_GB2312" w:hAnsi="楷体_GB2312" w:eastAsia="黑体" w:cs="仿宋_GB2312"/>
      <w:sz w:val="21"/>
      <w:szCs w:val="21"/>
    </w:rPr>
  </w:style>
  <w:style w:type="paragraph" w:customStyle="1" w:styleId="2469">
    <w:name w:val="样式 题注 + 楷体_GB2312"/>
    <w:basedOn w:val="33"/>
    <w:link w:val="2468"/>
    <w:semiHidden/>
    <w:qFormat/>
    <w:uiPriority w:val="0"/>
    <w:pPr>
      <w:adjustRightInd/>
      <w:snapToGrid/>
      <w:spacing w:line="360" w:lineRule="auto"/>
      <w:ind w:firstLine="0" w:firstLineChars="0"/>
      <w:jc w:val="center"/>
    </w:pPr>
    <w:rPr>
      <w:rFonts w:ascii="楷体_GB2312" w:hAnsi="楷体_GB2312" w:eastAsia="黑体"/>
      <w:i w:val="0"/>
      <w:iCs w:val="0"/>
      <w:color w:val="auto"/>
      <w:kern w:val="0"/>
      <w:sz w:val="21"/>
      <w:szCs w:val="21"/>
    </w:rPr>
  </w:style>
  <w:style w:type="character" w:customStyle="1" w:styleId="2470">
    <w:name w:val="f9wen1"/>
    <w:qFormat/>
    <w:uiPriority w:val="0"/>
    <w:rPr>
      <w:spacing w:val="12"/>
      <w:sz w:val="18"/>
      <w:szCs w:val="18"/>
      <w:u w:val="none"/>
    </w:rPr>
  </w:style>
  <w:style w:type="character" w:customStyle="1" w:styleId="2471">
    <w:name w:val="样式 宋体 四号 黑色"/>
    <w:qFormat/>
    <w:uiPriority w:val="0"/>
    <w:rPr>
      <w:rFonts w:ascii="宋体" w:hAnsi="宋体" w:eastAsia="宋体"/>
      <w:color w:val="000000"/>
      <w:sz w:val="28"/>
      <w:szCs w:val="28"/>
      <w:lang w:val="en-US" w:eastAsia="en-US" w:bidi="ar-SA"/>
    </w:rPr>
  </w:style>
  <w:style w:type="character" w:customStyle="1" w:styleId="2472">
    <w:name w:val="报告正文 Char Char"/>
    <w:qFormat/>
    <w:uiPriority w:val="0"/>
    <w:rPr>
      <w:rFonts w:eastAsia="宋体" w:cs="宋体"/>
      <w:kern w:val="2"/>
      <w:sz w:val="24"/>
    </w:rPr>
  </w:style>
  <w:style w:type="character" w:customStyle="1" w:styleId="2473">
    <w:name w:val="textfont1"/>
    <w:qFormat/>
    <w:uiPriority w:val="0"/>
    <w:rPr>
      <w:rFonts w:hint="default"/>
      <w:color w:val="000000"/>
      <w:sz w:val="22"/>
      <w:szCs w:val="22"/>
    </w:rPr>
  </w:style>
  <w:style w:type="character" w:customStyle="1" w:styleId="2474">
    <w:name w:val="style71"/>
    <w:qFormat/>
    <w:uiPriority w:val="0"/>
    <w:rPr>
      <w:color w:val="0000CC"/>
    </w:rPr>
  </w:style>
  <w:style w:type="character" w:customStyle="1" w:styleId="2475">
    <w:name w:val="f10wentitle"/>
    <w:qFormat/>
    <w:uiPriority w:val="0"/>
  </w:style>
  <w:style w:type="character" w:customStyle="1" w:styleId="2476">
    <w:name w:val="样式91 Char"/>
    <w:link w:val="2477"/>
    <w:qFormat/>
    <w:uiPriority w:val="0"/>
    <w:rPr>
      <w:rFonts w:eastAsia="黑体"/>
      <w:bCs/>
      <w:color w:val="000000"/>
      <w:sz w:val="21"/>
      <w:szCs w:val="21"/>
    </w:rPr>
  </w:style>
  <w:style w:type="paragraph" w:customStyle="1" w:styleId="2477">
    <w:name w:val="样式91"/>
    <w:basedOn w:val="1"/>
    <w:link w:val="2476"/>
    <w:qFormat/>
    <w:uiPriority w:val="0"/>
    <w:pPr>
      <w:widowControl w:val="0"/>
      <w:adjustRightInd w:val="0"/>
      <w:spacing w:before="60" w:line="500" w:lineRule="exact"/>
      <w:jc w:val="center"/>
      <w:textAlignment w:val="baseline"/>
    </w:pPr>
    <w:rPr>
      <w:rFonts w:eastAsia="黑体"/>
      <w:bCs/>
      <w:color w:val="000000"/>
      <w:kern w:val="0"/>
      <w:szCs w:val="21"/>
    </w:rPr>
  </w:style>
  <w:style w:type="character" w:customStyle="1" w:styleId="2478">
    <w:name w:val="正文内容 Char"/>
    <w:link w:val="2479"/>
    <w:qFormat/>
    <w:uiPriority w:val="0"/>
    <w:rPr>
      <w:kern w:val="2"/>
      <w:sz w:val="24"/>
    </w:rPr>
  </w:style>
  <w:style w:type="paragraph" w:customStyle="1" w:styleId="2479">
    <w:name w:val="正文内容"/>
    <w:basedOn w:val="1"/>
    <w:link w:val="2478"/>
    <w:qFormat/>
    <w:uiPriority w:val="0"/>
    <w:pPr>
      <w:widowControl w:val="0"/>
      <w:spacing w:beforeLines="50" w:afterLines="50" w:line="360" w:lineRule="auto"/>
      <w:ind w:firstLine="480" w:firstLineChars="200"/>
      <w:jc w:val="both"/>
    </w:pPr>
    <w:rPr>
      <w:sz w:val="24"/>
    </w:rPr>
  </w:style>
  <w:style w:type="character" w:customStyle="1" w:styleId="2480">
    <w:name w:val="td1"/>
    <w:qFormat/>
    <w:uiPriority w:val="0"/>
    <w:rPr>
      <w:color w:val="000000"/>
      <w:sz w:val="21"/>
      <w:szCs w:val="21"/>
    </w:rPr>
  </w:style>
  <w:style w:type="character" w:customStyle="1" w:styleId="2481">
    <w:name w:val="环科院标题4 Char"/>
    <w:qFormat/>
    <w:uiPriority w:val="0"/>
    <w:rPr>
      <w:rFonts w:eastAsia="宋体"/>
      <w:kern w:val="2"/>
      <w:sz w:val="28"/>
      <w:szCs w:val="28"/>
    </w:rPr>
  </w:style>
  <w:style w:type="character" w:customStyle="1" w:styleId="2482">
    <w:name w:val="正文01 Char"/>
    <w:semiHidden/>
    <w:qFormat/>
    <w:uiPriority w:val="0"/>
    <w:rPr>
      <w:rFonts w:eastAsia="宋体"/>
      <w:kern w:val="2"/>
      <w:sz w:val="24"/>
    </w:rPr>
  </w:style>
  <w:style w:type="character" w:customStyle="1" w:styleId="2483">
    <w:name w:val="样式 样式 宋体 四号1 + 四号"/>
    <w:qFormat/>
    <w:uiPriority w:val="0"/>
    <w:rPr>
      <w:rFonts w:ascii="宋体" w:hAnsi="宋体"/>
      <w:kern w:val="0"/>
      <w:sz w:val="26"/>
    </w:rPr>
  </w:style>
  <w:style w:type="character" w:customStyle="1" w:styleId="2484">
    <w:name w:val="纯文本 Char2"/>
    <w:semiHidden/>
    <w:qFormat/>
    <w:uiPriority w:val="0"/>
    <w:rPr>
      <w:rFonts w:ascii="宋体" w:hAnsi="宋体" w:eastAsia="宋体" w:cs="宋体"/>
      <w:sz w:val="24"/>
      <w:szCs w:val="24"/>
    </w:rPr>
  </w:style>
  <w:style w:type="character" w:customStyle="1" w:styleId="2485">
    <w:name w:val="样式162 Char"/>
    <w:link w:val="2486"/>
    <w:qFormat/>
    <w:uiPriority w:val="0"/>
    <w:rPr>
      <w:sz w:val="24"/>
      <w:szCs w:val="24"/>
      <w:lang w:val="en-AU"/>
    </w:rPr>
  </w:style>
  <w:style w:type="paragraph" w:customStyle="1" w:styleId="2486">
    <w:name w:val="样式162"/>
    <w:basedOn w:val="1"/>
    <w:link w:val="2485"/>
    <w:qFormat/>
    <w:uiPriority w:val="0"/>
    <w:pPr>
      <w:widowControl w:val="0"/>
      <w:ind w:firstLine="480" w:firstLineChars="200"/>
      <w:jc w:val="both"/>
    </w:pPr>
    <w:rPr>
      <w:kern w:val="0"/>
      <w:sz w:val="24"/>
      <w:szCs w:val="24"/>
      <w:lang w:val="en-AU"/>
    </w:rPr>
  </w:style>
  <w:style w:type="character" w:customStyle="1" w:styleId="2487">
    <w:name w:val="目录 1 Char"/>
    <w:qFormat/>
    <w:uiPriority w:val="0"/>
    <w:rPr>
      <w:rFonts w:ascii="宋体" w:eastAsia="宋体"/>
      <w:b/>
      <w:sz w:val="28"/>
      <w:szCs w:val="28"/>
      <w:lang w:val="zh-CN" w:eastAsia="zh-CN" w:bidi="ar-SA"/>
    </w:rPr>
  </w:style>
  <w:style w:type="character" w:customStyle="1" w:styleId="2488">
    <w:name w:val="表格标题4 Char"/>
    <w:qFormat/>
    <w:uiPriority w:val="0"/>
    <w:rPr>
      <w:rFonts w:ascii="宋体" w:hAnsi="华文细黑" w:eastAsia="宋体"/>
      <w:b/>
      <w:spacing w:val="8"/>
      <w:sz w:val="28"/>
      <w:szCs w:val="28"/>
      <w:lang w:val="en-US" w:eastAsia="zh-CN" w:bidi="ar-SA"/>
    </w:rPr>
  </w:style>
  <w:style w:type="character" w:customStyle="1" w:styleId="2489">
    <w:name w:val="样式 正文文本缩进 2正文文本缩进 2 Char Char Char Char正文文本缩进 2 Char Char + 黑色2 Char"/>
    <w:link w:val="2490"/>
    <w:semiHidden/>
    <w:qFormat/>
    <w:uiPriority w:val="0"/>
    <w:rPr>
      <w:color w:val="000000"/>
      <w:szCs w:val="21"/>
      <w:lang w:val="zh-CN"/>
    </w:rPr>
  </w:style>
  <w:style w:type="paragraph" w:customStyle="1" w:styleId="2490">
    <w:name w:val="样式 正文文本缩进 2正文文本缩进 2 Char Char Char Char正文文本缩进 2 Char Char + 黑色2"/>
    <w:basedOn w:val="1"/>
    <w:link w:val="2489"/>
    <w:semiHidden/>
    <w:qFormat/>
    <w:uiPriority w:val="0"/>
    <w:pPr>
      <w:widowControl w:val="0"/>
      <w:adjustRightInd w:val="0"/>
      <w:spacing w:line="320" w:lineRule="exact"/>
      <w:ind w:firstLine="420"/>
      <w:jc w:val="center"/>
      <w:textAlignment w:val="baseline"/>
    </w:pPr>
    <w:rPr>
      <w:color w:val="000000"/>
      <w:kern w:val="0"/>
      <w:sz w:val="20"/>
      <w:szCs w:val="21"/>
      <w:lang w:val="zh-CN"/>
    </w:rPr>
  </w:style>
  <w:style w:type="character" w:customStyle="1" w:styleId="2491">
    <w:name w:val="biaoti1"/>
    <w:qFormat/>
    <w:uiPriority w:val="0"/>
    <w:rPr>
      <w:b/>
      <w:bCs/>
      <w:color w:val="000099"/>
      <w:sz w:val="24"/>
      <w:szCs w:val="24"/>
    </w:rPr>
  </w:style>
  <w:style w:type="character" w:customStyle="1" w:styleId="2492">
    <w:name w:val="样式 四号"/>
    <w:qFormat/>
    <w:uiPriority w:val="0"/>
    <w:rPr>
      <w:sz w:val="26"/>
    </w:rPr>
  </w:style>
  <w:style w:type="character" w:customStyle="1" w:styleId="2493">
    <w:name w:val="表中文字 Char"/>
    <w:qFormat/>
    <w:locked/>
    <w:uiPriority w:val="0"/>
    <w:rPr>
      <w:rFonts w:eastAsia="宋体"/>
      <w:kern w:val="28"/>
      <w:sz w:val="21"/>
      <w:szCs w:val="21"/>
      <w:lang w:val="en-US" w:eastAsia="zh-CN" w:bidi="ar-SA"/>
    </w:rPr>
  </w:style>
  <w:style w:type="character" w:customStyle="1" w:styleId="2494">
    <w:name w:val="暂定图表名 Char Char Char1"/>
    <w:link w:val="2495"/>
    <w:qFormat/>
    <w:uiPriority w:val="0"/>
    <w:rPr>
      <w:rFonts w:eastAsia="楷体_GB2312"/>
      <w:b/>
      <w:color w:val="008000"/>
      <w:kern w:val="2"/>
      <w:sz w:val="28"/>
      <w:szCs w:val="28"/>
    </w:rPr>
  </w:style>
  <w:style w:type="paragraph" w:customStyle="1" w:styleId="2495">
    <w:name w:val="暂定图表名 Char Char"/>
    <w:basedOn w:val="1"/>
    <w:link w:val="2494"/>
    <w:qFormat/>
    <w:uiPriority w:val="0"/>
    <w:pPr>
      <w:widowControl w:val="0"/>
      <w:spacing w:line="360" w:lineRule="auto"/>
      <w:ind w:firstLine="560" w:firstLineChars="200"/>
      <w:jc w:val="both"/>
    </w:pPr>
    <w:rPr>
      <w:rFonts w:eastAsia="楷体_GB2312"/>
      <w:b/>
      <w:color w:val="008000"/>
      <w:sz w:val="28"/>
      <w:szCs w:val="28"/>
    </w:rPr>
  </w:style>
  <w:style w:type="character" w:customStyle="1" w:styleId="2496">
    <w:name w:val="样式26 Char"/>
    <w:link w:val="2497"/>
    <w:semiHidden/>
    <w:qFormat/>
    <w:uiPriority w:val="0"/>
    <w:rPr>
      <w:color w:val="000000"/>
      <w:sz w:val="21"/>
      <w:szCs w:val="21"/>
    </w:rPr>
  </w:style>
  <w:style w:type="paragraph" w:customStyle="1" w:styleId="2497">
    <w:name w:val="样式26"/>
    <w:basedOn w:val="1"/>
    <w:link w:val="2496"/>
    <w:semiHidden/>
    <w:qFormat/>
    <w:uiPriority w:val="0"/>
    <w:pPr>
      <w:widowControl w:val="0"/>
      <w:autoSpaceDE w:val="0"/>
      <w:autoSpaceDN w:val="0"/>
      <w:adjustRightInd w:val="0"/>
      <w:snapToGrid w:val="0"/>
      <w:jc w:val="center"/>
    </w:pPr>
    <w:rPr>
      <w:color w:val="000000"/>
      <w:kern w:val="0"/>
      <w:szCs w:val="21"/>
    </w:rPr>
  </w:style>
  <w:style w:type="character" w:customStyle="1" w:styleId="2498">
    <w:name w:val="宗兴正文 Char"/>
    <w:link w:val="2499"/>
    <w:qFormat/>
    <w:uiPriority w:val="0"/>
    <w:rPr>
      <w:kern w:val="2"/>
      <w:sz w:val="24"/>
      <w:szCs w:val="24"/>
    </w:rPr>
  </w:style>
  <w:style w:type="paragraph" w:customStyle="1" w:styleId="2499">
    <w:name w:val="宗兴正文"/>
    <w:basedOn w:val="1"/>
    <w:link w:val="2498"/>
    <w:qFormat/>
    <w:uiPriority w:val="0"/>
    <w:pPr>
      <w:widowControl w:val="0"/>
      <w:spacing w:before="93" w:after="93" w:line="360" w:lineRule="auto"/>
      <w:ind w:firstLine="480" w:firstLineChars="200"/>
    </w:pPr>
    <w:rPr>
      <w:sz w:val="24"/>
      <w:szCs w:val="24"/>
    </w:rPr>
  </w:style>
  <w:style w:type="character" w:customStyle="1" w:styleId="2500">
    <w:name w:val="texttitle1"/>
    <w:qFormat/>
    <w:uiPriority w:val="0"/>
    <w:rPr>
      <w:color w:val="000000"/>
      <w:sz w:val="22"/>
      <w:szCs w:val="22"/>
    </w:rPr>
  </w:style>
  <w:style w:type="character" w:customStyle="1" w:styleId="2501">
    <w:name w:val="样式 宋体 四号2"/>
    <w:qFormat/>
    <w:uiPriority w:val="0"/>
    <w:rPr>
      <w:rFonts w:ascii="宋体" w:hAnsi="宋体"/>
      <w:sz w:val="26"/>
    </w:rPr>
  </w:style>
  <w:style w:type="character" w:customStyle="1" w:styleId="2502">
    <w:name w:val="表格标题4 Char Char Char"/>
    <w:link w:val="2503"/>
    <w:qFormat/>
    <w:uiPriority w:val="0"/>
    <w:rPr>
      <w:b/>
      <w:spacing w:val="8"/>
      <w:sz w:val="24"/>
      <w:szCs w:val="28"/>
    </w:rPr>
  </w:style>
  <w:style w:type="paragraph" w:customStyle="1" w:styleId="2503">
    <w:name w:val="表格标题4 Char Char"/>
    <w:basedOn w:val="1"/>
    <w:link w:val="2502"/>
    <w:qFormat/>
    <w:uiPriority w:val="0"/>
    <w:pPr>
      <w:autoSpaceDE w:val="0"/>
      <w:autoSpaceDN w:val="0"/>
      <w:adjustRightInd w:val="0"/>
      <w:snapToGrid w:val="0"/>
      <w:textAlignment w:val="bottom"/>
    </w:pPr>
    <w:rPr>
      <w:b/>
      <w:spacing w:val="8"/>
      <w:kern w:val="0"/>
      <w:sz w:val="24"/>
      <w:szCs w:val="28"/>
    </w:rPr>
  </w:style>
  <w:style w:type="character" w:customStyle="1" w:styleId="2504">
    <w:name w:val="样式206 Char"/>
    <w:link w:val="2505"/>
    <w:qFormat/>
    <w:uiPriority w:val="0"/>
    <w:rPr>
      <w:b/>
      <w:color w:val="000000"/>
      <w:sz w:val="21"/>
      <w:szCs w:val="21"/>
    </w:rPr>
  </w:style>
  <w:style w:type="paragraph" w:customStyle="1" w:styleId="2505">
    <w:name w:val="样式206"/>
    <w:basedOn w:val="1"/>
    <w:link w:val="2504"/>
    <w:qFormat/>
    <w:uiPriority w:val="0"/>
    <w:pPr>
      <w:widowControl w:val="0"/>
      <w:spacing w:line="520" w:lineRule="exact"/>
      <w:jc w:val="center"/>
    </w:pPr>
    <w:rPr>
      <w:b/>
      <w:color w:val="000000"/>
      <w:kern w:val="0"/>
      <w:szCs w:val="21"/>
    </w:rPr>
  </w:style>
  <w:style w:type="character" w:customStyle="1" w:styleId="2506">
    <w:name w:val="三级标题 Char Char"/>
    <w:qFormat/>
    <w:uiPriority w:val="0"/>
    <w:rPr>
      <w:rFonts w:eastAsia="宋体"/>
      <w:b/>
      <w:bCs/>
      <w:kern w:val="2"/>
      <w:sz w:val="32"/>
      <w:szCs w:val="32"/>
      <w:lang w:val="zh-CN" w:eastAsia="zh-CN" w:bidi="ar-SA"/>
    </w:rPr>
  </w:style>
  <w:style w:type="character" w:customStyle="1" w:styleId="2507">
    <w:name w:val="正文文字 Char Char"/>
    <w:qFormat/>
    <w:uiPriority w:val="0"/>
    <w:rPr>
      <w:rFonts w:eastAsia="宋体"/>
      <w:kern w:val="2"/>
      <w:sz w:val="28"/>
      <w:szCs w:val="24"/>
      <w:lang w:val="en-US" w:eastAsia="zh-CN" w:bidi="ar-SA"/>
    </w:rPr>
  </w:style>
  <w:style w:type="character" w:customStyle="1" w:styleId="2508">
    <w:name w:val="表格正文 Char1"/>
    <w:qFormat/>
    <w:uiPriority w:val="0"/>
    <w:rPr>
      <w:rFonts w:ascii="宋体" w:eastAsia="宋体"/>
      <w:snapToGrid w:val="0"/>
      <w:spacing w:val="4"/>
      <w:w w:val="90"/>
      <w:sz w:val="24"/>
      <w:szCs w:val="24"/>
      <w:lang w:val="en-US" w:eastAsia="zh-CN" w:bidi="ar-SA"/>
    </w:rPr>
  </w:style>
  <w:style w:type="character" w:customStyle="1" w:styleId="2509">
    <w:name w:val="size9"/>
    <w:qFormat/>
    <w:uiPriority w:val="0"/>
  </w:style>
  <w:style w:type="character" w:customStyle="1" w:styleId="2510">
    <w:name w:val="样式40 Char1"/>
    <w:link w:val="2511"/>
    <w:qFormat/>
    <w:uiPriority w:val="0"/>
    <w:rPr>
      <w:color w:val="000000"/>
      <w:sz w:val="21"/>
    </w:rPr>
  </w:style>
  <w:style w:type="paragraph" w:customStyle="1" w:styleId="2511">
    <w:name w:val="样式40"/>
    <w:basedOn w:val="1"/>
    <w:link w:val="2510"/>
    <w:qFormat/>
    <w:uiPriority w:val="0"/>
    <w:pPr>
      <w:widowControl w:val="0"/>
      <w:adjustRightInd w:val="0"/>
      <w:spacing w:line="320" w:lineRule="exact"/>
      <w:jc w:val="center"/>
      <w:textAlignment w:val="baseline"/>
    </w:pPr>
    <w:rPr>
      <w:color w:val="000000"/>
      <w:kern w:val="0"/>
    </w:rPr>
  </w:style>
  <w:style w:type="character" w:customStyle="1" w:styleId="2512">
    <w:name w:val="emailstyle15"/>
    <w:qFormat/>
    <w:uiPriority w:val="0"/>
    <w:rPr>
      <w:rFonts w:ascii="Arial" w:hAnsi="Arial" w:eastAsia="PMingLiU" w:cs="Arial"/>
      <w:color w:val="000000"/>
      <w:sz w:val="18"/>
    </w:rPr>
  </w:style>
  <w:style w:type="character" w:customStyle="1" w:styleId="2513">
    <w:name w:val="标准 Char"/>
    <w:qFormat/>
    <w:uiPriority w:val="0"/>
    <w:rPr>
      <w:rFonts w:eastAsia="宋体"/>
      <w:snapToGrid w:val="0"/>
      <w:sz w:val="28"/>
      <w:lang w:val="en-US" w:eastAsia="zh-CN" w:bidi="ar-SA"/>
    </w:rPr>
  </w:style>
  <w:style w:type="character" w:customStyle="1" w:styleId="2514">
    <w:name w:val="样式 宋体 黑色"/>
    <w:qFormat/>
    <w:uiPriority w:val="0"/>
    <w:rPr>
      <w:rFonts w:ascii="宋体" w:hAnsi="宋体" w:eastAsia="宋体"/>
      <w:color w:val="000000"/>
      <w:kern w:val="0"/>
      <w:sz w:val="28"/>
      <w:szCs w:val="28"/>
      <w:lang w:val="en-US" w:eastAsia="en-US" w:bidi="ar-SA"/>
    </w:rPr>
  </w:style>
  <w:style w:type="character" w:customStyle="1" w:styleId="2515">
    <w:name w:val="cityname1"/>
    <w:qFormat/>
    <w:uiPriority w:val="0"/>
    <w:rPr>
      <w:color w:val="FF0000"/>
      <w:sz w:val="32"/>
      <w:szCs w:val="32"/>
    </w:rPr>
  </w:style>
  <w:style w:type="character" w:customStyle="1" w:styleId="2516">
    <w:name w:val="样式98 Char"/>
    <w:link w:val="2517"/>
    <w:qFormat/>
    <w:uiPriority w:val="0"/>
    <w:rPr>
      <w:rFonts w:eastAsia="仿宋_GB2312"/>
      <w:bCs/>
      <w:color w:val="000000"/>
      <w:sz w:val="21"/>
      <w:szCs w:val="21"/>
    </w:rPr>
  </w:style>
  <w:style w:type="paragraph" w:customStyle="1" w:styleId="2517">
    <w:name w:val="样式98"/>
    <w:basedOn w:val="1"/>
    <w:link w:val="2516"/>
    <w:qFormat/>
    <w:uiPriority w:val="0"/>
    <w:pPr>
      <w:widowControl w:val="0"/>
      <w:adjustRightInd w:val="0"/>
      <w:spacing w:line="300" w:lineRule="exact"/>
      <w:jc w:val="center"/>
      <w:textAlignment w:val="baseline"/>
    </w:pPr>
    <w:rPr>
      <w:rFonts w:eastAsia="仿宋_GB2312"/>
      <w:bCs/>
      <w:color w:val="000000"/>
      <w:kern w:val="0"/>
      <w:szCs w:val="21"/>
    </w:rPr>
  </w:style>
  <w:style w:type="character" w:customStyle="1" w:styleId="2518">
    <w:name w:val="样式40 Char"/>
    <w:qFormat/>
    <w:uiPriority w:val="0"/>
    <w:rPr>
      <w:rFonts w:ascii="宋体" w:hAnsi="宋体" w:eastAsia="宋体"/>
      <w:b/>
      <w:color w:val="000000"/>
      <w:sz w:val="21"/>
      <w:szCs w:val="28"/>
      <w:lang w:val="en-US" w:eastAsia="zh-CN" w:bidi="ar-SA"/>
    </w:rPr>
  </w:style>
  <w:style w:type="character" w:customStyle="1" w:styleId="2519">
    <w:name w:val="小四 Char"/>
    <w:link w:val="2520"/>
    <w:qFormat/>
    <w:uiPriority w:val="0"/>
    <w:rPr>
      <w:color w:val="0000FF"/>
      <w:kern w:val="2"/>
      <w:sz w:val="24"/>
      <w:szCs w:val="24"/>
    </w:rPr>
  </w:style>
  <w:style w:type="paragraph" w:customStyle="1" w:styleId="2520">
    <w:name w:val="小四"/>
    <w:basedOn w:val="1"/>
    <w:link w:val="2519"/>
    <w:qFormat/>
    <w:uiPriority w:val="0"/>
    <w:pPr>
      <w:widowControl w:val="0"/>
      <w:spacing w:line="360" w:lineRule="auto"/>
      <w:jc w:val="both"/>
    </w:pPr>
    <w:rPr>
      <w:color w:val="0000FF"/>
      <w:sz w:val="24"/>
      <w:szCs w:val="24"/>
    </w:rPr>
  </w:style>
  <w:style w:type="character" w:customStyle="1" w:styleId="2521">
    <w:name w:val="flname7"/>
    <w:qFormat/>
    <w:uiPriority w:val="0"/>
  </w:style>
  <w:style w:type="character" w:customStyle="1" w:styleId="2522">
    <w:name w:val="(1)环科院正文 Char"/>
    <w:link w:val="2523"/>
    <w:qFormat/>
    <w:uiPriority w:val="0"/>
    <w:rPr>
      <w:rFonts w:hAnsi="宋体" w:eastAsia="宋体"/>
      <w:bCs/>
      <w:snapToGrid w:val="0"/>
      <w:color w:val="000000"/>
      <w:sz w:val="24"/>
      <w:szCs w:val="24"/>
      <w:u w:val="none" w:color="000000"/>
      <w:lang w:val="zh-CN" w:eastAsia="zh-CN" w:bidi="ar-SA"/>
    </w:rPr>
  </w:style>
  <w:style w:type="paragraph" w:customStyle="1" w:styleId="2523">
    <w:name w:val="(1)环科院正文"/>
    <w:basedOn w:val="403"/>
    <w:link w:val="2522"/>
    <w:qFormat/>
    <w:uiPriority w:val="0"/>
    <w:pPr>
      <w:widowControl w:val="0"/>
      <w:tabs>
        <w:tab w:val="left" w:pos="360"/>
      </w:tabs>
      <w:spacing w:line="360" w:lineRule="auto"/>
      <w:ind w:firstLine="0" w:firstLineChars="0"/>
      <w:jc w:val="both"/>
    </w:pPr>
    <w:rPr>
      <w:rFonts w:hAnsi="宋体"/>
      <w:bCs/>
      <w:snapToGrid/>
      <w:szCs w:val="24"/>
      <w:u w:val="none" w:color="000000"/>
      <w:lang w:val="zh-CN"/>
    </w:rPr>
  </w:style>
  <w:style w:type="character" w:customStyle="1" w:styleId="2524">
    <w:name w:val="样式208 Char"/>
    <w:link w:val="2525"/>
    <w:qFormat/>
    <w:uiPriority w:val="0"/>
    <w:rPr>
      <w:color w:val="000000"/>
      <w:sz w:val="21"/>
      <w:szCs w:val="21"/>
    </w:rPr>
  </w:style>
  <w:style w:type="paragraph" w:customStyle="1" w:styleId="2525">
    <w:name w:val="样式208"/>
    <w:basedOn w:val="2526"/>
    <w:link w:val="2524"/>
    <w:qFormat/>
    <w:uiPriority w:val="0"/>
    <w:rPr>
      <w:rFonts w:ascii="Times New Roman" w:hAnsi="Times New Roman"/>
      <w:szCs w:val="21"/>
    </w:rPr>
  </w:style>
  <w:style w:type="paragraph" w:customStyle="1" w:styleId="2526">
    <w:name w:val="样式164"/>
    <w:basedOn w:val="1"/>
    <w:qFormat/>
    <w:uiPriority w:val="0"/>
    <w:pPr>
      <w:widowControl w:val="0"/>
      <w:adjustRightInd w:val="0"/>
      <w:spacing w:line="320" w:lineRule="exact"/>
      <w:jc w:val="center"/>
      <w:textAlignment w:val="baseline"/>
    </w:pPr>
    <w:rPr>
      <w:rFonts w:ascii="Calibri" w:hAnsi="Calibri"/>
      <w:color w:val="000000"/>
      <w:kern w:val="0"/>
    </w:rPr>
  </w:style>
  <w:style w:type="character" w:customStyle="1" w:styleId="2527">
    <w:name w:val="样式 Default + (符号) 宋体 四号 行距: 1.5 倍行距 Char"/>
    <w:link w:val="2528"/>
    <w:qFormat/>
    <w:uiPriority w:val="0"/>
    <w:rPr>
      <w:rFonts w:ascii="宋体" w:hAnsi="宋体" w:cs="宋体"/>
      <w:color w:val="000000"/>
      <w:sz w:val="28"/>
    </w:rPr>
  </w:style>
  <w:style w:type="paragraph" w:customStyle="1" w:styleId="2528">
    <w:name w:val="样式 Default + (符号) 宋体 四号 行距: 1.5 倍行距"/>
    <w:basedOn w:val="1"/>
    <w:link w:val="2527"/>
    <w:qFormat/>
    <w:uiPriority w:val="0"/>
    <w:pPr>
      <w:widowControl w:val="0"/>
      <w:autoSpaceDE w:val="0"/>
      <w:autoSpaceDN w:val="0"/>
      <w:adjustRightInd w:val="0"/>
      <w:spacing w:line="360" w:lineRule="auto"/>
      <w:ind w:firstLine="560" w:firstLineChars="200"/>
    </w:pPr>
    <w:rPr>
      <w:rFonts w:ascii="宋体" w:hAnsi="宋体"/>
      <w:color w:val="000000"/>
      <w:kern w:val="0"/>
      <w:sz w:val="28"/>
    </w:rPr>
  </w:style>
  <w:style w:type="character" w:customStyle="1" w:styleId="2529">
    <w:name w:val="2级标题 Char"/>
    <w:link w:val="2530"/>
    <w:semiHidden/>
    <w:qFormat/>
    <w:uiPriority w:val="0"/>
    <w:rPr>
      <w:rFonts w:eastAsia="黑体"/>
      <w:b/>
      <w:kern w:val="2"/>
      <w:sz w:val="32"/>
      <w:szCs w:val="32"/>
    </w:rPr>
  </w:style>
  <w:style w:type="paragraph" w:customStyle="1" w:styleId="2530">
    <w:name w:val="2级标题"/>
    <w:basedOn w:val="8"/>
    <w:link w:val="2529"/>
    <w:semiHidden/>
    <w:qFormat/>
    <w:uiPriority w:val="0"/>
    <w:pPr>
      <w:widowControl w:val="0"/>
      <w:numPr>
        <w:ilvl w:val="1"/>
        <w:numId w:val="0"/>
      </w:numPr>
      <w:tabs>
        <w:tab w:val="left" w:pos="105"/>
      </w:tabs>
      <w:spacing w:before="80" w:beforeLines="50" w:after="0" w:line="360" w:lineRule="auto"/>
    </w:pPr>
    <w:rPr>
      <w:rFonts w:ascii="Times New Roman" w:hAnsi="Times New Roman"/>
      <w:szCs w:val="32"/>
    </w:rPr>
  </w:style>
  <w:style w:type="paragraph" w:customStyle="1" w:styleId="2531">
    <w:name w:val="报告表格"/>
    <w:basedOn w:val="1"/>
    <w:qFormat/>
    <w:uiPriority w:val="0"/>
    <w:pPr>
      <w:widowControl w:val="0"/>
      <w:autoSpaceDE w:val="0"/>
      <w:autoSpaceDN w:val="0"/>
      <w:adjustRightInd w:val="0"/>
      <w:spacing w:before="40" w:after="40"/>
      <w:jc w:val="center"/>
      <w:textAlignment w:val="bottom"/>
    </w:pPr>
    <w:rPr>
      <w:rFonts w:ascii="Calibri" w:hAnsi="Calibri"/>
      <w:kern w:val="0"/>
    </w:rPr>
  </w:style>
  <w:style w:type="paragraph" w:customStyle="1" w:styleId="2532">
    <w:name w:val="reader-word-layer reader-word-s1-16"/>
    <w:basedOn w:val="1"/>
    <w:qFormat/>
    <w:uiPriority w:val="0"/>
    <w:pPr>
      <w:spacing w:before="100" w:beforeAutospacing="1" w:after="100" w:afterAutospacing="1"/>
    </w:pPr>
    <w:rPr>
      <w:rFonts w:ascii="宋体" w:hAnsi="宋体" w:cs="宋体"/>
      <w:kern w:val="0"/>
      <w:sz w:val="24"/>
      <w:szCs w:val="24"/>
    </w:rPr>
  </w:style>
  <w:style w:type="paragraph" w:customStyle="1" w:styleId="2533">
    <w:name w:val="图表文字"/>
    <w:basedOn w:val="1"/>
    <w:qFormat/>
    <w:uiPriority w:val="0"/>
    <w:pPr>
      <w:widowControl w:val="0"/>
      <w:spacing w:line="300" w:lineRule="exact"/>
      <w:jc w:val="center"/>
    </w:pPr>
    <w:rPr>
      <w:rFonts w:ascii="Calibri" w:hAnsi="Calibri"/>
      <w:bCs/>
    </w:rPr>
  </w:style>
  <w:style w:type="paragraph" w:customStyle="1" w:styleId="2534">
    <w:name w:val="reader-word-layer reader-word-s1-24"/>
    <w:basedOn w:val="1"/>
    <w:qFormat/>
    <w:uiPriority w:val="0"/>
    <w:pPr>
      <w:spacing w:before="100" w:beforeAutospacing="1" w:after="100" w:afterAutospacing="1"/>
    </w:pPr>
    <w:rPr>
      <w:rFonts w:ascii="宋体" w:hAnsi="宋体" w:cs="宋体"/>
      <w:kern w:val="0"/>
      <w:sz w:val="24"/>
      <w:szCs w:val="24"/>
    </w:rPr>
  </w:style>
  <w:style w:type="paragraph" w:customStyle="1" w:styleId="2535">
    <w:name w:val="IDC A-Head (2nd Line)"/>
    <w:basedOn w:val="1"/>
    <w:next w:val="1"/>
    <w:qFormat/>
    <w:uiPriority w:val="0"/>
    <w:pPr>
      <w:jc w:val="center"/>
    </w:pPr>
    <w:rPr>
      <w:rFonts w:ascii="Calibri" w:hAnsi="Calibri"/>
      <w:caps/>
      <w:kern w:val="0"/>
      <w:sz w:val="24"/>
    </w:rPr>
  </w:style>
  <w:style w:type="paragraph" w:customStyle="1" w:styleId="2536">
    <w:name w:val="Document Map1"/>
    <w:basedOn w:val="1"/>
    <w:qFormat/>
    <w:uiPriority w:val="0"/>
    <w:pPr>
      <w:widowControl w:val="0"/>
      <w:shd w:val="clear" w:color="auto" w:fill="000080"/>
      <w:adjustRightInd w:val="0"/>
      <w:jc w:val="both"/>
      <w:textAlignment w:val="baseline"/>
    </w:pPr>
    <w:rPr>
      <w:rFonts w:ascii="宋体" w:hAnsi="Calibri"/>
      <w:kern w:val="0"/>
    </w:rPr>
  </w:style>
  <w:style w:type="paragraph" w:customStyle="1" w:styleId="2537">
    <w:name w:val="内容"/>
    <w:basedOn w:val="1"/>
    <w:qFormat/>
    <w:uiPriority w:val="0"/>
    <w:pPr>
      <w:widowControl w:val="0"/>
      <w:adjustRightInd w:val="0"/>
      <w:spacing w:after="120" w:line="360" w:lineRule="atLeast"/>
      <w:ind w:left="851" w:firstLine="200" w:firstLineChars="200"/>
      <w:jc w:val="both"/>
      <w:textAlignment w:val="baseline"/>
    </w:pPr>
    <w:rPr>
      <w:rFonts w:ascii="Calibri" w:hAnsi="Calibri"/>
      <w:kern w:val="0"/>
      <w:sz w:val="24"/>
    </w:rPr>
  </w:style>
  <w:style w:type="paragraph" w:customStyle="1" w:styleId="2538">
    <w:name w:val="reader-word-layer reader-word-s1-5 reader-word-s1-14"/>
    <w:basedOn w:val="1"/>
    <w:qFormat/>
    <w:uiPriority w:val="0"/>
    <w:pPr>
      <w:spacing w:before="100" w:beforeAutospacing="1" w:after="100" w:afterAutospacing="1"/>
    </w:pPr>
    <w:rPr>
      <w:rFonts w:ascii="宋体" w:hAnsi="宋体" w:cs="宋体"/>
      <w:kern w:val="0"/>
      <w:sz w:val="24"/>
      <w:szCs w:val="24"/>
    </w:rPr>
  </w:style>
  <w:style w:type="paragraph" w:customStyle="1" w:styleId="2539">
    <w:name w:val="样式 四号 段后: 6 磅 行距: 1.5 倍行距"/>
    <w:basedOn w:val="1"/>
    <w:qFormat/>
    <w:uiPriority w:val="0"/>
    <w:pPr>
      <w:widowControl w:val="0"/>
      <w:spacing w:after="120" w:line="360" w:lineRule="auto"/>
      <w:ind w:firstLine="560" w:firstLineChars="200"/>
      <w:jc w:val="both"/>
    </w:pPr>
    <w:rPr>
      <w:rFonts w:ascii="Calibri" w:hAnsi="Calibri" w:cs="宋体"/>
      <w:sz w:val="26"/>
    </w:rPr>
  </w:style>
  <w:style w:type="paragraph" w:customStyle="1" w:styleId="2540">
    <w:name w:val="reader-word-layer reader-word-s2-18"/>
    <w:basedOn w:val="1"/>
    <w:qFormat/>
    <w:uiPriority w:val="0"/>
    <w:pPr>
      <w:spacing w:before="100" w:beforeAutospacing="1" w:after="100" w:afterAutospacing="1"/>
    </w:pPr>
    <w:rPr>
      <w:rFonts w:ascii="宋体" w:hAnsi="宋体" w:cs="宋体"/>
      <w:kern w:val="0"/>
      <w:sz w:val="24"/>
      <w:szCs w:val="24"/>
    </w:rPr>
  </w:style>
  <w:style w:type="paragraph" w:customStyle="1" w:styleId="2541">
    <w:name w:val="edri-title secong"/>
    <w:basedOn w:val="1"/>
    <w:qFormat/>
    <w:uiPriority w:val="0"/>
    <w:pPr>
      <w:widowControl w:val="0"/>
      <w:tabs>
        <w:tab w:val="left" w:pos="2"/>
        <w:tab w:val="left" w:pos="945"/>
      </w:tabs>
      <w:spacing w:beforeLines="50" w:line="300" w:lineRule="auto"/>
      <w:ind w:left="966" w:hanging="964"/>
      <w:jc w:val="both"/>
      <w:outlineLvl w:val="1"/>
    </w:pPr>
    <w:rPr>
      <w:rFonts w:ascii="Arial Narrow" w:hAnsi="Arial Narrow" w:cs="CommercialPi BT"/>
      <w:b/>
      <w:bCs/>
      <w:kern w:val="0"/>
      <w:sz w:val="28"/>
    </w:rPr>
  </w:style>
  <w:style w:type="paragraph" w:customStyle="1" w:styleId="2542">
    <w:name w:val="样式 样式 样式 报告 + 首行缩进:  0.58 字符 Char + 黑色 首行缩进:  2 字符 段前: 0.1 行 段后:...1"/>
    <w:basedOn w:val="1"/>
    <w:qFormat/>
    <w:uiPriority w:val="0"/>
    <w:pPr>
      <w:widowControl w:val="0"/>
      <w:overflowPunct w:val="0"/>
      <w:autoSpaceDE w:val="0"/>
      <w:autoSpaceDN w:val="0"/>
      <w:adjustRightInd w:val="0"/>
      <w:spacing w:line="360" w:lineRule="auto"/>
      <w:ind w:firstLine="540" w:firstLineChars="225"/>
      <w:textAlignment w:val="baseline"/>
    </w:pPr>
    <w:rPr>
      <w:rFonts w:ascii="宋体" w:hAnsi="宋体" w:cs="Arial"/>
      <w:color w:val="000000"/>
      <w:kern w:val="0"/>
      <w:sz w:val="24"/>
      <w:szCs w:val="24"/>
    </w:rPr>
  </w:style>
  <w:style w:type="paragraph" w:customStyle="1" w:styleId="2543">
    <w:name w:val="reader-word-layer reader-word-s1-10"/>
    <w:basedOn w:val="1"/>
    <w:qFormat/>
    <w:uiPriority w:val="0"/>
    <w:pPr>
      <w:spacing w:before="100" w:beforeAutospacing="1" w:after="100" w:afterAutospacing="1"/>
    </w:pPr>
    <w:rPr>
      <w:rFonts w:ascii="宋体" w:hAnsi="宋体" w:cs="宋体"/>
      <w:kern w:val="0"/>
      <w:sz w:val="24"/>
      <w:szCs w:val="24"/>
    </w:rPr>
  </w:style>
  <w:style w:type="paragraph" w:customStyle="1" w:styleId="2544">
    <w:name w:val="reader-word-layer reader-word-s1-7"/>
    <w:basedOn w:val="1"/>
    <w:qFormat/>
    <w:uiPriority w:val="0"/>
    <w:pPr>
      <w:spacing w:before="100" w:beforeAutospacing="1" w:after="100" w:afterAutospacing="1"/>
    </w:pPr>
    <w:rPr>
      <w:rFonts w:ascii="宋体" w:hAnsi="宋体" w:cs="宋体"/>
      <w:kern w:val="0"/>
      <w:sz w:val="24"/>
      <w:szCs w:val="24"/>
    </w:rPr>
  </w:style>
  <w:style w:type="paragraph" w:customStyle="1" w:styleId="2545">
    <w:name w:val="yl2"/>
    <w:basedOn w:val="1"/>
    <w:qFormat/>
    <w:uiPriority w:val="0"/>
    <w:pPr>
      <w:widowControl w:val="0"/>
      <w:spacing w:line="440" w:lineRule="exact"/>
      <w:jc w:val="both"/>
    </w:pPr>
    <w:rPr>
      <w:rFonts w:ascii="宋体" w:hAnsi="Calibri"/>
      <w:sz w:val="28"/>
    </w:rPr>
  </w:style>
  <w:style w:type="paragraph" w:customStyle="1" w:styleId="2546">
    <w:name w:val="文章附标题"/>
    <w:basedOn w:val="1"/>
    <w:next w:val="631"/>
    <w:qFormat/>
    <w:uiPriority w:val="0"/>
    <w:pPr>
      <w:spacing w:before="187" w:after="175" w:line="374" w:lineRule="atLeast"/>
      <w:jc w:val="center"/>
      <w:textAlignment w:val="baseline"/>
    </w:pPr>
    <w:rPr>
      <w:rFonts w:ascii="Calibri" w:hAnsi="Calibri"/>
      <w:color w:val="000000"/>
      <w:kern w:val="0"/>
      <w:sz w:val="36"/>
    </w:rPr>
  </w:style>
  <w:style w:type="paragraph" w:customStyle="1" w:styleId="2547">
    <w:name w:val="目录4"/>
    <w:basedOn w:val="1"/>
    <w:next w:val="1"/>
    <w:qFormat/>
    <w:uiPriority w:val="0"/>
    <w:pPr>
      <w:tabs>
        <w:tab w:val="left" w:leader="dot" w:pos="8503"/>
      </w:tabs>
      <w:spacing w:line="317" w:lineRule="atLeast"/>
      <w:ind w:firstLine="629"/>
      <w:jc w:val="both"/>
      <w:textAlignment w:val="baseline"/>
    </w:pPr>
    <w:rPr>
      <w:rFonts w:ascii="Calibri" w:hAnsi="Calibri"/>
      <w:color w:val="000000"/>
      <w:kern w:val="0"/>
    </w:rPr>
  </w:style>
  <w:style w:type="paragraph" w:customStyle="1" w:styleId="2548">
    <w:name w:val="reader-word-layer reader-word-s2-0"/>
    <w:basedOn w:val="1"/>
    <w:qFormat/>
    <w:uiPriority w:val="0"/>
    <w:pPr>
      <w:spacing w:before="100" w:beforeAutospacing="1" w:after="100" w:afterAutospacing="1"/>
    </w:pPr>
    <w:rPr>
      <w:rFonts w:ascii="宋体" w:hAnsi="宋体" w:cs="宋体"/>
      <w:kern w:val="0"/>
      <w:sz w:val="24"/>
      <w:szCs w:val="24"/>
    </w:rPr>
  </w:style>
  <w:style w:type="paragraph" w:customStyle="1" w:styleId="2549">
    <w:name w:val="l-正文"/>
    <w:qFormat/>
    <w:uiPriority w:val="0"/>
    <w:pPr>
      <w:spacing w:before="100" w:after="100" w:line="360" w:lineRule="auto"/>
      <w:ind w:firstLine="567"/>
    </w:pPr>
    <w:rPr>
      <w:rFonts w:ascii="宋体" w:hAnsi="宋体" w:eastAsia="宋体" w:cs="Times New Roman"/>
      <w:kern w:val="2"/>
      <w:sz w:val="28"/>
      <w:lang w:val="en-US" w:eastAsia="zh-CN" w:bidi="ar-SA"/>
    </w:rPr>
  </w:style>
  <w:style w:type="paragraph" w:customStyle="1" w:styleId="2550">
    <w:name w:val="Indent1"/>
    <w:basedOn w:val="1"/>
    <w:qFormat/>
    <w:uiPriority w:val="0"/>
    <w:pPr>
      <w:widowControl w:val="0"/>
      <w:overflowPunct w:val="0"/>
      <w:autoSpaceDE w:val="0"/>
      <w:autoSpaceDN w:val="0"/>
      <w:adjustRightInd w:val="0"/>
      <w:ind w:left="1440" w:hanging="720"/>
      <w:textAlignment w:val="baseline"/>
    </w:pPr>
    <w:rPr>
      <w:rFonts w:ascii="Arial" w:hAnsi="Arial"/>
      <w:kern w:val="0"/>
      <w:sz w:val="22"/>
    </w:rPr>
  </w:style>
  <w:style w:type="paragraph" w:customStyle="1" w:styleId="2551">
    <w:name w:val="文章总标题"/>
    <w:basedOn w:val="1"/>
    <w:next w:val="2546"/>
    <w:qFormat/>
    <w:uiPriority w:val="0"/>
    <w:pPr>
      <w:spacing w:before="566" w:after="544" w:line="566" w:lineRule="atLeast"/>
      <w:jc w:val="center"/>
      <w:textAlignment w:val="baseline"/>
    </w:pPr>
    <w:rPr>
      <w:rFonts w:ascii="Arial" w:hAnsi="Calibri" w:eastAsia="黑体"/>
      <w:color w:val="000000"/>
      <w:kern w:val="0"/>
      <w:sz w:val="54"/>
    </w:rPr>
  </w:style>
  <w:style w:type="paragraph" w:customStyle="1" w:styleId="2552">
    <w:name w:val="样式 标题 2标题 2 Char + 红色"/>
    <w:basedOn w:val="8"/>
    <w:qFormat/>
    <w:uiPriority w:val="0"/>
    <w:pPr>
      <w:widowControl w:val="0"/>
      <w:spacing w:before="80" w:beforeLines="50" w:after="80" w:afterLines="50" w:line="400" w:lineRule="exact"/>
      <w:jc w:val="both"/>
    </w:pPr>
    <w:rPr>
      <w:rFonts w:ascii="宋体" w:hAnsi="宋体" w:eastAsia="宋体"/>
      <w:b w:val="0"/>
      <w:bCs/>
      <w:color w:val="000000"/>
      <w:sz w:val="28"/>
      <w:szCs w:val="28"/>
    </w:rPr>
  </w:style>
  <w:style w:type="paragraph" w:customStyle="1" w:styleId="2553">
    <w:name w:val="reader-word-layer reader-word-s2-13"/>
    <w:basedOn w:val="1"/>
    <w:qFormat/>
    <w:uiPriority w:val="0"/>
    <w:pPr>
      <w:spacing w:before="100" w:beforeAutospacing="1" w:after="100" w:afterAutospacing="1"/>
    </w:pPr>
    <w:rPr>
      <w:rFonts w:ascii="宋体" w:hAnsi="宋体" w:cs="宋体"/>
      <w:kern w:val="0"/>
      <w:sz w:val="24"/>
      <w:szCs w:val="24"/>
    </w:rPr>
  </w:style>
  <w:style w:type="paragraph" w:customStyle="1" w:styleId="2554">
    <w:name w:val="标题10"/>
    <w:basedOn w:val="1"/>
    <w:qFormat/>
    <w:uiPriority w:val="0"/>
    <w:pPr>
      <w:widowControl w:val="0"/>
      <w:spacing w:line="500" w:lineRule="exact"/>
      <w:jc w:val="both"/>
      <w:outlineLvl w:val="0"/>
    </w:pPr>
    <w:rPr>
      <w:rFonts w:ascii="Calibri" w:hAnsi="Calibri"/>
      <w:b/>
      <w:sz w:val="44"/>
      <w:szCs w:val="44"/>
    </w:rPr>
  </w:style>
  <w:style w:type="paragraph" w:customStyle="1" w:styleId="2555">
    <w:name w:val="reader-word-layer reader-word-s1-5"/>
    <w:basedOn w:val="1"/>
    <w:qFormat/>
    <w:uiPriority w:val="0"/>
    <w:pPr>
      <w:spacing w:before="100" w:beforeAutospacing="1" w:after="100" w:afterAutospacing="1"/>
    </w:pPr>
    <w:rPr>
      <w:rFonts w:ascii="宋体" w:hAnsi="宋体" w:cs="宋体"/>
      <w:kern w:val="0"/>
      <w:sz w:val="24"/>
      <w:szCs w:val="24"/>
    </w:rPr>
  </w:style>
  <w:style w:type="paragraph" w:customStyle="1" w:styleId="2556">
    <w:name w:val="样式 报告 + 首行缩进:  2 字符 段前: 0.3 行 段后: 0.3 行3"/>
    <w:basedOn w:val="780"/>
    <w:qFormat/>
    <w:uiPriority w:val="0"/>
    <w:pPr>
      <w:widowControl w:val="0"/>
      <w:spacing w:beforeLines="30" w:afterLines="30" w:line="400" w:lineRule="atLeast"/>
      <w:ind w:firstLine="0"/>
      <w:jc w:val="both"/>
    </w:pPr>
    <w:rPr>
      <w:rFonts w:ascii="Calibri" w:hAnsi="Calibri"/>
      <w:b/>
      <w:bCs/>
      <w:u w:val="single" w:color="000000"/>
    </w:rPr>
  </w:style>
  <w:style w:type="paragraph" w:customStyle="1" w:styleId="2557">
    <w:name w:val="reader-word-layer reader-word-s1-21"/>
    <w:basedOn w:val="1"/>
    <w:qFormat/>
    <w:uiPriority w:val="0"/>
    <w:pPr>
      <w:spacing w:before="100" w:beforeAutospacing="1" w:after="100" w:afterAutospacing="1"/>
    </w:pPr>
    <w:rPr>
      <w:rFonts w:ascii="宋体" w:hAnsi="宋体" w:cs="宋体"/>
      <w:kern w:val="0"/>
      <w:sz w:val="24"/>
      <w:szCs w:val="24"/>
    </w:rPr>
  </w:style>
  <w:style w:type="paragraph" w:customStyle="1" w:styleId="2558">
    <w:name w:val="edri-title third Char1"/>
    <w:basedOn w:val="1"/>
    <w:qFormat/>
    <w:uiPriority w:val="0"/>
    <w:pPr>
      <w:widowControl w:val="0"/>
      <w:tabs>
        <w:tab w:val="left" w:pos="0"/>
        <w:tab w:val="left" w:pos="945"/>
      </w:tabs>
      <w:spacing w:beforeLines="50" w:line="300" w:lineRule="auto"/>
      <w:ind w:left="964" w:hanging="964"/>
      <w:jc w:val="both"/>
      <w:outlineLvl w:val="2"/>
    </w:pPr>
    <w:rPr>
      <w:rFonts w:ascii="Calibri" w:hAnsi="Calibri" w:cs="CommercialPi BT"/>
      <w:bCs/>
      <w:kern w:val="0"/>
      <w:sz w:val="24"/>
      <w:szCs w:val="24"/>
    </w:rPr>
  </w:style>
  <w:style w:type="paragraph" w:customStyle="1" w:styleId="2559">
    <w:name w:val="k 样式1"/>
    <w:basedOn w:val="1"/>
    <w:qFormat/>
    <w:uiPriority w:val="0"/>
    <w:pPr>
      <w:widowControl w:val="0"/>
      <w:adjustRightInd w:val="0"/>
      <w:spacing w:line="360" w:lineRule="atLeast"/>
    </w:pPr>
    <w:rPr>
      <w:rFonts w:ascii="Calibri" w:hAnsi="Calibri"/>
      <w:kern w:val="0"/>
      <w:sz w:val="24"/>
    </w:rPr>
  </w:style>
  <w:style w:type="character" w:customStyle="1" w:styleId="2560">
    <w:name w:val="纯文本 Char3"/>
    <w:semiHidden/>
    <w:qFormat/>
    <w:uiPriority w:val="99"/>
    <w:rPr>
      <w:rFonts w:ascii="宋体" w:hAnsi="Courier New" w:eastAsia="宋体" w:cs="Courier New"/>
      <w:sz w:val="21"/>
      <w:szCs w:val="21"/>
    </w:rPr>
  </w:style>
  <w:style w:type="paragraph" w:customStyle="1" w:styleId="2561">
    <w:name w:val="reader-word-layer reader-word-s1-3"/>
    <w:basedOn w:val="1"/>
    <w:qFormat/>
    <w:uiPriority w:val="0"/>
    <w:pPr>
      <w:spacing w:before="100" w:beforeAutospacing="1" w:after="100" w:afterAutospacing="1"/>
    </w:pPr>
    <w:rPr>
      <w:rFonts w:ascii="宋体" w:hAnsi="宋体" w:cs="宋体"/>
      <w:kern w:val="0"/>
      <w:sz w:val="24"/>
      <w:szCs w:val="24"/>
    </w:rPr>
  </w:style>
  <w:style w:type="paragraph" w:customStyle="1" w:styleId="2562">
    <w:name w:val="报告表  段"/>
    <w:basedOn w:val="1"/>
    <w:qFormat/>
    <w:uiPriority w:val="0"/>
    <w:pPr>
      <w:widowControl w:val="0"/>
      <w:adjustRightInd w:val="0"/>
      <w:spacing w:line="360" w:lineRule="auto"/>
      <w:ind w:firstLine="505"/>
      <w:jc w:val="both"/>
      <w:textAlignment w:val="baseline"/>
    </w:pPr>
    <w:rPr>
      <w:rFonts w:ascii="宋体" w:hAnsi="Calibri"/>
      <w:kern w:val="0"/>
      <w:sz w:val="24"/>
    </w:rPr>
  </w:style>
  <w:style w:type="paragraph" w:customStyle="1" w:styleId="2563">
    <w:name w:val="正文文字"/>
    <w:basedOn w:val="1"/>
    <w:qFormat/>
    <w:uiPriority w:val="0"/>
    <w:pPr>
      <w:widowControl w:val="0"/>
      <w:adjustRightInd w:val="0"/>
      <w:spacing w:line="360" w:lineRule="auto"/>
      <w:textAlignment w:val="baseline"/>
    </w:pPr>
    <w:rPr>
      <w:rFonts w:ascii="仿宋_GB2312" w:hAnsi="Arial Black" w:eastAsia="仿宋_GB2312" w:cs="仿宋_GB2312"/>
      <w:sz w:val="28"/>
      <w:szCs w:val="28"/>
    </w:rPr>
  </w:style>
  <w:style w:type="paragraph" w:customStyle="1" w:styleId="2564">
    <w:name w:val="样式 四号 黑色 行距: 1.5 倍行距 首行缩进:  2 字符"/>
    <w:basedOn w:val="1"/>
    <w:qFormat/>
    <w:uiPriority w:val="0"/>
    <w:pPr>
      <w:widowControl w:val="0"/>
      <w:spacing w:line="360" w:lineRule="auto"/>
      <w:ind w:firstLine="560" w:firstLineChars="200"/>
      <w:jc w:val="both"/>
    </w:pPr>
    <w:rPr>
      <w:rFonts w:ascii="Calibri" w:hAnsi="Calibri" w:eastAsia="仿宋_GB2312" w:cs="宋体"/>
      <w:color w:val="000000"/>
      <w:sz w:val="28"/>
    </w:rPr>
  </w:style>
  <w:style w:type="paragraph" w:customStyle="1" w:styleId="2565">
    <w:name w:val="样式 (中文) 仿宋_GB2312 四号 行距: 1.5 倍行距"/>
    <w:basedOn w:val="1"/>
    <w:qFormat/>
    <w:uiPriority w:val="0"/>
    <w:pPr>
      <w:widowControl w:val="0"/>
      <w:spacing w:line="360" w:lineRule="auto"/>
      <w:ind w:firstLine="280" w:firstLineChars="100"/>
      <w:jc w:val="both"/>
    </w:pPr>
    <w:rPr>
      <w:rFonts w:ascii="Calibri" w:hAnsi="Calibri" w:cs="宋体"/>
      <w:sz w:val="28"/>
    </w:rPr>
  </w:style>
  <w:style w:type="paragraph" w:customStyle="1" w:styleId="2566">
    <w:name w:val="1表头格式"/>
    <w:basedOn w:val="1"/>
    <w:next w:val="1"/>
    <w:qFormat/>
    <w:uiPriority w:val="0"/>
    <w:pPr>
      <w:widowControl w:val="0"/>
      <w:spacing w:beforeLines="50" w:afterLines="50"/>
      <w:jc w:val="center"/>
    </w:pPr>
    <w:rPr>
      <w:rFonts w:ascii="Calibri" w:hAnsi="Calibri" w:eastAsia="黑体"/>
      <w:sz w:val="24"/>
      <w:szCs w:val="24"/>
    </w:rPr>
  </w:style>
  <w:style w:type="paragraph" w:customStyle="1" w:styleId="2567">
    <w:name w:val="reader-word-layer reader-word-s2-7"/>
    <w:basedOn w:val="1"/>
    <w:qFormat/>
    <w:uiPriority w:val="0"/>
    <w:pPr>
      <w:spacing w:before="100" w:beforeAutospacing="1" w:after="100" w:afterAutospacing="1"/>
    </w:pPr>
    <w:rPr>
      <w:rFonts w:ascii="宋体" w:hAnsi="宋体" w:cs="宋体"/>
      <w:kern w:val="0"/>
      <w:sz w:val="24"/>
      <w:szCs w:val="24"/>
    </w:rPr>
  </w:style>
  <w:style w:type="paragraph" w:customStyle="1" w:styleId="2568">
    <w:name w:val="样式 (中文) 仿宋_GB2312 小四 行距: 1.5 倍行距1"/>
    <w:basedOn w:val="1"/>
    <w:qFormat/>
    <w:uiPriority w:val="0"/>
    <w:pPr>
      <w:widowControl w:val="0"/>
      <w:spacing w:line="360" w:lineRule="auto"/>
      <w:ind w:firstLine="480" w:firstLineChars="200"/>
    </w:pPr>
    <w:rPr>
      <w:rFonts w:ascii="仿宋_GB2312" w:hAnsi="Calibri" w:eastAsia="仿宋_GB2312" w:cs="宋体"/>
      <w:sz w:val="24"/>
      <w:szCs w:val="24"/>
    </w:rPr>
  </w:style>
  <w:style w:type="paragraph" w:customStyle="1" w:styleId="2569">
    <w:name w:val="条目2"/>
    <w:basedOn w:val="2570"/>
    <w:qFormat/>
    <w:uiPriority w:val="0"/>
    <w:pPr>
      <w:tabs>
        <w:tab w:val="left" w:pos="420"/>
      </w:tabs>
      <w:spacing w:beforeLines="10" w:beforeAutospacing="0" w:afterLines="10" w:afterAutospacing="0" w:line="400" w:lineRule="atLeast"/>
      <w:ind w:left="0" w:leftChars="0"/>
    </w:pPr>
    <w:rPr>
      <w:rFonts w:ascii="宋体" w:hAnsi="Tms Rmn"/>
      <w:bCs/>
      <w:position w:val="-12"/>
      <w:sz w:val="21"/>
    </w:rPr>
  </w:style>
  <w:style w:type="paragraph" w:customStyle="1" w:styleId="2570">
    <w:name w:val="条目"/>
    <w:basedOn w:val="1"/>
    <w:qFormat/>
    <w:uiPriority w:val="0"/>
    <w:pPr>
      <w:widowControl w:val="0"/>
      <w:adjustRightInd w:val="0"/>
      <w:spacing w:before="100" w:beforeAutospacing="1" w:after="100" w:afterAutospacing="1" w:line="160" w:lineRule="atLeast"/>
      <w:ind w:left="400" w:leftChars="400"/>
      <w:jc w:val="both"/>
      <w:textAlignment w:val="baseline"/>
    </w:pPr>
    <w:rPr>
      <w:rFonts w:ascii="Calibri" w:hAnsi="Calibri"/>
      <w:kern w:val="0"/>
      <w:sz w:val="24"/>
    </w:rPr>
  </w:style>
  <w:style w:type="paragraph" w:customStyle="1" w:styleId="2571">
    <w:name w:val="样式 标题 1 + Times New Roman 加粗"/>
    <w:basedOn w:val="7"/>
    <w:qFormat/>
    <w:uiPriority w:val="0"/>
    <w:pPr>
      <w:keepNext w:val="0"/>
      <w:keepLines w:val="0"/>
      <w:pageBreakBefore/>
      <w:widowControl w:val="0"/>
      <w:suppressLineNumbers/>
      <w:spacing w:before="160" w:beforeLines="50" w:after="160" w:afterLines="50" w:line="240" w:lineRule="auto"/>
    </w:pPr>
    <w:rPr>
      <w:rFonts w:ascii="黑体" w:hAnsi="Calibri" w:eastAsia="黑体"/>
      <w:bCs/>
      <w:sz w:val="30"/>
      <w:szCs w:val="44"/>
    </w:rPr>
  </w:style>
  <w:style w:type="paragraph" w:customStyle="1" w:styleId="2572">
    <w:name w:val="reader-word-layer reader-word-s1-11"/>
    <w:basedOn w:val="1"/>
    <w:qFormat/>
    <w:uiPriority w:val="0"/>
    <w:pPr>
      <w:spacing w:before="100" w:beforeAutospacing="1" w:after="100" w:afterAutospacing="1"/>
    </w:pPr>
    <w:rPr>
      <w:rFonts w:ascii="宋体" w:hAnsi="宋体" w:cs="宋体"/>
      <w:kern w:val="0"/>
      <w:sz w:val="24"/>
      <w:szCs w:val="24"/>
    </w:rPr>
  </w:style>
  <w:style w:type="paragraph" w:customStyle="1" w:styleId="2573">
    <w:name w:val="body 1"/>
    <w:basedOn w:val="1"/>
    <w:qFormat/>
    <w:uiPriority w:val="0"/>
    <w:pPr>
      <w:widowControl w:val="0"/>
      <w:adjustRightInd w:val="0"/>
      <w:spacing w:line="360" w:lineRule="atLeast"/>
      <w:jc w:val="both"/>
      <w:textAlignment w:val="baseline"/>
    </w:pPr>
    <w:rPr>
      <w:rFonts w:ascii="華康中楷體" w:hAnsi="Calibri" w:eastAsia="華康中楷體"/>
      <w:spacing w:val="60"/>
      <w:kern w:val="0"/>
      <w:sz w:val="24"/>
      <w:lang w:eastAsia="zh-TW"/>
    </w:rPr>
  </w:style>
  <w:style w:type="paragraph" w:customStyle="1" w:styleId="2574">
    <w:name w:val="样式 样式 样式 宋体 四号 行距: 1.5 倍行距 + 首行缩进:  2 字符 段后: 0.5 行 + 首行缩进:  2 字符2"/>
    <w:basedOn w:val="1"/>
    <w:qFormat/>
    <w:uiPriority w:val="0"/>
    <w:pPr>
      <w:widowControl w:val="0"/>
      <w:snapToGrid w:val="0"/>
      <w:spacing w:afterLines="50" w:line="360" w:lineRule="auto"/>
      <w:ind w:firstLine="480" w:firstLineChars="200"/>
      <w:jc w:val="both"/>
    </w:pPr>
    <w:rPr>
      <w:rFonts w:ascii="宋体" w:hAnsi="宋体" w:cs="宋体"/>
      <w:sz w:val="26"/>
    </w:rPr>
  </w:style>
  <w:style w:type="paragraph" w:customStyle="1" w:styleId="2575">
    <w:name w:val="样式 (中文) 仿宋_GB2312 居中1"/>
    <w:basedOn w:val="1"/>
    <w:qFormat/>
    <w:uiPriority w:val="0"/>
    <w:pPr>
      <w:widowControl w:val="0"/>
      <w:jc w:val="center"/>
    </w:pPr>
    <w:rPr>
      <w:rFonts w:ascii="Calibri" w:hAnsi="Calibri" w:eastAsia="仿宋_GB2312" w:cs="宋体"/>
      <w:sz w:val="28"/>
    </w:rPr>
  </w:style>
  <w:style w:type="paragraph" w:customStyle="1" w:styleId="2576">
    <w:name w:val="reader-word-layer reader-word-s2-15"/>
    <w:basedOn w:val="1"/>
    <w:qFormat/>
    <w:uiPriority w:val="0"/>
    <w:pPr>
      <w:spacing w:before="100" w:beforeAutospacing="1" w:after="100" w:afterAutospacing="1"/>
    </w:pPr>
    <w:rPr>
      <w:rFonts w:ascii="宋体" w:hAnsi="宋体" w:cs="宋体"/>
      <w:kern w:val="0"/>
      <w:sz w:val="24"/>
      <w:szCs w:val="24"/>
    </w:rPr>
  </w:style>
  <w:style w:type="paragraph" w:customStyle="1" w:styleId="2577">
    <w:name w:val="样式 四号 首行缩进:  0.92 厘米 行距: 固定值 26 磅"/>
    <w:basedOn w:val="1"/>
    <w:qFormat/>
    <w:uiPriority w:val="0"/>
    <w:pPr>
      <w:widowControl w:val="0"/>
      <w:spacing w:line="520" w:lineRule="exact"/>
      <w:ind w:firstLine="480" w:firstLineChars="200"/>
      <w:jc w:val="both"/>
    </w:pPr>
    <w:rPr>
      <w:rFonts w:ascii="Calibri" w:hAnsi="Calibri"/>
      <w:color w:val="000000"/>
      <w:sz w:val="24"/>
      <w:szCs w:val="24"/>
    </w:rPr>
  </w:style>
  <w:style w:type="paragraph" w:customStyle="1" w:styleId="2578">
    <w:name w:val="样式 宋体 首行缩进:  0.74 厘米"/>
    <w:basedOn w:val="1"/>
    <w:qFormat/>
    <w:uiPriority w:val="0"/>
    <w:pPr>
      <w:widowControl w:val="0"/>
      <w:adjustRightInd w:val="0"/>
      <w:spacing w:line="360" w:lineRule="auto"/>
      <w:ind w:firstLine="420"/>
      <w:jc w:val="both"/>
    </w:pPr>
    <w:rPr>
      <w:rFonts w:ascii="宋体" w:hAnsi="宋体" w:cs="宋体"/>
      <w:sz w:val="24"/>
    </w:rPr>
  </w:style>
  <w:style w:type="paragraph" w:customStyle="1" w:styleId="2579">
    <w:name w:val="图表---"/>
    <w:basedOn w:val="1"/>
    <w:qFormat/>
    <w:uiPriority w:val="0"/>
    <w:pPr>
      <w:widowControl w:val="0"/>
      <w:snapToGrid w:val="0"/>
      <w:jc w:val="center"/>
    </w:pPr>
    <w:rPr>
      <w:rFonts w:ascii="Calibri" w:hAnsi="Calibri" w:cs="宋体"/>
      <w:b/>
      <w:bCs/>
      <w:kern w:val="0"/>
    </w:rPr>
  </w:style>
  <w:style w:type="paragraph" w:customStyle="1" w:styleId="2580">
    <w:name w:val="姜文清定义的四级标题"/>
    <w:basedOn w:val="53"/>
    <w:qFormat/>
    <w:uiPriority w:val="0"/>
    <w:pPr>
      <w:widowControl w:val="0"/>
      <w:adjustRightInd w:val="0"/>
      <w:spacing w:before="60" w:after="60" w:line="440" w:lineRule="atLeast"/>
      <w:ind w:firstLine="510"/>
      <w:jc w:val="both"/>
      <w:textAlignment w:val="baseline"/>
    </w:pPr>
    <w:rPr>
      <w:rFonts w:ascii="Times New Roman" w:hAnsi="Times New Roman" w:eastAsia="黑体"/>
      <w:kern w:val="0"/>
      <w:sz w:val="24"/>
    </w:rPr>
  </w:style>
  <w:style w:type="paragraph" w:customStyle="1" w:styleId="2581">
    <w:name w:val="样式 列表 + 加粗 首行缩进:  1 字符"/>
    <w:basedOn w:val="28"/>
    <w:qFormat/>
    <w:uiPriority w:val="0"/>
    <w:pPr>
      <w:ind w:firstLine="211" w:firstLineChars="100"/>
    </w:pPr>
    <w:rPr>
      <w:rFonts w:ascii="Calibri" w:hAnsi="Calibri"/>
      <w:bCs/>
    </w:rPr>
  </w:style>
  <w:style w:type="paragraph" w:customStyle="1" w:styleId="2582">
    <w:name w:val="zww"/>
    <w:basedOn w:val="1"/>
    <w:qFormat/>
    <w:uiPriority w:val="0"/>
    <w:pPr>
      <w:widowControl w:val="0"/>
      <w:topLinePunct/>
      <w:spacing w:line="500" w:lineRule="exact"/>
      <w:ind w:firstLine="420" w:firstLineChars="200"/>
      <w:jc w:val="both"/>
    </w:pPr>
    <w:rPr>
      <w:rFonts w:ascii="Calibri" w:hAnsi="Calibri"/>
      <w:kern w:val="0"/>
      <w:sz w:val="24"/>
      <w:szCs w:val="21"/>
    </w:rPr>
  </w:style>
  <w:style w:type="paragraph" w:customStyle="1" w:styleId="2583">
    <w:name w:val="edri-1).title"/>
    <w:basedOn w:val="2584"/>
    <w:qFormat/>
    <w:uiPriority w:val="0"/>
    <w:pPr>
      <w:tabs>
        <w:tab w:val="left" w:pos="1139"/>
        <w:tab w:val="left" w:pos="1785"/>
        <w:tab w:val="left" w:pos="2250"/>
        <w:tab w:val="left" w:pos="2520"/>
      </w:tabs>
      <w:ind w:left="2250" w:hanging="420"/>
      <w:outlineLvl w:val="4"/>
    </w:pPr>
  </w:style>
  <w:style w:type="paragraph" w:customStyle="1" w:styleId="2584">
    <w:name w:val="edri-A title Char1"/>
    <w:basedOn w:val="2558"/>
    <w:next w:val="2558"/>
    <w:qFormat/>
    <w:uiPriority w:val="0"/>
    <w:pPr>
      <w:tabs>
        <w:tab w:val="left" w:pos="1139"/>
        <w:tab w:val="clear" w:pos="0"/>
        <w:tab w:val="clear" w:pos="945"/>
      </w:tabs>
      <w:ind w:left="1139" w:hanging="419"/>
      <w:outlineLvl w:val="3"/>
    </w:pPr>
  </w:style>
  <w:style w:type="paragraph" w:customStyle="1" w:styleId="2585">
    <w:name w:val="reader-word-layer reader-word-s2-4"/>
    <w:basedOn w:val="1"/>
    <w:qFormat/>
    <w:uiPriority w:val="0"/>
    <w:pPr>
      <w:spacing w:before="100" w:beforeAutospacing="1" w:after="100" w:afterAutospacing="1"/>
    </w:pPr>
    <w:rPr>
      <w:rFonts w:ascii="宋体" w:hAnsi="宋体" w:cs="宋体"/>
      <w:kern w:val="0"/>
      <w:sz w:val="24"/>
      <w:szCs w:val="24"/>
    </w:rPr>
  </w:style>
  <w:style w:type="paragraph" w:customStyle="1" w:styleId="2586">
    <w:name w:val="样式 样式 宋体 小四 黑色 行距: 1.5 倍行距 + 首行缩进:  0.95 厘米"/>
    <w:basedOn w:val="1"/>
    <w:qFormat/>
    <w:uiPriority w:val="0"/>
    <w:pPr>
      <w:widowControl w:val="0"/>
      <w:adjustRightInd w:val="0"/>
      <w:spacing w:line="360" w:lineRule="auto"/>
      <w:ind w:firstLine="540"/>
      <w:jc w:val="both"/>
    </w:pPr>
    <w:rPr>
      <w:rFonts w:ascii="宋体" w:hAnsi="宋体" w:cs="宋体"/>
      <w:color w:val="000000"/>
      <w:sz w:val="28"/>
    </w:rPr>
  </w:style>
  <w:style w:type="paragraph" w:customStyle="1" w:styleId="2587">
    <w:name w:val="正文标准样式"/>
    <w:basedOn w:val="1"/>
    <w:qFormat/>
    <w:uiPriority w:val="0"/>
    <w:pPr>
      <w:widowControl w:val="0"/>
      <w:adjustRightInd w:val="0"/>
      <w:spacing w:line="300" w:lineRule="auto"/>
      <w:ind w:firstLine="482"/>
      <w:jc w:val="both"/>
      <w:textAlignment w:val="baseline"/>
    </w:pPr>
    <w:rPr>
      <w:rFonts w:ascii="Calibri" w:hAnsi="Calibri"/>
      <w:kern w:val="0"/>
      <w:sz w:val="24"/>
    </w:rPr>
  </w:style>
  <w:style w:type="paragraph" w:customStyle="1" w:styleId="2588">
    <w:name w:val="样式 宋体 左侧:  0 厘米 悬挂缩进: 3 字符"/>
    <w:basedOn w:val="1"/>
    <w:qFormat/>
    <w:uiPriority w:val="0"/>
    <w:pPr>
      <w:widowControl w:val="0"/>
      <w:spacing w:line="360" w:lineRule="auto"/>
      <w:ind w:left="720" w:hanging="720" w:hangingChars="300"/>
      <w:jc w:val="both"/>
    </w:pPr>
    <w:rPr>
      <w:rFonts w:ascii="宋体" w:hAnsi="宋体" w:cs="宋体"/>
      <w:sz w:val="28"/>
    </w:rPr>
  </w:style>
  <w:style w:type="paragraph" w:customStyle="1" w:styleId="2589">
    <w:name w:val="t1"/>
    <w:basedOn w:val="1"/>
    <w:qFormat/>
    <w:uiPriority w:val="0"/>
    <w:pPr>
      <w:spacing w:before="100" w:beforeAutospacing="1" w:after="100" w:afterAutospacing="1" w:line="360" w:lineRule="auto"/>
    </w:pPr>
    <w:rPr>
      <w:rFonts w:ascii="宋体" w:hAnsi="宋体"/>
      <w:kern w:val="0"/>
      <w:szCs w:val="21"/>
    </w:rPr>
  </w:style>
  <w:style w:type="paragraph" w:customStyle="1" w:styleId="2590">
    <w:name w:val="样式 居中"/>
    <w:basedOn w:val="1"/>
    <w:qFormat/>
    <w:uiPriority w:val="0"/>
    <w:pPr>
      <w:keepNext/>
      <w:keepLines/>
      <w:widowControl w:val="0"/>
      <w:spacing w:line="360" w:lineRule="auto"/>
      <w:jc w:val="center"/>
    </w:pPr>
    <w:rPr>
      <w:rFonts w:ascii="黑体" w:hAnsi="Calibri"/>
      <w:b/>
      <w:color w:val="000000"/>
      <w:sz w:val="24"/>
    </w:rPr>
  </w:style>
  <w:style w:type="paragraph" w:customStyle="1" w:styleId="2591">
    <w:name w:val="字元"/>
    <w:basedOn w:val="1"/>
    <w:qFormat/>
    <w:uiPriority w:val="0"/>
    <w:pPr>
      <w:widowControl w:val="0"/>
      <w:adjustRightInd w:val="0"/>
      <w:spacing w:line="360" w:lineRule="atLeast"/>
      <w:jc w:val="both"/>
      <w:textAlignment w:val="baseline"/>
    </w:pPr>
    <w:rPr>
      <w:rFonts w:ascii="Calibri" w:hAnsi="Calibri"/>
      <w:szCs w:val="24"/>
    </w:rPr>
  </w:style>
  <w:style w:type="paragraph" w:customStyle="1" w:styleId="2592">
    <w:name w:val="edri-title first"/>
    <w:basedOn w:val="1"/>
    <w:qFormat/>
    <w:uiPriority w:val="0"/>
    <w:pPr>
      <w:widowControl w:val="0"/>
      <w:tabs>
        <w:tab w:val="left" w:pos="2"/>
        <w:tab w:val="left" w:pos="945"/>
      </w:tabs>
      <w:spacing w:beforeLines="50" w:line="300" w:lineRule="auto"/>
      <w:ind w:left="966" w:hanging="964"/>
      <w:jc w:val="both"/>
      <w:outlineLvl w:val="0"/>
    </w:pPr>
    <w:rPr>
      <w:rFonts w:ascii="Arial Narrow" w:hAnsi="Arial Narrow" w:cs="CommercialPi BT"/>
      <w:b/>
      <w:bCs/>
      <w:kern w:val="0"/>
      <w:sz w:val="30"/>
    </w:rPr>
  </w:style>
  <w:style w:type="paragraph" w:customStyle="1" w:styleId="2593">
    <w:name w:val="很复杂的表"/>
    <w:basedOn w:val="1"/>
    <w:qFormat/>
    <w:uiPriority w:val="0"/>
    <w:pPr>
      <w:widowControl w:val="0"/>
      <w:spacing w:line="340" w:lineRule="atLeast"/>
      <w:jc w:val="center"/>
    </w:pPr>
    <w:rPr>
      <w:rFonts w:ascii="Calibri" w:hAnsi="Calibri"/>
      <w:sz w:val="18"/>
      <w:szCs w:val="24"/>
    </w:rPr>
  </w:style>
  <w:style w:type="paragraph" w:customStyle="1" w:styleId="2594">
    <w:name w:val="05"/>
    <w:basedOn w:val="1"/>
    <w:qFormat/>
    <w:uiPriority w:val="0"/>
    <w:pPr>
      <w:spacing w:before="100" w:beforeAutospacing="1" w:after="100" w:afterAutospacing="1"/>
    </w:pPr>
    <w:rPr>
      <w:rFonts w:ascii="宋体" w:hAnsi="宋体"/>
      <w:color w:val="000000"/>
      <w:kern w:val="0"/>
      <w:sz w:val="24"/>
      <w:szCs w:val="24"/>
    </w:rPr>
  </w:style>
  <w:style w:type="paragraph" w:customStyle="1" w:styleId="2595">
    <w:name w:val="表格第一行"/>
    <w:basedOn w:val="1"/>
    <w:qFormat/>
    <w:uiPriority w:val="0"/>
    <w:pPr>
      <w:widowControl w:val="0"/>
      <w:adjustRightInd w:val="0"/>
      <w:jc w:val="center"/>
      <w:textAlignment w:val="baseline"/>
    </w:pPr>
    <w:rPr>
      <w:rFonts w:ascii="Calibri" w:hAnsi="Calibri" w:eastAsia="仿宋_GB2312"/>
      <w:kern w:val="0"/>
      <w:szCs w:val="21"/>
    </w:rPr>
  </w:style>
  <w:style w:type="paragraph" w:customStyle="1" w:styleId="2596">
    <w:name w:val="hao01-0"/>
    <w:qFormat/>
    <w:uiPriority w:val="0"/>
    <w:pPr>
      <w:ind w:firstLine="200" w:firstLineChars="200"/>
    </w:pPr>
    <w:rPr>
      <w:rFonts w:ascii="Calibri" w:hAnsi="Calibri" w:eastAsia="宋体" w:cs="Times New Roman"/>
      <w:kern w:val="2"/>
      <w:sz w:val="24"/>
      <w:lang w:val="en-US" w:eastAsia="zh-CN" w:bidi="ar-SA"/>
    </w:rPr>
  </w:style>
  <w:style w:type="paragraph" w:customStyle="1" w:styleId="2597">
    <w:name w:val="reader-word-layer reader-word-s1-13"/>
    <w:basedOn w:val="1"/>
    <w:qFormat/>
    <w:uiPriority w:val="0"/>
    <w:pPr>
      <w:spacing w:before="100" w:beforeAutospacing="1" w:after="100" w:afterAutospacing="1"/>
    </w:pPr>
    <w:rPr>
      <w:rFonts w:ascii="宋体" w:hAnsi="宋体" w:cs="宋体"/>
      <w:kern w:val="0"/>
      <w:sz w:val="24"/>
      <w:szCs w:val="24"/>
    </w:rPr>
  </w:style>
  <w:style w:type="paragraph" w:customStyle="1" w:styleId="2598">
    <w:name w:val="样式 文章1 + 首行缩进:  6 字符1"/>
    <w:basedOn w:val="1"/>
    <w:qFormat/>
    <w:uiPriority w:val="0"/>
    <w:pPr>
      <w:widowControl w:val="0"/>
      <w:spacing w:line="600" w:lineRule="exact"/>
      <w:ind w:firstLine="200" w:firstLineChars="200"/>
      <w:jc w:val="both"/>
    </w:pPr>
    <w:rPr>
      <w:rFonts w:ascii="Calibri" w:hAnsi="Calibri"/>
      <w:sz w:val="28"/>
    </w:rPr>
  </w:style>
  <w:style w:type="paragraph" w:customStyle="1" w:styleId="2599">
    <w:name w:val="表格01"/>
    <w:basedOn w:val="1"/>
    <w:qFormat/>
    <w:uiPriority w:val="0"/>
    <w:pPr>
      <w:widowControl w:val="0"/>
      <w:spacing w:before="100" w:line="240" w:lineRule="atLeast"/>
      <w:jc w:val="both"/>
    </w:pPr>
    <w:rPr>
      <w:rFonts w:ascii="Calibri" w:hAnsi="Calibri"/>
      <w:sz w:val="24"/>
    </w:rPr>
  </w:style>
  <w:style w:type="paragraph" w:customStyle="1" w:styleId="2600">
    <w:name w:val="报告1"/>
    <w:basedOn w:val="780"/>
    <w:qFormat/>
    <w:uiPriority w:val="0"/>
    <w:pPr>
      <w:widowControl w:val="0"/>
      <w:adjustRightInd w:val="0"/>
      <w:spacing w:line="240" w:lineRule="auto"/>
      <w:ind w:right="240" w:firstLine="505" w:firstLineChars="150"/>
      <w:jc w:val="both"/>
      <w:textAlignment w:val="center"/>
    </w:pPr>
    <w:rPr>
      <w:rFonts w:ascii="TimesNewRoman" w:hAnsi="TimesNewRoman"/>
      <w:kern w:val="24"/>
      <w:szCs w:val="20"/>
    </w:rPr>
  </w:style>
  <w:style w:type="paragraph" w:customStyle="1" w:styleId="2601">
    <w:name w:val="正文英"/>
    <w:basedOn w:val="1"/>
    <w:qFormat/>
    <w:uiPriority w:val="0"/>
    <w:pPr>
      <w:widowControl w:val="0"/>
      <w:autoSpaceDE w:val="0"/>
      <w:autoSpaceDN w:val="0"/>
      <w:adjustRightInd w:val="0"/>
      <w:spacing w:line="300" w:lineRule="auto"/>
      <w:jc w:val="both"/>
      <w:textAlignment w:val="baseline"/>
    </w:pPr>
    <w:rPr>
      <w:rFonts w:ascii="Calibri" w:hAnsi="Calibri"/>
      <w:kern w:val="0"/>
      <w:sz w:val="28"/>
    </w:rPr>
  </w:style>
  <w:style w:type="paragraph" w:customStyle="1" w:styleId="2602">
    <w:name w:val="reader-word-layer reader-word-s2-5"/>
    <w:basedOn w:val="1"/>
    <w:qFormat/>
    <w:uiPriority w:val="0"/>
    <w:pPr>
      <w:spacing w:before="100" w:beforeAutospacing="1" w:after="100" w:afterAutospacing="1"/>
    </w:pPr>
    <w:rPr>
      <w:rFonts w:ascii="宋体" w:hAnsi="宋体" w:cs="宋体"/>
      <w:kern w:val="0"/>
      <w:sz w:val="24"/>
      <w:szCs w:val="24"/>
    </w:rPr>
  </w:style>
  <w:style w:type="paragraph" w:customStyle="1" w:styleId="2603">
    <w:name w:val="reader-word-layer reader-word-s1-17"/>
    <w:basedOn w:val="1"/>
    <w:qFormat/>
    <w:uiPriority w:val="0"/>
    <w:pPr>
      <w:spacing w:before="100" w:beforeAutospacing="1" w:after="100" w:afterAutospacing="1"/>
    </w:pPr>
    <w:rPr>
      <w:rFonts w:ascii="宋体" w:hAnsi="宋体" w:cs="宋体"/>
      <w:kern w:val="0"/>
      <w:sz w:val="24"/>
      <w:szCs w:val="24"/>
    </w:rPr>
  </w:style>
  <w:style w:type="paragraph" w:customStyle="1" w:styleId="2604">
    <w:name w:val="reader-word-layer reader-word-s2-16"/>
    <w:basedOn w:val="1"/>
    <w:qFormat/>
    <w:uiPriority w:val="0"/>
    <w:pPr>
      <w:spacing w:before="100" w:beforeAutospacing="1" w:after="100" w:afterAutospacing="1"/>
    </w:pPr>
    <w:rPr>
      <w:rFonts w:ascii="宋体" w:hAnsi="宋体" w:cs="宋体"/>
      <w:kern w:val="0"/>
      <w:sz w:val="24"/>
      <w:szCs w:val="24"/>
    </w:rPr>
  </w:style>
  <w:style w:type="paragraph" w:customStyle="1" w:styleId="2605">
    <w:name w:val="reader-word-layer reader-word-s1-18"/>
    <w:basedOn w:val="1"/>
    <w:qFormat/>
    <w:uiPriority w:val="0"/>
    <w:pPr>
      <w:spacing w:before="100" w:beforeAutospacing="1" w:after="100" w:afterAutospacing="1"/>
    </w:pPr>
    <w:rPr>
      <w:rFonts w:ascii="宋体" w:hAnsi="宋体" w:cs="宋体"/>
      <w:kern w:val="0"/>
      <w:sz w:val="24"/>
      <w:szCs w:val="24"/>
    </w:rPr>
  </w:style>
  <w:style w:type="paragraph" w:customStyle="1" w:styleId="2606">
    <w:name w:val="样式 首行缩进:  1.92 字符"/>
    <w:basedOn w:val="1"/>
    <w:qFormat/>
    <w:uiPriority w:val="0"/>
    <w:pPr>
      <w:widowControl w:val="0"/>
      <w:spacing w:line="360" w:lineRule="auto"/>
      <w:ind w:left="11" w:firstLine="540" w:firstLineChars="225"/>
      <w:jc w:val="both"/>
    </w:pPr>
    <w:rPr>
      <w:rFonts w:ascii="仿宋_GB2312" w:hAnsi="华文楷体" w:eastAsia="仿宋_GB2312" w:cs="宋体"/>
      <w:sz w:val="24"/>
    </w:rPr>
  </w:style>
  <w:style w:type="paragraph" w:customStyle="1" w:styleId="2607">
    <w:name w:val="reader-word-layer reader-word-s1-19"/>
    <w:basedOn w:val="1"/>
    <w:qFormat/>
    <w:uiPriority w:val="0"/>
    <w:pPr>
      <w:spacing w:before="100" w:beforeAutospacing="1" w:after="100" w:afterAutospacing="1"/>
    </w:pPr>
    <w:rPr>
      <w:rFonts w:ascii="宋体" w:hAnsi="宋体" w:cs="宋体"/>
      <w:kern w:val="0"/>
      <w:sz w:val="24"/>
      <w:szCs w:val="24"/>
    </w:rPr>
  </w:style>
  <w:style w:type="paragraph" w:customStyle="1" w:styleId="2608">
    <w:name w:val="表、图名"/>
    <w:basedOn w:val="1"/>
    <w:qFormat/>
    <w:uiPriority w:val="0"/>
    <w:pPr>
      <w:widowControl w:val="0"/>
      <w:adjustRightInd w:val="0"/>
      <w:snapToGrid w:val="0"/>
      <w:spacing w:line="360" w:lineRule="auto"/>
      <w:jc w:val="center"/>
    </w:pPr>
    <w:rPr>
      <w:rFonts w:ascii="Calibri" w:hAnsi="宋体"/>
      <w:color w:val="000000"/>
      <w:kern w:val="0"/>
      <w:sz w:val="24"/>
      <w:szCs w:val="24"/>
    </w:rPr>
  </w:style>
  <w:style w:type="paragraph" w:customStyle="1" w:styleId="2609">
    <w:name w:val="正文 t"/>
    <w:basedOn w:val="1"/>
    <w:qFormat/>
    <w:uiPriority w:val="0"/>
    <w:pPr>
      <w:widowControl w:val="0"/>
      <w:spacing w:before="120" w:after="120" w:line="240" w:lineRule="atLeast"/>
      <w:jc w:val="both"/>
    </w:pPr>
    <w:rPr>
      <w:rFonts w:ascii="Arial" w:hAnsi="Arial"/>
      <w:sz w:val="24"/>
    </w:rPr>
  </w:style>
  <w:style w:type="paragraph" w:customStyle="1" w:styleId="2610">
    <w:name w:val="樣式 左:  0 cm 凸出:  1 字元"/>
    <w:basedOn w:val="1"/>
    <w:qFormat/>
    <w:uiPriority w:val="0"/>
    <w:pPr>
      <w:widowControl w:val="0"/>
      <w:ind w:left="240" w:hanging="240" w:hangingChars="100"/>
    </w:pPr>
    <w:rPr>
      <w:rFonts w:ascii="Calibri" w:hAnsi="Calibri" w:eastAsia="PMingLiU" w:cs="PMingLiU"/>
      <w:sz w:val="24"/>
      <w:lang w:eastAsia="zh-TW"/>
    </w:rPr>
  </w:style>
  <w:style w:type="paragraph" w:customStyle="1" w:styleId="2611">
    <w:name w:val="小標"/>
    <w:basedOn w:val="1"/>
    <w:qFormat/>
    <w:uiPriority w:val="0"/>
    <w:pPr>
      <w:widowControl w:val="0"/>
      <w:tabs>
        <w:tab w:val="right" w:pos="4176"/>
        <w:tab w:val="right" w:pos="6960"/>
      </w:tabs>
      <w:wordWrap w:val="0"/>
      <w:adjustRightInd w:val="0"/>
      <w:snapToGrid w:val="0"/>
      <w:spacing w:after="200" w:line="432" w:lineRule="exact"/>
      <w:jc w:val="both"/>
      <w:textAlignment w:val="baseline"/>
    </w:pPr>
    <w:rPr>
      <w:rFonts w:ascii="Arial" w:hAnsi="Arial" w:eastAsia="華康粗黑體"/>
      <w:sz w:val="24"/>
      <w:lang w:eastAsia="zh-TW"/>
    </w:rPr>
  </w:style>
  <w:style w:type="paragraph" w:customStyle="1" w:styleId="2612">
    <w:name w:val="样式 Arial 小四"/>
    <w:basedOn w:val="1"/>
    <w:qFormat/>
    <w:uiPriority w:val="0"/>
    <w:pPr>
      <w:widowControl w:val="0"/>
      <w:spacing w:afterLines="50" w:line="400" w:lineRule="atLeast"/>
      <w:ind w:firstLine="200" w:firstLineChars="200"/>
      <w:jc w:val="both"/>
    </w:pPr>
    <w:rPr>
      <w:rFonts w:ascii="Arial" w:hAnsi="Calibri" w:cs="宋体"/>
      <w:sz w:val="24"/>
    </w:rPr>
  </w:style>
  <w:style w:type="paragraph" w:customStyle="1" w:styleId="2613">
    <w:name w:val="reader-word-layer reader-word-s2-17"/>
    <w:basedOn w:val="1"/>
    <w:qFormat/>
    <w:uiPriority w:val="0"/>
    <w:pPr>
      <w:spacing w:before="100" w:beforeAutospacing="1" w:after="100" w:afterAutospacing="1"/>
    </w:pPr>
    <w:rPr>
      <w:rFonts w:ascii="宋体" w:hAnsi="宋体" w:cs="宋体"/>
      <w:kern w:val="0"/>
      <w:sz w:val="24"/>
      <w:szCs w:val="24"/>
    </w:rPr>
  </w:style>
  <w:style w:type="paragraph" w:customStyle="1" w:styleId="2614">
    <w:name w:val="reader-word-layer reader-word-s2-6"/>
    <w:basedOn w:val="1"/>
    <w:qFormat/>
    <w:uiPriority w:val="0"/>
    <w:pPr>
      <w:spacing w:before="100" w:beforeAutospacing="1" w:after="100" w:afterAutospacing="1"/>
    </w:pPr>
    <w:rPr>
      <w:rFonts w:ascii="宋体" w:hAnsi="宋体" w:cs="宋体"/>
      <w:kern w:val="0"/>
      <w:sz w:val="24"/>
      <w:szCs w:val="24"/>
    </w:rPr>
  </w:style>
  <w:style w:type="paragraph" w:customStyle="1" w:styleId="2615">
    <w:name w:val="tab1"/>
    <w:basedOn w:val="1"/>
    <w:qFormat/>
    <w:uiPriority w:val="0"/>
    <w:pPr>
      <w:widowControl w:val="0"/>
      <w:spacing w:line="400" w:lineRule="atLeast"/>
      <w:jc w:val="center"/>
    </w:pPr>
    <w:rPr>
      <w:rFonts w:ascii="Calibri" w:hAnsi="Calibri"/>
      <w:sz w:val="24"/>
      <w:szCs w:val="24"/>
    </w:rPr>
  </w:style>
  <w:style w:type="paragraph" w:customStyle="1" w:styleId="2616">
    <w:name w:val="reader-word-layer reader-word-s2-9"/>
    <w:basedOn w:val="1"/>
    <w:qFormat/>
    <w:uiPriority w:val="0"/>
    <w:pPr>
      <w:spacing w:before="100" w:beforeAutospacing="1" w:after="100" w:afterAutospacing="1"/>
    </w:pPr>
    <w:rPr>
      <w:rFonts w:ascii="宋体" w:hAnsi="宋体" w:cs="宋体"/>
      <w:kern w:val="0"/>
      <w:sz w:val="24"/>
      <w:szCs w:val="24"/>
    </w:rPr>
  </w:style>
  <w:style w:type="paragraph" w:customStyle="1" w:styleId="2617">
    <w:name w:val="c"/>
    <w:qFormat/>
    <w:uiPriority w:val="0"/>
    <w:pPr>
      <w:widowControl w:val="0"/>
      <w:autoSpaceDE w:val="0"/>
      <w:autoSpaceDN w:val="0"/>
      <w:adjustRightInd w:val="0"/>
      <w:jc w:val="both"/>
    </w:pPr>
    <w:rPr>
      <w:rFonts w:ascii="Arial" w:hAnsi="Arial" w:eastAsia="宋体" w:cs="Times New Roman"/>
      <w:szCs w:val="24"/>
      <w:lang w:val="en-US" w:eastAsia="zh-CN" w:bidi="ar-SA"/>
    </w:rPr>
  </w:style>
  <w:style w:type="paragraph" w:customStyle="1" w:styleId="2618">
    <w:name w:val="reader-word-layer reader-word-s1-14"/>
    <w:basedOn w:val="1"/>
    <w:qFormat/>
    <w:uiPriority w:val="0"/>
    <w:pPr>
      <w:spacing w:before="100" w:beforeAutospacing="1" w:after="100" w:afterAutospacing="1"/>
    </w:pPr>
    <w:rPr>
      <w:rFonts w:ascii="宋体" w:hAnsi="宋体" w:cs="宋体"/>
      <w:kern w:val="0"/>
      <w:sz w:val="24"/>
      <w:szCs w:val="24"/>
    </w:rPr>
  </w:style>
  <w:style w:type="paragraph" w:customStyle="1" w:styleId="2619">
    <w:name w:val="样式 标题 3 + 左侧:  0 厘米 首行缩进:  0 字符"/>
    <w:basedOn w:val="9"/>
    <w:qFormat/>
    <w:uiPriority w:val="0"/>
    <w:pPr>
      <w:widowControl w:val="0"/>
      <w:numPr>
        <w:ilvl w:val="2"/>
        <w:numId w:val="0"/>
      </w:numPr>
      <w:spacing w:line="416" w:lineRule="auto"/>
      <w:jc w:val="both"/>
    </w:pPr>
    <w:rPr>
      <w:rFonts w:ascii="Calibri" w:hAnsi="Calibri"/>
      <w:bCs/>
      <w:sz w:val="28"/>
    </w:rPr>
  </w:style>
  <w:style w:type="paragraph" w:customStyle="1" w:styleId="2620">
    <w:name w:val="样式 样式 正文 1 + 首行缩进:  2 字符 + 首行缩进:  2 字符"/>
    <w:basedOn w:val="1"/>
    <w:qFormat/>
    <w:uiPriority w:val="0"/>
    <w:pPr>
      <w:widowControl w:val="0"/>
      <w:adjustRightInd w:val="0"/>
      <w:spacing w:line="540" w:lineRule="exact"/>
      <w:ind w:firstLine="200" w:firstLineChars="200"/>
      <w:jc w:val="both"/>
      <w:textAlignment w:val="baseline"/>
    </w:pPr>
    <w:rPr>
      <w:rFonts w:ascii="Calibri" w:hAnsi="Calibri" w:cs="宋体"/>
      <w:sz w:val="28"/>
    </w:rPr>
  </w:style>
  <w:style w:type="paragraph" w:customStyle="1" w:styleId="2621">
    <w:name w:val="reader-word-layer reader-word-s1-23"/>
    <w:basedOn w:val="1"/>
    <w:qFormat/>
    <w:uiPriority w:val="0"/>
    <w:pPr>
      <w:spacing w:before="100" w:beforeAutospacing="1" w:after="100" w:afterAutospacing="1"/>
    </w:pPr>
    <w:rPr>
      <w:rFonts w:ascii="宋体" w:hAnsi="宋体" w:cs="宋体"/>
      <w:kern w:val="0"/>
      <w:sz w:val="24"/>
      <w:szCs w:val="24"/>
    </w:rPr>
  </w:style>
  <w:style w:type="paragraph" w:customStyle="1" w:styleId="2622">
    <w:name w:val="样式 文章1 + 首行缩进:  6 字符"/>
    <w:basedOn w:val="1"/>
    <w:qFormat/>
    <w:uiPriority w:val="0"/>
    <w:pPr>
      <w:widowControl w:val="0"/>
      <w:spacing w:line="600" w:lineRule="exact"/>
      <w:ind w:firstLine="200" w:firstLineChars="200"/>
      <w:jc w:val="both"/>
    </w:pPr>
    <w:rPr>
      <w:rFonts w:ascii="Calibri" w:hAnsi="Calibri"/>
      <w:sz w:val="28"/>
    </w:rPr>
  </w:style>
  <w:style w:type="paragraph" w:customStyle="1" w:styleId="2623">
    <w:name w:val="样式 列表 + 首行缩进:  0.74 厘米"/>
    <w:basedOn w:val="28"/>
    <w:qFormat/>
    <w:uiPriority w:val="0"/>
    <w:pPr>
      <w:widowControl w:val="0"/>
      <w:adjustRightInd w:val="0"/>
      <w:snapToGrid w:val="0"/>
      <w:ind w:left="0" w:firstLine="0" w:firstLineChars="0"/>
      <w:jc w:val="both"/>
    </w:pPr>
    <w:rPr>
      <w:rFonts w:ascii="Calibri" w:hAnsi="Calibri"/>
    </w:rPr>
  </w:style>
  <w:style w:type="paragraph" w:customStyle="1" w:styleId="2624">
    <w:name w:val="小标题2"/>
    <w:basedOn w:val="19"/>
    <w:qFormat/>
    <w:uiPriority w:val="0"/>
    <w:pPr>
      <w:widowControl w:val="0"/>
      <w:tabs>
        <w:tab w:val="clear" w:pos="780"/>
        <w:tab w:val="clear" w:pos="900"/>
      </w:tabs>
      <w:adjustRightInd w:val="0"/>
      <w:snapToGrid w:val="0"/>
      <w:spacing w:before="20" w:after="20" w:line="200" w:lineRule="atLeast"/>
      <w:ind w:left="840" w:leftChars="400" w:firstLine="0"/>
      <w:textAlignment w:val="baseline"/>
    </w:pPr>
    <w:rPr>
      <w:rFonts w:ascii="宋体" w:hAnsi="Calibri"/>
      <w:b/>
      <w:sz w:val="24"/>
      <w:szCs w:val="20"/>
      <w:u w:val="single"/>
    </w:rPr>
  </w:style>
  <w:style w:type="paragraph" w:customStyle="1" w:styleId="2625">
    <w:name w:val="目录2"/>
    <w:basedOn w:val="1"/>
    <w:next w:val="1"/>
    <w:qFormat/>
    <w:uiPriority w:val="0"/>
    <w:pPr>
      <w:tabs>
        <w:tab w:val="left" w:leader="dot" w:pos="8503"/>
      </w:tabs>
      <w:spacing w:line="317" w:lineRule="atLeast"/>
      <w:ind w:firstLine="209"/>
      <w:jc w:val="both"/>
      <w:textAlignment w:val="baseline"/>
    </w:pPr>
    <w:rPr>
      <w:rFonts w:ascii="Calibri" w:hAnsi="Calibri"/>
      <w:color w:val="000000"/>
      <w:kern w:val="0"/>
    </w:rPr>
  </w:style>
  <w:style w:type="paragraph" w:customStyle="1" w:styleId="2626">
    <w:name w:val="表格头1"/>
    <w:basedOn w:val="1"/>
    <w:qFormat/>
    <w:uiPriority w:val="0"/>
    <w:pPr>
      <w:widowControl w:val="0"/>
      <w:adjustRightInd w:val="0"/>
      <w:spacing w:before="240" w:line="360" w:lineRule="auto"/>
      <w:jc w:val="center"/>
    </w:pPr>
    <w:rPr>
      <w:rFonts w:hint="eastAsia" w:ascii="黑体" w:hAnsi="Calibri" w:eastAsia="黑体"/>
      <w:b/>
      <w:kern w:val="0"/>
      <w:sz w:val="24"/>
    </w:rPr>
  </w:style>
  <w:style w:type="paragraph" w:customStyle="1" w:styleId="2627">
    <w:name w:val="样式 标题3 + Times New Roman 黑色"/>
    <w:basedOn w:val="9"/>
    <w:qFormat/>
    <w:uiPriority w:val="0"/>
    <w:pPr>
      <w:spacing w:before="80" w:after="0" w:line="360" w:lineRule="auto"/>
    </w:pPr>
    <w:rPr>
      <w:rFonts w:hAnsi="Calibri" w:eastAsia="黑体"/>
      <w:b w:val="0"/>
      <w:color w:val="000000"/>
      <w:sz w:val="24"/>
      <w:lang w:val="zh-CN"/>
    </w:rPr>
  </w:style>
  <w:style w:type="paragraph" w:customStyle="1" w:styleId="2628">
    <w:name w:val="2 Char Char Char Char"/>
    <w:basedOn w:val="1"/>
    <w:qFormat/>
    <w:uiPriority w:val="0"/>
    <w:pPr>
      <w:widowControl w:val="0"/>
      <w:snapToGrid w:val="0"/>
      <w:spacing w:line="360" w:lineRule="auto"/>
      <w:ind w:firstLine="529" w:firstLineChars="200"/>
      <w:jc w:val="both"/>
    </w:pPr>
    <w:rPr>
      <w:rFonts w:ascii="Calibri" w:hAnsi="Calibri"/>
      <w:szCs w:val="24"/>
    </w:rPr>
  </w:style>
  <w:style w:type="paragraph" w:customStyle="1" w:styleId="2629">
    <w:name w:val="font9_blackc"/>
    <w:basedOn w:val="1"/>
    <w:qFormat/>
    <w:uiPriority w:val="0"/>
    <w:pPr>
      <w:spacing w:before="100" w:beforeAutospacing="1" w:after="100" w:afterAutospacing="1" w:line="255" w:lineRule="atLeast"/>
    </w:pPr>
    <w:rPr>
      <w:rFonts w:ascii="宋体" w:hAnsi="宋体" w:cs="宋体"/>
      <w:color w:val="111111"/>
      <w:kern w:val="0"/>
      <w:sz w:val="18"/>
      <w:szCs w:val="18"/>
    </w:rPr>
  </w:style>
  <w:style w:type="paragraph" w:customStyle="1" w:styleId="2630">
    <w:name w:val="Paratitre"/>
    <w:basedOn w:val="1"/>
    <w:qFormat/>
    <w:uiPriority w:val="0"/>
    <w:pPr>
      <w:spacing w:before="120"/>
      <w:ind w:left="851"/>
      <w:jc w:val="both"/>
    </w:pPr>
    <w:rPr>
      <w:rFonts w:ascii="Arial" w:hAnsi="Arial"/>
      <w:kern w:val="0"/>
      <w:sz w:val="20"/>
    </w:rPr>
  </w:style>
  <w:style w:type="paragraph" w:customStyle="1" w:styleId="2631">
    <w:name w:val="样式 宋体 小四"/>
    <w:basedOn w:val="1"/>
    <w:qFormat/>
    <w:uiPriority w:val="0"/>
    <w:pPr>
      <w:widowControl w:val="0"/>
      <w:ind w:firstLine="480" w:firstLineChars="200"/>
      <w:jc w:val="both"/>
    </w:pPr>
    <w:rPr>
      <w:rFonts w:ascii="宋体" w:hAnsi="宋体" w:cs="宋体"/>
      <w:sz w:val="28"/>
    </w:rPr>
  </w:style>
  <w:style w:type="paragraph" w:customStyle="1" w:styleId="2632">
    <w:name w:val="1 字元 Char Char 字元"/>
    <w:basedOn w:val="1"/>
    <w:qFormat/>
    <w:uiPriority w:val="0"/>
    <w:pPr>
      <w:spacing w:after="160" w:line="240" w:lineRule="exact"/>
    </w:pPr>
    <w:rPr>
      <w:rFonts w:ascii="Verdana" w:hAnsi="Verdana" w:eastAsia="仿宋_GB2312"/>
      <w:kern w:val="0"/>
      <w:sz w:val="24"/>
      <w:lang w:eastAsia="en-US"/>
    </w:rPr>
  </w:style>
  <w:style w:type="paragraph" w:customStyle="1" w:styleId="2633">
    <w:name w:val="公标题2"/>
    <w:basedOn w:val="1"/>
    <w:qFormat/>
    <w:uiPriority w:val="0"/>
    <w:pPr>
      <w:widowControl w:val="0"/>
      <w:adjustRightInd w:val="0"/>
      <w:snapToGrid w:val="0"/>
      <w:spacing w:beforeLines="50" w:afterLines="50" w:line="355" w:lineRule="auto"/>
      <w:ind w:firstLine="200" w:firstLineChars="200"/>
      <w:jc w:val="both"/>
      <w:outlineLvl w:val="1"/>
    </w:pPr>
    <w:rPr>
      <w:rFonts w:ascii="黑体" w:hAnsi="宋体" w:eastAsia="黑体"/>
      <w:sz w:val="32"/>
      <w:szCs w:val="28"/>
    </w:rPr>
  </w:style>
  <w:style w:type="paragraph" w:customStyle="1" w:styleId="2634">
    <w:name w:val="reader-word-layer reader-word-s2-8"/>
    <w:basedOn w:val="1"/>
    <w:qFormat/>
    <w:uiPriority w:val="0"/>
    <w:pPr>
      <w:spacing w:before="100" w:beforeAutospacing="1" w:after="100" w:afterAutospacing="1"/>
    </w:pPr>
    <w:rPr>
      <w:rFonts w:ascii="宋体" w:hAnsi="宋体" w:cs="宋体"/>
      <w:kern w:val="0"/>
      <w:sz w:val="24"/>
      <w:szCs w:val="24"/>
    </w:rPr>
  </w:style>
  <w:style w:type="paragraph" w:customStyle="1" w:styleId="2635">
    <w:name w:val="样式 首行缩进:  2.5 字符"/>
    <w:basedOn w:val="2"/>
    <w:qFormat/>
    <w:uiPriority w:val="0"/>
    <w:pPr>
      <w:widowControl w:val="0"/>
      <w:overflowPunct/>
      <w:autoSpaceDE/>
      <w:autoSpaceDN/>
      <w:adjustRightInd/>
      <w:spacing w:after="120"/>
      <w:ind w:firstLine="200" w:firstLineChars="200"/>
      <w:jc w:val="both"/>
      <w:textAlignment w:val="auto"/>
    </w:pPr>
    <w:rPr>
      <w:rFonts w:ascii="Calibri" w:hAnsi="Calibri" w:cs="宋体"/>
      <w:kern w:val="2"/>
      <w:sz w:val="24"/>
    </w:rPr>
  </w:style>
  <w:style w:type="paragraph" w:customStyle="1" w:styleId="2636">
    <w:name w:val="4 字元"/>
    <w:basedOn w:val="1"/>
    <w:qFormat/>
    <w:uiPriority w:val="0"/>
    <w:pPr>
      <w:widowControl w:val="0"/>
      <w:adjustRightInd w:val="0"/>
      <w:spacing w:line="360" w:lineRule="atLeast"/>
      <w:jc w:val="both"/>
      <w:textAlignment w:val="baseline"/>
    </w:pPr>
    <w:rPr>
      <w:rFonts w:ascii="Calibri" w:hAnsi="Calibri"/>
      <w:szCs w:val="24"/>
    </w:rPr>
  </w:style>
  <w:style w:type="paragraph" w:customStyle="1" w:styleId="2637">
    <w:name w:val="样式 报告 + 首行缩进:  2 字符 段前: 0.5 行 段后: 7.8 磅"/>
    <w:basedOn w:val="1"/>
    <w:qFormat/>
    <w:uiPriority w:val="0"/>
    <w:pPr>
      <w:spacing w:beforeLines="50" w:after="156" w:line="460" w:lineRule="atLeast"/>
      <w:ind w:firstLine="480" w:firstLineChars="200"/>
      <w:jc w:val="both"/>
    </w:pPr>
    <w:rPr>
      <w:rFonts w:ascii="Calibri" w:hAnsi="Calibri" w:cs="宋体"/>
      <w:kern w:val="0"/>
      <w:sz w:val="24"/>
    </w:rPr>
  </w:style>
  <w:style w:type="paragraph" w:customStyle="1" w:styleId="2638">
    <w:name w:val="样式 样式 (中文) 仿宋_GB2312 居中1 + 小四"/>
    <w:basedOn w:val="2575"/>
    <w:qFormat/>
    <w:uiPriority w:val="0"/>
    <w:rPr>
      <w:rFonts w:ascii="宋体" w:hAnsi="宋体" w:eastAsia="宋体" w:cs="Times New Roman"/>
      <w:sz w:val="21"/>
      <w:szCs w:val="21"/>
    </w:rPr>
  </w:style>
  <w:style w:type="paragraph" w:customStyle="1" w:styleId="2639">
    <w:name w:val="样式 样式 (中文) 仿宋_GB2312 小四 行距: 1.5 倍行距 + 首行缩进:  2 字符"/>
    <w:basedOn w:val="1"/>
    <w:qFormat/>
    <w:uiPriority w:val="0"/>
    <w:pPr>
      <w:widowControl w:val="0"/>
      <w:spacing w:line="360" w:lineRule="auto"/>
      <w:ind w:firstLine="480" w:firstLineChars="200"/>
      <w:jc w:val="both"/>
    </w:pPr>
    <w:rPr>
      <w:rFonts w:ascii="仿宋_GB2312" w:hAnsi="Calibri" w:eastAsia="仿宋_GB2312" w:cs="宋体"/>
      <w:sz w:val="24"/>
      <w:szCs w:val="24"/>
    </w:rPr>
  </w:style>
  <w:style w:type="paragraph" w:customStyle="1" w:styleId="2640">
    <w:name w:val="reader-word-layer reader-word-s2-11"/>
    <w:basedOn w:val="1"/>
    <w:qFormat/>
    <w:uiPriority w:val="0"/>
    <w:pPr>
      <w:spacing w:before="100" w:beforeAutospacing="1" w:after="100" w:afterAutospacing="1"/>
    </w:pPr>
    <w:rPr>
      <w:rFonts w:ascii="宋体" w:hAnsi="宋体" w:cs="宋体"/>
      <w:kern w:val="0"/>
      <w:sz w:val="24"/>
      <w:szCs w:val="24"/>
    </w:rPr>
  </w:style>
  <w:style w:type="paragraph" w:customStyle="1" w:styleId="2641">
    <w:name w:val="标准段落"/>
    <w:basedOn w:val="1"/>
    <w:next w:val="1"/>
    <w:qFormat/>
    <w:uiPriority w:val="0"/>
    <w:pPr>
      <w:widowControl w:val="0"/>
      <w:adjustRightInd w:val="0"/>
      <w:snapToGrid w:val="0"/>
      <w:spacing w:line="360" w:lineRule="auto"/>
      <w:ind w:firstLine="539" w:firstLineChars="245"/>
      <w:jc w:val="both"/>
    </w:pPr>
    <w:rPr>
      <w:rFonts w:ascii="Calibri" w:hAnsi="Calibri"/>
      <w:color w:val="FF0000"/>
      <w:spacing w:val="-10"/>
      <w:sz w:val="24"/>
      <w:szCs w:val="24"/>
    </w:rPr>
  </w:style>
  <w:style w:type="paragraph" w:customStyle="1" w:styleId="2642">
    <w:name w:val="reader-word-layer reader-word-s1-12"/>
    <w:basedOn w:val="1"/>
    <w:qFormat/>
    <w:uiPriority w:val="0"/>
    <w:pPr>
      <w:spacing w:before="100" w:beforeAutospacing="1" w:after="100" w:afterAutospacing="1"/>
    </w:pPr>
    <w:rPr>
      <w:rFonts w:ascii="宋体" w:hAnsi="宋体" w:cs="宋体"/>
      <w:kern w:val="0"/>
      <w:sz w:val="24"/>
      <w:szCs w:val="24"/>
    </w:rPr>
  </w:style>
  <w:style w:type="paragraph" w:customStyle="1" w:styleId="2643">
    <w:name w:val="reader-word-layer reader-word-s2-0 reader-word-s2-13 reader-word-s2-14"/>
    <w:basedOn w:val="1"/>
    <w:qFormat/>
    <w:uiPriority w:val="0"/>
    <w:pPr>
      <w:spacing w:before="100" w:beforeAutospacing="1" w:after="100" w:afterAutospacing="1"/>
    </w:pPr>
    <w:rPr>
      <w:rFonts w:ascii="宋体" w:hAnsi="宋体" w:cs="宋体"/>
      <w:kern w:val="0"/>
      <w:sz w:val="24"/>
      <w:szCs w:val="24"/>
    </w:rPr>
  </w:style>
  <w:style w:type="paragraph" w:customStyle="1" w:styleId="2644">
    <w:name w:val="reader-word-layer reader-word-s2-10"/>
    <w:basedOn w:val="1"/>
    <w:qFormat/>
    <w:uiPriority w:val="0"/>
    <w:pPr>
      <w:spacing w:before="100" w:beforeAutospacing="1" w:after="100" w:afterAutospacing="1"/>
    </w:pPr>
    <w:rPr>
      <w:rFonts w:ascii="宋体" w:hAnsi="宋体" w:cs="宋体"/>
      <w:kern w:val="0"/>
      <w:sz w:val="24"/>
      <w:szCs w:val="24"/>
    </w:rPr>
  </w:style>
  <w:style w:type="paragraph" w:customStyle="1" w:styleId="2645">
    <w:name w:val="reader-word-layer reader-word-s2-5 reader-word-s2-15"/>
    <w:basedOn w:val="1"/>
    <w:qFormat/>
    <w:uiPriority w:val="0"/>
    <w:pPr>
      <w:spacing w:before="100" w:beforeAutospacing="1" w:after="100" w:afterAutospacing="1"/>
    </w:pPr>
    <w:rPr>
      <w:rFonts w:ascii="宋体" w:hAnsi="宋体" w:cs="宋体"/>
      <w:kern w:val="0"/>
      <w:sz w:val="24"/>
      <w:szCs w:val="24"/>
    </w:rPr>
  </w:style>
  <w:style w:type="paragraph" w:customStyle="1" w:styleId="2646">
    <w:name w:val="reader-word-layer reader-word-s2-3"/>
    <w:basedOn w:val="1"/>
    <w:qFormat/>
    <w:uiPriority w:val="0"/>
    <w:pPr>
      <w:spacing w:before="100" w:beforeAutospacing="1" w:after="100" w:afterAutospacing="1"/>
    </w:pPr>
    <w:rPr>
      <w:rFonts w:ascii="宋体" w:hAnsi="宋体" w:cs="宋体"/>
      <w:kern w:val="0"/>
      <w:sz w:val="24"/>
      <w:szCs w:val="24"/>
    </w:rPr>
  </w:style>
  <w:style w:type="paragraph" w:styleId="2647">
    <w:name w:val="Intense Quote"/>
    <w:basedOn w:val="1"/>
    <w:next w:val="1"/>
    <w:link w:val="2648"/>
    <w:qFormat/>
    <w:uiPriority w:val="30"/>
    <w:pPr>
      <w:framePr w:wrap="notBeside" w:vAnchor="text" w:hAnchor="text" w:y="1"/>
      <w:pBdr>
        <w:bottom w:val="thickThinSmallGap" w:color="auto" w:sz="24" w:space="4"/>
      </w:pBdr>
      <w:adjustRightInd w:val="0"/>
      <w:snapToGrid w:val="0"/>
      <w:jc w:val="both"/>
    </w:pPr>
    <w:rPr>
      <w:bCs/>
      <w:iCs/>
      <w:kern w:val="0"/>
      <w:sz w:val="18"/>
    </w:rPr>
  </w:style>
  <w:style w:type="character" w:customStyle="1" w:styleId="2648">
    <w:name w:val="明显引用 Char"/>
    <w:link w:val="2647"/>
    <w:qFormat/>
    <w:uiPriority w:val="30"/>
    <w:rPr>
      <w:bCs/>
      <w:iCs/>
      <w:sz w:val="18"/>
    </w:rPr>
  </w:style>
  <w:style w:type="paragraph" w:customStyle="1" w:styleId="2649">
    <w:name w:val="前言"/>
    <w:basedOn w:val="89"/>
    <w:next w:val="7"/>
    <w:qFormat/>
    <w:uiPriority w:val="0"/>
    <w:pPr>
      <w:tabs>
        <w:tab w:val="center" w:pos="4156"/>
      </w:tabs>
      <w:spacing w:line="300" w:lineRule="auto"/>
      <w:ind w:firstLine="0" w:firstLineChars="0"/>
    </w:pPr>
    <w:rPr>
      <w:rFonts w:hAnsi="宋体" w:cs="Arial"/>
      <w:bCs/>
      <w:snapToGrid/>
      <w:sz w:val="44"/>
      <w:szCs w:val="44"/>
    </w:rPr>
  </w:style>
  <w:style w:type="character" w:customStyle="1" w:styleId="2650">
    <w:name w:val="st1"/>
    <w:qFormat/>
    <w:uiPriority w:val="0"/>
  </w:style>
  <w:style w:type="paragraph" w:customStyle="1" w:styleId="2651">
    <w:name w:val="LNY正文样式"/>
    <w:basedOn w:val="538"/>
    <w:link w:val="2652"/>
    <w:qFormat/>
    <w:uiPriority w:val="0"/>
    <w:pPr>
      <w:widowControl w:val="0"/>
      <w:adjustRightInd/>
      <w:snapToGrid/>
      <w:ind w:firstLine="480"/>
      <w:jc w:val="both"/>
    </w:pPr>
    <w:rPr>
      <w:rFonts w:ascii="Times New Roman" w:hAnsi="Times New Roman"/>
      <w:snapToGrid/>
      <w:color w:val="000000"/>
      <w:kern w:val="2"/>
      <w:szCs w:val="24"/>
    </w:rPr>
  </w:style>
  <w:style w:type="character" w:customStyle="1" w:styleId="2652">
    <w:name w:val="LNY正文样式 Char"/>
    <w:link w:val="2651"/>
    <w:qFormat/>
    <w:uiPriority w:val="0"/>
    <w:rPr>
      <w:color w:val="000000"/>
      <w:kern w:val="2"/>
      <w:sz w:val="24"/>
      <w:szCs w:val="24"/>
    </w:rPr>
  </w:style>
  <w:style w:type="character" w:customStyle="1" w:styleId="2653">
    <w:name w:val="1-正文 Char"/>
    <w:link w:val="267"/>
    <w:qFormat/>
    <w:uiPriority w:val="0"/>
    <w:rPr>
      <w:sz w:val="24"/>
      <w:szCs w:val="24"/>
    </w:rPr>
  </w:style>
  <w:style w:type="character" w:customStyle="1" w:styleId="2654">
    <w:name w:val="正文表格 Char"/>
    <w:qFormat/>
    <w:uiPriority w:val="0"/>
    <w:rPr>
      <w:rFonts w:ascii="宋体" w:hAnsi="宋体"/>
      <w:kern w:val="2"/>
      <w:sz w:val="21"/>
      <w:lang w:bidi="ar-SA"/>
    </w:rPr>
  </w:style>
  <w:style w:type="table" w:customStyle="1" w:styleId="2655">
    <w:name w:val="网格型1"/>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2656">
    <w:name w:val="网格型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paragraph" w:customStyle="1" w:styleId="2657">
    <w:name w:val="编辑正文"/>
    <w:qFormat/>
    <w:uiPriority w:val="0"/>
    <w:pPr>
      <w:spacing w:after="60" w:line="360" w:lineRule="auto"/>
      <w:ind w:firstLine="480" w:firstLineChars="200"/>
      <w:jc w:val="both"/>
    </w:pPr>
    <w:rPr>
      <w:rFonts w:ascii="Times New Roman" w:hAnsi="Times New Roman" w:eastAsia="宋体" w:cs="Times New Roman"/>
      <w:bCs/>
      <w:snapToGrid w:val="0"/>
      <w:kern w:val="0"/>
      <w:sz w:val="24"/>
      <w:szCs w:val="20"/>
      <w:lang w:val="en-US" w:eastAsia="zh-CN" w:bidi="ar-SA"/>
    </w:rPr>
  </w:style>
  <w:style w:type="paragraph" w:customStyle="1" w:styleId="2658">
    <w:name w:val="我的表格"/>
    <w:basedOn w:val="1"/>
    <w:qFormat/>
    <w:uiPriority w:val="0"/>
    <w:pPr>
      <w:keepNext/>
      <w:jc w:val="center"/>
    </w:pPr>
    <w:rPr>
      <w:rFonts w:eastAsia="楷体" w:cstheme="minorBidi"/>
      <w:color w:val="000000"/>
      <w:position w:val="-6"/>
      <w:szCs w:val="21"/>
    </w:rPr>
  </w:style>
  <w:style w:type="paragraph" w:customStyle="1" w:styleId="2659">
    <w:name w:val="图名表名"/>
    <w:basedOn w:val="1"/>
    <w:qFormat/>
    <w:uiPriority w:val="0"/>
    <w:pPr>
      <w:jc w:val="center"/>
    </w:pPr>
    <w:rPr>
      <w:rFonts w:eastAsia="仿宋" w:cstheme="minorBidi"/>
      <w:b/>
      <w:sz w:val="24"/>
      <w:szCs w:val="22"/>
    </w:rPr>
  </w:style>
  <w:style w:type="paragraph" w:customStyle="1" w:styleId="2660">
    <w:name w:val="表格居中2"/>
    <w:basedOn w:val="1"/>
    <w:next w:val="1"/>
    <w:qFormat/>
    <w:uiPriority w:val="0"/>
    <w:pPr>
      <w:snapToGrid w:val="0"/>
      <w:jc w:val="center"/>
    </w:pPr>
    <w:rPr>
      <w:spacing w:val="2"/>
      <w:szCs w:val="20"/>
    </w:rPr>
  </w:style>
  <w:style w:type="character" w:customStyle="1" w:styleId="2661">
    <w:name w:val="正文文本 (3)_"/>
    <w:link w:val="2662"/>
    <w:qFormat/>
    <w:uiPriority w:val="0"/>
    <w:rPr>
      <w:rFonts w:hint="eastAsia" w:ascii="黑体" w:hAnsi="宋体" w:eastAsia="Times New Roman" w:cs="Times New Roman"/>
      <w:spacing w:val="-20"/>
      <w:kern w:val="0"/>
      <w:sz w:val="46"/>
      <w:szCs w:val="46"/>
      <w:lang w:val="en-US" w:eastAsia="zh-CN" w:bidi="ar"/>
    </w:rPr>
  </w:style>
  <w:style w:type="paragraph" w:customStyle="1" w:styleId="2662">
    <w:name w:val="正文文本 (3)"/>
    <w:basedOn w:val="1"/>
    <w:link w:val="2661"/>
    <w:qFormat/>
    <w:uiPriority w:val="0"/>
    <w:pPr>
      <w:keepNext w:val="0"/>
      <w:keepLines w:val="0"/>
      <w:widowControl w:val="0"/>
      <w:suppressLineNumbers w:val="0"/>
      <w:shd w:val="clear" w:color="auto" w:fill="FFFFFF"/>
      <w:spacing w:before="0" w:beforeAutospacing="0" w:after="600" w:afterAutospacing="0" w:line="240" w:lineRule="atLeast"/>
      <w:ind w:left="0" w:right="0"/>
      <w:jc w:val="left"/>
    </w:pPr>
    <w:rPr>
      <w:rFonts w:hint="eastAsia" w:ascii="黑体" w:hAnsi="宋体" w:eastAsia="Times New Roman" w:cs="Times New Roman"/>
      <w:spacing w:val="-20"/>
      <w:kern w:val="0"/>
      <w:sz w:val="46"/>
      <w:szCs w:val="46"/>
      <w:lang w:val="en-US" w:eastAsia="zh-CN" w:bidi="ar"/>
    </w:rPr>
  </w:style>
  <w:style w:type="paragraph" w:customStyle="1" w:styleId="2663">
    <w:name w:val="表格正文Z"/>
    <w:basedOn w:val="1"/>
    <w:qFormat/>
    <w:uiPriority w:val="0"/>
    <w:pPr>
      <w:adjustRightInd w:val="0"/>
      <w:snapToGrid w:val="0"/>
      <w:spacing w:line="240" w:lineRule="auto"/>
      <w:ind w:firstLine="0" w:firstLineChars="0"/>
      <w:jc w:val="center"/>
    </w:pPr>
    <w:rPr>
      <w:rFonts w:cs="宋体"/>
      <w:kern w:val="0"/>
      <w:sz w:val="18"/>
      <w:szCs w:val="21"/>
    </w:rPr>
  </w:style>
  <w:style w:type="paragraph" w:customStyle="1" w:styleId="2664">
    <w:name w:val="友朋表格标题（表）"/>
    <w:qFormat/>
    <w:uiPriority w:val="99"/>
    <w:pPr>
      <w:numPr>
        <w:ilvl w:val="0"/>
        <w:numId w:val="1"/>
      </w:numPr>
      <w:adjustRightInd w:val="0"/>
      <w:spacing w:line="360" w:lineRule="auto"/>
      <w:ind w:left="0" w:firstLine="0"/>
      <w:jc w:val="center"/>
    </w:pPr>
    <w:rPr>
      <w:rFonts w:ascii="Times New Roman" w:hAnsi="Times New Roman" w:eastAsia="宋体" w:cs="Times New Roman"/>
      <w:b/>
      <w:sz w:val="24"/>
      <w:lang w:val="en-US" w:eastAsia="zh-CN" w:bidi="ar-SA"/>
    </w:rPr>
  </w:style>
  <w:style w:type="paragraph" w:customStyle="1" w:styleId="2665">
    <w:name w:val="友朋表内文字（中）"/>
    <w:qFormat/>
    <w:uiPriority w:val="99"/>
    <w:pPr>
      <w:jc w:val="center"/>
    </w:pPr>
    <w:rPr>
      <w:rFonts w:ascii="Times New Roman" w:hAnsi="Times New Roman" w:eastAsia="宋体" w:cs="Times New Roman"/>
      <w:sz w:val="18"/>
      <w:lang w:val="en-US" w:eastAsia="zh-CN" w:bidi="ar-SA"/>
    </w:rPr>
  </w:style>
  <w:style w:type="paragraph" w:customStyle="1" w:styleId="2666">
    <w:name w:val="友朋正文"/>
    <w:qFormat/>
    <w:uiPriority w:val="99"/>
    <w:pPr>
      <w:adjustRightInd w:val="0"/>
      <w:spacing w:line="360" w:lineRule="auto"/>
      <w:ind w:firstLine="1446" w:firstLineChars="200"/>
    </w:pPr>
    <w:rPr>
      <w:rFonts w:ascii="Times New Roman" w:hAnsi="Times New Roman" w:eastAsia="宋体" w:cs="Times New Roman"/>
      <w:sz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8.bin"/><Relationship Id="rId98" Type="http://schemas.openxmlformats.org/officeDocument/2006/relationships/image" Target="media/image41.wmf"/><Relationship Id="rId97" Type="http://schemas.openxmlformats.org/officeDocument/2006/relationships/oleObject" Target="embeddings/oleObject27.bin"/><Relationship Id="rId96" Type="http://schemas.openxmlformats.org/officeDocument/2006/relationships/image" Target="media/image40.wmf"/><Relationship Id="rId95" Type="http://schemas.openxmlformats.org/officeDocument/2006/relationships/oleObject" Target="embeddings/oleObject26.bin"/><Relationship Id="rId94" Type="http://schemas.openxmlformats.org/officeDocument/2006/relationships/image" Target="media/image39.wmf"/><Relationship Id="rId93" Type="http://schemas.openxmlformats.org/officeDocument/2006/relationships/oleObject" Target="embeddings/oleObject25.bin"/><Relationship Id="rId92" Type="http://schemas.openxmlformats.org/officeDocument/2006/relationships/image" Target="media/image38.wmf"/><Relationship Id="rId91" Type="http://schemas.openxmlformats.org/officeDocument/2006/relationships/oleObject" Target="embeddings/oleObject24.bin"/><Relationship Id="rId90" Type="http://schemas.openxmlformats.org/officeDocument/2006/relationships/image" Target="media/image37.wmf"/><Relationship Id="rId9" Type="http://schemas.openxmlformats.org/officeDocument/2006/relationships/footer" Target="footer4.xml"/><Relationship Id="rId89" Type="http://schemas.openxmlformats.org/officeDocument/2006/relationships/oleObject" Target="embeddings/oleObject23.bin"/><Relationship Id="rId88" Type="http://schemas.openxmlformats.org/officeDocument/2006/relationships/image" Target="media/image36.wmf"/><Relationship Id="rId87" Type="http://schemas.openxmlformats.org/officeDocument/2006/relationships/oleObject" Target="embeddings/oleObject22.bin"/><Relationship Id="rId86" Type="http://schemas.openxmlformats.org/officeDocument/2006/relationships/image" Target="media/image35.wmf"/><Relationship Id="rId85" Type="http://schemas.openxmlformats.org/officeDocument/2006/relationships/oleObject" Target="embeddings/oleObject21.bin"/><Relationship Id="rId84" Type="http://schemas.openxmlformats.org/officeDocument/2006/relationships/image" Target="media/image34.wmf"/><Relationship Id="rId83" Type="http://schemas.openxmlformats.org/officeDocument/2006/relationships/oleObject" Target="embeddings/oleObject20.bin"/><Relationship Id="rId82" Type="http://schemas.openxmlformats.org/officeDocument/2006/relationships/image" Target="media/image33.wmf"/><Relationship Id="rId81" Type="http://schemas.openxmlformats.org/officeDocument/2006/relationships/oleObject" Target="embeddings/oleObject19.bin"/><Relationship Id="rId80" Type="http://schemas.openxmlformats.org/officeDocument/2006/relationships/image" Target="media/image32.wmf"/><Relationship Id="rId8" Type="http://schemas.openxmlformats.org/officeDocument/2006/relationships/footer" Target="footer3.xml"/><Relationship Id="rId79" Type="http://schemas.openxmlformats.org/officeDocument/2006/relationships/oleObject" Target="embeddings/oleObject18.bin"/><Relationship Id="rId78" Type="http://schemas.openxmlformats.org/officeDocument/2006/relationships/image" Target="media/image31.png"/><Relationship Id="rId77" Type="http://schemas.openxmlformats.org/officeDocument/2006/relationships/image" Target="media/image30.png"/><Relationship Id="rId76" Type="http://schemas.openxmlformats.org/officeDocument/2006/relationships/image" Target="media/image29.png"/><Relationship Id="rId75" Type="http://schemas.openxmlformats.org/officeDocument/2006/relationships/image" Target="media/image28.png"/><Relationship Id="rId74" Type="http://schemas.openxmlformats.org/officeDocument/2006/relationships/image" Target="media/image27.png"/><Relationship Id="rId73" Type="http://schemas.openxmlformats.org/officeDocument/2006/relationships/image" Target="media/image26.emf"/><Relationship Id="rId72" Type="http://schemas.openxmlformats.org/officeDocument/2006/relationships/oleObject" Target="embeddings/oleObject17.bin"/><Relationship Id="rId71" Type="http://schemas.openxmlformats.org/officeDocument/2006/relationships/image" Target="media/image25.emf"/><Relationship Id="rId70" Type="http://schemas.openxmlformats.org/officeDocument/2006/relationships/oleObject" Target="embeddings/oleObject16.bin"/><Relationship Id="rId7" Type="http://schemas.openxmlformats.org/officeDocument/2006/relationships/header" Target="header3.xml"/><Relationship Id="rId69" Type="http://schemas.openxmlformats.org/officeDocument/2006/relationships/image" Target="media/image24.png"/><Relationship Id="rId68" Type="http://schemas.openxmlformats.org/officeDocument/2006/relationships/image" Target="media/image23.png"/><Relationship Id="rId67" Type="http://schemas.openxmlformats.org/officeDocument/2006/relationships/image" Target="media/image22.png"/><Relationship Id="rId66" Type="http://schemas.openxmlformats.org/officeDocument/2006/relationships/image" Target="media/image21.png"/><Relationship Id="rId65" Type="http://schemas.openxmlformats.org/officeDocument/2006/relationships/image" Target="media/image20.png"/><Relationship Id="rId64" Type="http://schemas.openxmlformats.org/officeDocument/2006/relationships/image" Target="media/image19.png"/><Relationship Id="rId63" Type="http://schemas.openxmlformats.org/officeDocument/2006/relationships/image" Target="media/image18.png"/><Relationship Id="rId62" Type="http://schemas.openxmlformats.org/officeDocument/2006/relationships/image" Target="media/image17.wmf"/><Relationship Id="rId61" Type="http://schemas.openxmlformats.org/officeDocument/2006/relationships/oleObject" Target="embeddings/oleObject15.bin"/><Relationship Id="rId60" Type="http://schemas.openxmlformats.org/officeDocument/2006/relationships/image" Target="media/image16.wmf"/><Relationship Id="rId6" Type="http://schemas.openxmlformats.org/officeDocument/2006/relationships/footer" Target="footer2.xml"/><Relationship Id="rId59" Type="http://schemas.openxmlformats.org/officeDocument/2006/relationships/oleObject" Target="embeddings/oleObject14.bin"/><Relationship Id="rId58" Type="http://schemas.openxmlformats.org/officeDocument/2006/relationships/image" Target="media/image15.png"/><Relationship Id="rId57" Type="http://schemas.openxmlformats.org/officeDocument/2006/relationships/image" Target="media/image14.wmf"/><Relationship Id="rId56" Type="http://schemas.openxmlformats.org/officeDocument/2006/relationships/oleObject" Target="embeddings/oleObject13.bin"/><Relationship Id="rId55" Type="http://schemas.openxmlformats.org/officeDocument/2006/relationships/image" Target="media/image13.wmf"/><Relationship Id="rId54" Type="http://schemas.openxmlformats.org/officeDocument/2006/relationships/oleObject" Target="embeddings/oleObject12.bin"/><Relationship Id="rId53" Type="http://schemas.openxmlformats.org/officeDocument/2006/relationships/image" Target="media/image12.wmf"/><Relationship Id="rId52" Type="http://schemas.openxmlformats.org/officeDocument/2006/relationships/oleObject" Target="embeddings/oleObject11.bin"/><Relationship Id="rId51" Type="http://schemas.openxmlformats.org/officeDocument/2006/relationships/image" Target="media/image11.emf"/><Relationship Id="rId50" Type="http://schemas.openxmlformats.org/officeDocument/2006/relationships/oleObject" Target="embeddings/oleObject10.bin"/><Relationship Id="rId5" Type="http://schemas.openxmlformats.org/officeDocument/2006/relationships/footer" Target="footer1.xml"/><Relationship Id="rId49" Type="http://schemas.openxmlformats.org/officeDocument/2006/relationships/image" Target="media/image10.wmf"/><Relationship Id="rId48" Type="http://schemas.openxmlformats.org/officeDocument/2006/relationships/oleObject" Target="embeddings/oleObject9.bin"/><Relationship Id="rId47" Type="http://schemas.openxmlformats.org/officeDocument/2006/relationships/image" Target="media/image9.wmf"/><Relationship Id="rId46" Type="http://schemas.openxmlformats.org/officeDocument/2006/relationships/oleObject" Target="embeddings/oleObject8.bin"/><Relationship Id="rId45" Type="http://schemas.openxmlformats.org/officeDocument/2006/relationships/image" Target="media/image8.wmf"/><Relationship Id="rId44" Type="http://schemas.openxmlformats.org/officeDocument/2006/relationships/oleObject" Target="embeddings/oleObject7.bin"/><Relationship Id="rId43" Type="http://schemas.openxmlformats.org/officeDocument/2006/relationships/image" Target="media/image7.emf"/><Relationship Id="rId42" Type="http://schemas.openxmlformats.org/officeDocument/2006/relationships/oleObject" Target="embeddings/oleObject6.bin"/><Relationship Id="rId41" Type="http://schemas.openxmlformats.org/officeDocument/2006/relationships/image" Target="media/image6.emf"/><Relationship Id="rId40" Type="http://schemas.openxmlformats.org/officeDocument/2006/relationships/oleObject" Target="embeddings/oleObject5.bin"/><Relationship Id="rId4" Type="http://schemas.openxmlformats.org/officeDocument/2006/relationships/header" Target="header2.xml"/><Relationship Id="rId39" Type="http://schemas.openxmlformats.org/officeDocument/2006/relationships/image" Target="media/image5.emf"/><Relationship Id="rId38" Type="http://schemas.openxmlformats.org/officeDocument/2006/relationships/oleObject" Target="embeddings/oleObject4.bin"/><Relationship Id="rId37" Type="http://schemas.openxmlformats.org/officeDocument/2006/relationships/image" Target="media/image4.emf"/><Relationship Id="rId36" Type="http://schemas.openxmlformats.org/officeDocument/2006/relationships/oleObject" Target="embeddings/oleObject3.bin"/><Relationship Id="rId35" Type="http://schemas.openxmlformats.org/officeDocument/2006/relationships/image" Target="media/image3.emf"/><Relationship Id="rId34" Type="http://schemas.openxmlformats.org/officeDocument/2006/relationships/oleObject" Target="embeddings/oleObject2.bin"/><Relationship Id="rId33" Type="http://schemas.openxmlformats.org/officeDocument/2006/relationships/image" Target="media/image2.png"/><Relationship Id="rId32" Type="http://schemas.openxmlformats.org/officeDocument/2006/relationships/image" Target="media/image1.emf"/><Relationship Id="rId31" Type="http://schemas.openxmlformats.org/officeDocument/2006/relationships/oleObject" Target="embeddings/oleObject1.bin"/><Relationship Id="rId30" Type="http://schemas.openxmlformats.org/officeDocument/2006/relationships/theme" Target="theme/theme1.xml"/><Relationship Id="rId3" Type="http://schemas.openxmlformats.org/officeDocument/2006/relationships/header" Target="header1.xml"/><Relationship Id="rId29" Type="http://schemas.openxmlformats.org/officeDocument/2006/relationships/header" Target="header21.xml"/><Relationship Id="rId289" Type="http://schemas.openxmlformats.org/officeDocument/2006/relationships/fontTable" Target="fontTable.xml"/><Relationship Id="rId288" Type="http://schemas.openxmlformats.org/officeDocument/2006/relationships/numbering" Target="numbering.xml"/><Relationship Id="rId287" Type="http://schemas.openxmlformats.org/officeDocument/2006/relationships/customXml" Target="../customXml/item1.xml"/><Relationship Id="rId286" Type="http://schemas.openxmlformats.org/officeDocument/2006/relationships/image" Target="media/image151.emf"/><Relationship Id="rId285" Type="http://schemas.openxmlformats.org/officeDocument/2006/relationships/oleObject" Target="embeddings/oleObject105.bin"/><Relationship Id="rId284" Type="http://schemas.openxmlformats.org/officeDocument/2006/relationships/image" Target="media/image150.emf"/><Relationship Id="rId283" Type="http://schemas.openxmlformats.org/officeDocument/2006/relationships/oleObject" Target="embeddings/oleObject104.bin"/><Relationship Id="rId282" Type="http://schemas.openxmlformats.org/officeDocument/2006/relationships/image" Target="media/image149.emf"/><Relationship Id="rId281" Type="http://schemas.openxmlformats.org/officeDocument/2006/relationships/image" Target="media/image148.emf"/><Relationship Id="rId280" Type="http://schemas.openxmlformats.org/officeDocument/2006/relationships/oleObject" Target="embeddings/oleObject103.bin"/><Relationship Id="rId28" Type="http://schemas.openxmlformats.org/officeDocument/2006/relationships/header" Target="header20.xml"/><Relationship Id="rId279" Type="http://schemas.openxmlformats.org/officeDocument/2006/relationships/image" Target="media/image147.jpeg"/><Relationship Id="rId278" Type="http://schemas.openxmlformats.org/officeDocument/2006/relationships/image" Target="media/image146.jpeg"/><Relationship Id="rId277" Type="http://schemas.openxmlformats.org/officeDocument/2006/relationships/image" Target="media/image145.jpeg"/><Relationship Id="rId276" Type="http://schemas.openxmlformats.org/officeDocument/2006/relationships/image" Target="media/image144.jpeg"/><Relationship Id="rId275" Type="http://schemas.openxmlformats.org/officeDocument/2006/relationships/image" Target="media/image143.wmf"/><Relationship Id="rId274" Type="http://schemas.openxmlformats.org/officeDocument/2006/relationships/oleObject" Target="embeddings/oleObject102.bin"/><Relationship Id="rId273" Type="http://schemas.openxmlformats.org/officeDocument/2006/relationships/image" Target="media/image142.wmf"/><Relationship Id="rId272" Type="http://schemas.openxmlformats.org/officeDocument/2006/relationships/oleObject" Target="embeddings/oleObject101.bin"/><Relationship Id="rId271" Type="http://schemas.openxmlformats.org/officeDocument/2006/relationships/image" Target="media/image141.wmf"/><Relationship Id="rId270" Type="http://schemas.openxmlformats.org/officeDocument/2006/relationships/oleObject" Target="embeddings/oleObject100.bin"/><Relationship Id="rId27" Type="http://schemas.openxmlformats.org/officeDocument/2006/relationships/header" Target="header19.xml"/><Relationship Id="rId269" Type="http://schemas.openxmlformats.org/officeDocument/2006/relationships/image" Target="media/image140.wmf"/><Relationship Id="rId268" Type="http://schemas.openxmlformats.org/officeDocument/2006/relationships/oleObject" Target="embeddings/oleObject99.bin"/><Relationship Id="rId267" Type="http://schemas.openxmlformats.org/officeDocument/2006/relationships/image" Target="media/image139.wmf"/><Relationship Id="rId266" Type="http://schemas.openxmlformats.org/officeDocument/2006/relationships/oleObject" Target="embeddings/oleObject98.bin"/><Relationship Id="rId265" Type="http://schemas.openxmlformats.org/officeDocument/2006/relationships/image" Target="media/image138.wmf"/><Relationship Id="rId264" Type="http://schemas.openxmlformats.org/officeDocument/2006/relationships/oleObject" Target="embeddings/oleObject97.bin"/><Relationship Id="rId263" Type="http://schemas.openxmlformats.org/officeDocument/2006/relationships/image" Target="media/image137.wmf"/><Relationship Id="rId262" Type="http://schemas.openxmlformats.org/officeDocument/2006/relationships/oleObject" Target="embeddings/oleObject96.bin"/><Relationship Id="rId261" Type="http://schemas.openxmlformats.org/officeDocument/2006/relationships/image" Target="media/image136.wmf"/><Relationship Id="rId260" Type="http://schemas.openxmlformats.org/officeDocument/2006/relationships/oleObject" Target="embeddings/oleObject95.bin"/><Relationship Id="rId26" Type="http://schemas.openxmlformats.org/officeDocument/2006/relationships/header" Target="header18.xml"/><Relationship Id="rId259" Type="http://schemas.openxmlformats.org/officeDocument/2006/relationships/image" Target="media/image135.wmf"/><Relationship Id="rId258" Type="http://schemas.openxmlformats.org/officeDocument/2006/relationships/oleObject" Target="embeddings/oleObject94.bin"/><Relationship Id="rId257" Type="http://schemas.openxmlformats.org/officeDocument/2006/relationships/image" Target="media/image134.wmf"/><Relationship Id="rId256" Type="http://schemas.openxmlformats.org/officeDocument/2006/relationships/oleObject" Target="embeddings/oleObject93.bin"/><Relationship Id="rId255" Type="http://schemas.openxmlformats.org/officeDocument/2006/relationships/image" Target="media/image133.wmf"/><Relationship Id="rId254" Type="http://schemas.openxmlformats.org/officeDocument/2006/relationships/oleObject" Target="embeddings/oleObject92.bin"/><Relationship Id="rId253" Type="http://schemas.openxmlformats.org/officeDocument/2006/relationships/image" Target="media/image132.png"/><Relationship Id="rId252" Type="http://schemas.openxmlformats.org/officeDocument/2006/relationships/image" Target="media/image131.wmf"/><Relationship Id="rId251" Type="http://schemas.openxmlformats.org/officeDocument/2006/relationships/oleObject" Target="embeddings/oleObject91.bin"/><Relationship Id="rId250" Type="http://schemas.openxmlformats.org/officeDocument/2006/relationships/image" Target="media/image130.wmf"/><Relationship Id="rId25" Type="http://schemas.openxmlformats.org/officeDocument/2006/relationships/header" Target="header17.xml"/><Relationship Id="rId249" Type="http://schemas.openxmlformats.org/officeDocument/2006/relationships/oleObject" Target="embeddings/oleObject90.bin"/><Relationship Id="rId248" Type="http://schemas.openxmlformats.org/officeDocument/2006/relationships/image" Target="media/image129.wmf"/><Relationship Id="rId247" Type="http://schemas.openxmlformats.org/officeDocument/2006/relationships/oleObject" Target="embeddings/oleObject89.bin"/><Relationship Id="rId246" Type="http://schemas.openxmlformats.org/officeDocument/2006/relationships/image" Target="media/image128.wmf"/><Relationship Id="rId245" Type="http://schemas.openxmlformats.org/officeDocument/2006/relationships/oleObject" Target="embeddings/oleObject88.bin"/><Relationship Id="rId244" Type="http://schemas.openxmlformats.org/officeDocument/2006/relationships/image" Target="media/image127.wmf"/><Relationship Id="rId243" Type="http://schemas.openxmlformats.org/officeDocument/2006/relationships/oleObject" Target="embeddings/oleObject87.bin"/><Relationship Id="rId242" Type="http://schemas.openxmlformats.org/officeDocument/2006/relationships/image" Target="media/image126.emf"/><Relationship Id="rId241" Type="http://schemas.openxmlformats.org/officeDocument/2006/relationships/image" Target="media/image125.png"/><Relationship Id="rId240" Type="http://schemas.openxmlformats.org/officeDocument/2006/relationships/image" Target="media/image124.png"/><Relationship Id="rId24" Type="http://schemas.openxmlformats.org/officeDocument/2006/relationships/header" Target="header16.xml"/><Relationship Id="rId239" Type="http://schemas.openxmlformats.org/officeDocument/2006/relationships/image" Target="media/image123.png"/><Relationship Id="rId238" Type="http://schemas.openxmlformats.org/officeDocument/2006/relationships/image" Target="media/image122.wmf"/><Relationship Id="rId237" Type="http://schemas.openxmlformats.org/officeDocument/2006/relationships/oleObject" Target="embeddings/oleObject86.bin"/><Relationship Id="rId236" Type="http://schemas.openxmlformats.org/officeDocument/2006/relationships/image" Target="media/image121.png"/><Relationship Id="rId235" Type="http://schemas.openxmlformats.org/officeDocument/2006/relationships/image" Target="media/image120.wmf"/><Relationship Id="rId234" Type="http://schemas.openxmlformats.org/officeDocument/2006/relationships/oleObject" Target="embeddings/oleObject85.bin"/><Relationship Id="rId233" Type="http://schemas.openxmlformats.org/officeDocument/2006/relationships/image" Target="media/image119.wmf"/><Relationship Id="rId232" Type="http://schemas.openxmlformats.org/officeDocument/2006/relationships/oleObject" Target="embeddings/oleObject84.bin"/><Relationship Id="rId231" Type="http://schemas.openxmlformats.org/officeDocument/2006/relationships/image" Target="media/image118.wmf"/><Relationship Id="rId230" Type="http://schemas.openxmlformats.org/officeDocument/2006/relationships/oleObject" Target="embeddings/oleObject83.bin"/><Relationship Id="rId23" Type="http://schemas.openxmlformats.org/officeDocument/2006/relationships/header" Target="header15.xml"/><Relationship Id="rId229" Type="http://schemas.openxmlformats.org/officeDocument/2006/relationships/image" Target="media/image117.wmf"/><Relationship Id="rId228" Type="http://schemas.openxmlformats.org/officeDocument/2006/relationships/oleObject" Target="embeddings/oleObject82.bin"/><Relationship Id="rId227" Type="http://schemas.openxmlformats.org/officeDocument/2006/relationships/image" Target="media/image116.wmf"/><Relationship Id="rId226" Type="http://schemas.openxmlformats.org/officeDocument/2006/relationships/oleObject" Target="embeddings/oleObject81.bin"/><Relationship Id="rId225" Type="http://schemas.openxmlformats.org/officeDocument/2006/relationships/image" Target="media/image115.png"/><Relationship Id="rId224" Type="http://schemas.openxmlformats.org/officeDocument/2006/relationships/image" Target="media/image114.png"/><Relationship Id="rId223" Type="http://schemas.openxmlformats.org/officeDocument/2006/relationships/image" Target="media/image113.png"/><Relationship Id="rId222" Type="http://schemas.openxmlformats.org/officeDocument/2006/relationships/image" Target="media/image112.png"/><Relationship Id="rId221" Type="http://schemas.openxmlformats.org/officeDocument/2006/relationships/image" Target="media/image111.png"/><Relationship Id="rId220" Type="http://schemas.openxmlformats.org/officeDocument/2006/relationships/image" Target="media/image110.png"/><Relationship Id="rId22" Type="http://schemas.openxmlformats.org/officeDocument/2006/relationships/header" Target="header14.xml"/><Relationship Id="rId219" Type="http://schemas.openxmlformats.org/officeDocument/2006/relationships/image" Target="media/image109.png"/><Relationship Id="rId218" Type="http://schemas.openxmlformats.org/officeDocument/2006/relationships/image" Target="media/image108.png"/><Relationship Id="rId217" Type="http://schemas.openxmlformats.org/officeDocument/2006/relationships/image" Target="media/image107.png"/><Relationship Id="rId216" Type="http://schemas.openxmlformats.org/officeDocument/2006/relationships/image" Target="media/image106.png"/><Relationship Id="rId215" Type="http://schemas.openxmlformats.org/officeDocument/2006/relationships/image" Target="media/image105.png"/><Relationship Id="rId214" Type="http://schemas.openxmlformats.org/officeDocument/2006/relationships/image" Target="media/image104.png"/><Relationship Id="rId213" Type="http://schemas.openxmlformats.org/officeDocument/2006/relationships/image" Target="media/image103.png"/><Relationship Id="rId212" Type="http://schemas.openxmlformats.org/officeDocument/2006/relationships/image" Target="media/image102.png"/><Relationship Id="rId211" Type="http://schemas.openxmlformats.org/officeDocument/2006/relationships/image" Target="media/image101.png"/><Relationship Id="rId210" Type="http://schemas.openxmlformats.org/officeDocument/2006/relationships/image" Target="media/image100.png"/><Relationship Id="rId21" Type="http://schemas.openxmlformats.org/officeDocument/2006/relationships/header" Target="header13.xml"/><Relationship Id="rId209" Type="http://schemas.openxmlformats.org/officeDocument/2006/relationships/image" Target="media/image99.wmf"/><Relationship Id="rId208" Type="http://schemas.openxmlformats.org/officeDocument/2006/relationships/oleObject" Target="embeddings/oleObject80.bin"/><Relationship Id="rId207" Type="http://schemas.openxmlformats.org/officeDocument/2006/relationships/image" Target="media/image98.wmf"/><Relationship Id="rId206" Type="http://schemas.openxmlformats.org/officeDocument/2006/relationships/oleObject" Target="embeddings/oleObject79.bin"/><Relationship Id="rId205" Type="http://schemas.openxmlformats.org/officeDocument/2006/relationships/image" Target="media/image97.wmf"/><Relationship Id="rId204" Type="http://schemas.openxmlformats.org/officeDocument/2006/relationships/image" Target="media/image96.wmf"/><Relationship Id="rId203" Type="http://schemas.openxmlformats.org/officeDocument/2006/relationships/oleObject" Target="embeddings/oleObject78.bin"/><Relationship Id="rId202" Type="http://schemas.openxmlformats.org/officeDocument/2006/relationships/image" Target="media/image95.jpeg"/><Relationship Id="rId201" Type="http://schemas.openxmlformats.org/officeDocument/2006/relationships/image" Target="media/image94.jpeg"/><Relationship Id="rId200" Type="http://schemas.openxmlformats.org/officeDocument/2006/relationships/image" Target="media/image93.jpeg"/><Relationship Id="rId20" Type="http://schemas.openxmlformats.org/officeDocument/2006/relationships/header" Target="header12.xml"/><Relationship Id="rId2" Type="http://schemas.openxmlformats.org/officeDocument/2006/relationships/settings" Target="settings.xml"/><Relationship Id="rId199" Type="http://schemas.openxmlformats.org/officeDocument/2006/relationships/image" Target="media/image92.png"/><Relationship Id="rId198" Type="http://schemas.openxmlformats.org/officeDocument/2006/relationships/image" Target="media/image91.wmf"/><Relationship Id="rId197" Type="http://schemas.openxmlformats.org/officeDocument/2006/relationships/oleObject" Target="embeddings/oleObject77.bin"/><Relationship Id="rId196" Type="http://schemas.openxmlformats.org/officeDocument/2006/relationships/image" Target="media/image90.wmf"/><Relationship Id="rId195" Type="http://schemas.openxmlformats.org/officeDocument/2006/relationships/oleObject" Target="embeddings/oleObject76.bin"/><Relationship Id="rId194" Type="http://schemas.openxmlformats.org/officeDocument/2006/relationships/image" Target="media/image89.wmf"/><Relationship Id="rId193" Type="http://schemas.openxmlformats.org/officeDocument/2006/relationships/oleObject" Target="embeddings/oleObject75.bin"/><Relationship Id="rId192" Type="http://schemas.openxmlformats.org/officeDocument/2006/relationships/image" Target="media/image88.wmf"/><Relationship Id="rId191" Type="http://schemas.openxmlformats.org/officeDocument/2006/relationships/oleObject" Target="embeddings/oleObject74.bin"/><Relationship Id="rId190" Type="http://schemas.openxmlformats.org/officeDocument/2006/relationships/image" Target="media/image87.wmf"/><Relationship Id="rId19" Type="http://schemas.openxmlformats.org/officeDocument/2006/relationships/header" Target="header11.xml"/><Relationship Id="rId189" Type="http://schemas.openxmlformats.org/officeDocument/2006/relationships/oleObject" Target="embeddings/oleObject73.bin"/><Relationship Id="rId188" Type="http://schemas.openxmlformats.org/officeDocument/2006/relationships/image" Target="media/image86.wmf"/><Relationship Id="rId187" Type="http://schemas.openxmlformats.org/officeDocument/2006/relationships/oleObject" Target="embeddings/oleObject72.bin"/><Relationship Id="rId186" Type="http://schemas.openxmlformats.org/officeDocument/2006/relationships/image" Target="media/image85.wmf"/><Relationship Id="rId185" Type="http://schemas.openxmlformats.org/officeDocument/2006/relationships/oleObject" Target="embeddings/oleObject71.bin"/><Relationship Id="rId184" Type="http://schemas.openxmlformats.org/officeDocument/2006/relationships/image" Target="media/image84.wmf"/><Relationship Id="rId183" Type="http://schemas.openxmlformats.org/officeDocument/2006/relationships/oleObject" Target="embeddings/oleObject70.bin"/><Relationship Id="rId182" Type="http://schemas.openxmlformats.org/officeDocument/2006/relationships/image" Target="media/image83.wmf"/><Relationship Id="rId181" Type="http://schemas.openxmlformats.org/officeDocument/2006/relationships/oleObject" Target="embeddings/oleObject69.bin"/><Relationship Id="rId180" Type="http://schemas.openxmlformats.org/officeDocument/2006/relationships/image" Target="media/image82.wmf"/><Relationship Id="rId18" Type="http://schemas.openxmlformats.org/officeDocument/2006/relationships/header" Target="header10.xml"/><Relationship Id="rId179" Type="http://schemas.openxmlformats.org/officeDocument/2006/relationships/oleObject" Target="embeddings/oleObject68.bin"/><Relationship Id="rId178" Type="http://schemas.openxmlformats.org/officeDocument/2006/relationships/image" Target="media/image81.wmf"/><Relationship Id="rId177" Type="http://schemas.openxmlformats.org/officeDocument/2006/relationships/oleObject" Target="embeddings/oleObject67.bin"/><Relationship Id="rId176" Type="http://schemas.openxmlformats.org/officeDocument/2006/relationships/image" Target="media/image80.wmf"/><Relationship Id="rId175" Type="http://schemas.openxmlformats.org/officeDocument/2006/relationships/oleObject" Target="embeddings/oleObject66.bin"/><Relationship Id="rId174" Type="http://schemas.openxmlformats.org/officeDocument/2006/relationships/image" Target="media/image79.wmf"/><Relationship Id="rId173" Type="http://schemas.openxmlformats.org/officeDocument/2006/relationships/oleObject" Target="embeddings/oleObject65.bin"/><Relationship Id="rId172" Type="http://schemas.openxmlformats.org/officeDocument/2006/relationships/image" Target="media/image78.wmf"/><Relationship Id="rId171" Type="http://schemas.openxmlformats.org/officeDocument/2006/relationships/oleObject" Target="embeddings/oleObject64.bin"/><Relationship Id="rId170" Type="http://schemas.openxmlformats.org/officeDocument/2006/relationships/image" Target="media/image77.wmf"/><Relationship Id="rId17" Type="http://schemas.openxmlformats.org/officeDocument/2006/relationships/header" Target="header9.xml"/><Relationship Id="rId169" Type="http://schemas.openxmlformats.org/officeDocument/2006/relationships/oleObject" Target="embeddings/oleObject63.bin"/><Relationship Id="rId168" Type="http://schemas.openxmlformats.org/officeDocument/2006/relationships/image" Target="media/image76.wmf"/><Relationship Id="rId167" Type="http://schemas.openxmlformats.org/officeDocument/2006/relationships/oleObject" Target="embeddings/oleObject62.bin"/><Relationship Id="rId166" Type="http://schemas.openxmlformats.org/officeDocument/2006/relationships/image" Target="media/image75.wmf"/><Relationship Id="rId165" Type="http://schemas.openxmlformats.org/officeDocument/2006/relationships/oleObject" Target="embeddings/oleObject61.bin"/><Relationship Id="rId164" Type="http://schemas.openxmlformats.org/officeDocument/2006/relationships/image" Target="media/image74.wmf"/><Relationship Id="rId163" Type="http://schemas.openxmlformats.org/officeDocument/2006/relationships/oleObject" Target="embeddings/oleObject60.bin"/><Relationship Id="rId162" Type="http://schemas.openxmlformats.org/officeDocument/2006/relationships/image" Target="media/image73.wmf"/><Relationship Id="rId161" Type="http://schemas.openxmlformats.org/officeDocument/2006/relationships/oleObject" Target="embeddings/oleObject59.bin"/><Relationship Id="rId160" Type="http://schemas.openxmlformats.org/officeDocument/2006/relationships/image" Target="media/image72.wmf"/><Relationship Id="rId16" Type="http://schemas.openxmlformats.org/officeDocument/2006/relationships/header" Target="header8.xml"/><Relationship Id="rId159" Type="http://schemas.openxmlformats.org/officeDocument/2006/relationships/oleObject" Target="embeddings/oleObject58.bin"/><Relationship Id="rId158" Type="http://schemas.openxmlformats.org/officeDocument/2006/relationships/image" Target="media/image71.wmf"/><Relationship Id="rId157" Type="http://schemas.openxmlformats.org/officeDocument/2006/relationships/oleObject" Target="embeddings/oleObject57.bin"/><Relationship Id="rId156" Type="http://schemas.openxmlformats.org/officeDocument/2006/relationships/image" Target="media/image70.wmf"/><Relationship Id="rId155" Type="http://schemas.openxmlformats.org/officeDocument/2006/relationships/oleObject" Target="embeddings/oleObject56.bin"/><Relationship Id="rId154" Type="http://schemas.openxmlformats.org/officeDocument/2006/relationships/image" Target="media/image69.wmf"/><Relationship Id="rId153" Type="http://schemas.openxmlformats.org/officeDocument/2006/relationships/oleObject" Target="embeddings/oleObject55.bin"/><Relationship Id="rId152" Type="http://schemas.openxmlformats.org/officeDocument/2006/relationships/image" Target="media/image68.wmf"/><Relationship Id="rId151" Type="http://schemas.openxmlformats.org/officeDocument/2006/relationships/oleObject" Target="embeddings/oleObject54.bin"/><Relationship Id="rId150" Type="http://schemas.openxmlformats.org/officeDocument/2006/relationships/image" Target="media/image67.wmf"/><Relationship Id="rId15" Type="http://schemas.openxmlformats.org/officeDocument/2006/relationships/header" Target="header7.xml"/><Relationship Id="rId149" Type="http://schemas.openxmlformats.org/officeDocument/2006/relationships/oleObject" Target="embeddings/oleObject53.bin"/><Relationship Id="rId148" Type="http://schemas.openxmlformats.org/officeDocument/2006/relationships/image" Target="media/image66.wmf"/><Relationship Id="rId147" Type="http://schemas.openxmlformats.org/officeDocument/2006/relationships/oleObject" Target="embeddings/oleObject52.bin"/><Relationship Id="rId146" Type="http://schemas.openxmlformats.org/officeDocument/2006/relationships/image" Target="media/image65.wmf"/><Relationship Id="rId145" Type="http://schemas.openxmlformats.org/officeDocument/2006/relationships/oleObject" Target="embeddings/oleObject51.bin"/><Relationship Id="rId144" Type="http://schemas.openxmlformats.org/officeDocument/2006/relationships/image" Target="media/image64.wmf"/><Relationship Id="rId143" Type="http://schemas.openxmlformats.org/officeDocument/2006/relationships/oleObject" Target="embeddings/oleObject50.bin"/><Relationship Id="rId142" Type="http://schemas.openxmlformats.org/officeDocument/2006/relationships/image" Target="media/image63.wmf"/><Relationship Id="rId141" Type="http://schemas.openxmlformats.org/officeDocument/2006/relationships/oleObject" Target="embeddings/oleObject49.bin"/><Relationship Id="rId140" Type="http://schemas.openxmlformats.org/officeDocument/2006/relationships/image" Target="media/image62.wmf"/><Relationship Id="rId14" Type="http://schemas.openxmlformats.org/officeDocument/2006/relationships/header" Target="header6.xml"/><Relationship Id="rId139" Type="http://schemas.openxmlformats.org/officeDocument/2006/relationships/oleObject" Target="embeddings/oleObject48.bin"/><Relationship Id="rId138" Type="http://schemas.openxmlformats.org/officeDocument/2006/relationships/image" Target="media/image61.wmf"/><Relationship Id="rId137" Type="http://schemas.openxmlformats.org/officeDocument/2006/relationships/oleObject" Target="embeddings/oleObject47.bin"/><Relationship Id="rId136" Type="http://schemas.openxmlformats.org/officeDocument/2006/relationships/image" Target="media/image60.wmf"/><Relationship Id="rId135" Type="http://schemas.openxmlformats.org/officeDocument/2006/relationships/oleObject" Target="embeddings/oleObject46.bin"/><Relationship Id="rId134" Type="http://schemas.openxmlformats.org/officeDocument/2006/relationships/image" Target="media/image59.wmf"/><Relationship Id="rId133" Type="http://schemas.openxmlformats.org/officeDocument/2006/relationships/oleObject" Target="embeddings/oleObject45.bin"/><Relationship Id="rId132" Type="http://schemas.openxmlformats.org/officeDocument/2006/relationships/image" Target="media/image58.wmf"/><Relationship Id="rId131" Type="http://schemas.openxmlformats.org/officeDocument/2006/relationships/oleObject" Target="embeddings/oleObject44.bin"/><Relationship Id="rId130" Type="http://schemas.openxmlformats.org/officeDocument/2006/relationships/image" Target="media/image57.wmf"/><Relationship Id="rId13" Type="http://schemas.openxmlformats.org/officeDocument/2006/relationships/footer" Target="footer6.xml"/><Relationship Id="rId129" Type="http://schemas.openxmlformats.org/officeDocument/2006/relationships/oleObject" Target="embeddings/oleObject43.bin"/><Relationship Id="rId128" Type="http://schemas.openxmlformats.org/officeDocument/2006/relationships/image" Target="media/image56.wmf"/><Relationship Id="rId127" Type="http://schemas.openxmlformats.org/officeDocument/2006/relationships/oleObject" Target="embeddings/oleObject42.bin"/><Relationship Id="rId126" Type="http://schemas.openxmlformats.org/officeDocument/2006/relationships/image" Target="media/image55.wmf"/><Relationship Id="rId125" Type="http://schemas.openxmlformats.org/officeDocument/2006/relationships/oleObject" Target="embeddings/oleObject41.bin"/><Relationship Id="rId124" Type="http://schemas.openxmlformats.org/officeDocument/2006/relationships/image" Target="media/image54.wmf"/><Relationship Id="rId123" Type="http://schemas.openxmlformats.org/officeDocument/2006/relationships/oleObject" Target="embeddings/oleObject40.bin"/><Relationship Id="rId122" Type="http://schemas.openxmlformats.org/officeDocument/2006/relationships/image" Target="media/image53.wmf"/><Relationship Id="rId121" Type="http://schemas.openxmlformats.org/officeDocument/2006/relationships/oleObject" Target="embeddings/oleObject39.bin"/><Relationship Id="rId120" Type="http://schemas.openxmlformats.org/officeDocument/2006/relationships/image" Target="media/image52.wmf"/><Relationship Id="rId12" Type="http://schemas.openxmlformats.org/officeDocument/2006/relationships/header" Target="header5.xml"/><Relationship Id="rId119" Type="http://schemas.openxmlformats.org/officeDocument/2006/relationships/oleObject" Target="embeddings/oleObject38.bin"/><Relationship Id="rId118" Type="http://schemas.openxmlformats.org/officeDocument/2006/relationships/image" Target="media/image51.wmf"/><Relationship Id="rId117" Type="http://schemas.openxmlformats.org/officeDocument/2006/relationships/oleObject" Target="embeddings/oleObject37.bin"/><Relationship Id="rId116" Type="http://schemas.openxmlformats.org/officeDocument/2006/relationships/image" Target="media/image50.wmf"/><Relationship Id="rId115" Type="http://schemas.openxmlformats.org/officeDocument/2006/relationships/oleObject" Target="embeddings/oleObject36.bin"/><Relationship Id="rId114" Type="http://schemas.openxmlformats.org/officeDocument/2006/relationships/image" Target="media/image49.wmf"/><Relationship Id="rId113" Type="http://schemas.openxmlformats.org/officeDocument/2006/relationships/oleObject" Target="embeddings/oleObject35.bin"/><Relationship Id="rId112" Type="http://schemas.openxmlformats.org/officeDocument/2006/relationships/image" Target="media/image48.wmf"/><Relationship Id="rId111" Type="http://schemas.openxmlformats.org/officeDocument/2006/relationships/oleObject" Target="embeddings/oleObject34.bin"/><Relationship Id="rId110" Type="http://schemas.openxmlformats.org/officeDocument/2006/relationships/image" Target="media/image47.wmf"/><Relationship Id="rId11" Type="http://schemas.openxmlformats.org/officeDocument/2006/relationships/footer" Target="footer5.xml"/><Relationship Id="rId109" Type="http://schemas.openxmlformats.org/officeDocument/2006/relationships/oleObject" Target="embeddings/oleObject33.bin"/><Relationship Id="rId108" Type="http://schemas.openxmlformats.org/officeDocument/2006/relationships/image" Target="media/image46.wmf"/><Relationship Id="rId107" Type="http://schemas.openxmlformats.org/officeDocument/2006/relationships/oleObject" Target="embeddings/oleObject32.bin"/><Relationship Id="rId106" Type="http://schemas.openxmlformats.org/officeDocument/2006/relationships/image" Target="media/image45.wmf"/><Relationship Id="rId105" Type="http://schemas.openxmlformats.org/officeDocument/2006/relationships/oleObject" Target="embeddings/oleObject31.bin"/><Relationship Id="rId104" Type="http://schemas.openxmlformats.org/officeDocument/2006/relationships/image" Target="media/image44.wmf"/><Relationship Id="rId103" Type="http://schemas.openxmlformats.org/officeDocument/2006/relationships/oleObject" Target="embeddings/oleObject30.bin"/><Relationship Id="rId102" Type="http://schemas.openxmlformats.org/officeDocument/2006/relationships/image" Target="media/image43.wmf"/><Relationship Id="rId101" Type="http://schemas.openxmlformats.org/officeDocument/2006/relationships/oleObject" Target="embeddings/oleObject29.bin"/><Relationship Id="rId100" Type="http://schemas.openxmlformats.org/officeDocument/2006/relationships/image" Target="media/image42.wmf"/><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297</Pages>
  <Words>180134</Words>
  <Characters>210018</Characters>
  <Lines>1175</Lines>
  <Paragraphs>331</Paragraphs>
  <TotalTime>11</TotalTime>
  <ScaleCrop>false</ScaleCrop>
  <LinksUpToDate>false</LinksUpToDate>
  <CharactersWithSpaces>216464</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2020-05-23T04:24:00Z</dcterms:created>
  <dc:creator>田小猫</dc:creator>
  <cp:lastModifiedBy>他。</cp:lastModifiedBy>
  <cp:lastPrinted>2023-07-31T09:45:00Z</cp:lastPrinted>
  <dcterms:modified xsi:type="dcterms:W3CDTF">2023-08-07T02:36:14Z</dcterms:modified>
  <dc:title>00</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MTWinEqns">
    <vt:bool>true</vt:bool>
  </property>
  <property fmtid="{D5CDD505-2E9C-101B-9397-08002B2CF9AE}" pid="4" name="ICV">
    <vt:lpwstr>A87789B7C6394F4584D1B6A3486FCD92_13</vt:lpwstr>
  </property>
</Properties>
</file>