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Style w:val="6"/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2"/>
        <w:widowControl/>
        <w:spacing w:line="560" w:lineRule="exact"/>
        <w:ind w:firstLine="420"/>
        <w:textAlignment w:val="baseline"/>
        <w:rPr>
          <w:rFonts w:hint="eastAsia"/>
        </w:rPr>
      </w:pPr>
    </w:p>
    <w:p>
      <w:pPr>
        <w:widowControl/>
        <w:spacing w:line="56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宜昌市十强建筑装饰企业评分标准</w:t>
      </w:r>
    </w:p>
    <w:p>
      <w:pPr>
        <w:spacing w:line="560" w:lineRule="exact"/>
        <w:textAlignment w:val="baseline"/>
        <w:rPr>
          <w:rStyle w:val="6"/>
          <w:rFonts w:ascii="仿宋_GB2312" w:hAnsi="仿宋_GB2312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"/>
          <w:sz w:val="32"/>
          <w:szCs w:val="32"/>
        </w:rPr>
        <w:t xml:space="preserve"> </w:t>
      </w:r>
      <w:r>
        <w:rPr>
          <w:rStyle w:val="6"/>
          <w:rFonts w:ascii="仿宋_GB2312" w:hAnsi="仿宋_GB2312" w:eastAsia="仿宋_GB2312"/>
          <w:sz w:val="32"/>
          <w:szCs w:val="32"/>
        </w:rPr>
        <w:t> </w:t>
      </w:r>
    </w:p>
    <w:p>
      <w:pPr>
        <w:spacing w:line="560" w:lineRule="exact"/>
        <w:textAlignment w:val="baseline"/>
        <w:rPr>
          <w:rStyle w:val="6"/>
          <w:rFonts w:ascii="仿宋" w:hAnsi="仿宋" w:eastAsia="仿宋"/>
          <w:b/>
          <w:color w:val="000000"/>
          <w:sz w:val="32"/>
          <w:szCs w:val="32"/>
        </w:rPr>
      </w:pPr>
      <w:r>
        <w:rPr>
          <w:rStyle w:val="6"/>
          <w:rFonts w:ascii="仿宋" w:hAnsi="仿宋" w:eastAsia="仿宋"/>
          <w:sz w:val="32"/>
          <w:szCs w:val="32"/>
        </w:rPr>
        <w:t>　</w:t>
      </w:r>
      <w:r>
        <w:rPr>
          <w:rStyle w:val="6"/>
          <w:rFonts w:ascii="仿宋" w:hAnsi="仿宋" w:eastAsia="仿宋"/>
          <w:color w:val="000000"/>
          <w:sz w:val="32"/>
          <w:szCs w:val="32"/>
        </w:rPr>
        <w:t>　</w:t>
      </w:r>
      <w:r>
        <w:rPr>
          <w:rStyle w:val="6"/>
          <w:rFonts w:ascii="黑体" w:hAnsi="黑体" w:eastAsia="黑体" w:cs="黑体"/>
          <w:bCs/>
          <w:color w:val="000000"/>
          <w:sz w:val="32"/>
          <w:szCs w:val="32"/>
        </w:rPr>
        <w:t>一、产值指标(</w:t>
      </w:r>
      <w:r>
        <w:rPr>
          <w:rStyle w:val="6"/>
          <w:rFonts w:eastAsia="仿宋_GB2312"/>
          <w:sz w:val="32"/>
          <w:szCs w:val="32"/>
        </w:rPr>
        <w:t>2</w:t>
      </w:r>
      <w:r>
        <w:rPr>
          <w:rStyle w:val="6"/>
          <w:rFonts w:hint="eastAsia" w:eastAsia="仿宋_GB2312"/>
          <w:sz w:val="32"/>
          <w:szCs w:val="32"/>
        </w:rPr>
        <w:t>0</w:t>
      </w:r>
      <w:r>
        <w:rPr>
          <w:rStyle w:val="6"/>
          <w:rFonts w:eastAsia="仿宋_GB2312"/>
          <w:sz w:val="32"/>
          <w:szCs w:val="32"/>
        </w:rPr>
        <w:t>分</w:t>
      </w:r>
      <w:r>
        <w:rPr>
          <w:rStyle w:val="6"/>
          <w:rFonts w:ascii="黑体" w:hAnsi="黑体" w:eastAsia="黑体" w:cs="黑体"/>
          <w:bCs/>
          <w:color w:val="000000"/>
          <w:sz w:val="32"/>
          <w:szCs w:val="32"/>
        </w:rPr>
        <w:t>)</w:t>
      </w:r>
    </w:p>
    <w:p>
      <w:pPr>
        <w:spacing w:line="560" w:lineRule="exact"/>
        <w:ind w:firstLine="640"/>
        <w:textAlignment w:val="baseline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1.完成年建筑业总产值</w:t>
      </w:r>
      <w:r>
        <w:rPr>
          <w:rStyle w:val="6"/>
          <w:rFonts w:hint="eastAsia" w:eastAsia="仿宋_GB2312"/>
          <w:sz w:val="32"/>
          <w:szCs w:val="32"/>
        </w:rPr>
        <w:t>2000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万元得基本分</w:t>
      </w:r>
      <w:r>
        <w:rPr>
          <w:rStyle w:val="6"/>
          <w:rFonts w:hint="eastAsia" w:eastAsia="仿宋_GB2312"/>
          <w:sz w:val="32"/>
          <w:szCs w:val="32"/>
        </w:rPr>
        <w:t>10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分，超过</w:t>
      </w:r>
      <w:r>
        <w:rPr>
          <w:rStyle w:val="6"/>
          <w:rFonts w:hint="eastAsia" w:eastAsia="仿宋_GB2312"/>
          <w:sz w:val="32"/>
          <w:szCs w:val="32"/>
        </w:rPr>
        <w:t>2000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万元每增加</w:t>
      </w:r>
      <w:r>
        <w:rPr>
          <w:rStyle w:val="6"/>
          <w:rFonts w:hint="eastAsia" w:eastAsia="仿宋_GB2312"/>
          <w:sz w:val="32"/>
          <w:szCs w:val="32"/>
        </w:rPr>
        <w:t>200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万元加</w:t>
      </w:r>
      <w:r>
        <w:rPr>
          <w:rStyle w:val="6"/>
          <w:rFonts w:hint="eastAsia" w:eastAsia="仿宋_GB2312"/>
          <w:sz w:val="32"/>
          <w:szCs w:val="32"/>
        </w:rPr>
        <w:t>0.5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分，最高为20分。</w:t>
      </w:r>
    </w:p>
    <w:p>
      <w:pPr>
        <w:pStyle w:val="2"/>
        <w:ind w:firstLine="640"/>
        <w:rPr>
          <w:rFonts w:hint="eastAsia"/>
        </w:rPr>
      </w:pPr>
      <w:r>
        <w:rPr>
          <w:rFonts w:hint="eastAsia" w:eastAsia="仿宋_GB2312" w:cs="仿宋_GB2312"/>
          <w:color w:val="000000"/>
          <w:sz w:val="32"/>
          <w:szCs w:val="32"/>
        </w:rPr>
        <w:t>2.产值指标统计年度以上年度为准。</w:t>
      </w:r>
    </w:p>
    <w:p>
      <w:pPr>
        <w:spacing w:line="560" w:lineRule="exact"/>
        <w:textAlignment w:val="baseline"/>
        <w:rPr>
          <w:rStyle w:val="6"/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Style w:val="6"/>
          <w:rFonts w:ascii="仿宋" w:hAnsi="仿宋" w:eastAsia="仿宋"/>
          <w:color w:val="000000"/>
          <w:sz w:val="32"/>
          <w:szCs w:val="32"/>
        </w:rPr>
        <w:t>　　</w:t>
      </w:r>
      <w:r>
        <w:rPr>
          <w:rStyle w:val="6"/>
          <w:rFonts w:ascii="黑体" w:hAnsi="黑体" w:eastAsia="黑体" w:cs="黑体"/>
          <w:bCs/>
          <w:color w:val="000000"/>
          <w:sz w:val="32"/>
          <w:szCs w:val="32"/>
        </w:rPr>
        <w:t>二、纳税指标（</w:t>
      </w:r>
      <w:r>
        <w:rPr>
          <w:rStyle w:val="6"/>
          <w:rFonts w:hint="eastAsia" w:eastAsia="仿宋_GB2312"/>
          <w:sz w:val="32"/>
          <w:szCs w:val="32"/>
        </w:rPr>
        <w:t>3</w:t>
      </w:r>
      <w:r>
        <w:rPr>
          <w:rStyle w:val="6"/>
          <w:rFonts w:eastAsia="仿宋_GB2312"/>
          <w:sz w:val="32"/>
          <w:szCs w:val="32"/>
        </w:rPr>
        <w:t>0分</w:t>
      </w:r>
      <w:r>
        <w:rPr>
          <w:rStyle w:val="6"/>
          <w:rFonts w:ascii="黑体" w:hAnsi="黑体" w:eastAsia="黑体" w:cs="黑体"/>
          <w:bCs/>
          <w:color w:val="000000"/>
          <w:sz w:val="32"/>
          <w:szCs w:val="32"/>
        </w:rPr>
        <w:t>）</w:t>
      </w:r>
    </w:p>
    <w:p>
      <w:pPr>
        <w:spacing w:line="560" w:lineRule="exact"/>
        <w:ind w:firstLine="640" w:firstLineChars="200"/>
        <w:textAlignment w:val="baseline"/>
        <w:rPr>
          <w:rStyle w:val="6"/>
          <w:rFonts w:hint="eastAsia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1.企业在本市年纳税总额</w:t>
      </w:r>
      <w:r>
        <w:rPr>
          <w:rStyle w:val="6"/>
          <w:rFonts w:eastAsia="仿宋_GB2312"/>
          <w:sz w:val="32"/>
          <w:szCs w:val="32"/>
        </w:rPr>
        <w:t>1</w:t>
      </w:r>
      <w:r>
        <w:rPr>
          <w:rStyle w:val="6"/>
          <w:rFonts w:hint="eastAsia" w:eastAsia="仿宋_GB2312"/>
          <w:sz w:val="32"/>
          <w:szCs w:val="32"/>
        </w:rPr>
        <w:t>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万元以上得基本分</w:t>
      </w:r>
      <w:r>
        <w:rPr>
          <w:rStyle w:val="6"/>
          <w:rFonts w:hint="eastAsia" w:eastAsia="仿宋_GB2312"/>
          <w:sz w:val="32"/>
          <w:szCs w:val="32"/>
        </w:rPr>
        <w:t>10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分，超过</w:t>
      </w:r>
      <w:r>
        <w:rPr>
          <w:rStyle w:val="6"/>
          <w:rFonts w:hint="eastAsia" w:eastAsia="仿宋_GB2312"/>
          <w:sz w:val="32"/>
          <w:szCs w:val="32"/>
        </w:rPr>
        <w:t>10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万元每增加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万元加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</w:t>
      </w:r>
      <w:r>
        <w:rPr>
          <w:rStyle w:val="6"/>
          <w:rFonts w:hint="eastAsia" w:eastAsia="仿宋_GB2312"/>
          <w:sz w:val="32"/>
          <w:szCs w:val="32"/>
        </w:rPr>
        <w:t>，最高为30分。</w:t>
      </w:r>
    </w:p>
    <w:p>
      <w:pPr>
        <w:pStyle w:val="2"/>
        <w:ind w:firstLine="640"/>
      </w:pPr>
      <w:r>
        <w:rPr>
          <w:rStyle w:val="6"/>
          <w:rFonts w:hint="eastAsia" w:eastAsia="仿宋_GB2312"/>
          <w:sz w:val="32"/>
          <w:szCs w:val="32"/>
        </w:rPr>
        <w:t>2.纳税指标统计年度以上年度为准。</w:t>
      </w:r>
    </w:p>
    <w:p>
      <w:pPr>
        <w:spacing w:line="560" w:lineRule="exact"/>
        <w:ind w:firstLine="640" w:firstLineChars="200"/>
        <w:textAlignment w:val="baseline"/>
        <w:rPr>
          <w:rStyle w:val="6"/>
          <w:rFonts w:ascii="黑体" w:hAnsi="黑体" w:eastAsia="黑体"/>
          <w:color w:val="000000"/>
          <w:sz w:val="32"/>
          <w:szCs w:val="32"/>
        </w:rPr>
      </w:pPr>
      <w:r>
        <w:rPr>
          <w:rStyle w:val="6"/>
          <w:rFonts w:ascii="黑体" w:hAnsi="黑体" w:eastAsia="黑体"/>
          <w:color w:val="000000"/>
          <w:sz w:val="32"/>
          <w:szCs w:val="32"/>
        </w:rPr>
        <w:t>三、表彰和工程创优指标（</w:t>
      </w:r>
      <w:r>
        <w:rPr>
          <w:rStyle w:val="6"/>
          <w:rFonts w:hint="eastAsia" w:eastAsia="仿宋_GB2312"/>
          <w:sz w:val="32"/>
          <w:szCs w:val="32"/>
        </w:rPr>
        <w:t>30</w:t>
      </w:r>
      <w:r>
        <w:rPr>
          <w:rStyle w:val="6"/>
          <w:rFonts w:hint="eastAsia" w:ascii="黑体" w:hAnsi="黑体" w:eastAsia="黑体"/>
          <w:color w:val="000000"/>
          <w:sz w:val="32"/>
          <w:szCs w:val="32"/>
        </w:rPr>
        <w:t>分</w:t>
      </w:r>
      <w:r>
        <w:rPr>
          <w:rStyle w:val="6"/>
          <w:rFonts w:ascii="黑体" w:hAnsi="黑体" w:eastAsia="黑体"/>
          <w:color w:val="000000"/>
          <w:sz w:val="32"/>
          <w:szCs w:val="32"/>
        </w:rPr>
        <w:t>）</w:t>
      </w:r>
    </w:p>
    <w:p>
      <w:pPr>
        <w:spacing w:line="560" w:lineRule="exact"/>
        <w:ind w:firstLine="640" w:firstLineChars="200"/>
        <w:textAlignment w:val="baseline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1.建筑装饰企业承接本地项目获得国优装饰工程每个加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分；省优装饰工程每个加</w:t>
      </w:r>
      <w:r>
        <w:rPr>
          <w:rStyle w:val="6"/>
          <w:rFonts w:hint="eastAsia" w:eastAsia="仿宋_GB2312"/>
          <w:sz w:val="32"/>
          <w:szCs w:val="32"/>
        </w:rPr>
        <w:t>3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分；市优装饰工程每个加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分，最高为</w:t>
      </w:r>
      <w:r>
        <w:rPr>
          <w:rStyle w:val="6"/>
          <w:rFonts w:hint="eastAsia" w:eastAsia="仿宋_GB2312"/>
          <w:sz w:val="32"/>
          <w:szCs w:val="32"/>
        </w:rPr>
        <w:t>10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分。</w:t>
      </w:r>
    </w:p>
    <w:p>
      <w:pPr>
        <w:spacing w:line="560" w:lineRule="exact"/>
        <w:ind w:firstLine="640" w:firstLineChars="200"/>
        <w:textAlignment w:val="baseline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2.建筑装饰企业获得宜昌市住房和城乡建设局表彰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次加</w:t>
      </w:r>
      <w:r>
        <w:rPr>
          <w:rStyle w:val="6"/>
          <w:rFonts w:hint="eastAsia" w:eastAsia="仿宋_GB2312"/>
          <w:sz w:val="32"/>
          <w:szCs w:val="32"/>
        </w:rPr>
        <w:t>2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分；获得中装协表彰</w:t>
      </w:r>
      <w:r>
        <w:rPr>
          <w:rStyle w:val="6"/>
          <w:rFonts w:hint="eastAsia" w:eastAsia="仿宋_GB2312"/>
          <w:sz w:val="32"/>
          <w:szCs w:val="32"/>
        </w:rPr>
        <w:t>1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次加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分；湖北省装协表彰1次加3分，最高为</w:t>
      </w:r>
      <w:r>
        <w:rPr>
          <w:rStyle w:val="6"/>
          <w:rFonts w:hint="eastAsia" w:eastAsia="仿宋_GB2312"/>
          <w:sz w:val="32"/>
          <w:szCs w:val="32"/>
        </w:rPr>
        <w:t>10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分。</w:t>
      </w:r>
    </w:p>
    <w:p>
      <w:pPr>
        <w:spacing w:line="560" w:lineRule="exact"/>
        <w:ind w:firstLine="640" w:firstLineChars="200"/>
        <w:textAlignment w:val="baseline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3.建筑装饰企业获得宜昌市建筑业协会装饰分会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A级企业加</w:t>
      </w:r>
      <w:r>
        <w:rPr>
          <w:rStyle w:val="6"/>
          <w:rFonts w:hint="eastAsia" w:eastAsia="仿宋_GB2312"/>
          <w:sz w:val="32"/>
          <w:szCs w:val="32"/>
        </w:rPr>
        <w:t>3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分；</w:t>
      </w:r>
      <w:r>
        <w:rPr>
          <w:rStyle w:val="6"/>
          <w:rFonts w:hint="eastAsia" w:eastAsia="仿宋_GB2312"/>
          <w:sz w:val="32"/>
          <w:szCs w:val="32"/>
        </w:rPr>
        <w:t>4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A级企业加</w:t>
      </w:r>
      <w:r>
        <w:rPr>
          <w:rStyle w:val="6"/>
          <w:rFonts w:hint="eastAsia" w:eastAsia="仿宋_GB2312"/>
          <w:sz w:val="32"/>
          <w:szCs w:val="32"/>
        </w:rPr>
        <w:t>2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分。</w:t>
      </w:r>
    </w:p>
    <w:p>
      <w:pPr>
        <w:pStyle w:val="2"/>
        <w:ind w:firstLine="640"/>
        <w:rPr>
          <w:rStyle w:val="6"/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4.建筑装饰企业推荐选手参加省、市装饰技能大赛，获得荆楚名匠称号的每个加5分，市级技能状元（建造名匠）称号的每个加2分。 </w:t>
      </w:r>
    </w:p>
    <w:p>
      <w:pPr>
        <w:pStyle w:val="2"/>
        <w:ind w:firstLine="640"/>
        <w:rPr>
          <w:rStyle w:val="6"/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5.以上四项得分总和最高为30分，同个项目或个人获得多个奖项的，取最高分。以上表彰、创优等获将时间以上年度为准。</w:t>
      </w:r>
    </w:p>
    <w:p>
      <w:pPr>
        <w:spacing w:line="560" w:lineRule="exact"/>
        <w:ind w:firstLine="640" w:firstLineChars="200"/>
        <w:textAlignment w:val="baseline"/>
        <w:rPr>
          <w:rStyle w:val="6"/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Style w:val="6"/>
          <w:rFonts w:ascii="黑体" w:hAnsi="黑体" w:eastAsia="黑体" w:cs="黑体"/>
          <w:bCs/>
          <w:color w:val="000000"/>
          <w:sz w:val="32"/>
          <w:szCs w:val="32"/>
        </w:rPr>
        <w:t>四、市场诚信(</w:t>
      </w:r>
      <w:r>
        <w:rPr>
          <w:rStyle w:val="6"/>
          <w:rFonts w:hint="eastAsia" w:eastAsia="仿宋_GB2312"/>
          <w:sz w:val="32"/>
          <w:szCs w:val="32"/>
        </w:rPr>
        <w:t>20</w:t>
      </w:r>
      <w:r>
        <w:rPr>
          <w:rStyle w:val="6"/>
          <w:rFonts w:ascii="黑体" w:hAnsi="黑体" w:eastAsia="黑体" w:cs="黑体"/>
          <w:bCs/>
          <w:color w:val="000000"/>
          <w:sz w:val="32"/>
          <w:szCs w:val="32"/>
        </w:rPr>
        <w:t>分)</w:t>
      </w:r>
    </w:p>
    <w:p>
      <w:pPr>
        <w:widowControl/>
        <w:spacing w:line="560" w:lineRule="exact"/>
        <w:textAlignment w:val="baseline"/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ascii="仿宋" w:hAnsi="仿宋" w:eastAsia="仿宋"/>
          <w:color w:val="000000"/>
          <w:sz w:val="32"/>
          <w:szCs w:val="32"/>
        </w:rPr>
        <w:t>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1.近两年未发生较大及以上责任性工程质量事故、安全生产事故和拖欠农民工工资的群体事件，</w:t>
      </w:r>
      <w:r>
        <w:rPr>
          <w:rStyle w:val="6"/>
          <w:rFonts w:hint="eastAsia" w:ascii="仿宋" w:hAnsi="仿宋" w:eastAsia="仿宋"/>
          <w:color w:val="000000"/>
          <w:sz w:val="32"/>
          <w:szCs w:val="32"/>
        </w:rPr>
        <w:t>未发生不</w:t>
      </w:r>
      <w:r>
        <w:rPr>
          <w:rStyle w:val="6"/>
          <w:rFonts w:hint="eastAsia" w:ascii="仿宋" w:hAnsi="仿宋" w:eastAsia="仿宋"/>
          <w:sz w:val="32"/>
          <w:szCs w:val="32"/>
        </w:rPr>
        <w:t>妥善处理装饰装修纠纷问题造成社会不良影响的行为，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加基础分</w:t>
      </w:r>
      <w:r>
        <w:rPr>
          <w:rStyle w:val="6"/>
          <w:rFonts w:hint="eastAsia" w:eastAsia="仿宋_GB2312"/>
          <w:sz w:val="32"/>
          <w:szCs w:val="32"/>
        </w:rPr>
        <w:t>5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分。</w:t>
      </w:r>
    </w:p>
    <w:p>
      <w:pPr>
        <w:widowControl/>
        <w:spacing w:line="560" w:lineRule="exact"/>
        <w:ind w:firstLine="640" w:firstLineChars="200"/>
        <w:textAlignment w:val="baseline"/>
        <w:rPr>
          <w:rStyle w:val="6"/>
          <w:rFonts w:hint="eastAsia" w:eastAsia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2.以评选委员会评审日为基准日，核定企业诚信分值，企业诚信分值在</w:t>
      </w:r>
      <w:r>
        <w:rPr>
          <w:rStyle w:val="6"/>
          <w:rFonts w:hint="eastAsia" w:eastAsia="仿宋_GB2312"/>
          <w:sz w:val="32"/>
          <w:szCs w:val="32"/>
        </w:rPr>
        <w:t>100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分以上的，加基础分</w:t>
      </w:r>
      <w:r>
        <w:rPr>
          <w:rStyle w:val="6"/>
          <w:rFonts w:hint="eastAsia" w:eastAsia="仿宋_GB2312"/>
          <w:sz w:val="32"/>
          <w:szCs w:val="32"/>
        </w:rPr>
        <w:t>10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分，每超过</w:t>
      </w:r>
      <w:r>
        <w:rPr>
          <w:rStyle w:val="6"/>
          <w:rFonts w:hint="eastAsia" w:eastAsia="仿宋_GB2312"/>
          <w:sz w:val="32"/>
          <w:szCs w:val="32"/>
        </w:rPr>
        <w:t>3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分加</w:t>
      </w:r>
      <w:r>
        <w:rPr>
          <w:rStyle w:val="6"/>
          <w:rFonts w:hint="eastAsia" w:eastAsia="仿宋_GB2312"/>
          <w:sz w:val="32"/>
          <w:szCs w:val="32"/>
        </w:rPr>
        <w:t>0.5分，最高为15分。</w:t>
      </w:r>
    </w:p>
    <w:p>
      <w:pPr>
        <w:widowControl/>
        <w:spacing w:line="560" w:lineRule="exact"/>
        <w:ind w:firstLine="640" w:firstLineChars="200"/>
        <w:textAlignment w:val="baseline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3.以上两项得分总和最高为20分。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zgwOGYyOGIxMDBkZDU3MDBiZjJmNmJiYjBhMTkifQ=="/>
  </w:docVars>
  <w:rsids>
    <w:rsidRoot w:val="1ACD5BAC"/>
    <w:rsid w:val="0C514E49"/>
    <w:rsid w:val="1ACD5BAC"/>
    <w:rsid w:val="582B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2023-11-21T09:19:00Z</dcterms:created>
  <dc:creator>Migo黄</dc:creator>
  <cp:lastModifiedBy>Migo黄</cp:lastModifiedBy>
  <dcterms:modified xsi:type="dcterms:W3CDTF">2023-11-29T08:49:34Z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28D927817B274407AADE3695CA09190B_11</vt:lpwstr>
  </property>
</Properties>
</file>