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宜昌市十强建筑企业评分标准</w:t>
      </w:r>
    </w:p>
    <w:p>
      <w:pPr>
        <w:pStyle w:val="2"/>
        <w:spacing w:line="560" w:lineRule="exact"/>
        <w:ind w:firstLine="64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一、产值指标(</w:t>
      </w:r>
      <w:r>
        <w:rPr>
          <w:rStyle w:val="6"/>
          <w:rFonts w:hint="eastAsia" w:eastAsia="黑体"/>
          <w:color w:val="000000"/>
          <w:sz w:val="32"/>
          <w:szCs w:val="32"/>
        </w:rPr>
        <w:t>20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分)</w:t>
      </w:r>
    </w:p>
    <w:p>
      <w:pPr>
        <w:spacing w:line="560" w:lineRule="exact"/>
        <w:ind w:firstLine="640" w:firstLineChars="200"/>
        <w:textAlignment w:val="baseline"/>
        <w:rPr>
          <w:rFonts w:hint="eastAsia" w:eastAsia="仿宋_GB2312" w:cs="仿宋_GB2312"/>
          <w:color w:val="000000"/>
          <w:sz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1.完成年建筑业总产值</w:t>
      </w:r>
      <w:r>
        <w:rPr>
          <w:rStyle w:val="6"/>
          <w:rFonts w:hint="eastAsia" w:eastAsia="仿宋_GB2312"/>
          <w:color w:val="000000"/>
          <w:sz w:val="32"/>
          <w:szCs w:val="32"/>
        </w:rPr>
        <w:t>10</w:t>
      </w:r>
      <w:r>
        <w:rPr>
          <w:rFonts w:hint="eastAsia" w:eastAsia="仿宋_GB2312" w:cs="仿宋_GB2312"/>
          <w:color w:val="000000"/>
          <w:sz w:val="32"/>
          <w:szCs w:val="32"/>
        </w:rPr>
        <w:t>亿元得基本分</w:t>
      </w:r>
      <w:r>
        <w:rPr>
          <w:rStyle w:val="6"/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仿宋_GB2312"/>
          <w:color w:val="000000"/>
          <w:sz w:val="32"/>
          <w:szCs w:val="32"/>
        </w:rPr>
        <w:t>分，超过</w:t>
      </w:r>
      <w:r>
        <w:rPr>
          <w:rStyle w:val="6"/>
          <w:rFonts w:hint="eastAsia" w:eastAsia="仿宋_GB2312"/>
          <w:color w:val="000000"/>
          <w:sz w:val="32"/>
          <w:szCs w:val="32"/>
        </w:rPr>
        <w:t>10</w:t>
      </w:r>
      <w:r>
        <w:rPr>
          <w:rFonts w:hint="eastAsia" w:eastAsia="仿宋_GB2312" w:cs="仿宋_GB2312"/>
          <w:color w:val="000000"/>
          <w:sz w:val="32"/>
          <w:szCs w:val="32"/>
        </w:rPr>
        <w:t>亿元每增加</w:t>
      </w:r>
      <w:r>
        <w:rPr>
          <w:rStyle w:val="6"/>
          <w:rFonts w:hint="eastAsia" w:eastAsia="仿宋_GB2312"/>
          <w:color w:val="000000"/>
          <w:sz w:val="32"/>
          <w:szCs w:val="32"/>
        </w:rPr>
        <w:t>1</w:t>
      </w:r>
      <w:r>
        <w:rPr>
          <w:rFonts w:hint="eastAsia" w:eastAsia="仿宋_GB2312" w:cs="仿宋_GB2312"/>
          <w:color w:val="000000"/>
          <w:sz w:val="32"/>
          <w:szCs w:val="32"/>
        </w:rPr>
        <w:t>亿元加</w:t>
      </w:r>
      <w:r>
        <w:rPr>
          <w:rStyle w:val="6"/>
          <w:rFonts w:hint="eastAsia" w:eastAsia="仿宋_GB2312"/>
          <w:color w:val="000000"/>
          <w:sz w:val="32"/>
          <w:szCs w:val="32"/>
        </w:rPr>
        <w:t>1</w:t>
      </w:r>
      <w:r>
        <w:rPr>
          <w:rFonts w:hint="eastAsia" w:eastAsia="仿宋_GB2312" w:cs="仿宋_GB2312"/>
          <w:color w:val="000000"/>
          <w:sz w:val="32"/>
          <w:szCs w:val="32"/>
        </w:rPr>
        <w:t>分，最高为15分</w:t>
      </w:r>
      <w:r>
        <w:rPr>
          <w:rStyle w:val="6"/>
          <w:rFonts w:hint="eastAsia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2.省外施工年产值超过5亿得3分，超过5亿每增加5000万元加0.5分，最高为5分。</w:t>
      </w:r>
    </w:p>
    <w:p>
      <w:pPr>
        <w:pStyle w:val="2"/>
        <w:ind w:firstLine="640"/>
      </w:pPr>
      <w:r>
        <w:rPr>
          <w:rFonts w:hint="eastAsia" w:eastAsia="仿宋_GB2312" w:cs="仿宋_GB2312"/>
          <w:color w:val="000000"/>
          <w:sz w:val="32"/>
          <w:szCs w:val="32"/>
        </w:rPr>
        <w:t>3.产值指标统计年度以上年度为准。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二、纳税指标（</w:t>
      </w:r>
      <w:r>
        <w:rPr>
          <w:rStyle w:val="6"/>
          <w:rFonts w:hint="eastAsia" w:eastAsia="黑体"/>
          <w:color w:val="000000"/>
          <w:sz w:val="32"/>
          <w:szCs w:val="32"/>
        </w:rPr>
        <w:t>40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分）</w:t>
      </w:r>
    </w:p>
    <w:p>
      <w:pPr>
        <w:pStyle w:val="3"/>
        <w:ind w:firstLine="640" w:firstLineChars="200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1.企业在本市年纳税额超过1000万元得基本分10分，超过1000万元每增加100万元加1分，最高为40分。</w:t>
      </w:r>
    </w:p>
    <w:p>
      <w:pPr>
        <w:pStyle w:val="3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2.纳税指标统计年度以上年度为准。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三、表彰和工程创优、科技创新指标(</w:t>
      </w:r>
      <w:r>
        <w:rPr>
          <w:rStyle w:val="6"/>
          <w:rFonts w:hint="eastAsia" w:eastAsia="黑体"/>
          <w:color w:val="000000"/>
          <w:sz w:val="32"/>
          <w:szCs w:val="32"/>
        </w:rPr>
        <w:t>25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分)</w:t>
      </w:r>
    </w:p>
    <w:p>
      <w:pPr>
        <w:widowControl/>
        <w:spacing w:line="560" w:lineRule="exact"/>
        <w:ind w:firstLine="640" w:firstLineChars="200"/>
        <w:textAlignment w:val="baseline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1.建筑企业承接本地项目获得国家级奖项（鲁班奖、国家优质工程）的得10分；获得省级奖项（楚天杯）的得5分。</w:t>
      </w:r>
    </w:p>
    <w:p>
      <w:pPr>
        <w:ind w:firstLine="640"/>
        <w:textAlignment w:val="baseline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2.建筑企业获得宜昌市住房和城乡建设局表彰1次加2分。</w:t>
      </w:r>
    </w:p>
    <w:p>
      <w:pPr>
        <w:ind w:firstLine="640"/>
        <w:textAlignment w:val="baseline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3.建筑企业承接本地项目获得湖北省建筑业新技术应用示范工程的加2分。</w:t>
      </w:r>
    </w:p>
    <w:p>
      <w:pPr>
        <w:widowControl/>
        <w:spacing w:line="560" w:lineRule="exact"/>
        <w:ind w:firstLine="640" w:firstLineChars="200"/>
        <w:textAlignment w:val="baseline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4.建筑企业承接本地项目获得绿色建筑评价标识证书二星、三星等级的分别加3分、5分。</w:t>
      </w:r>
    </w:p>
    <w:p>
      <w:pPr>
        <w:pStyle w:val="2"/>
        <w:ind w:firstLine="640"/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5.建筑企业推荐选手参加省、市技能大赛，获得荆楚名匠称号的每个加5分，市级技能状元（建造名匠）称号的每个加2分。</w:t>
      </w:r>
    </w:p>
    <w:p>
      <w:pPr>
        <w:pStyle w:val="2"/>
        <w:ind w:firstLine="640"/>
        <w:rPr>
          <w:rStyle w:val="6"/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6.以上五项得分总和最高为25分，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同个项目或个人获得多个奖项的，取最高分。以上表彰、创优等获奖时间以上年度为准。</w:t>
      </w:r>
    </w:p>
    <w:p>
      <w:pPr>
        <w:widowControl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四、市场诚信(</w:t>
      </w:r>
      <w:r>
        <w:rPr>
          <w:rStyle w:val="6"/>
          <w:rFonts w:hint="eastAsia" w:eastAsia="黑体"/>
          <w:color w:val="000000"/>
          <w:sz w:val="32"/>
          <w:szCs w:val="32"/>
        </w:rPr>
        <w:t>15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分)</w:t>
      </w:r>
    </w:p>
    <w:p>
      <w:pPr>
        <w:widowControl/>
        <w:spacing w:line="560" w:lineRule="exact"/>
        <w:ind w:firstLine="640" w:firstLineChars="200"/>
        <w:textAlignment w:val="baseline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1.近两年未发生较大及以上责任性工程质量事故、安全生产事故和拖欠农民工工资的群体事件，</w:t>
      </w: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未发生不</w:t>
      </w:r>
      <w:r>
        <w:rPr>
          <w:rStyle w:val="6"/>
          <w:rFonts w:hint="eastAsia" w:ascii="仿宋" w:hAnsi="仿宋" w:eastAsia="仿宋"/>
          <w:sz w:val="32"/>
          <w:szCs w:val="32"/>
        </w:rPr>
        <w:t>妥善处理工程建设纠纷问题造成社会不良影响的行为，</w:t>
      </w:r>
      <w:r>
        <w:rPr>
          <w:rFonts w:hint="eastAsia" w:eastAsia="仿宋_GB2312" w:cs="仿宋_GB2312"/>
          <w:color w:val="000000"/>
          <w:sz w:val="32"/>
          <w:szCs w:val="32"/>
        </w:rPr>
        <w:t>加基础分5分。</w:t>
      </w:r>
    </w:p>
    <w:p>
      <w:pPr>
        <w:widowControl/>
        <w:spacing w:line="560" w:lineRule="exact"/>
        <w:ind w:firstLine="640" w:firstLineChars="200"/>
        <w:textAlignment w:val="baseline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2.以评选委员会评审日为基准日，核定企业诚信分值，企业诚信分值在130分以上的，每超过5分加1分。</w:t>
      </w:r>
    </w:p>
    <w:p>
      <w:pPr>
        <w:ind w:firstLine="640" w:firstLineChars="200"/>
      </w:pPr>
      <w:bookmarkStart w:id="0" w:name="_GoBack"/>
      <w:bookmarkEnd w:id="0"/>
      <w:r>
        <w:rPr>
          <w:rFonts w:hint="eastAsia" w:eastAsia="仿宋_GB2312" w:cs="仿宋_GB2312"/>
          <w:color w:val="000000"/>
          <w:sz w:val="32"/>
          <w:szCs w:val="32"/>
        </w:rPr>
        <w:t>3.以上两项得分总和最高为15分。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zgwOGYyOGIxMDBkZDU3MDBiZjJmNmJiYjBhMTkifQ=="/>
  </w:docVars>
  <w:rsids>
    <w:rsidRoot w:val="093F7645"/>
    <w:rsid w:val="093F7645"/>
    <w:rsid w:val="47D4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2023-11-21T09:17:00Z</dcterms:created>
  <dc:creator>Migo黄</dc:creator>
  <cp:lastModifiedBy>Migo黄</cp:lastModifiedBy>
  <dcterms:modified xsi:type="dcterms:W3CDTF">2023-11-29T08:46:22Z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50518820873E41D69883DABEFBE41861_11</vt:lpwstr>
  </property>
</Properties>
</file>