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pPr w:leftFromText="180" w:rightFromText="180" w:topFromText="0" w:bottomFromText="0" w:horzAnchor="page" w:tblpX="1" w:tblpY="-1800"/>
        <w:tblW w:w="164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7"/>
        <w:gridCol w:w="856"/>
        <w:gridCol w:w="1107"/>
        <w:gridCol w:w="655"/>
        <w:gridCol w:w="615"/>
        <w:gridCol w:w="735"/>
        <w:gridCol w:w="465"/>
        <w:gridCol w:w="1230"/>
        <w:gridCol w:w="2625"/>
        <w:gridCol w:w="525"/>
        <w:gridCol w:w="510"/>
        <w:gridCol w:w="2880"/>
        <w:gridCol w:w="2276"/>
        <w:gridCol w:w="373"/>
        <w:gridCol w:w="171"/>
        <w:gridCol w:w="396"/>
      </w:tblGrid>
      <w:tr>
        <w:trPr>
          <w:trHeight w:val="1470" w:hRule="atLeast"/>
        </w:trPr>
        <w:tc>
          <w:tcPr>
            <w:tcW w:w="158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spacing w:lineRule="exact" w:line="540"/>
              <w:jc w:val="left"/>
              <w:rPr>
                <w:rFonts w:ascii="黑体" w:cs="黑体" w:eastAsia="黑体" w:hAnsi="黑体"/>
                <w:kern w:val="0"/>
                <w:sz w:val="32"/>
                <w:szCs w:val="32"/>
                <w:highlight w:val="none"/>
              </w:rPr>
            </w:pPr>
            <w:r>
              <w:rPr>
                <w:rFonts w:ascii="黑体" w:cs="黑体" w:eastAsia="黑体" w:hAnsi="黑体" w:hint="eastAsia"/>
                <w:kern w:val="0"/>
                <w:sz w:val="32"/>
                <w:szCs w:val="32"/>
                <w:highlight w:val="none"/>
                <w:lang w:val="en-US" w:eastAsia="zh-CN"/>
              </w:rPr>
              <w:t>附</w:t>
            </w:r>
            <w:r>
              <w:rPr>
                <w:rFonts w:ascii="黑体" w:cs="黑体" w:eastAsia="黑体" w:hAnsi="黑体" w:hint="eastAsia"/>
                <w:kern w:val="0"/>
                <w:sz w:val="32"/>
                <w:szCs w:val="32"/>
                <w:highlight w:val="none"/>
              </w:rPr>
              <w:t>件1</w:t>
            </w:r>
          </w:p>
          <w:p>
            <w:pPr>
              <w:pStyle w:val="style0"/>
              <w:widowControl/>
              <w:spacing w:lineRule="exact" w:line="540"/>
              <w:jc w:val="center"/>
              <w:rPr>
                <w:kern w:val="0"/>
                <w:sz w:val="32"/>
                <w:szCs w:val="32"/>
                <w:highlight w:val="none"/>
              </w:rPr>
            </w:pPr>
            <w:r>
              <w:rPr>
                <w:rFonts w:ascii="方正小标宋简体" w:cs="方正小标宋简体" w:eastAsia="方正小标宋简体" w:hAnsi="方正小标宋简体" w:hint="eastAsia"/>
                <w:sz w:val="44"/>
                <w:szCs w:val="44"/>
                <w:highlight w:val="none"/>
              </w:rPr>
              <w:t>点军区2024年部分事业单位专项公开招聘工作人员岗位表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kern w:val="0"/>
                <w:sz w:val="44"/>
                <w:szCs w:val="44"/>
                <w:highlight w:val="none"/>
              </w:rPr>
            </w:pPr>
          </w:p>
        </w:tc>
      </w:tr>
      <w:bookmarkStart w:id="0" w:name="_GoBack"/>
      <w:bookmarkEnd w:id="0"/>
      <w:tr>
        <w:tblPrEx/>
        <w:trPr>
          <w:gridBefore w:val="1"/>
          <w:gridAfter w:val="1"/>
          <w:wBefore w:w="567" w:type="dxa"/>
          <w:wAfter w:w="396" w:type="dxa"/>
          <w:trHeight w:val="451" w:hRule="atLeast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仿宋" w:cs="宋体" w:eastAsia="仿宋" w:hAnsi="仿宋"/>
                <w:b/>
                <w:bCs/>
                <w:kern w:val="0"/>
                <w:highlight w:val="none"/>
              </w:rPr>
            </w:pPr>
            <w:r>
              <w:rPr>
                <w:rFonts w:ascii="仿宋" w:cs="宋体" w:eastAsia="仿宋" w:hAnsi="仿宋" w:hint="eastAsia"/>
                <w:b/>
                <w:bCs/>
                <w:kern w:val="0"/>
                <w:highlight w:val="none"/>
              </w:rPr>
              <w:t>序号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b/>
                <w:bCs/>
                <w:kern w:val="0"/>
                <w:highlight w:val="none"/>
              </w:rPr>
            </w:pPr>
            <w:r>
              <w:rPr>
                <w:rFonts w:ascii="仿宋" w:cs="宋体" w:eastAsia="仿宋" w:hAnsi="仿宋" w:hint="eastAsia"/>
                <w:b/>
                <w:bCs/>
                <w:kern w:val="0"/>
                <w:highlight w:val="none"/>
              </w:rPr>
              <w:t>主管单位名称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b/>
                <w:bCs/>
                <w:kern w:val="0"/>
                <w:highlight w:val="none"/>
              </w:rPr>
            </w:pPr>
            <w:r>
              <w:rPr>
                <w:rFonts w:ascii="仿宋" w:cs="宋体" w:eastAsia="仿宋" w:hAnsi="仿宋" w:hint="eastAsia"/>
                <w:b/>
                <w:bCs/>
                <w:kern w:val="0"/>
                <w:highlight w:val="none"/>
              </w:rPr>
              <w:t>招聘单位名称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b/>
                <w:bCs/>
                <w:kern w:val="0"/>
                <w:highlight w:val="none"/>
              </w:rPr>
            </w:pPr>
            <w:r>
              <w:rPr>
                <w:rFonts w:ascii="仿宋" w:cs="宋体" w:eastAsia="仿宋" w:hAnsi="仿宋" w:hint="eastAsia"/>
                <w:b/>
                <w:bCs/>
                <w:kern w:val="0"/>
                <w:highlight w:val="none"/>
              </w:rPr>
              <w:t>招聘岗位</w:t>
            </w:r>
          </w:p>
        </w:tc>
        <w:tc>
          <w:tcPr>
            <w:tcW w:w="8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b/>
                <w:bCs/>
                <w:kern w:val="0"/>
                <w:highlight w:val="none"/>
              </w:rPr>
            </w:pPr>
            <w:r>
              <w:rPr>
                <w:rFonts w:ascii="仿宋" w:cs="宋体" w:eastAsia="仿宋" w:hAnsi="仿宋" w:hint="eastAsia"/>
                <w:b/>
                <w:bCs/>
                <w:kern w:val="0"/>
                <w:highlight w:val="none"/>
              </w:rPr>
              <w:t>报考资格条件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highlight w:val="none"/>
              </w:rPr>
            </w:pPr>
            <w:r>
              <w:rPr>
                <w:rFonts w:ascii="仿宋" w:cs="宋体" w:eastAsia="仿宋" w:hAnsi="仿宋" w:hint="eastAsia"/>
                <w:b/>
                <w:bCs/>
                <w:kern w:val="0"/>
                <w:highlight w:val="none"/>
              </w:rPr>
              <w:t>面试入围比例</w:t>
            </w:r>
          </w:p>
        </w:tc>
      </w:tr>
      <w:tr>
        <w:tblPrEx/>
        <w:trPr>
          <w:gridBefore w:val="1"/>
          <w:gridAfter w:val="1"/>
          <w:wBefore w:w="567" w:type="dxa"/>
          <w:wAfter w:w="396" w:type="dxa"/>
          <w:trHeight w:val="812" w:hRule="atLeast"/>
        </w:trPr>
        <w:tc>
          <w:tcPr>
            <w:tcW w:w="457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仿宋" w:cs="宋体" w:eastAsia="仿宋" w:hAnsi="仿宋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07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岗位类别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岗位等级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岗位名称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招聘计划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描述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岗位所需专业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544" w:type="dxa"/>
            <w:gridSpan w:val="2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</w:p>
        </w:tc>
      </w:tr>
      <w:tr>
        <w:tblPrEx/>
        <w:trPr>
          <w:gridBefore w:val="1"/>
          <w:gridAfter w:val="1"/>
          <w:wBefore w:w="567" w:type="dxa"/>
          <w:wAfter w:w="396" w:type="dxa"/>
          <w:trHeight w:val="1279" w:hRule="atLeast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60"/>
              <w:jc w:val="center"/>
              <w:rPr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宜昌市点军区教育局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宜昌市点军区教育科学研究中心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9级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管理</w:t>
            </w: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eastAsia="仿宋" w:hAnsi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从事公文写作、新闻宣传、活动策划、艺术创</w:t>
            </w: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eastAsia="zh-CN"/>
              </w:rPr>
              <w:t>作</w:t>
            </w: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等工作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研究生：中国语言文学类、艺术学类</w:t>
            </w:r>
          </w:p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本科：汉语言文学、汉语言、汉语国际教育、古典文献学、应用语言学、秘书学、中国语言与文化；录音艺术、影视摄影与制作、播音与主持艺术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30周岁及以下（即1993年1月1日及以后出生）。硕士研究生学历年龄可放宽至35周岁及以下（即1988年1月1日及以后出生）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</w:p>
          <w:p>
            <w:pPr>
              <w:pStyle w:val="style1"/>
              <w:spacing w:lineRule="exact" w:line="240"/>
              <w:ind w:left="2973" w:leftChars="0" w:right="1268" w:rightChars="0" w:hanging="1800" w:firstLineChars="0"/>
              <w:rPr>
                <w:rFonts w:ascii="仿宋" w:eastAsia="仿宋" w:hAnsi="仿宋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1:3</w:t>
            </w:r>
          </w:p>
        </w:tc>
      </w:tr>
      <w:tr>
        <w:tblPrEx/>
        <w:trPr>
          <w:gridBefore w:val="1"/>
          <w:gridAfter w:val="1"/>
          <w:wBefore w:w="567" w:type="dxa"/>
          <w:wAfter w:w="396" w:type="dxa"/>
          <w:trHeight w:val="1256" w:hRule="atLeast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60"/>
              <w:jc w:val="center"/>
              <w:rPr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/>
                <w:kern w:val="0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宜昌市点军区教育局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宜昌市点军区教育事业保障</w:t>
            </w:r>
            <w:r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  <w:t>服务</w:t>
            </w: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中心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管理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9级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管理</w:t>
            </w: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从事财务管理、劳资报账、人力资源管理等工作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研究生：工商管理类</w:t>
            </w:r>
          </w:p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本科：工商管理、会计学、财务管理、财务会计教育、人力资源管理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30周岁及以下（即1993年1月1日及以后出生）。硕士研究生学历年龄可放宽至35周岁及以下（即1988年1月1日及以后出生）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1:3</w:t>
            </w:r>
          </w:p>
        </w:tc>
      </w:tr>
      <w:tr>
        <w:tblPrEx/>
        <w:trPr>
          <w:gridBefore w:val="1"/>
          <w:gridAfter w:val="1"/>
          <w:wBefore w:w="567" w:type="dxa"/>
          <w:wAfter w:w="396" w:type="dxa"/>
          <w:trHeight w:val="1730" w:hRule="atLeast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60"/>
              <w:jc w:val="center"/>
              <w:rPr>
                <w:rFonts w:eastAsia="宋体" w:hint="eastAsia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宜昌市点军区卫生健康局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宜昌市点军区疾病预防控制中心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12级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疾病预防控制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60"/>
              <w:jc w:val="center"/>
              <w:rPr>
                <w:rFonts w:ascii="仿宋" w:cs="宋体" w:eastAsia="仿宋" w:hAnsi="仿宋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从事传染病防控和慢性非传染病防控工作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研究生：流行病与卫生统计学、劳动卫生与环境卫生学、营养与食品卫生学、公共卫生</w:t>
            </w:r>
          </w:p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 w:hint="default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本科：预防医学、食品卫生与营养学、卫生监督、全球健康学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学士及以上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30周岁及以下（即1993年1月1日及以后出生）。硕士研究生学历年龄可放宽至35周岁及以下（即1988年1月1日及以后出生）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40"/>
              <w:jc w:val="left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202</w:t>
            </w:r>
            <w:r>
              <w:rPr>
                <w:rFonts w:ascii="仿宋" w:cs="宋体" w:eastAsia="仿宋" w:hAnsi="仿宋" w:hint="default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  <w:lang w:val="en-US" w:eastAsia="zh-CN"/>
              </w:rPr>
              <w:t>年应届高校毕业生及符合择业期规定的高校毕业生。（含“三支一扶”计划、大学生志愿服务西部计划等服务基层项目前无工作经历，服务期满且考核合格后2年内的高校毕业生）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widowControl/>
              <w:spacing w:lineRule="exact" w:line="260"/>
              <w:jc w:val="center"/>
              <w:rPr>
                <w:rFonts w:ascii="仿宋" w:cs="宋体" w:eastAsia="仿宋" w:hAnsi="仿宋"/>
                <w:kern w:val="0"/>
                <w:sz w:val="18"/>
                <w:szCs w:val="18"/>
                <w:highlight w:val="none"/>
              </w:rPr>
            </w:pPr>
            <w:r>
              <w:rPr>
                <w:rFonts w:ascii="仿宋" w:cs="宋体" w:eastAsia="仿宋" w:hAnsi="仿宋" w:hint="eastAsia"/>
                <w:kern w:val="0"/>
                <w:sz w:val="18"/>
                <w:szCs w:val="18"/>
                <w:highlight w:val="none"/>
              </w:rPr>
              <w:t>1:3</w:t>
            </w:r>
          </w:p>
        </w:tc>
      </w:tr>
    </w:tbl>
    <w:p>
      <w:pPr>
        <w:pStyle w:val="style66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54" w:lineRule="exact" w:line="580"/>
        <w:ind w:left="0" w:leftChars="0" w:firstLine="0" w:firstLineChars="0"/>
        <w:textAlignment w:val="auto"/>
        <w:rPr>
          <w:rFonts w:ascii="黑体" w:cs="黑体" w:eastAsia="黑体" w:hAnsi="黑体"/>
          <w:highlight w:val="none"/>
          <w:lang w:val="en-US"/>
        </w:rPr>
      </w:pPr>
    </w:p>
    <w:sectPr>
      <w:footerReference w:type="default" r:id="rId2"/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方正仿宋_GBK"/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6545" cy="20447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rPr>
                              <w:rFonts w:ascii="仿宋_GB2312" w:cs="仿宋_GB2312" w:eastAsia="仿宋_GB2312" w:hAnsi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cs="仿宋_GB2312" w:eastAsia="仿宋_GB2312" w:hAnsi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cs="仿宋_GB2312" w:eastAsia="仿宋_GB2312" w:hAnsi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cs="仿宋_GB2312" w:eastAsia="仿宋_GB2312" w:hAnsi="仿宋_GB2312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="仿宋_GB2312" w:cs="仿宋_GB2312" w:eastAsia="仿宋_GB2312" w:hAnsi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23.35pt;height:16.1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rPr>
                        <w:rFonts w:ascii="仿宋_GB2312" w:cs="仿宋_GB2312" w:eastAsia="仿宋_GB2312" w:hAnsi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cs="仿宋_GB2312" w:eastAsia="仿宋_GB2312" w:hAnsi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cs="仿宋_GB2312" w:eastAsia="仿宋_GB2312" w:hAnsi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cs="仿宋_GB2312" w:eastAsia="仿宋_GB2312" w:hAnsi="仿宋_GB2312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="仿宋_GB2312" w:cs="仿宋_GB2312" w:eastAsia="仿宋_GB2312" w:hAnsi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  <w:lang w:val="en-US" w:bidi="ar-SA" w:eastAsia="zh-CN"/>
    </w:rPr>
  </w:style>
  <w:style w:type="paragraph" w:styleId="style1">
    <w:name w:val="heading 1"/>
    <w:basedOn w:val="style0"/>
    <w:next w:val="style0"/>
    <w:qFormat/>
    <w:uiPriority w:val="1"/>
    <w:pPr>
      <w:spacing w:before="62"/>
      <w:ind w:left="2973" w:right="1268" w:hanging="1800"/>
      <w:outlineLvl w:val="0"/>
    </w:pPr>
    <w:rPr>
      <w:rFonts w:ascii="宋体" w:cs="宋体" w:hAnsi="宋体"/>
      <w:sz w:val="40"/>
      <w:szCs w:val="40"/>
      <w:lang w:val="zh-CN" w:bidi="zh-CN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60" w:after="260" w:lineRule="atLeast" w:line="416"/>
      <w:outlineLvl w:val="2"/>
    </w:pPr>
    <w:rPr>
      <w:b/>
      <w:bCs/>
      <w:szCs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qFormat/>
    <w:uiPriority w:val="0"/>
    <w:pPr>
      <w:jc w:val="left"/>
    </w:pPr>
    <w:rPr/>
  </w:style>
  <w:style w:type="paragraph" w:styleId="style66">
    <w:name w:val="Body Text"/>
    <w:basedOn w:val="style0"/>
    <w:next w:val="style66"/>
    <w:qFormat/>
    <w:uiPriority w:val="1"/>
    <w:pPr>
      <w:ind w:left="151"/>
    </w:pPr>
    <w:rPr>
      <w:rFonts w:ascii="宋体" w:cs="宋体" w:hAnsi="宋体"/>
      <w:sz w:val="32"/>
      <w:szCs w:val="32"/>
      <w:lang w:val="zh-CN" w:bidi="zh-CN"/>
    </w:rPr>
  </w:style>
  <w:style w:type="paragraph" w:styleId="style153">
    <w:name w:val="Balloon Text"/>
    <w:basedOn w:val="style0"/>
    <w:next w:val="style153"/>
    <w:link w:val="style4100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  <w:style w:type="table" w:styleId="style154">
    <w:name w:val="Table Grid"/>
    <w:basedOn w:val="style105"/>
    <w:next w:val="style154"/>
    <w:qFormat/>
    <w:uiPriority w:val="0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563c1"/>
      <w:u w:val="single"/>
    </w:rPr>
  </w:style>
  <w:style w:type="character" w:customStyle="1" w:styleId="style4097">
    <w:name w:val="NormalCharacter"/>
    <w:next w:val="style4097"/>
    <w:qFormat/>
    <w:uiPriority w:val="0"/>
  </w:style>
  <w:style w:type="paragraph" w:customStyle="1" w:styleId="style4098">
    <w:name w:val="Table Paragraph"/>
    <w:basedOn w:val="style0"/>
    <w:next w:val="style4098"/>
    <w:qFormat/>
    <w:uiPriority w:val="1"/>
    <w:pPr>
      <w:spacing w:before="90"/>
    </w:pPr>
    <w:rPr>
      <w:rFonts w:ascii="楷体" w:cs="楷体" w:eastAsia="楷体" w:hAnsi="楷体"/>
      <w:lang w:val="zh-CN" w:bidi="zh-CN"/>
    </w:rPr>
  </w:style>
  <w:style w:type="character" w:customStyle="1" w:styleId="style4099">
    <w:name w:val="apple-converted-space"/>
    <w:basedOn w:val="style65"/>
    <w:next w:val="style4099"/>
    <w:qFormat/>
    <w:uiPriority w:val="0"/>
  </w:style>
  <w:style w:type="character" w:customStyle="1" w:styleId="style4100">
    <w:name w:val="批注框文本 字符"/>
    <w:basedOn w:val="style65"/>
    <w:next w:val="style4100"/>
    <w:link w:val="style153"/>
    <w:qFormat/>
    <w:uiPriority w:val="0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FE4FF3-88CB-41FD-B562-378BC06D6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721</Words>
  <Pages>18</Pages>
  <Characters>759</Characters>
  <Application>WPS Office</Application>
  <DocSecurity>0</DocSecurity>
  <Paragraphs>82</Paragraphs>
  <ScaleCrop>false</ScaleCrop>
  <LinksUpToDate>false</LinksUpToDate>
  <CharactersWithSpaces>761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2022-04-12T07:52:00Z</dcterms:created>
  <dc:creator>陈梦怡</dc:creator>
  <lastModifiedBy>LEM-AL00</lastModifiedBy>
  <lastPrinted>2024-07-08T06:51:00Z</lastPrinted>
  <dcterms:modified xsi:type="dcterms:W3CDTF">2024-07-09T09:11:30Z</dcterms:modified>
  <revision>63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E4915CADF8C54D988D90F474D7205B6B_13</vt:lpwstr>
  </property>
</Properties>
</file>