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adjustRightInd w:val="0"/>
        <w:snapToGrid w:val="0"/>
        <w:spacing w:line="560" w:lineRule="exact"/>
        <w:jc w:val="center"/>
        <w:rPr>
          <w:rFonts w:hint="eastAsia" w:ascii="方正小标宋简体" w:eastAsia="方正小标宋简体"/>
          <w:color w:val="000000"/>
          <w:sz w:val="44"/>
          <w:szCs w:val="44"/>
          <w:lang w:eastAsia="zh-CN"/>
        </w:rPr>
      </w:pPr>
      <w:r>
        <w:rPr>
          <w:rFonts w:hint="eastAsia" w:ascii="方正小标宋简体" w:eastAsia="方正小标宋简体"/>
          <w:color w:val="000000"/>
          <w:sz w:val="44"/>
          <w:szCs w:val="44"/>
        </w:rPr>
        <w:t>地方标准</w:t>
      </w:r>
      <w:r>
        <w:rPr>
          <w:rFonts w:hint="eastAsia" w:ascii="方正小标宋简体" w:eastAsia="方正小标宋简体"/>
          <w:color w:val="000000"/>
          <w:sz w:val="44"/>
          <w:szCs w:val="44"/>
          <w:lang w:eastAsia="zh-CN"/>
        </w:rPr>
        <w:t>研制可行性报告</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6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070" w:type="dxa"/>
            <w:noWrap w:val="0"/>
            <w:vAlign w:val="center"/>
          </w:tcPr>
          <w:p>
            <w:pPr>
              <w:keepNext w:val="0"/>
              <w:keepLines w:val="0"/>
              <w:pageBreakBefore w:val="0"/>
              <w:widowControl w:val="0"/>
              <w:kinsoku/>
              <w:wordWrap/>
              <w:overflowPunct/>
              <w:topLinePunct w:val="0"/>
              <w:autoSpaceDE/>
              <w:autoSpaceDN/>
              <w:bidi w:val="0"/>
              <w:adjustRightInd/>
              <w:snapToGrid/>
              <w:spacing w:after="120"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标准名称</w:t>
            </w:r>
          </w:p>
        </w:tc>
        <w:tc>
          <w:tcPr>
            <w:tcW w:w="6853" w:type="dxa"/>
            <w:noWrap w:val="0"/>
            <w:vAlign w:val="center"/>
          </w:tcPr>
          <w:p>
            <w:pPr>
              <w:keepNext w:val="0"/>
              <w:keepLines w:val="0"/>
              <w:pageBreakBefore w:val="0"/>
              <w:widowControl w:val="0"/>
              <w:kinsoku/>
              <w:wordWrap/>
              <w:overflowPunct/>
              <w:topLinePunct w:val="0"/>
              <w:autoSpaceDE/>
              <w:autoSpaceDN/>
              <w:bidi w:val="0"/>
              <w:adjustRightInd/>
              <w:snapToGrid/>
              <w:spacing w:after="120"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知识产权代理服务规范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2070" w:type="dxa"/>
            <w:noWrap w:val="0"/>
            <w:vAlign w:val="center"/>
          </w:tcPr>
          <w:p>
            <w:pPr>
              <w:keepNext w:val="0"/>
              <w:keepLines w:val="0"/>
              <w:pageBreakBefore w:val="0"/>
              <w:widowControl w:val="0"/>
              <w:kinsoku/>
              <w:wordWrap/>
              <w:overflowPunct/>
              <w:topLinePunct w:val="0"/>
              <w:autoSpaceDE/>
              <w:autoSpaceDN/>
              <w:bidi w:val="0"/>
              <w:adjustRightInd/>
              <w:snapToGrid/>
              <w:spacing w:after="120"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起草单位</w:t>
            </w:r>
          </w:p>
        </w:tc>
        <w:tc>
          <w:tcPr>
            <w:tcW w:w="6853" w:type="dxa"/>
            <w:noWrap w:val="0"/>
            <w:vAlign w:val="center"/>
          </w:tcPr>
          <w:p>
            <w:pPr>
              <w:keepNext w:val="0"/>
              <w:keepLines w:val="0"/>
              <w:pageBreakBefore w:val="0"/>
              <w:widowControl w:val="0"/>
              <w:kinsoku/>
              <w:wordWrap/>
              <w:overflowPunct/>
              <w:topLinePunct w:val="0"/>
              <w:autoSpaceDE/>
              <w:autoSpaceDN/>
              <w:bidi w:val="0"/>
              <w:adjustRightInd/>
              <w:snapToGrid/>
              <w:spacing w:after="120"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宜昌市知识产权保护和服务中心、</w:t>
            </w:r>
            <w:r>
              <w:rPr>
                <w:rFonts w:hint="eastAsia" w:ascii="宋体" w:hAnsi="宋体" w:eastAsia="宋体" w:cs="宋体"/>
                <w:sz w:val="21"/>
                <w:szCs w:val="21"/>
                <w:lang w:val="en-US" w:eastAsia="zh-CN"/>
              </w:rPr>
              <w:t>宜昌市三峡专利事务所、重庆中之信知识产权代理事务所宜昌分所、湖北弘旺商标事务所、湖北三峡知识产权运营服务有限公司、</w:t>
            </w:r>
            <w:r>
              <w:rPr>
                <w:rFonts w:hint="eastAsia" w:ascii="宋体" w:hAnsi="宋体" w:cs="宋体"/>
                <w:sz w:val="21"/>
                <w:szCs w:val="21"/>
                <w:lang w:val="en-US" w:eastAsia="zh-CN"/>
              </w:rPr>
              <w:t>湖北三峡</w:t>
            </w:r>
            <w:r>
              <w:rPr>
                <w:rFonts w:hint="eastAsia" w:ascii="宋体" w:hAnsi="宋体" w:eastAsia="宋体" w:cs="宋体"/>
                <w:sz w:val="21"/>
                <w:szCs w:val="21"/>
                <w:lang w:val="en-US" w:eastAsia="zh-CN"/>
              </w:rPr>
              <w:t>水利水电知识产权</w:t>
            </w:r>
            <w:r>
              <w:rPr>
                <w:rFonts w:hint="eastAsia" w:ascii="宋体" w:hAnsi="宋体" w:cs="宋体"/>
                <w:sz w:val="21"/>
                <w:szCs w:val="21"/>
                <w:lang w:val="en-US" w:eastAsia="zh-CN"/>
              </w:rPr>
              <w:t>运营有限公司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2" w:hRule="atLeast"/>
          <w:jc w:val="center"/>
        </w:trPr>
        <w:tc>
          <w:tcPr>
            <w:tcW w:w="8923"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120" w:line="3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一.</w:t>
            </w:r>
            <w:r>
              <w:rPr>
                <w:rFonts w:hint="eastAsia" w:ascii="宋体" w:hAnsi="宋体" w:eastAsia="宋体" w:cs="宋体"/>
                <w:sz w:val="21"/>
                <w:szCs w:val="21"/>
              </w:rPr>
              <w:t>项目简介</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120" w:line="300" w:lineRule="exact"/>
              <w:ind w:firstLine="421"/>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1.研究背景。</w:t>
            </w:r>
            <w:r>
              <w:rPr>
                <w:rFonts w:hint="eastAsia" w:ascii="宋体" w:hAnsi="宋体" w:eastAsia="宋体" w:cs="宋体"/>
                <w:b w:val="0"/>
                <w:bCs w:val="0"/>
                <w:sz w:val="21"/>
                <w:szCs w:val="21"/>
                <w:lang w:val="en-US" w:eastAsia="zh-CN"/>
              </w:rPr>
              <w:t>宜昌市知识产权服务业具有代理资质的知识产权服务机构共58家，其中商标代理服务机构50家，专利代理服务机构10家（2家既有商标代理资质又有专利代理资质）。目前，我市知识产权事业快速发展，其中专利申请量每年达到1万件以上，2023年商标申请量达到12070件。同时，我们国家正在加强知识产权中介服务机构的规范运用，促进知识产权代理服务业健康发展。</w:t>
            </w:r>
          </w:p>
          <w:p>
            <w:pPr>
              <w:keepNext w:val="0"/>
              <w:keepLines w:val="0"/>
              <w:pageBreakBefore w:val="0"/>
              <w:widowControl w:val="0"/>
              <w:kinsoku/>
              <w:wordWrap/>
              <w:overflowPunct/>
              <w:topLinePunct w:val="0"/>
              <w:autoSpaceDE/>
              <w:autoSpaceDN/>
              <w:bidi w:val="0"/>
              <w:adjustRightInd/>
              <w:snapToGrid/>
              <w:spacing w:after="120" w:line="300" w:lineRule="exact"/>
              <w:ind w:firstLine="421"/>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目前，全国部分城市出台了代理服务机构的相关标准，知识产权代理机构存在着恶意竞争、非正常专利申请、恶意注册商标等行为，严重损害了正规代理机构的合法权益，同时对我市知识产权代理服务业发展造成了损害，这种情况急需要出台相关地方标准，引导中介服务机构健康发展。我市没有成立知识产权服务业协会，没有相关规范为依据，行业自律能力没有得到充分发挥。</w:t>
            </w:r>
          </w:p>
          <w:p>
            <w:pPr>
              <w:keepNext w:val="0"/>
              <w:keepLines w:val="0"/>
              <w:pageBreakBefore w:val="0"/>
              <w:widowControl w:val="0"/>
              <w:kinsoku/>
              <w:wordWrap/>
              <w:overflowPunct/>
              <w:topLinePunct w:val="0"/>
              <w:autoSpaceDE/>
              <w:autoSpaceDN/>
              <w:bidi w:val="0"/>
              <w:adjustRightInd/>
              <w:snapToGrid/>
              <w:spacing w:after="120" w:line="300" w:lineRule="exact"/>
              <w:ind w:firstLine="421"/>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因此，制定出台知识产权代理服务规范对我市知识产权健康发展具有重要意义，可以促进我市中介服务机构依靠服务规范进行健康经营、合规经营，也能够推动知识产权服务业发挥自身行业自律作用，推动知识产权事业高质量发展，推动我市高质量创造，具有多方面的重要作用。</w:t>
            </w:r>
          </w:p>
          <w:p>
            <w:pPr>
              <w:keepNext w:val="0"/>
              <w:keepLines w:val="0"/>
              <w:pageBreakBefore w:val="0"/>
              <w:widowControl w:val="0"/>
              <w:numPr>
                <w:ilvl w:val="0"/>
                <w:numId w:val="0"/>
              </w:numPr>
              <w:kinsoku/>
              <w:wordWrap/>
              <w:overflowPunct/>
              <w:topLinePunct w:val="0"/>
              <w:autoSpaceDE/>
              <w:autoSpaceDN/>
              <w:bidi w:val="0"/>
              <w:adjustRightInd/>
              <w:snapToGrid/>
              <w:spacing w:after="120" w:line="300" w:lineRule="exact"/>
              <w:ind w:firstLine="39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2.标准主要内容。</w:t>
            </w:r>
            <w:r>
              <w:rPr>
                <w:rFonts w:hint="eastAsia" w:ascii="宋体" w:hAnsi="宋体" w:eastAsia="宋体" w:cs="宋体"/>
                <w:sz w:val="21"/>
                <w:szCs w:val="21"/>
              </w:rPr>
              <w:t>本标准规定了知识产权代理服务的基本要求、服务内容及要求、服务流程、评价改进、服务禁止、争议解决、投诉处理及机构监管。</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rPr>
            </w:pPr>
            <w:r>
              <w:rPr>
                <w:rFonts w:hint="eastAsia" w:ascii="宋体" w:hAnsi="宋体" w:eastAsia="宋体" w:cs="宋体"/>
                <w:sz w:val="21"/>
                <w:szCs w:val="21"/>
              </w:rPr>
              <w:t>（1）知识产权代理服务的基本要求。</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包括</w:t>
            </w:r>
            <w:r>
              <w:rPr>
                <w:rFonts w:hint="eastAsia" w:ascii="宋体" w:hAnsi="宋体" w:eastAsia="宋体" w:cs="宋体"/>
                <w:sz w:val="21"/>
                <w:szCs w:val="21"/>
              </w:rPr>
              <w:t>知识产权代理机构</w:t>
            </w:r>
            <w:r>
              <w:rPr>
                <w:rFonts w:hint="eastAsia" w:ascii="宋体" w:hAnsi="宋体" w:eastAsia="宋体" w:cs="宋体"/>
                <w:sz w:val="21"/>
                <w:szCs w:val="21"/>
                <w:lang w:eastAsia="zh-CN"/>
              </w:rPr>
              <w:t>及从业人员</w:t>
            </w:r>
            <w:r>
              <w:rPr>
                <w:rFonts w:hint="eastAsia" w:ascii="宋体" w:hAnsi="宋体" w:eastAsia="宋体" w:cs="宋体"/>
                <w:sz w:val="21"/>
                <w:szCs w:val="21"/>
                <w:lang w:val="en-US" w:eastAsia="zh-CN"/>
              </w:rPr>
              <w:t>等内容</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rPr>
            </w:pPr>
            <w:r>
              <w:rPr>
                <w:rFonts w:hint="eastAsia" w:ascii="宋体" w:hAnsi="宋体" w:eastAsia="宋体" w:cs="宋体"/>
                <w:sz w:val="21"/>
                <w:szCs w:val="21"/>
              </w:rPr>
              <w:t>（2）服务内容及要求。</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包括专利代理服务、商标代理服务、分级服务等内容和要求</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rPr>
            </w:pPr>
            <w:r>
              <w:rPr>
                <w:rFonts w:hint="eastAsia" w:ascii="宋体" w:hAnsi="宋体" w:eastAsia="宋体" w:cs="宋体"/>
                <w:sz w:val="21"/>
                <w:szCs w:val="21"/>
              </w:rPr>
              <w:t>（3）服务流程。</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包括服务接洽、合同确定、提供方案、服务实施、成果交付等主要流程</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rPr>
            </w:pPr>
            <w:r>
              <w:rPr>
                <w:rFonts w:hint="eastAsia" w:ascii="宋体" w:hAnsi="宋体" w:eastAsia="宋体" w:cs="宋体"/>
                <w:sz w:val="21"/>
                <w:szCs w:val="21"/>
              </w:rPr>
              <w:t>（4）评价改进。</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主要包括服务评价改进的方式、渠道以及结果运用。</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rPr>
            </w:pPr>
            <w:r>
              <w:rPr>
                <w:rFonts w:hint="eastAsia" w:ascii="宋体" w:hAnsi="宋体" w:eastAsia="宋体" w:cs="宋体"/>
                <w:sz w:val="21"/>
                <w:szCs w:val="21"/>
              </w:rPr>
              <w:t>（5）服务禁止。</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包括：</w:t>
            </w:r>
            <w:r>
              <w:rPr>
                <w:rFonts w:hint="eastAsia" w:ascii="宋体" w:hAnsi="宋体" w:eastAsia="宋体" w:cs="宋体"/>
                <w:sz w:val="21"/>
                <w:szCs w:val="21"/>
              </w:rPr>
              <w:t>不得无资质从事代理服务</w:t>
            </w:r>
            <w:r>
              <w:rPr>
                <w:rFonts w:hint="eastAsia" w:ascii="宋体" w:hAnsi="宋体" w:eastAsia="宋体" w:cs="宋体"/>
                <w:sz w:val="21"/>
                <w:szCs w:val="21"/>
                <w:lang w:eastAsia="zh-CN"/>
              </w:rPr>
              <w:t>；</w:t>
            </w:r>
            <w:r>
              <w:rPr>
                <w:rFonts w:hint="eastAsia" w:ascii="宋体" w:hAnsi="宋体" w:eastAsia="宋体" w:cs="宋体"/>
                <w:sz w:val="21"/>
                <w:szCs w:val="21"/>
              </w:rPr>
              <w:t>不得从事国家禁止的行为，包括恶意抢注行为、非正常申请、伪造申请资料等</w:t>
            </w:r>
            <w:r>
              <w:rPr>
                <w:rFonts w:hint="eastAsia" w:ascii="宋体" w:hAnsi="宋体" w:eastAsia="宋体" w:cs="宋体"/>
                <w:sz w:val="21"/>
                <w:szCs w:val="21"/>
                <w:lang w:eastAsia="zh-CN"/>
              </w:rPr>
              <w:t>；</w:t>
            </w:r>
            <w:r>
              <w:rPr>
                <w:rFonts w:hint="eastAsia" w:ascii="宋体" w:hAnsi="宋体" w:eastAsia="宋体" w:cs="宋体"/>
                <w:sz w:val="21"/>
                <w:szCs w:val="21"/>
              </w:rPr>
              <w:t>不得恶意竞争，如恶意压低代理费用、商业诋毁等</w:t>
            </w:r>
            <w:r>
              <w:rPr>
                <w:rFonts w:hint="eastAsia" w:ascii="宋体" w:hAnsi="宋体" w:eastAsia="宋体" w:cs="宋体"/>
                <w:sz w:val="21"/>
                <w:szCs w:val="21"/>
                <w:lang w:eastAsia="zh-CN"/>
              </w:rPr>
              <w:t>；</w:t>
            </w:r>
            <w:r>
              <w:rPr>
                <w:rFonts w:hint="eastAsia" w:ascii="宋体" w:hAnsi="宋体" w:eastAsia="宋体" w:cs="宋体"/>
                <w:sz w:val="21"/>
                <w:szCs w:val="21"/>
              </w:rPr>
              <w:t>不得违法法律法规、行业规则、职业道德等。</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）争议解决。</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rPr>
            </w:pPr>
            <w:r>
              <w:rPr>
                <w:rFonts w:hint="eastAsia" w:ascii="宋体" w:hAnsi="宋体" w:eastAsia="宋体" w:cs="宋体"/>
                <w:sz w:val="21"/>
                <w:szCs w:val="21"/>
              </w:rPr>
              <w:t>协商</w:t>
            </w:r>
            <w:r>
              <w:rPr>
                <w:rFonts w:hint="eastAsia" w:ascii="宋体" w:hAnsi="宋体" w:eastAsia="宋体" w:cs="宋体"/>
                <w:sz w:val="21"/>
                <w:szCs w:val="21"/>
                <w:lang w:eastAsia="zh-CN"/>
              </w:rPr>
              <w:t>：</w:t>
            </w:r>
            <w:r>
              <w:rPr>
                <w:rFonts w:hint="eastAsia" w:ascii="宋体" w:hAnsi="宋体" w:eastAsia="宋体" w:cs="宋体"/>
                <w:sz w:val="21"/>
                <w:szCs w:val="21"/>
              </w:rPr>
              <w:t>代理服务合同出现纠纷后，代理机构应当积极与客户协商沟通，尽力实现纠纷和解。</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rPr>
            </w:pPr>
            <w:r>
              <w:rPr>
                <w:rFonts w:hint="eastAsia" w:ascii="宋体" w:hAnsi="宋体" w:eastAsia="宋体" w:cs="宋体"/>
                <w:sz w:val="21"/>
                <w:szCs w:val="21"/>
              </w:rPr>
              <w:t>调解</w:t>
            </w:r>
            <w:r>
              <w:rPr>
                <w:rFonts w:hint="eastAsia" w:ascii="宋体" w:hAnsi="宋体" w:eastAsia="宋体" w:cs="宋体"/>
                <w:sz w:val="21"/>
                <w:szCs w:val="21"/>
                <w:lang w:eastAsia="zh-CN"/>
              </w:rPr>
              <w:t>：</w:t>
            </w:r>
            <w:r>
              <w:rPr>
                <w:rFonts w:hint="eastAsia" w:ascii="宋体" w:hAnsi="宋体" w:eastAsia="宋体" w:cs="宋体"/>
                <w:sz w:val="21"/>
                <w:szCs w:val="21"/>
              </w:rPr>
              <w:t>代理服务合同出现纠纷后，双方均可以申请行政管理部门或其他机构进行调解。</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rPr>
            </w:pPr>
            <w:r>
              <w:rPr>
                <w:rFonts w:hint="eastAsia" w:ascii="宋体" w:hAnsi="宋体" w:eastAsia="宋体" w:cs="宋体"/>
                <w:sz w:val="21"/>
                <w:szCs w:val="21"/>
              </w:rPr>
              <w:t>仲裁</w:t>
            </w:r>
            <w:r>
              <w:rPr>
                <w:rFonts w:hint="eastAsia" w:ascii="宋体" w:hAnsi="宋体" w:eastAsia="宋体" w:cs="宋体"/>
                <w:sz w:val="21"/>
                <w:szCs w:val="21"/>
                <w:lang w:eastAsia="zh-CN"/>
              </w:rPr>
              <w:t>：</w:t>
            </w:r>
            <w:r>
              <w:rPr>
                <w:rFonts w:hint="eastAsia" w:ascii="宋体" w:hAnsi="宋体" w:eastAsia="宋体" w:cs="宋体"/>
                <w:sz w:val="21"/>
                <w:szCs w:val="21"/>
              </w:rPr>
              <w:t>代理服务合同出现纠纷后，可依据合同中有效仲裁条款申请仲裁。</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rPr>
            </w:pPr>
            <w:r>
              <w:rPr>
                <w:rFonts w:hint="eastAsia" w:ascii="宋体" w:hAnsi="宋体" w:eastAsia="宋体" w:cs="宋体"/>
                <w:sz w:val="21"/>
                <w:szCs w:val="21"/>
              </w:rPr>
              <w:t>诉讼</w:t>
            </w:r>
            <w:r>
              <w:rPr>
                <w:rFonts w:hint="eastAsia" w:ascii="宋体" w:hAnsi="宋体" w:eastAsia="宋体" w:cs="宋体"/>
                <w:sz w:val="21"/>
                <w:szCs w:val="21"/>
                <w:lang w:eastAsia="zh-CN"/>
              </w:rPr>
              <w:t>：</w:t>
            </w:r>
            <w:r>
              <w:rPr>
                <w:rFonts w:hint="eastAsia" w:ascii="宋体" w:hAnsi="宋体" w:eastAsia="宋体" w:cs="宋体"/>
                <w:sz w:val="21"/>
                <w:szCs w:val="21"/>
              </w:rPr>
              <w:t>代理服务合同出现纠纷后，当事人有权向法院提起诉讼。</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）投诉举报。</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主要包括投诉举报、处理、反馈及改进。</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（8）机构监管。</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主要包括监管机构、监管方式与违法处理。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3"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120" w:line="3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二.</w:t>
            </w:r>
            <w:r>
              <w:rPr>
                <w:rFonts w:hint="eastAsia" w:ascii="宋体" w:hAnsi="宋体" w:eastAsia="宋体" w:cs="宋体"/>
                <w:sz w:val="21"/>
                <w:szCs w:val="21"/>
              </w:rPr>
              <w:t>技术路线</w:t>
            </w:r>
            <w:r>
              <w:rPr>
                <w:rFonts w:hint="eastAsia" w:ascii="宋体" w:hAnsi="宋体" w:eastAsia="宋体" w:cs="宋体"/>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120" w:line="300" w:lineRule="exact"/>
              <w:ind w:firstLine="39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规范是宜昌市知识产权保护和服务中心在长期实际工作基础上，根据《中华人民共和国专利法》、《中华人民共和国商标法》《专利代理条例》等法律法规，结合我市知识产权服务业实际情况，对知识产权代理服务的基本要求、服务内容及要求、服务流程、评价改进、服务禁止、争议解决、投诉处理及机构监管进行标准化规范。</w:t>
            </w:r>
          </w:p>
          <w:p>
            <w:pPr>
              <w:keepNext w:val="0"/>
              <w:keepLines w:val="0"/>
              <w:pageBreakBefore w:val="0"/>
              <w:widowControl w:val="0"/>
              <w:numPr>
                <w:ilvl w:val="0"/>
                <w:numId w:val="0"/>
              </w:numPr>
              <w:kinsoku/>
              <w:wordWrap/>
              <w:overflowPunct/>
              <w:topLinePunct w:val="0"/>
              <w:autoSpaceDE/>
              <w:autoSpaceDN/>
              <w:bidi w:val="0"/>
              <w:adjustRightInd/>
              <w:snapToGrid/>
              <w:spacing w:after="120" w:line="300" w:lineRule="exact"/>
              <w:ind w:firstLine="39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规范知识产权代理服务业工作是落实国家知识产权强国战略、强省建设及优化营商环境的重要举措，有利于规范知识产权服务业合法经营、促进知识产权服务业健康发展、推动知识产权事业高质量发展。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923"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120" w:line="3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标准比对</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目前国内山东省枣庄市制定了</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DB3704/T 0018-2023 《知识产权代理服务规范》，相较而言，本标准内容更具体，实操性更强；覆盖面更广，</w:t>
            </w:r>
            <w:r>
              <w:rPr>
                <w:rFonts w:hint="eastAsia" w:ascii="宋体" w:hAnsi="宋体" w:eastAsia="宋体" w:cs="宋体"/>
                <w:b w:val="0"/>
                <w:bCs w:val="0"/>
                <w:sz w:val="21"/>
                <w:szCs w:val="21"/>
                <w:lang w:val="en-US" w:eastAsia="zh-CN"/>
              </w:rPr>
              <w:t>涵盖了专利、商标、著作权等所有知识产权类别，</w:t>
            </w:r>
            <w:r>
              <w:rPr>
                <w:rFonts w:hint="eastAsia" w:ascii="宋体" w:hAnsi="宋体" w:eastAsia="宋体" w:cs="宋体"/>
                <w:sz w:val="21"/>
                <w:szCs w:val="21"/>
                <w:lang w:val="en-US" w:eastAsia="zh-CN"/>
              </w:rPr>
              <w:t>能够更好的规范知识产权代理服务行业。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8923"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120" w:line="3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四.</w:t>
            </w:r>
            <w:r>
              <w:rPr>
                <w:rFonts w:hint="eastAsia" w:ascii="宋体" w:hAnsi="宋体" w:eastAsia="宋体" w:cs="宋体"/>
                <w:sz w:val="21"/>
                <w:szCs w:val="21"/>
              </w:rPr>
              <w:t>风险分析</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120" w:line="300" w:lineRule="exact"/>
              <w:ind w:firstLine="392" w:firstLineChars="200"/>
              <w:textAlignment w:val="auto"/>
              <w:rPr>
                <w:rFonts w:hint="eastAsia" w:ascii="宋体" w:hAnsi="宋体" w:eastAsia="宋体" w:cs="宋体"/>
                <w:sz w:val="21"/>
                <w:szCs w:val="21"/>
                <w:lang w:eastAsia="zh-CN"/>
              </w:rPr>
            </w:pPr>
            <w:r>
              <w:rPr>
                <w:rFonts w:hint="eastAsia" w:ascii="宋体" w:hAnsi="宋体" w:eastAsia="宋体" w:cs="宋体"/>
                <w:b w:val="0"/>
                <w:bCs w:val="0"/>
                <w:sz w:val="21"/>
                <w:szCs w:val="21"/>
                <w:lang w:val="en-US" w:eastAsia="zh-CN"/>
              </w:rPr>
              <w:t>本标准的制定有利于规范知识产权服务业合法经营、促进知识产权服务业健康发展、推动知识产权事业高质量发展，不会造成负面影响。文件中的内容通过规范性引用而构成本文件必不可少的条款。其中，注日期的引用文件，仅该日期对应的版本适用于本文件；不注日期的引用文件，其最新版本（包括所有的修改单）适用于本文件。</w:t>
            </w:r>
          </w:p>
        </w:tc>
      </w:tr>
    </w:tbl>
    <w:p>
      <w:bookmarkStart w:id="0" w:name="_GoBack"/>
      <w:bookmarkEnd w:id="0"/>
    </w:p>
    <w:sectPr>
      <w:footerReference r:id="rId3" w:type="default"/>
      <w:pgSz w:w="11906" w:h="16838"/>
      <w:pgMar w:top="2098" w:right="1474" w:bottom="1701" w:left="1587" w:header="720" w:footer="992" w:gutter="0"/>
      <w:pgBorders>
        <w:top w:val="none" w:sz="0" w:space="0"/>
        <w:left w:val="none" w:sz="0" w:space="0"/>
        <w:bottom w:val="none" w:sz="0" w:space="0"/>
        <w:right w:val="none" w:sz="0" w:space="0"/>
      </w:pgBorders>
      <w:pgNumType w:fmt="decimal"/>
      <w:cols w:space="0" w:num="1"/>
      <w:formProt w:val="1"/>
      <w:rtlGutter w:val="0"/>
      <w:docGrid w:type="linesAndChars" w:linePitch="554" w:charSpace="-3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ZDIwOTU5ZDNiMjM1ODQ1NDkxYjk2YWI4NjIzMDUifQ=="/>
    <w:docVar w:name="KSO_WPS_MARK_KEY" w:val="e10dbc52-7d60-4d22-97c8-fdcf22dec8b5"/>
  </w:docVars>
  <w:rsids>
    <w:rsidRoot w:val="12D478E1"/>
    <w:rsid w:val="00522102"/>
    <w:rsid w:val="0224362A"/>
    <w:rsid w:val="032F04D8"/>
    <w:rsid w:val="03F62DA4"/>
    <w:rsid w:val="055617D1"/>
    <w:rsid w:val="0808754A"/>
    <w:rsid w:val="08B94C58"/>
    <w:rsid w:val="09BE5EA3"/>
    <w:rsid w:val="09CB4CD3"/>
    <w:rsid w:val="09CD45A7"/>
    <w:rsid w:val="09ED770C"/>
    <w:rsid w:val="0AF049F1"/>
    <w:rsid w:val="0B472137"/>
    <w:rsid w:val="0FD41923"/>
    <w:rsid w:val="10F8282A"/>
    <w:rsid w:val="12D478E1"/>
    <w:rsid w:val="13EB21F9"/>
    <w:rsid w:val="16A36DBB"/>
    <w:rsid w:val="1AF71484"/>
    <w:rsid w:val="1B0F0EC3"/>
    <w:rsid w:val="1B41517C"/>
    <w:rsid w:val="1BE93690"/>
    <w:rsid w:val="1C252021"/>
    <w:rsid w:val="1C4F3541"/>
    <w:rsid w:val="1DAF24EA"/>
    <w:rsid w:val="1E4F15D7"/>
    <w:rsid w:val="1EB22470"/>
    <w:rsid w:val="1F2111C5"/>
    <w:rsid w:val="21306630"/>
    <w:rsid w:val="21C42C8D"/>
    <w:rsid w:val="23FC7B0B"/>
    <w:rsid w:val="2423778D"/>
    <w:rsid w:val="24311EAA"/>
    <w:rsid w:val="25641E0C"/>
    <w:rsid w:val="273060C7"/>
    <w:rsid w:val="282B20BD"/>
    <w:rsid w:val="28687220"/>
    <w:rsid w:val="28F6721F"/>
    <w:rsid w:val="2C532BDA"/>
    <w:rsid w:val="2C626979"/>
    <w:rsid w:val="2D3B0E27"/>
    <w:rsid w:val="2E35A820"/>
    <w:rsid w:val="2E3A26FC"/>
    <w:rsid w:val="2E471E18"/>
    <w:rsid w:val="2FF87D20"/>
    <w:rsid w:val="30801AC4"/>
    <w:rsid w:val="316A07AA"/>
    <w:rsid w:val="345C0152"/>
    <w:rsid w:val="35C14114"/>
    <w:rsid w:val="35DB559B"/>
    <w:rsid w:val="379A790F"/>
    <w:rsid w:val="38F54FFF"/>
    <w:rsid w:val="396A50BF"/>
    <w:rsid w:val="39E6508D"/>
    <w:rsid w:val="3A231E3E"/>
    <w:rsid w:val="3A7D77A0"/>
    <w:rsid w:val="3A7E52C6"/>
    <w:rsid w:val="3A8723CC"/>
    <w:rsid w:val="3AE64984"/>
    <w:rsid w:val="3C4B11D8"/>
    <w:rsid w:val="3E850407"/>
    <w:rsid w:val="3F686A1D"/>
    <w:rsid w:val="40672358"/>
    <w:rsid w:val="42B5384F"/>
    <w:rsid w:val="4689127A"/>
    <w:rsid w:val="468A0B4E"/>
    <w:rsid w:val="47FE3E2D"/>
    <w:rsid w:val="4A522065"/>
    <w:rsid w:val="4A595408"/>
    <w:rsid w:val="4AB97C54"/>
    <w:rsid w:val="4E9B5FEF"/>
    <w:rsid w:val="4F806F93"/>
    <w:rsid w:val="51053BF3"/>
    <w:rsid w:val="51B86396"/>
    <w:rsid w:val="532F31A9"/>
    <w:rsid w:val="565C6063"/>
    <w:rsid w:val="574D00A2"/>
    <w:rsid w:val="581035A9"/>
    <w:rsid w:val="581F7B5F"/>
    <w:rsid w:val="590F1AB3"/>
    <w:rsid w:val="59BE5287"/>
    <w:rsid w:val="5A2A6479"/>
    <w:rsid w:val="5BC07095"/>
    <w:rsid w:val="5BCE7A03"/>
    <w:rsid w:val="5CE40B61"/>
    <w:rsid w:val="5DBB5D65"/>
    <w:rsid w:val="61016185"/>
    <w:rsid w:val="645B2050"/>
    <w:rsid w:val="648962B6"/>
    <w:rsid w:val="650D069A"/>
    <w:rsid w:val="65D336CE"/>
    <w:rsid w:val="665F56FC"/>
    <w:rsid w:val="666568F9"/>
    <w:rsid w:val="6804655B"/>
    <w:rsid w:val="687C07E7"/>
    <w:rsid w:val="68957D56"/>
    <w:rsid w:val="68CA77A4"/>
    <w:rsid w:val="691D5B26"/>
    <w:rsid w:val="6A1C4030"/>
    <w:rsid w:val="6AFD14CE"/>
    <w:rsid w:val="6BB6317A"/>
    <w:rsid w:val="6BDF70C3"/>
    <w:rsid w:val="6C183322"/>
    <w:rsid w:val="6C9C1458"/>
    <w:rsid w:val="6D4F2026"/>
    <w:rsid w:val="6ECF1472"/>
    <w:rsid w:val="6EDB4E83"/>
    <w:rsid w:val="6FC6DBE2"/>
    <w:rsid w:val="6FD131C7"/>
    <w:rsid w:val="712639CA"/>
    <w:rsid w:val="75365126"/>
    <w:rsid w:val="755F74C6"/>
    <w:rsid w:val="75D25EEA"/>
    <w:rsid w:val="762A53DF"/>
    <w:rsid w:val="76A553AD"/>
    <w:rsid w:val="79314C86"/>
    <w:rsid w:val="7A4D1FE3"/>
    <w:rsid w:val="7B07727D"/>
    <w:rsid w:val="7B1E08E2"/>
    <w:rsid w:val="7BA619AB"/>
    <w:rsid w:val="7BFFEAEF"/>
    <w:rsid w:val="7C374259"/>
    <w:rsid w:val="87FDA215"/>
    <w:rsid w:val="BDBC685F"/>
    <w:rsid w:val="CB99EA17"/>
    <w:rsid w:val="DDE50413"/>
    <w:rsid w:val="EE98EE0E"/>
    <w:rsid w:val="F765331D"/>
    <w:rsid w:val="FFBE6899"/>
    <w:rsid w:val="FFF05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Body Text Indent"/>
    <w:basedOn w:val="1"/>
    <w:next w:val="4"/>
    <w:qFormat/>
    <w:uiPriority w:val="0"/>
    <w:pPr>
      <w:spacing w:after="120"/>
      <w:ind w:left="420" w:leftChars="200"/>
    </w:pPr>
  </w:style>
  <w:style w:type="paragraph" w:styleId="4">
    <w:name w:val="Body Text First Indent 2"/>
    <w:basedOn w:val="3"/>
    <w:next w:val="1"/>
    <w:qFormat/>
    <w:uiPriority w:val="0"/>
    <w:pPr>
      <w:spacing w:after="0"/>
      <w:ind w:firstLine="420" w:firstLineChars="20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1967</Words>
  <Characters>2084</Characters>
  <Lines>0</Lines>
  <Paragraphs>0</Paragraphs>
  <TotalTime>0</TotalTime>
  <ScaleCrop>false</ScaleCrop>
  <LinksUpToDate>false</LinksUpToDate>
  <CharactersWithSpaces>2087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2024-01-17T09:26:00Z</dcterms:created>
  <dc:creator>胡泽</dc:creator>
  <cp:lastModifiedBy>李意</cp:lastModifiedBy>
  <cp:lastPrinted>2024-07-02T02:48:00Z</cp:lastPrinted>
  <dcterms:modified xsi:type="dcterms:W3CDTF">2024-08-05T02:49:53Z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B4DBC8DB01834057809A26AC5CE4AA5E</vt:lpwstr>
  </property>
</Properties>
</file>