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sz w:val="48"/>
          <w:szCs w:val="48"/>
        </w:rPr>
      </w:pPr>
      <w:bookmarkStart w:id="0" w:name="_Hlk174348300"/>
      <w:r>
        <w:rPr>
          <w:rFonts w:hint="eastAsia" w:ascii="宋体" w:hAnsi="宋体"/>
          <w:b/>
          <w:sz w:val="48"/>
          <w:szCs w:val="48"/>
        </w:rPr>
        <w:t>宜昌市物流业发展中心</w:t>
      </w:r>
    </w:p>
    <w:bookmarkEnd w:id="0"/>
    <w:p>
      <w:pPr>
        <w:spacing w:line="360" w:lineRule="auto"/>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u w:val="none"/>
          <w:lang w:val="en-US" w:eastAsia="zh-CN"/>
        </w:rPr>
        <w:t>2023</w:t>
      </w:r>
      <w:r>
        <w:rPr>
          <w:rFonts w:hint="eastAsia" w:ascii="方正小标宋简体" w:hAnsi="方正小标宋简体" w:eastAsia="方正小标宋简体" w:cs="方正小标宋简体"/>
          <w:sz w:val="36"/>
          <w:szCs w:val="36"/>
        </w:rPr>
        <w:t>年度部门决算</w:t>
      </w:r>
    </w:p>
    <w:p>
      <w:pPr>
        <w:shd w:val="clear" w:color="auto" w:fill="FFFFFF"/>
        <w:spacing w:before="240" w:after="240" w:line="360" w:lineRule="auto"/>
        <w:ind w:firstLine="6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目    录</w:t>
      </w:r>
    </w:p>
    <w:p>
      <w:pPr>
        <w:keepNext w:val="0"/>
        <w:keepLines w:val="0"/>
        <w:pageBreakBefore w:val="0"/>
        <w:widowControl w:val="0"/>
        <w:shd w:val="clear" w:color="auto" w:fill="FFFFFF"/>
        <w:kinsoku/>
        <w:wordWrap/>
        <w:overflowPunct/>
        <w:topLinePunct w:val="0"/>
        <w:autoSpaceDE/>
        <w:autoSpaceDN/>
        <w:bidi w:val="0"/>
        <w:spacing w:before="240" w:after="240" w:line="560" w:lineRule="exact"/>
        <w:ind w:firstLine="640"/>
        <w:textAlignment w:val="auto"/>
        <w:rPr>
          <w:rFonts w:hint="eastAsia" w:ascii="黑体" w:hAnsi="黑体" w:eastAsia="黑体" w:cs="黑体"/>
          <w:szCs w:val="32"/>
        </w:rPr>
      </w:pPr>
      <w:r>
        <w:rPr>
          <w:rFonts w:hint="eastAsia" w:ascii="黑体" w:hAnsi="黑体" w:eastAsia="黑体" w:cs="黑体"/>
          <w:szCs w:val="32"/>
        </w:rPr>
        <w:t xml:space="preserve">第一部分  </w:t>
      </w:r>
      <w:r>
        <w:rPr>
          <w:rFonts w:hint="eastAsia" w:ascii="黑体" w:hAnsi="黑体" w:eastAsia="黑体"/>
          <w:szCs w:val="32"/>
        </w:rPr>
        <w:t>宜昌市物流业发展中心</w:t>
      </w:r>
      <w:r>
        <w:rPr>
          <w:rFonts w:hint="eastAsia" w:ascii="黑体" w:hAnsi="黑体" w:eastAsia="黑体" w:cs="黑体"/>
          <w:szCs w:val="32"/>
        </w:rPr>
        <w:t>概况</w:t>
      </w:r>
    </w:p>
    <w:p>
      <w:pPr>
        <w:keepNext w:val="0"/>
        <w:keepLines w:val="0"/>
        <w:pageBreakBefore w:val="0"/>
        <w:widowControl w:val="0"/>
        <w:shd w:val="clear" w:color="auto" w:fill="FFFFFF"/>
        <w:kinsoku/>
        <w:wordWrap/>
        <w:overflowPunct/>
        <w:topLinePunct w:val="0"/>
        <w:autoSpaceDE/>
        <w:autoSpaceDN/>
        <w:bidi w:val="0"/>
        <w:spacing w:before="240" w:after="240" w:line="560" w:lineRule="exact"/>
        <w:ind w:firstLine="640"/>
        <w:textAlignment w:val="auto"/>
        <w:rPr>
          <w:rFonts w:hint="eastAsia" w:ascii="仿宋_GB2312" w:hAnsi="宋体"/>
          <w:bCs/>
          <w:szCs w:val="32"/>
        </w:rPr>
      </w:pPr>
      <w:r>
        <w:rPr>
          <w:rFonts w:hint="eastAsia" w:ascii="仿宋_GB2312" w:hAnsi="宋体"/>
          <w:bCs/>
          <w:szCs w:val="32"/>
        </w:rPr>
        <w:t>一、部门主要职责</w:t>
      </w:r>
    </w:p>
    <w:p>
      <w:pPr>
        <w:keepNext w:val="0"/>
        <w:keepLines w:val="0"/>
        <w:pageBreakBefore w:val="0"/>
        <w:widowControl w:val="0"/>
        <w:kinsoku/>
        <w:wordWrap/>
        <w:overflowPunct/>
        <w:topLinePunct w:val="0"/>
        <w:autoSpaceDE/>
        <w:autoSpaceDN/>
        <w:bidi w:val="0"/>
        <w:adjustRightInd w:val="0"/>
        <w:snapToGrid w:val="0"/>
        <w:spacing w:line="560" w:lineRule="exact"/>
        <w:ind w:right="-781" w:rightChars="-244" w:firstLine="640" w:firstLineChars="200"/>
        <w:textAlignment w:val="auto"/>
        <w:rPr>
          <w:rFonts w:hint="eastAsia" w:ascii="仿宋_GB2312" w:hAnsi="宋体"/>
          <w:bCs/>
          <w:szCs w:val="32"/>
        </w:rPr>
      </w:pPr>
      <w:r>
        <w:rPr>
          <w:rFonts w:hint="eastAsia" w:ascii="仿宋_GB2312" w:hAnsi="宋体"/>
          <w:bCs/>
          <w:szCs w:val="32"/>
        </w:rPr>
        <w:t>二、机构设置情况</w:t>
      </w:r>
    </w:p>
    <w:p>
      <w:pPr>
        <w:keepNext w:val="0"/>
        <w:keepLines w:val="0"/>
        <w:pageBreakBefore w:val="0"/>
        <w:widowControl w:val="0"/>
        <w:shd w:val="clear" w:color="auto" w:fill="FFFFFF"/>
        <w:kinsoku/>
        <w:wordWrap/>
        <w:overflowPunct/>
        <w:topLinePunct w:val="0"/>
        <w:autoSpaceDE/>
        <w:autoSpaceDN/>
        <w:bidi w:val="0"/>
        <w:adjustRightInd/>
        <w:snapToGrid/>
        <w:spacing w:before="240" w:after="240" w:line="560" w:lineRule="exact"/>
        <w:ind w:firstLine="640"/>
        <w:textAlignment w:val="auto"/>
      </w:pPr>
      <w:r>
        <w:rPr>
          <w:rFonts w:ascii="黑体" w:hAnsi="黑体" w:eastAsia="黑体" w:cs="黑体"/>
          <w:szCs w:val="32"/>
        </w:rPr>
        <w:t>第二部分 </w:t>
      </w:r>
      <w:r>
        <w:rPr>
          <w:rFonts w:hint="eastAsia" w:ascii="黑体" w:hAnsi="黑体" w:eastAsia="黑体"/>
          <w:szCs w:val="32"/>
        </w:rPr>
        <w:t>宜昌市物流业发展中心</w:t>
      </w:r>
      <w:r>
        <w:rPr>
          <w:rFonts w:ascii="黑体" w:hAnsi="黑体" w:eastAsia="黑体" w:cs="黑体"/>
          <w:szCs w:val="32"/>
        </w:rPr>
        <w:t>20</w:t>
      </w:r>
      <w:r>
        <w:rPr>
          <w:rFonts w:hint="eastAsia" w:ascii="黑体" w:hAnsi="黑体" w:eastAsia="黑体" w:cs="黑体"/>
          <w:szCs w:val="32"/>
        </w:rPr>
        <w:t>23</w:t>
      </w:r>
      <w:r>
        <w:rPr>
          <w:rFonts w:ascii="黑体" w:hAnsi="黑体" w:eastAsia="黑体" w:cs="黑体"/>
          <w:szCs w:val="32"/>
        </w:rPr>
        <w:t>年度部门决算表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rPr>
        <w:t>一、收入支出决算总表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二、收入决算表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三、支出决算表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四、财政拨款收入支出决算总表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五、一般公共预算财政拨款支出决算表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六、一般公共预算财政拨款基本支出决算明细表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七、政府性基金预算财政拨款收入支出决算表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八、国有资本经营预算财政拨款支出决算表</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九、财政拨款“三公”经费支出决算表</w:t>
      </w:r>
    </w:p>
    <w:p>
      <w:pPr>
        <w:keepNext w:val="0"/>
        <w:keepLines w:val="0"/>
        <w:pageBreakBefore w:val="0"/>
        <w:shd w:val="clear" w:color="auto" w:fill="FFFFFF"/>
        <w:kinsoku/>
        <w:wordWrap/>
        <w:overflowPunct/>
        <w:topLinePunct w:val="0"/>
        <w:autoSpaceDE/>
        <w:autoSpaceDN/>
        <w:bidi w:val="0"/>
        <w:spacing w:before="240" w:after="240" w:line="540" w:lineRule="exact"/>
        <w:ind w:firstLine="640"/>
        <w:textAlignment w:val="auto"/>
      </w:pPr>
      <w:r>
        <w:rPr>
          <w:rFonts w:ascii="黑体" w:hAnsi="黑体" w:eastAsia="黑体" w:cs="黑体"/>
          <w:szCs w:val="32"/>
        </w:rPr>
        <w:t xml:space="preserve">第三部分  </w:t>
      </w:r>
      <w:r>
        <w:rPr>
          <w:rFonts w:hint="eastAsia" w:ascii="黑体" w:hAnsi="黑体" w:eastAsia="黑体"/>
          <w:szCs w:val="32"/>
        </w:rPr>
        <w:t>宜昌市物流业发展中心</w:t>
      </w:r>
      <w:r>
        <w:rPr>
          <w:rFonts w:ascii="黑体" w:hAnsi="黑体" w:eastAsia="黑体" w:cs="黑体"/>
          <w:szCs w:val="32"/>
        </w:rPr>
        <w:t>20</w:t>
      </w:r>
      <w:r>
        <w:rPr>
          <w:rFonts w:hint="eastAsia" w:ascii="黑体" w:hAnsi="黑体" w:eastAsia="黑体" w:cs="黑体"/>
          <w:szCs w:val="32"/>
        </w:rPr>
        <w:t>23</w:t>
      </w:r>
      <w:r>
        <w:rPr>
          <w:rFonts w:ascii="黑体" w:hAnsi="黑体" w:eastAsia="黑体" w:cs="黑体"/>
          <w:szCs w:val="32"/>
        </w:rPr>
        <w:t>年度部门决算情况说明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一、收入支出决算总体情况说明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二、收入决算情况说明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三、支出决算情况说明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四、财政拨款收入支出决算总体情况说明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五、一般公共预算财政拨款支出决算情况说明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六、一般公共预算财政拨款基本支出决算情况说明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ascii="仿宋_GB2312" w:hAnsi="仿宋_GB2312" w:cs="仿宋_GB2312"/>
          <w:szCs w:val="32"/>
        </w:rPr>
      </w:pPr>
      <w:r>
        <w:rPr>
          <w:rFonts w:hint="eastAsia"/>
        </w:rPr>
        <w:t xml:space="preserve">七、政府性基金预算财政拨款收入支出决算情况说明 </w:t>
      </w:r>
    </w:p>
    <w:p>
      <w:pPr>
        <w:keepNext w:val="0"/>
        <w:keepLines w:val="0"/>
        <w:pageBreakBefore w:val="0"/>
        <w:kinsoku/>
        <w:wordWrap/>
        <w:overflowPunct/>
        <w:topLinePunct w:val="0"/>
        <w:autoSpaceDE/>
        <w:autoSpaceDN/>
        <w:bidi w:val="0"/>
        <w:spacing w:line="540" w:lineRule="exact"/>
        <w:ind w:left="640" w:leftChars="200"/>
        <w:textAlignment w:val="auto"/>
        <w:rPr>
          <w:rFonts w:hint="eastAsia"/>
        </w:rPr>
      </w:pPr>
      <w:r>
        <w:rPr>
          <w:rFonts w:hint="eastAsia"/>
        </w:rPr>
        <w:t>八、国有资本经营预算财政拨款支出决算情况说明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 xml:space="preserve">九、财政拨款“三公”经费支出决算情况说明 </w:t>
      </w:r>
    </w:p>
    <w:p>
      <w:pPr>
        <w:keepNext w:val="0"/>
        <w:keepLines w:val="0"/>
        <w:pageBreakBefore w:val="0"/>
        <w:kinsoku/>
        <w:wordWrap/>
        <w:overflowPunct/>
        <w:topLinePunct w:val="0"/>
        <w:autoSpaceDE/>
        <w:autoSpaceDN/>
        <w:bidi w:val="0"/>
        <w:spacing w:line="540" w:lineRule="exact"/>
        <w:ind w:left="640" w:leftChars="200"/>
        <w:textAlignment w:val="auto"/>
        <w:rPr>
          <w:rFonts w:hint="eastAsia"/>
        </w:rPr>
      </w:pPr>
      <w:r>
        <w:rPr>
          <w:rFonts w:hint="eastAsia"/>
        </w:rPr>
        <w:t>十、机关运行经费支出说明</w:t>
      </w:r>
    </w:p>
    <w:p>
      <w:pPr>
        <w:keepNext w:val="0"/>
        <w:keepLines w:val="0"/>
        <w:pageBreakBefore w:val="0"/>
        <w:kinsoku/>
        <w:wordWrap/>
        <w:overflowPunct/>
        <w:topLinePunct w:val="0"/>
        <w:autoSpaceDE/>
        <w:autoSpaceDN/>
        <w:bidi w:val="0"/>
        <w:spacing w:line="540" w:lineRule="exact"/>
        <w:ind w:left="640" w:leftChars="200"/>
        <w:textAlignment w:val="auto"/>
        <w:rPr>
          <w:rFonts w:hint="eastAsia"/>
        </w:rPr>
      </w:pPr>
      <w:r>
        <w:rPr>
          <w:rFonts w:hint="eastAsia"/>
        </w:rPr>
        <w:t>十一、政府采购支出说明</w:t>
      </w:r>
    </w:p>
    <w:p>
      <w:pPr>
        <w:keepNext w:val="0"/>
        <w:keepLines w:val="0"/>
        <w:pageBreakBefore w:val="0"/>
        <w:kinsoku/>
        <w:wordWrap/>
        <w:overflowPunct/>
        <w:topLinePunct w:val="0"/>
        <w:autoSpaceDE/>
        <w:autoSpaceDN/>
        <w:bidi w:val="0"/>
        <w:spacing w:line="540" w:lineRule="exact"/>
        <w:ind w:left="640" w:leftChars="200"/>
        <w:textAlignment w:val="auto"/>
        <w:rPr>
          <w:rFonts w:hint="eastAsia"/>
        </w:rPr>
      </w:pPr>
      <w:r>
        <w:rPr>
          <w:rFonts w:hint="eastAsia"/>
        </w:rPr>
        <w:t>十二、国有资产占用情况说明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rPr>
      </w:pPr>
      <w:r>
        <w:rPr>
          <w:rFonts w:hint="eastAsia"/>
        </w:rPr>
        <w:t>十三、预算绩效情况说明</w:t>
      </w:r>
    </w:p>
    <w:p>
      <w:pPr>
        <w:keepNext w:val="0"/>
        <w:keepLines w:val="0"/>
        <w:pageBreakBefore w:val="0"/>
        <w:kinsoku/>
        <w:wordWrap/>
        <w:overflowPunct/>
        <w:topLinePunct w:val="0"/>
        <w:autoSpaceDE/>
        <w:autoSpaceDN/>
        <w:bidi w:val="0"/>
        <w:spacing w:line="540" w:lineRule="exact"/>
        <w:ind w:firstLine="640" w:firstLineChars="200"/>
        <w:textAlignment w:val="auto"/>
        <w:rPr>
          <w:rFonts w:ascii="黑体" w:hAnsi="黑体" w:eastAsia="黑体" w:cs="黑体"/>
          <w:szCs w:val="32"/>
        </w:rPr>
      </w:pPr>
      <w:r>
        <w:rPr>
          <w:rFonts w:ascii="黑体" w:hAnsi="黑体" w:eastAsia="黑体" w:cs="黑体"/>
          <w:szCs w:val="32"/>
        </w:rPr>
        <w:t xml:space="preserve">第四部分  </w:t>
      </w:r>
      <w:r>
        <w:rPr>
          <w:rFonts w:hint="eastAsia" w:ascii="黑体" w:hAnsi="黑体" w:eastAsia="黑体" w:cs="黑体"/>
          <w:szCs w:val="32"/>
        </w:rPr>
        <w:t>其他需要说明的情况</w:t>
      </w:r>
    </w:p>
    <w:p>
      <w:pPr>
        <w:keepNext w:val="0"/>
        <w:keepLines w:val="0"/>
        <w:pageBreakBefore w:val="0"/>
        <w:kinsoku/>
        <w:wordWrap/>
        <w:overflowPunct/>
        <w:topLinePunct w:val="0"/>
        <w:autoSpaceDE/>
        <w:autoSpaceDN/>
        <w:bidi w:val="0"/>
        <w:spacing w:line="540" w:lineRule="exact"/>
        <w:ind w:firstLine="640" w:firstLineChars="200"/>
        <w:textAlignment w:val="auto"/>
        <w:rPr>
          <w:rFonts w:ascii="黑体" w:hAnsi="黑体" w:eastAsia="黑体" w:cs="黑体"/>
          <w:szCs w:val="32"/>
        </w:rPr>
      </w:pPr>
      <w:r>
        <w:rPr>
          <w:rFonts w:ascii="黑体" w:hAnsi="黑体" w:eastAsia="黑体" w:cs="黑体"/>
          <w:szCs w:val="32"/>
        </w:rPr>
        <w:t>第五部分  名词解释</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ascii="黑体" w:hAnsi="黑体" w:eastAsia="黑体" w:cs="黑体"/>
          <w:szCs w:val="32"/>
        </w:rPr>
      </w:pPr>
      <w:r>
        <w:rPr>
          <w:rFonts w:hint="eastAsia" w:ascii="黑体" w:hAnsi="黑体" w:eastAsia="黑体" w:cs="黑体"/>
          <w:szCs w:val="32"/>
        </w:rPr>
        <w:t>第六部分</w:t>
      </w:r>
      <w:r>
        <w:rPr>
          <w:rFonts w:ascii="黑体" w:hAnsi="黑体" w:eastAsia="黑体" w:cs="黑体"/>
          <w:szCs w:val="32"/>
        </w:rPr>
        <w:tab/>
      </w:r>
      <w:r>
        <w:rPr>
          <w:rFonts w:hint="eastAsia" w:ascii="黑体" w:hAnsi="黑体" w:eastAsia="黑体" w:cs="黑体"/>
          <w:szCs w:val="32"/>
        </w:rPr>
        <w:t xml:space="preserve">  附件</w:t>
      </w:r>
    </w:p>
    <w:p>
      <w:pPr>
        <w:keepNext w:val="0"/>
        <w:keepLines w:val="0"/>
        <w:pageBreakBefore w:val="0"/>
        <w:kinsoku/>
        <w:wordWrap/>
        <w:overflowPunct/>
        <w:topLinePunct w:val="0"/>
        <w:autoSpaceDE/>
        <w:autoSpaceDN/>
        <w:bidi w:val="0"/>
        <w:spacing w:line="540" w:lineRule="exact"/>
        <w:ind w:left="640" w:leftChars="200"/>
        <w:textAlignment w:val="auto"/>
        <w:rPr>
          <w:rFonts w:hint="eastAsia"/>
        </w:rPr>
      </w:pPr>
    </w:p>
    <w:p>
      <w:pPr>
        <w:keepNext w:val="0"/>
        <w:keepLines w:val="0"/>
        <w:pageBreakBefore w:val="0"/>
        <w:kinsoku/>
        <w:wordWrap/>
        <w:overflowPunct/>
        <w:topLinePunct w:val="0"/>
        <w:autoSpaceDE/>
        <w:autoSpaceDN/>
        <w:bidi w:val="0"/>
        <w:spacing w:line="540" w:lineRule="exact"/>
        <w:ind w:firstLine="640" w:firstLineChars="200"/>
        <w:jc w:val="center"/>
        <w:textAlignment w:val="auto"/>
        <w:rPr>
          <w:rFonts w:hint="eastAsia" w:ascii="黑体" w:hAnsi="黑体" w:eastAsia="黑体" w:cs="黑体"/>
          <w:szCs w:val="32"/>
        </w:rPr>
      </w:pPr>
      <w:r>
        <w:rPr>
          <w:rFonts w:hint="eastAsia" w:ascii="黑体" w:hAnsi="黑体" w:eastAsia="黑体" w:cs="黑体"/>
          <w:szCs w:val="32"/>
        </w:rPr>
        <w:t xml:space="preserve">第一部分  </w:t>
      </w:r>
      <w:r>
        <w:rPr>
          <w:rFonts w:hint="eastAsia" w:ascii="黑体" w:hAnsi="黑体" w:eastAsia="黑体"/>
          <w:szCs w:val="32"/>
        </w:rPr>
        <w:t>宜昌市物流业发展中心</w:t>
      </w:r>
      <w:r>
        <w:rPr>
          <w:rFonts w:hint="eastAsia" w:ascii="黑体" w:hAnsi="黑体" w:eastAsia="黑体" w:cs="黑体"/>
          <w:szCs w:val="32"/>
        </w:rPr>
        <w:t>概况</w:t>
      </w:r>
    </w:p>
    <w:p>
      <w:pPr>
        <w:keepNext w:val="0"/>
        <w:keepLines w:val="0"/>
        <w:pageBreakBefore w:val="0"/>
        <w:numPr>
          <w:ilvl w:val="0"/>
          <w:numId w:val="1"/>
        </w:numPr>
        <w:kinsoku/>
        <w:wordWrap/>
        <w:overflowPunct/>
        <w:topLinePunct w:val="0"/>
        <w:autoSpaceDE/>
        <w:autoSpaceDN/>
        <w:bidi w:val="0"/>
        <w:adjustRightInd w:val="0"/>
        <w:snapToGrid w:val="0"/>
        <w:spacing w:line="540" w:lineRule="exact"/>
        <w:textAlignment w:val="auto"/>
        <w:rPr>
          <w:rFonts w:ascii="黑体" w:hAnsi="黑体" w:eastAsia="黑体" w:cs="黑体"/>
          <w:bCs/>
          <w:szCs w:val="32"/>
        </w:rPr>
      </w:pPr>
      <w:r>
        <w:rPr>
          <w:rFonts w:hint="eastAsia" w:ascii="黑体" w:hAnsi="黑体" w:eastAsia="黑体" w:cs="黑体"/>
          <w:bCs/>
          <w:szCs w:val="32"/>
        </w:rPr>
        <w:t>部门主要职责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640" w:firstLineChars="20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eastAsia" w:ascii="仿宋_GB2312" w:hAnsi="仿宋_GB2312" w:eastAsia="仿宋_GB2312" w:cs="仿宋_GB2312"/>
          <w:b w:val="0"/>
          <w:bCs w:val="0"/>
          <w:color w:val="333333"/>
          <w:kern w:val="2"/>
          <w:sz w:val="32"/>
          <w:szCs w:val="32"/>
          <w:lang w:val="en-US" w:eastAsia="zh-CN" w:bidi="ar-SA"/>
        </w:rPr>
        <w:t>（一）</w:t>
      </w:r>
      <w:r>
        <w:rPr>
          <w:rStyle w:val="7"/>
          <w:rFonts w:hint="default" w:ascii="仿宋_GB2312" w:hAnsi="仿宋_GB2312" w:eastAsia="仿宋_GB2312" w:cs="仿宋_GB2312"/>
          <w:b w:val="0"/>
          <w:bCs w:val="0"/>
          <w:color w:val="333333"/>
          <w:kern w:val="2"/>
          <w:sz w:val="32"/>
          <w:szCs w:val="32"/>
          <w:lang w:val="en-US" w:eastAsia="zh-CN" w:bidi="ar-SA"/>
        </w:rPr>
        <w:t>贯彻执行国家、省有关物流业发展的方针政策和法律法规，研究提出全市物流业发展规划和促进物流业发展的相关政策措施，经批准后组织实施。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（二）</w:t>
      </w:r>
      <w:r>
        <w:rPr>
          <w:rStyle w:val="7"/>
          <w:rFonts w:hint="default" w:ascii="仿宋_GB2312" w:hAnsi="仿宋_GB2312" w:eastAsia="仿宋_GB2312" w:cs="仿宋_GB2312"/>
          <w:b w:val="0"/>
          <w:bCs w:val="0"/>
          <w:color w:val="333333"/>
          <w:kern w:val="2"/>
          <w:sz w:val="32"/>
          <w:szCs w:val="32"/>
          <w:lang w:val="en-US" w:eastAsia="zh-CN" w:bidi="ar-SA"/>
        </w:rPr>
        <w:t>统筹协调全市物流业发展工作，研究分析物流业发展的重大问题，提出政策建议。会同财政部门研究提出促进物流产业发展的财政性资金安排建议，并负责相关资金的审核申报和使用评估。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（三）</w:t>
      </w:r>
      <w:r>
        <w:rPr>
          <w:rStyle w:val="7"/>
          <w:rFonts w:hint="default" w:ascii="仿宋_GB2312" w:hAnsi="仿宋_GB2312" w:eastAsia="仿宋_GB2312" w:cs="仿宋_GB2312"/>
          <w:b w:val="0"/>
          <w:bCs w:val="0"/>
          <w:color w:val="333333"/>
          <w:kern w:val="2"/>
          <w:sz w:val="32"/>
          <w:szCs w:val="32"/>
          <w:lang w:val="en-US" w:eastAsia="zh-CN" w:bidi="ar-SA"/>
        </w:rPr>
        <w:t>协调推进全市物流园区、重大物流项目和重点物流基础设施建设。承担落实物流枢纽建设任务职责。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（四）</w:t>
      </w:r>
      <w:r>
        <w:rPr>
          <w:rStyle w:val="7"/>
          <w:rFonts w:hint="default" w:ascii="仿宋_GB2312" w:hAnsi="仿宋_GB2312" w:eastAsia="仿宋_GB2312" w:cs="仿宋_GB2312"/>
          <w:b w:val="0"/>
          <w:bCs w:val="0"/>
          <w:color w:val="333333"/>
          <w:kern w:val="2"/>
          <w:sz w:val="32"/>
          <w:szCs w:val="32"/>
          <w:lang w:val="en-US" w:eastAsia="zh-CN" w:bidi="ar-SA"/>
        </w:rPr>
        <w:t>负责物流企业发展和物流项目建设的协调服务。负责全市物流项目的谋划和归集工作。配合有关部门做好国家、省物流专项资金（项目）的申报和争取工作。负责物流项目的组织落实工作。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（五）</w:t>
      </w:r>
      <w:r>
        <w:rPr>
          <w:rStyle w:val="7"/>
          <w:rFonts w:hint="default" w:ascii="仿宋_GB2312" w:hAnsi="仿宋_GB2312" w:eastAsia="仿宋_GB2312" w:cs="仿宋_GB2312"/>
          <w:b w:val="0"/>
          <w:bCs w:val="0"/>
          <w:color w:val="333333"/>
          <w:kern w:val="2"/>
          <w:sz w:val="32"/>
          <w:szCs w:val="32"/>
          <w:lang w:val="en-US" w:eastAsia="zh-CN" w:bidi="ar-SA"/>
        </w:rPr>
        <w:t>统筹协调全市物流网络体系建设和国际国内物流通道开通工作。负责协调航空、铁路、公路、水路等多种运输方式的物流优化组织。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（六）</w:t>
      </w:r>
      <w:r>
        <w:rPr>
          <w:rStyle w:val="7"/>
          <w:rFonts w:hint="default" w:ascii="仿宋_GB2312" w:hAnsi="仿宋_GB2312" w:eastAsia="仿宋_GB2312" w:cs="仿宋_GB2312"/>
          <w:b w:val="0"/>
          <w:bCs w:val="0"/>
          <w:color w:val="333333"/>
          <w:kern w:val="2"/>
          <w:sz w:val="32"/>
          <w:szCs w:val="32"/>
          <w:lang w:val="en-US" w:eastAsia="zh-CN" w:bidi="ar-SA"/>
        </w:rPr>
        <w:t>负责物流业市场培育工作。负责物流业招商引资和项目协调落实等方面的服务与促进工作，培育和壮大物流产业。承担物流业对外交流与区域合作工作。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（七）</w:t>
      </w:r>
      <w:r>
        <w:rPr>
          <w:rStyle w:val="7"/>
          <w:rFonts w:hint="default" w:ascii="仿宋_GB2312" w:hAnsi="仿宋_GB2312" w:eastAsia="仿宋_GB2312" w:cs="仿宋_GB2312"/>
          <w:b w:val="0"/>
          <w:bCs w:val="0"/>
          <w:color w:val="333333"/>
          <w:kern w:val="2"/>
          <w:sz w:val="32"/>
          <w:szCs w:val="32"/>
          <w:lang w:val="en-US" w:eastAsia="zh-CN" w:bidi="ar-SA"/>
        </w:rPr>
        <w:t>协调全市物流市场服务，负责物流园区和物流企业安全生产的日常巡查工作。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（八）</w:t>
      </w:r>
      <w:r>
        <w:rPr>
          <w:rStyle w:val="7"/>
          <w:rFonts w:hint="default" w:ascii="仿宋_GB2312" w:hAnsi="仿宋_GB2312" w:eastAsia="仿宋_GB2312" w:cs="仿宋_GB2312"/>
          <w:b w:val="0"/>
          <w:bCs w:val="0"/>
          <w:color w:val="333333"/>
          <w:kern w:val="2"/>
          <w:sz w:val="32"/>
          <w:szCs w:val="32"/>
          <w:lang w:val="en-US" w:eastAsia="zh-CN" w:bidi="ar-SA"/>
        </w:rPr>
        <w:t>负责现代物流服务体系建设。负责统筹物流标准化、信息化、智能化建设及物流人才库和物流企业数据库建设。负责智慧物流公共信息平台建设，发布相关物流指数和公共信息。负责先进运输方式和现代物流技术的推广应用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（九）</w:t>
      </w:r>
      <w:r>
        <w:rPr>
          <w:rStyle w:val="7"/>
          <w:rFonts w:hint="default" w:ascii="仿宋_GB2312" w:hAnsi="仿宋_GB2312" w:eastAsia="仿宋_GB2312" w:cs="仿宋_GB2312"/>
          <w:b w:val="0"/>
          <w:bCs w:val="0"/>
          <w:color w:val="333333"/>
          <w:kern w:val="2"/>
          <w:sz w:val="32"/>
          <w:szCs w:val="32"/>
          <w:lang w:val="en-US" w:eastAsia="zh-CN" w:bidi="ar-SA"/>
        </w:rPr>
        <w:t>负责全市物流业运行监测和统计分析工作。协调推进物流业产学研合作。指导协调物流行业协会、物流业职业教育和培训体系建设。对县市区物流工作进行业务指导。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40" w:lineRule="exact"/>
        <w:ind w:left="0" w:right="0" w:firstLine="0"/>
        <w:jc w:val="left"/>
        <w:textAlignment w:val="auto"/>
        <w:rPr>
          <w:rStyle w:val="7"/>
          <w:rFonts w:hint="default" w:ascii="仿宋_GB2312" w:hAnsi="仿宋_GB2312" w:eastAsia="仿宋_GB2312" w:cs="仿宋_GB2312"/>
          <w:b w:val="0"/>
          <w:bCs w:val="0"/>
          <w:color w:val="333333"/>
          <w:kern w:val="2"/>
          <w:sz w:val="32"/>
          <w:szCs w:val="32"/>
          <w:lang w:val="en-US" w:eastAsia="zh-CN" w:bidi="ar-SA"/>
        </w:rPr>
      </w:pPr>
      <w:r>
        <w:rPr>
          <w:rStyle w:val="7"/>
          <w:rFonts w:hint="default" w:ascii="仿宋_GB2312" w:hAnsi="仿宋_GB2312" w:eastAsia="仿宋_GB2312" w:cs="仿宋_GB2312"/>
          <w:b w:val="0"/>
          <w:bCs w:val="0"/>
          <w:color w:val="333333"/>
          <w:kern w:val="2"/>
          <w:sz w:val="32"/>
          <w:szCs w:val="32"/>
          <w:lang w:val="en-US" w:eastAsia="zh-CN" w:bidi="ar-SA"/>
        </w:rPr>
        <w:t>　　</w:t>
      </w:r>
      <w:r>
        <w:rPr>
          <w:rStyle w:val="7"/>
          <w:rFonts w:hint="eastAsia" w:ascii="仿宋_GB2312" w:hAnsi="仿宋_GB2312" w:eastAsia="仿宋_GB2312" w:cs="仿宋_GB2312"/>
          <w:b w:val="0"/>
          <w:bCs w:val="0"/>
          <w:color w:val="333333"/>
          <w:kern w:val="2"/>
          <w:sz w:val="32"/>
          <w:szCs w:val="32"/>
          <w:lang w:val="en-US" w:eastAsia="zh-CN" w:bidi="ar-SA"/>
        </w:rPr>
        <w:t>（十）</w:t>
      </w:r>
      <w:r>
        <w:rPr>
          <w:rStyle w:val="7"/>
          <w:rFonts w:hint="default" w:ascii="仿宋_GB2312" w:hAnsi="仿宋_GB2312" w:eastAsia="仿宋_GB2312" w:cs="仿宋_GB2312"/>
          <w:b w:val="0"/>
          <w:bCs w:val="0"/>
          <w:color w:val="333333"/>
          <w:kern w:val="2"/>
          <w:sz w:val="32"/>
          <w:szCs w:val="32"/>
          <w:lang w:val="en-US" w:eastAsia="zh-CN" w:bidi="ar-SA"/>
        </w:rPr>
        <w:t>完成上级交办的其他任务。</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宋体"/>
          <w:bCs/>
          <w:szCs w:val="32"/>
        </w:rPr>
      </w:pPr>
      <w:r>
        <w:rPr>
          <w:rFonts w:hint="eastAsia" w:ascii="黑体" w:hAnsi="黑体" w:eastAsia="黑体" w:cs="黑体"/>
          <w:bCs/>
          <w:szCs w:val="32"/>
        </w:rPr>
        <w:t>二、机构设置情况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641"/>
        <w:jc w:val="left"/>
        <w:textAlignment w:val="auto"/>
      </w:pPr>
      <w:r>
        <w:rPr>
          <w:rStyle w:val="7"/>
          <w:rFonts w:hint="eastAsia" w:ascii="仿宋_GB2312" w:hAnsi="仿宋_GB2312" w:eastAsia="仿宋_GB2312" w:cs="仿宋_GB2312"/>
          <w:b w:val="0"/>
          <w:bCs w:val="0"/>
          <w:color w:val="333333"/>
          <w:sz w:val="32"/>
          <w:szCs w:val="32"/>
          <w:lang w:val="en-US" w:eastAsia="zh-CN"/>
        </w:rPr>
        <w:t>宜昌市物流业发展中心202</w:t>
      </w:r>
      <w:r>
        <w:rPr>
          <w:rStyle w:val="7"/>
          <w:rFonts w:hint="eastAsia" w:ascii="仿宋_GB2312" w:hAnsi="仿宋_GB2312" w:cs="仿宋_GB2312"/>
          <w:b w:val="0"/>
          <w:bCs w:val="0"/>
          <w:color w:val="333333"/>
          <w:sz w:val="32"/>
          <w:szCs w:val="32"/>
          <w:lang w:val="en-US" w:eastAsia="zh-CN"/>
        </w:rPr>
        <w:t>3</w:t>
      </w:r>
      <w:r>
        <w:rPr>
          <w:rStyle w:val="7"/>
          <w:rFonts w:hint="eastAsia" w:ascii="仿宋_GB2312" w:hAnsi="仿宋_GB2312" w:eastAsia="仿宋_GB2312" w:cs="仿宋_GB2312"/>
          <w:b w:val="0"/>
          <w:bCs w:val="0"/>
          <w:color w:val="333333"/>
          <w:sz w:val="32"/>
          <w:szCs w:val="32"/>
          <w:lang w:val="en-US" w:eastAsia="zh-CN"/>
        </w:rPr>
        <w:t>年度部门决算单位共1个，为宜昌市物流业发展中心本级，为一级预算单位。</w:t>
      </w:r>
      <w:r>
        <w:rPr>
          <w:rStyle w:val="7"/>
          <w:rFonts w:hint="eastAsia" w:ascii="仿宋_GB2312" w:hAnsi="仿宋_GB2312" w:cs="仿宋_GB2312"/>
          <w:b w:val="0"/>
          <w:bCs w:val="0"/>
          <w:color w:val="333333"/>
          <w:sz w:val="32"/>
          <w:szCs w:val="32"/>
          <w:lang w:val="en-US" w:eastAsia="zh-CN"/>
        </w:rPr>
        <w:t>本单位</w:t>
      </w:r>
      <w:r>
        <w:rPr>
          <w:rStyle w:val="7"/>
          <w:rFonts w:hint="eastAsia" w:ascii="仿宋_GB2312" w:hAnsi="仿宋_GB2312" w:eastAsia="仿宋_GB2312" w:cs="仿宋_GB2312"/>
          <w:b w:val="0"/>
          <w:bCs w:val="0"/>
          <w:color w:val="333333"/>
          <w:sz w:val="32"/>
          <w:szCs w:val="32"/>
          <w:lang w:val="en-US" w:eastAsia="zh-CN"/>
        </w:rPr>
        <w:t>内设科室包括：</w:t>
      </w:r>
      <w:r>
        <w:rPr>
          <w:rStyle w:val="7"/>
          <w:rFonts w:hint="eastAsia" w:ascii="仿宋_GB2312" w:hAnsi="仿宋_GB2312" w:cs="仿宋_GB2312"/>
          <w:b w:val="0"/>
          <w:bCs w:val="0"/>
          <w:color w:val="333333"/>
          <w:sz w:val="32"/>
          <w:szCs w:val="32"/>
          <w:lang w:val="en-US" w:eastAsia="zh-CN"/>
        </w:rPr>
        <w:t>综合科、产业发展科</w:t>
      </w:r>
      <w:r>
        <w:rPr>
          <w:rStyle w:val="7"/>
          <w:rFonts w:hint="eastAsia" w:ascii="仿宋_GB2312" w:hAnsi="仿宋_GB2312" w:cs="仿宋_GB2312"/>
          <w:b w:val="0"/>
          <w:bCs w:val="0"/>
          <w:color w:val="auto"/>
          <w:sz w:val="32"/>
          <w:szCs w:val="32"/>
          <w:lang w:val="en-US" w:eastAsia="zh-CN"/>
        </w:rPr>
        <w:t>、</w:t>
      </w:r>
      <w:r>
        <w:rPr>
          <w:rStyle w:val="7"/>
          <w:rFonts w:hint="eastAsia" w:ascii="仿宋_GB2312" w:hAnsi="仿宋_GB2312" w:eastAsia="仿宋_GB2312" w:cs="仿宋_GB2312"/>
          <w:b w:val="0"/>
          <w:bCs w:val="0"/>
          <w:color w:val="333333"/>
          <w:sz w:val="32"/>
          <w:szCs w:val="32"/>
          <w:lang w:val="en-US" w:eastAsia="zh-CN"/>
        </w:rPr>
        <w:t>项目建设科</w:t>
      </w:r>
      <w:r>
        <w:rPr>
          <w:rStyle w:val="7"/>
          <w:rFonts w:hint="default" w:ascii="仿宋_GB2312" w:hAnsi="仿宋_GB2312" w:eastAsia="仿宋_GB2312" w:cs="仿宋_GB2312"/>
          <w:b w:val="0"/>
          <w:bCs w:val="0"/>
          <w:color w:val="333333"/>
          <w:sz w:val="32"/>
          <w:szCs w:val="32"/>
          <w:lang w:val="en-US" w:eastAsia="zh-CN"/>
        </w:rPr>
        <w:t>。</w:t>
      </w:r>
    </w:p>
    <w:p>
      <w:pPr>
        <w:ind w:firstLine="640"/>
        <w:jc w:val="center"/>
        <w:rPr>
          <w:rFonts w:hint="eastAsia" w:ascii="黑体" w:hAnsi="黑体" w:eastAsia="黑体" w:cs="黑体"/>
          <w:szCs w:val="32"/>
        </w:rPr>
      </w:pPr>
      <w:r>
        <w:rPr>
          <w:rFonts w:hint="eastAsia" w:ascii="黑体" w:hAnsi="黑体" w:eastAsia="黑体" w:cs="黑体"/>
          <w:szCs w:val="32"/>
        </w:rPr>
        <w:t>第二部分  2023年度部门决算表</w:t>
      </w:r>
    </w:p>
    <w:p>
      <w:pPr>
        <w:numPr>
          <w:ilvl w:val="0"/>
          <w:numId w:val="1"/>
        </w:numPr>
        <w:adjustRightInd w:val="0"/>
        <w:snapToGrid w:val="0"/>
        <w:spacing w:line="580" w:lineRule="atLeast"/>
        <w:ind w:right="-781" w:rightChars="-244"/>
        <w:rPr>
          <w:rFonts w:ascii="黑体" w:hAnsi="黑体" w:eastAsia="黑体" w:cs="黑体"/>
          <w:bCs/>
          <w:szCs w:val="32"/>
        </w:rPr>
      </w:pPr>
      <w:r>
        <w:rPr>
          <w:rFonts w:hint="eastAsia" w:ascii="黑体" w:hAnsi="黑体" w:eastAsia="黑体" w:cs="黑体"/>
          <w:bCs/>
          <w:szCs w:val="32"/>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480"/>
        <w:gridCol w:w="340"/>
        <w:gridCol w:w="1320"/>
        <w:gridCol w:w="2480"/>
        <w:gridCol w:w="340"/>
        <w:gridCol w:w="13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gridSpan w:val="3"/>
            <w:vAlign w:val="center"/>
          </w:tcPr>
          <w:p>
            <w:pPr>
              <w:jc w:val="center"/>
            </w:pPr>
            <w:r>
              <w:rPr>
                <w:rFonts w:ascii="宋体" w:hAnsi="宋体" w:eastAsia="宋体" w:cs="宋体"/>
                <w:b w:val="0"/>
                <w:i w:val="0"/>
                <w:color w:val="000000"/>
                <w:sz w:val="12"/>
              </w:rPr>
              <w:t>收入</w:t>
            </w:r>
          </w:p>
        </w:tc>
        <w:tc>
          <w:tcPr>
            <w:tcW w:w="2480" w:type="dxa"/>
            <w:gridSpan w:val="3"/>
            <w:vAlign w:val="center"/>
          </w:tcPr>
          <w:p>
            <w:pPr>
              <w:jc w:val="center"/>
            </w:pPr>
            <w:r>
              <w:rPr>
                <w:rFonts w:ascii="宋体" w:hAnsi="宋体" w:eastAsia="宋体" w:cs="宋体"/>
                <w:b w:val="0"/>
                <w:i w:val="0"/>
                <w:color w:val="000000"/>
                <w:sz w:val="12"/>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center"/>
            </w:pPr>
            <w:r>
              <w:rPr>
                <w:rFonts w:ascii="宋体" w:hAnsi="宋体" w:eastAsia="宋体" w:cs="宋体"/>
                <w:b w:val="0"/>
                <w:i w:val="0"/>
                <w:color w:val="000000"/>
                <w:sz w:val="12"/>
              </w:rPr>
              <w:t>项目</w:t>
            </w:r>
          </w:p>
        </w:tc>
        <w:tc>
          <w:tcPr>
            <w:tcW w:w="340" w:type="dxa"/>
            <w:vAlign w:val="center"/>
          </w:tcPr>
          <w:p>
            <w:pPr>
              <w:jc w:val="center"/>
            </w:pPr>
            <w:r>
              <w:rPr>
                <w:rFonts w:ascii="宋体" w:hAnsi="宋体" w:eastAsia="宋体" w:cs="宋体"/>
                <w:b w:val="0"/>
                <w:i w:val="0"/>
                <w:color w:val="000000"/>
                <w:sz w:val="12"/>
              </w:rPr>
              <w:t>行次</w:t>
            </w:r>
          </w:p>
        </w:tc>
        <w:tc>
          <w:tcPr>
            <w:tcW w:w="1320" w:type="dxa"/>
            <w:vAlign w:val="center"/>
          </w:tcPr>
          <w:p>
            <w:pPr>
              <w:jc w:val="center"/>
            </w:pPr>
            <w:r>
              <w:rPr>
                <w:rFonts w:ascii="宋体" w:hAnsi="宋体" w:eastAsia="宋体" w:cs="宋体"/>
                <w:b w:val="0"/>
                <w:i w:val="0"/>
                <w:color w:val="000000"/>
                <w:sz w:val="12"/>
              </w:rPr>
              <w:t>决算数</w:t>
            </w:r>
          </w:p>
        </w:tc>
        <w:tc>
          <w:tcPr>
            <w:tcW w:w="2480" w:type="dxa"/>
            <w:vAlign w:val="center"/>
          </w:tcPr>
          <w:p>
            <w:pPr>
              <w:jc w:val="center"/>
            </w:pPr>
            <w:r>
              <w:rPr>
                <w:rFonts w:ascii="宋体" w:hAnsi="宋体" w:eastAsia="宋体" w:cs="宋体"/>
                <w:b w:val="0"/>
                <w:i w:val="0"/>
                <w:color w:val="000000"/>
                <w:sz w:val="12"/>
              </w:rPr>
              <w:t>项目</w:t>
            </w:r>
          </w:p>
        </w:tc>
        <w:tc>
          <w:tcPr>
            <w:tcW w:w="340" w:type="dxa"/>
            <w:vAlign w:val="center"/>
          </w:tcPr>
          <w:p>
            <w:pPr>
              <w:jc w:val="center"/>
            </w:pPr>
            <w:r>
              <w:rPr>
                <w:rFonts w:ascii="宋体" w:hAnsi="宋体" w:eastAsia="宋体" w:cs="宋体"/>
                <w:b w:val="0"/>
                <w:i w:val="0"/>
                <w:color w:val="000000"/>
                <w:sz w:val="12"/>
              </w:rPr>
              <w:t>行次</w:t>
            </w:r>
          </w:p>
        </w:tc>
        <w:tc>
          <w:tcPr>
            <w:tcW w:w="1346" w:type="dxa"/>
            <w:vAlign w:val="center"/>
          </w:tcPr>
          <w:p>
            <w:pPr>
              <w:jc w:val="center"/>
            </w:pPr>
            <w:r>
              <w:rPr>
                <w:rFonts w:ascii="宋体" w:hAnsi="宋体" w:eastAsia="宋体" w:cs="宋体"/>
                <w:b w:val="0"/>
                <w:i w:val="0"/>
                <w:color w:val="000000"/>
                <w:sz w:val="12"/>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center"/>
            </w:pPr>
            <w:r>
              <w:rPr>
                <w:rFonts w:ascii="宋体" w:hAnsi="宋体" w:eastAsia="宋体" w:cs="宋体"/>
                <w:b w:val="0"/>
                <w:i w:val="0"/>
                <w:color w:val="000000"/>
                <w:sz w:val="12"/>
              </w:rPr>
              <w:t>栏次</w:t>
            </w:r>
          </w:p>
        </w:tc>
        <w:tc>
          <w:tcPr>
            <w:tcW w:w="340" w:type="dxa"/>
            <w:vAlign w:val="center"/>
          </w:tcPr>
          <w:p/>
        </w:tc>
        <w:tc>
          <w:tcPr>
            <w:tcW w:w="1320" w:type="dxa"/>
            <w:vAlign w:val="center"/>
          </w:tcPr>
          <w:p>
            <w:pPr>
              <w:jc w:val="center"/>
            </w:pPr>
            <w:r>
              <w:rPr>
                <w:rFonts w:ascii="宋体" w:hAnsi="宋体" w:eastAsia="宋体" w:cs="宋体"/>
                <w:b w:val="0"/>
                <w:i w:val="0"/>
                <w:color w:val="000000"/>
                <w:sz w:val="12"/>
              </w:rPr>
              <w:t>1</w:t>
            </w:r>
          </w:p>
        </w:tc>
        <w:tc>
          <w:tcPr>
            <w:tcW w:w="2480" w:type="dxa"/>
            <w:vAlign w:val="center"/>
          </w:tcPr>
          <w:p>
            <w:pPr>
              <w:jc w:val="center"/>
            </w:pPr>
            <w:r>
              <w:rPr>
                <w:rFonts w:ascii="宋体" w:hAnsi="宋体" w:eastAsia="宋体" w:cs="宋体"/>
                <w:b w:val="0"/>
                <w:i w:val="0"/>
                <w:color w:val="000000"/>
                <w:sz w:val="12"/>
              </w:rPr>
              <w:t>栏次</w:t>
            </w:r>
          </w:p>
        </w:tc>
        <w:tc>
          <w:tcPr>
            <w:tcW w:w="340" w:type="dxa"/>
            <w:vAlign w:val="center"/>
          </w:tcPr>
          <w:p/>
        </w:tc>
        <w:tc>
          <w:tcPr>
            <w:tcW w:w="1346" w:type="dxa"/>
            <w:vAlign w:val="center"/>
          </w:tcPr>
          <w:p>
            <w:pPr>
              <w:jc w:val="center"/>
            </w:pPr>
            <w:r>
              <w:rPr>
                <w:rFonts w:ascii="宋体" w:hAnsi="宋体" w:eastAsia="宋体" w:cs="宋体"/>
                <w:b w:val="0"/>
                <w:i w:val="0"/>
                <w:color w:val="000000"/>
                <w:sz w:val="12"/>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一、一般公共预算财政拨款收入</w:t>
            </w:r>
          </w:p>
        </w:tc>
        <w:tc>
          <w:tcPr>
            <w:tcW w:w="340" w:type="dxa"/>
            <w:vAlign w:val="center"/>
          </w:tcPr>
          <w:p>
            <w:pPr>
              <w:jc w:val="center"/>
            </w:pPr>
            <w:r>
              <w:rPr>
                <w:rFonts w:ascii="宋体" w:hAnsi="宋体" w:eastAsia="宋体" w:cs="宋体"/>
                <w:b w:val="0"/>
                <w:i w:val="0"/>
                <w:color w:val="000000"/>
                <w:sz w:val="12"/>
              </w:rPr>
              <w:t>1</w:t>
            </w:r>
          </w:p>
        </w:tc>
        <w:tc>
          <w:tcPr>
            <w:tcW w:w="1320" w:type="dxa"/>
            <w:vAlign w:val="center"/>
          </w:tcPr>
          <w:p>
            <w:pPr>
              <w:jc w:val="right"/>
            </w:pPr>
            <w:r>
              <w:rPr>
                <w:rFonts w:ascii="宋体" w:hAnsi="宋体" w:eastAsia="宋体" w:cs="宋体"/>
                <w:b w:val="0"/>
                <w:i w:val="0"/>
                <w:color w:val="000000"/>
                <w:sz w:val="12"/>
              </w:rPr>
              <w:t>4,056.43</w:t>
            </w:r>
          </w:p>
        </w:tc>
        <w:tc>
          <w:tcPr>
            <w:tcW w:w="2480" w:type="dxa"/>
            <w:vAlign w:val="center"/>
          </w:tcPr>
          <w:p>
            <w:pPr>
              <w:jc w:val="left"/>
            </w:pPr>
            <w:r>
              <w:rPr>
                <w:rFonts w:ascii="宋体" w:hAnsi="宋体" w:eastAsia="宋体" w:cs="宋体"/>
                <w:b w:val="0"/>
                <w:i w:val="0"/>
                <w:color w:val="000000"/>
                <w:sz w:val="12"/>
              </w:rPr>
              <w:t>一、一般公共服务支出</w:t>
            </w:r>
          </w:p>
        </w:tc>
        <w:tc>
          <w:tcPr>
            <w:tcW w:w="340" w:type="dxa"/>
            <w:vAlign w:val="center"/>
          </w:tcPr>
          <w:p>
            <w:pPr>
              <w:jc w:val="center"/>
            </w:pPr>
            <w:r>
              <w:rPr>
                <w:rFonts w:ascii="宋体" w:hAnsi="宋体" w:eastAsia="宋体" w:cs="宋体"/>
                <w:b w:val="0"/>
                <w:i w:val="0"/>
                <w:color w:val="000000"/>
                <w:sz w:val="12"/>
              </w:rPr>
              <w:t>32</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二、政府性基金预算财政拨款收入</w:t>
            </w:r>
          </w:p>
        </w:tc>
        <w:tc>
          <w:tcPr>
            <w:tcW w:w="340" w:type="dxa"/>
            <w:vAlign w:val="center"/>
          </w:tcPr>
          <w:p>
            <w:pPr>
              <w:jc w:val="center"/>
            </w:pPr>
            <w:r>
              <w:rPr>
                <w:rFonts w:ascii="宋体" w:hAnsi="宋体" w:eastAsia="宋体" w:cs="宋体"/>
                <w:b w:val="0"/>
                <w:i w:val="0"/>
                <w:color w:val="000000"/>
                <w:sz w:val="12"/>
              </w:rPr>
              <w:t>2</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二、外交支出</w:t>
            </w:r>
          </w:p>
        </w:tc>
        <w:tc>
          <w:tcPr>
            <w:tcW w:w="340" w:type="dxa"/>
            <w:vAlign w:val="center"/>
          </w:tcPr>
          <w:p>
            <w:pPr>
              <w:jc w:val="center"/>
            </w:pPr>
            <w:r>
              <w:rPr>
                <w:rFonts w:ascii="宋体" w:hAnsi="宋体" w:eastAsia="宋体" w:cs="宋体"/>
                <w:b w:val="0"/>
                <w:i w:val="0"/>
                <w:color w:val="000000"/>
                <w:sz w:val="12"/>
              </w:rPr>
              <w:t>33</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三、国有资本经营预算财政拨款收入</w:t>
            </w:r>
          </w:p>
        </w:tc>
        <w:tc>
          <w:tcPr>
            <w:tcW w:w="340" w:type="dxa"/>
            <w:vAlign w:val="center"/>
          </w:tcPr>
          <w:p>
            <w:pPr>
              <w:jc w:val="center"/>
            </w:pPr>
            <w:r>
              <w:rPr>
                <w:rFonts w:ascii="宋体" w:hAnsi="宋体" w:eastAsia="宋体" w:cs="宋体"/>
                <w:b w:val="0"/>
                <w:i w:val="0"/>
                <w:color w:val="000000"/>
                <w:sz w:val="12"/>
              </w:rPr>
              <w:t>3</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三、国防支出</w:t>
            </w:r>
          </w:p>
        </w:tc>
        <w:tc>
          <w:tcPr>
            <w:tcW w:w="340" w:type="dxa"/>
            <w:vAlign w:val="center"/>
          </w:tcPr>
          <w:p>
            <w:pPr>
              <w:jc w:val="center"/>
            </w:pPr>
            <w:r>
              <w:rPr>
                <w:rFonts w:ascii="宋体" w:hAnsi="宋体" w:eastAsia="宋体" w:cs="宋体"/>
                <w:b w:val="0"/>
                <w:i w:val="0"/>
                <w:color w:val="000000"/>
                <w:sz w:val="12"/>
              </w:rPr>
              <w:t>34</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四、上级补助收入</w:t>
            </w:r>
          </w:p>
        </w:tc>
        <w:tc>
          <w:tcPr>
            <w:tcW w:w="340" w:type="dxa"/>
            <w:vAlign w:val="center"/>
          </w:tcPr>
          <w:p>
            <w:pPr>
              <w:jc w:val="center"/>
            </w:pPr>
            <w:r>
              <w:rPr>
                <w:rFonts w:ascii="宋体" w:hAnsi="宋体" w:eastAsia="宋体" w:cs="宋体"/>
                <w:b w:val="0"/>
                <w:i w:val="0"/>
                <w:color w:val="000000"/>
                <w:sz w:val="12"/>
              </w:rPr>
              <w:t>4</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四、公共安全支出</w:t>
            </w:r>
          </w:p>
        </w:tc>
        <w:tc>
          <w:tcPr>
            <w:tcW w:w="340" w:type="dxa"/>
            <w:vAlign w:val="center"/>
          </w:tcPr>
          <w:p>
            <w:pPr>
              <w:jc w:val="center"/>
            </w:pPr>
            <w:r>
              <w:rPr>
                <w:rFonts w:ascii="宋体" w:hAnsi="宋体" w:eastAsia="宋体" w:cs="宋体"/>
                <w:b w:val="0"/>
                <w:i w:val="0"/>
                <w:color w:val="000000"/>
                <w:sz w:val="12"/>
              </w:rPr>
              <w:t>35</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五、事业收入</w:t>
            </w:r>
          </w:p>
        </w:tc>
        <w:tc>
          <w:tcPr>
            <w:tcW w:w="340" w:type="dxa"/>
            <w:vAlign w:val="center"/>
          </w:tcPr>
          <w:p>
            <w:pPr>
              <w:jc w:val="center"/>
            </w:pPr>
            <w:r>
              <w:rPr>
                <w:rFonts w:ascii="宋体" w:hAnsi="宋体" w:eastAsia="宋体" w:cs="宋体"/>
                <w:b w:val="0"/>
                <w:i w:val="0"/>
                <w:color w:val="000000"/>
                <w:sz w:val="12"/>
              </w:rPr>
              <w:t>5</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五、教育支出</w:t>
            </w:r>
          </w:p>
        </w:tc>
        <w:tc>
          <w:tcPr>
            <w:tcW w:w="340" w:type="dxa"/>
            <w:vAlign w:val="center"/>
          </w:tcPr>
          <w:p>
            <w:pPr>
              <w:jc w:val="center"/>
            </w:pPr>
            <w:r>
              <w:rPr>
                <w:rFonts w:ascii="宋体" w:hAnsi="宋体" w:eastAsia="宋体" w:cs="宋体"/>
                <w:b w:val="0"/>
                <w:i w:val="0"/>
                <w:color w:val="000000"/>
                <w:sz w:val="12"/>
              </w:rPr>
              <w:t>36</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六、经营收入</w:t>
            </w:r>
          </w:p>
        </w:tc>
        <w:tc>
          <w:tcPr>
            <w:tcW w:w="340" w:type="dxa"/>
            <w:vAlign w:val="center"/>
          </w:tcPr>
          <w:p>
            <w:pPr>
              <w:jc w:val="center"/>
            </w:pPr>
            <w:r>
              <w:rPr>
                <w:rFonts w:ascii="宋体" w:hAnsi="宋体" w:eastAsia="宋体" w:cs="宋体"/>
                <w:b w:val="0"/>
                <w:i w:val="0"/>
                <w:color w:val="000000"/>
                <w:sz w:val="12"/>
              </w:rPr>
              <w:t>6</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六、科学技术支出</w:t>
            </w:r>
          </w:p>
        </w:tc>
        <w:tc>
          <w:tcPr>
            <w:tcW w:w="340" w:type="dxa"/>
            <w:vAlign w:val="center"/>
          </w:tcPr>
          <w:p>
            <w:pPr>
              <w:jc w:val="center"/>
            </w:pPr>
            <w:r>
              <w:rPr>
                <w:rFonts w:ascii="宋体" w:hAnsi="宋体" w:eastAsia="宋体" w:cs="宋体"/>
                <w:b w:val="0"/>
                <w:i w:val="0"/>
                <w:color w:val="000000"/>
                <w:sz w:val="12"/>
              </w:rPr>
              <w:t>37</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七、附属单位上缴收入</w:t>
            </w:r>
          </w:p>
        </w:tc>
        <w:tc>
          <w:tcPr>
            <w:tcW w:w="340" w:type="dxa"/>
            <w:vAlign w:val="center"/>
          </w:tcPr>
          <w:p>
            <w:pPr>
              <w:jc w:val="center"/>
            </w:pPr>
            <w:r>
              <w:rPr>
                <w:rFonts w:ascii="宋体" w:hAnsi="宋体" w:eastAsia="宋体" w:cs="宋体"/>
                <w:b w:val="0"/>
                <w:i w:val="0"/>
                <w:color w:val="000000"/>
                <w:sz w:val="12"/>
              </w:rPr>
              <w:t>7</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七、文化旅游体育与传媒支出</w:t>
            </w:r>
          </w:p>
        </w:tc>
        <w:tc>
          <w:tcPr>
            <w:tcW w:w="340" w:type="dxa"/>
            <w:vAlign w:val="center"/>
          </w:tcPr>
          <w:p>
            <w:pPr>
              <w:jc w:val="center"/>
            </w:pPr>
            <w:r>
              <w:rPr>
                <w:rFonts w:ascii="宋体" w:hAnsi="宋体" w:eastAsia="宋体" w:cs="宋体"/>
                <w:b w:val="0"/>
                <w:i w:val="0"/>
                <w:color w:val="000000"/>
                <w:sz w:val="12"/>
              </w:rPr>
              <w:t>38</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八、其他收入</w:t>
            </w:r>
          </w:p>
        </w:tc>
        <w:tc>
          <w:tcPr>
            <w:tcW w:w="340" w:type="dxa"/>
            <w:vAlign w:val="center"/>
          </w:tcPr>
          <w:p>
            <w:pPr>
              <w:jc w:val="center"/>
            </w:pPr>
            <w:r>
              <w:rPr>
                <w:rFonts w:ascii="宋体" w:hAnsi="宋体" w:eastAsia="宋体" w:cs="宋体"/>
                <w:b w:val="0"/>
                <w:i w:val="0"/>
                <w:color w:val="000000"/>
                <w:sz w:val="12"/>
              </w:rPr>
              <w:t>8</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八、社会保障和就业支出</w:t>
            </w:r>
          </w:p>
        </w:tc>
        <w:tc>
          <w:tcPr>
            <w:tcW w:w="340" w:type="dxa"/>
            <w:vAlign w:val="center"/>
          </w:tcPr>
          <w:p>
            <w:pPr>
              <w:jc w:val="center"/>
            </w:pPr>
            <w:r>
              <w:rPr>
                <w:rFonts w:ascii="宋体" w:hAnsi="宋体" w:eastAsia="宋体" w:cs="宋体"/>
                <w:b w:val="0"/>
                <w:i w:val="0"/>
                <w:color w:val="000000"/>
                <w:sz w:val="12"/>
              </w:rPr>
              <w:t>39</w:t>
            </w:r>
          </w:p>
        </w:tc>
        <w:tc>
          <w:tcPr>
            <w:tcW w:w="1346" w:type="dxa"/>
            <w:vAlign w:val="center"/>
          </w:tcPr>
          <w:p>
            <w:pPr>
              <w:jc w:val="right"/>
            </w:pPr>
            <w:r>
              <w:rPr>
                <w:rFonts w:ascii="宋体" w:hAnsi="宋体" w:eastAsia="宋体" w:cs="宋体"/>
                <w:b w:val="0"/>
                <w:i w:val="0"/>
                <w:color w:val="000000"/>
                <w:sz w:val="12"/>
              </w:rPr>
              <w:t>364.37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9</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九、卫生健康支出</w:t>
            </w:r>
          </w:p>
        </w:tc>
        <w:tc>
          <w:tcPr>
            <w:tcW w:w="340" w:type="dxa"/>
            <w:vAlign w:val="center"/>
          </w:tcPr>
          <w:p>
            <w:pPr>
              <w:jc w:val="center"/>
            </w:pPr>
            <w:r>
              <w:rPr>
                <w:rFonts w:ascii="宋体" w:hAnsi="宋体" w:eastAsia="宋体" w:cs="宋体"/>
                <w:b w:val="0"/>
                <w:i w:val="0"/>
                <w:color w:val="000000"/>
                <w:sz w:val="12"/>
              </w:rPr>
              <w:t>40</w:t>
            </w:r>
          </w:p>
        </w:tc>
        <w:tc>
          <w:tcPr>
            <w:tcW w:w="1346" w:type="dxa"/>
            <w:vAlign w:val="center"/>
          </w:tcPr>
          <w:p>
            <w:pPr>
              <w:jc w:val="right"/>
            </w:pPr>
            <w:r>
              <w:rPr>
                <w:rFonts w:ascii="宋体" w:hAnsi="宋体" w:eastAsia="宋体" w:cs="宋体"/>
                <w:b w:val="0"/>
                <w:i w:val="0"/>
                <w:color w:val="000000"/>
                <w:sz w:val="12"/>
              </w:rPr>
              <w:t>185.21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10</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十、节能环保支出</w:t>
            </w:r>
          </w:p>
        </w:tc>
        <w:tc>
          <w:tcPr>
            <w:tcW w:w="340" w:type="dxa"/>
            <w:vAlign w:val="center"/>
          </w:tcPr>
          <w:p>
            <w:pPr>
              <w:jc w:val="center"/>
            </w:pPr>
            <w:r>
              <w:rPr>
                <w:rFonts w:ascii="宋体" w:hAnsi="宋体" w:eastAsia="宋体" w:cs="宋体"/>
                <w:b w:val="0"/>
                <w:i w:val="0"/>
                <w:color w:val="000000"/>
                <w:sz w:val="12"/>
              </w:rPr>
              <w:t>41</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11</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十一、城乡社区支出</w:t>
            </w:r>
          </w:p>
        </w:tc>
        <w:tc>
          <w:tcPr>
            <w:tcW w:w="340" w:type="dxa"/>
            <w:vAlign w:val="center"/>
          </w:tcPr>
          <w:p>
            <w:pPr>
              <w:jc w:val="center"/>
            </w:pPr>
            <w:r>
              <w:rPr>
                <w:rFonts w:ascii="宋体" w:hAnsi="宋体" w:eastAsia="宋体" w:cs="宋体"/>
                <w:b w:val="0"/>
                <w:i w:val="0"/>
                <w:color w:val="000000"/>
                <w:sz w:val="12"/>
              </w:rPr>
              <w:t>42</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12</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十二、农林水支出</w:t>
            </w:r>
          </w:p>
        </w:tc>
        <w:tc>
          <w:tcPr>
            <w:tcW w:w="340" w:type="dxa"/>
            <w:vAlign w:val="center"/>
          </w:tcPr>
          <w:p>
            <w:pPr>
              <w:jc w:val="center"/>
            </w:pPr>
            <w:r>
              <w:rPr>
                <w:rFonts w:ascii="宋体" w:hAnsi="宋体" w:eastAsia="宋体" w:cs="宋体"/>
                <w:b w:val="0"/>
                <w:i w:val="0"/>
                <w:color w:val="000000"/>
                <w:sz w:val="12"/>
              </w:rPr>
              <w:t>43</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13</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十三、交通运输支出</w:t>
            </w:r>
          </w:p>
        </w:tc>
        <w:tc>
          <w:tcPr>
            <w:tcW w:w="340" w:type="dxa"/>
            <w:vAlign w:val="center"/>
          </w:tcPr>
          <w:p>
            <w:pPr>
              <w:jc w:val="center"/>
            </w:pPr>
            <w:r>
              <w:rPr>
                <w:rFonts w:ascii="宋体" w:hAnsi="宋体" w:eastAsia="宋体" w:cs="宋体"/>
                <w:b w:val="0"/>
                <w:i w:val="0"/>
                <w:color w:val="000000"/>
                <w:sz w:val="12"/>
              </w:rPr>
              <w:t>44</w:t>
            </w:r>
          </w:p>
        </w:tc>
        <w:tc>
          <w:tcPr>
            <w:tcW w:w="1346" w:type="dxa"/>
            <w:vAlign w:val="center"/>
          </w:tcPr>
          <w:p>
            <w:pPr>
              <w:jc w:val="right"/>
            </w:pPr>
            <w:r>
              <w:rPr>
                <w:rFonts w:ascii="宋体" w:hAnsi="宋体" w:eastAsia="宋体" w:cs="宋体"/>
                <w:b w:val="0"/>
                <w:i w:val="0"/>
                <w:color w:val="000000"/>
                <w:sz w:val="12"/>
              </w:rPr>
              <w:t>3,418.22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14</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十四、资源勘探工业信息等支出</w:t>
            </w:r>
          </w:p>
        </w:tc>
        <w:tc>
          <w:tcPr>
            <w:tcW w:w="340" w:type="dxa"/>
            <w:vAlign w:val="center"/>
          </w:tcPr>
          <w:p>
            <w:pPr>
              <w:jc w:val="center"/>
            </w:pPr>
            <w:r>
              <w:rPr>
                <w:rFonts w:ascii="宋体" w:hAnsi="宋体" w:eastAsia="宋体" w:cs="宋体"/>
                <w:b w:val="0"/>
                <w:i w:val="0"/>
                <w:color w:val="000000"/>
                <w:sz w:val="12"/>
              </w:rPr>
              <w:t>45</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15</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十五、商业服务业等支出</w:t>
            </w:r>
          </w:p>
        </w:tc>
        <w:tc>
          <w:tcPr>
            <w:tcW w:w="340" w:type="dxa"/>
            <w:vAlign w:val="center"/>
          </w:tcPr>
          <w:p>
            <w:pPr>
              <w:jc w:val="center"/>
            </w:pPr>
            <w:r>
              <w:rPr>
                <w:rFonts w:ascii="宋体" w:hAnsi="宋体" w:eastAsia="宋体" w:cs="宋体"/>
                <w:b w:val="0"/>
                <w:i w:val="0"/>
                <w:color w:val="000000"/>
                <w:sz w:val="12"/>
              </w:rPr>
              <w:t>46</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16</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十六、金融支出</w:t>
            </w:r>
          </w:p>
        </w:tc>
        <w:tc>
          <w:tcPr>
            <w:tcW w:w="340" w:type="dxa"/>
            <w:vAlign w:val="center"/>
          </w:tcPr>
          <w:p>
            <w:pPr>
              <w:jc w:val="center"/>
            </w:pPr>
            <w:r>
              <w:rPr>
                <w:rFonts w:ascii="宋体" w:hAnsi="宋体" w:eastAsia="宋体" w:cs="宋体"/>
                <w:b w:val="0"/>
                <w:i w:val="0"/>
                <w:color w:val="000000"/>
                <w:sz w:val="12"/>
              </w:rPr>
              <w:t>47</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17</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十七、援助其他地区支出</w:t>
            </w:r>
          </w:p>
        </w:tc>
        <w:tc>
          <w:tcPr>
            <w:tcW w:w="340" w:type="dxa"/>
            <w:vAlign w:val="center"/>
          </w:tcPr>
          <w:p>
            <w:pPr>
              <w:jc w:val="center"/>
            </w:pPr>
            <w:r>
              <w:rPr>
                <w:rFonts w:ascii="宋体" w:hAnsi="宋体" w:eastAsia="宋体" w:cs="宋体"/>
                <w:b w:val="0"/>
                <w:i w:val="0"/>
                <w:color w:val="000000"/>
                <w:sz w:val="12"/>
              </w:rPr>
              <w:t>48</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18</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十八、自然资源海洋气象等支出</w:t>
            </w:r>
          </w:p>
        </w:tc>
        <w:tc>
          <w:tcPr>
            <w:tcW w:w="340" w:type="dxa"/>
            <w:vAlign w:val="center"/>
          </w:tcPr>
          <w:p>
            <w:pPr>
              <w:jc w:val="center"/>
            </w:pPr>
            <w:r>
              <w:rPr>
                <w:rFonts w:ascii="宋体" w:hAnsi="宋体" w:eastAsia="宋体" w:cs="宋体"/>
                <w:b w:val="0"/>
                <w:i w:val="0"/>
                <w:color w:val="000000"/>
                <w:sz w:val="12"/>
              </w:rPr>
              <w:t>49</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19</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十九、住房保障支出</w:t>
            </w:r>
          </w:p>
        </w:tc>
        <w:tc>
          <w:tcPr>
            <w:tcW w:w="340" w:type="dxa"/>
            <w:vAlign w:val="center"/>
          </w:tcPr>
          <w:p>
            <w:pPr>
              <w:jc w:val="center"/>
            </w:pPr>
            <w:r>
              <w:rPr>
                <w:rFonts w:ascii="宋体" w:hAnsi="宋体" w:eastAsia="宋体" w:cs="宋体"/>
                <w:b w:val="0"/>
                <w:i w:val="0"/>
                <w:color w:val="000000"/>
                <w:sz w:val="12"/>
              </w:rPr>
              <w:t>50</w:t>
            </w:r>
          </w:p>
        </w:tc>
        <w:tc>
          <w:tcPr>
            <w:tcW w:w="1346" w:type="dxa"/>
            <w:vAlign w:val="center"/>
          </w:tcPr>
          <w:p>
            <w:pPr>
              <w:jc w:val="right"/>
            </w:pPr>
            <w:r>
              <w:rPr>
                <w:rFonts w:ascii="宋体" w:hAnsi="宋体" w:eastAsia="宋体" w:cs="宋体"/>
                <w:b w:val="0"/>
                <w:i w:val="0"/>
                <w:color w:val="000000"/>
                <w:sz w:val="12"/>
              </w:rPr>
              <w:t>88.63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20</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二十、粮油物资储备支出</w:t>
            </w:r>
          </w:p>
        </w:tc>
        <w:tc>
          <w:tcPr>
            <w:tcW w:w="340" w:type="dxa"/>
            <w:vAlign w:val="center"/>
          </w:tcPr>
          <w:p>
            <w:pPr>
              <w:jc w:val="center"/>
            </w:pPr>
            <w:r>
              <w:rPr>
                <w:rFonts w:ascii="宋体" w:hAnsi="宋体" w:eastAsia="宋体" w:cs="宋体"/>
                <w:b w:val="0"/>
                <w:i w:val="0"/>
                <w:color w:val="000000"/>
                <w:sz w:val="12"/>
              </w:rPr>
              <w:t>51</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21</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二十一、国有资本经营预算支出</w:t>
            </w:r>
          </w:p>
        </w:tc>
        <w:tc>
          <w:tcPr>
            <w:tcW w:w="340" w:type="dxa"/>
            <w:vAlign w:val="center"/>
          </w:tcPr>
          <w:p>
            <w:pPr>
              <w:jc w:val="center"/>
            </w:pPr>
            <w:r>
              <w:rPr>
                <w:rFonts w:ascii="宋体" w:hAnsi="宋体" w:eastAsia="宋体" w:cs="宋体"/>
                <w:b w:val="0"/>
                <w:i w:val="0"/>
                <w:color w:val="000000"/>
                <w:sz w:val="12"/>
              </w:rPr>
              <w:t>52</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22</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二十二、灾害防治及应急管理支出</w:t>
            </w:r>
          </w:p>
        </w:tc>
        <w:tc>
          <w:tcPr>
            <w:tcW w:w="340" w:type="dxa"/>
            <w:vAlign w:val="center"/>
          </w:tcPr>
          <w:p>
            <w:pPr>
              <w:jc w:val="center"/>
            </w:pPr>
            <w:r>
              <w:rPr>
                <w:rFonts w:ascii="宋体" w:hAnsi="宋体" w:eastAsia="宋体" w:cs="宋体"/>
                <w:b w:val="0"/>
                <w:i w:val="0"/>
                <w:color w:val="000000"/>
                <w:sz w:val="12"/>
              </w:rPr>
              <w:t>53</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23</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二十三、其他支出</w:t>
            </w:r>
          </w:p>
        </w:tc>
        <w:tc>
          <w:tcPr>
            <w:tcW w:w="340" w:type="dxa"/>
            <w:vAlign w:val="center"/>
          </w:tcPr>
          <w:p>
            <w:pPr>
              <w:jc w:val="center"/>
            </w:pPr>
            <w:r>
              <w:rPr>
                <w:rFonts w:ascii="宋体" w:hAnsi="宋体" w:eastAsia="宋体" w:cs="宋体"/>
                <w:b w:val="0"/>
                <w:i w:val="0"/>
                <w:color w:val="000000"/>
                <w:sz w:val="12"/>
              </w:rPr>
              <w:t>54</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24</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二十四、债务还本支出</w:t>
            </w:r>
          </w:p>
        </w:tc>
        <w:tc>
          <w:tcPr>
            <w:tcW w:w="340" w:type="dxa"/>
            <w:vAlign w:val="center"/>
          </w:tcPr>
          <w:p>
            <w:pPr>
              <w:jc w:val="center"/>
            </w:pPr>
            <w:r>
              <w:rPr>
                <w:rFonts w:ascii="宋体" w:hAnsi="宋体" w:eastAsia="宋体" w:cs="宋体"/>
                <w:b w:val="0"/>
                <w:i w:val="0"/>
                <w:color w:val="000000"/>
                <w:sz w:val="12"/>
              </w:rPr>
              <w:t>55</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25</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二十五、债务付息支出</w:t>
            </w:r>
          </w:p>
        </w:tc>
        <w:tc>
          <w:tcPr>
            <w:tcW w:w="340" w:type="dxa"/>
            <w:vAlign w:val="center"/>
          </w:tcPr>
          <w:p>
            <w:pPr>
              <w:jc w:val="center"/>
            </w:pPr>
            <w:r>
              <w:rPr>
                <w:rFonts w:ascii="宋体" w:hAnsi="宋体" w:eastAsia="宋体" w:cs="宋体"/>
                <w:b w:val="0"/>
                <w:i w:val="0"/>
                <w:color w:val="000000"/>
                <w:sz w:val="12"/>
              </w:rPr>
              <w:t>56</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26</w:t>
            </w:r>
          </w:p>
        </w:tc>
        <w:tc>
          <w:tcPr>
            <w:tcW w:w="1320" w:type="dxa"/>
            <w:vAlign w:val="center"/>
          </w:tcPr>
          <w:p/>
        </w:tc>
        <w:tc>
          <w:tcPr>
            <w:tcW w:w="2480" w:type="dxa"/>
            <w:vAlign w:val="center"/>
          </w:tcPr>
          <w:p>
            <w:pPr>
              <w:jc w:val="left"/>
            </w:pPr>
            <w:r>
              <w:rPr>
                <w:rFonts w:ascii="宋体" w:hAnsi="宋体" w:eastAsia="宋体" w:cs="宋体"/>
                <w:b w:val="0"/>
                <w:i w:val="0"/>
                <w:color w:val="000000"/>
                <w:sz w:val="12"/>
              </w:rPr>
              <w:t>二十六、抗疫特别国债安排的支出</w:t>
            </w:r>
          </w:p>
        </w:tc>
        <w:tc>
          <w:tcPr>
            <w:tcW w:w="340" w:type="dxa"/>
            <w:vAlign w:val="center"/>
          </w:tcPr>
          <w:p>
            <w:pPr>
              <w:jc w:val="center"/>
            </w:pPr>
            <w:r>
              <w:rPr>
                <w:rFonts w:ascii="宋体" w:hAnsi="宋体" w:eastAsia="宋体" w:cs="宋体"/>
                <w:b w:val="0"/>
                <w:i w:val="0"/>
                <w:color w:val="000000"/>
                <w:sz w:val="12"/>
              </w:rPr>
              <w:t>57</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center"/>
            </w:pPr>
            <w:r>
              <w:rPr>
                <w:rFonts w:ascii="宋体" w:hAnsi="宋体" w:eastAsia="宋体" w:cs="宋体"/>
                <w:b/>
                <w:i w:val="0"/>
                <w:color w:val="000000"/>
                <w:sz w:val="12"/>
              </w:rPr>
              <w:t>本年收入合计</w:t>
            </w:r>
          </w:p>
        </w:tc>
        <w:tc>
          <w:tcPr>
            <w:tcW w:w="340" w:type="dxa"/>
            <w:vAlign w:val="center"/>
          </w:tcPr>
          <w:p>
            <w:pPr>
              <w:jc w:val="center"/>
            </w:pPr>
            <w:r>
              <w:rPr>
                <w:rFonts w:ascii="宋体" w:hAnsi="宋体" w:eastAsia="宋体" w:cs="宋体"/>
                <w:b w:val="0"/>
                <w:i w:val="0"/>
                <w:color w:val="000000"/>
                <w:sz w:val="12"/>
              </w:rPr>
              <w:t>27</w:t>
            </w:r>
          </w:p>
        </w:tc>
        <w:tc>
          <w:tcPr>
            <w:tcW w:w="1320" w:type="dxa"/>
            <w:vAlign w:val="center"/>
          </w:tcPr>
          <w:p>
            <w:pPr>
              <w:jc w:val="right"/>
            </w:pPr>
            <w:r>
              <w:rPr>
                <w:rFonts w:ascii="宋体" w:hAnsi="宋体" w:eastAsia="宋体" w:cs="宋体"/>
                <w:b w:val="0"/>
                <w:i w:val="0"/>
                <w:color w:val="000000"/>
                <w:sz w:val="12"/>
              </w:rPr>
              <w:t>4,056.43</w:t>
            </w:r>
          </w:p>
        </w:tc>
        <w:tc>
          <w:tcPr>
            <w:tcW w:w="2480" w:type="dxa"/>
            <w:vAlign w:val="center"/>
          </w:tcPr>
          <w:p>
            <w:pPr>
              <w:jc w:val="center"/>
            </w:pPr>
            <w:r>
              <w:rPr>
                <w:rFonts w:ascii="宋体" w:hAnsi="宋体" w:eastAsia="宋体" w:cs="宋体"/>
                <w:b/>
                <w:i w:val="0"/>
                <w:color w:val="000000"/>
                <w:sz w:val="12"/>
              </w:rPr>
              <w:t>本年支出合计</w:t>
            </w:r>
          </w:p>
        </w:tc>
        <w:tc>
          <w:tcPr>
            <w:tcW w:w="340" w:type="dxa"/>
            <w:vAlign w:val="center"/>
          </w:tcPr>
          <w:p>
            <w:pPr>
              <w:jc w:val="center"/>
            </w:pPr>
            <w:r>
              <w:rPr>
                <w:rFonts w:ascii="宋体" w:hAnsi="宋体" w:eastAsia="宋体" w:cs="宋体"/>
                <w:b w:val="0"/>
                <w:i w:val="0"/>
                <w:color w:val="000000"/>
                <w:sz w:val="12"/>
              </w:rPr>
              <w:t>58</w:t>
            </w:r>
          </w:p>
        </w:tc>
        <w:tc>
          <w:tcPr>
            <w:tcW w:w="1346" w:type="dxa"/>
            <w:vAlign w:val="center"/>
          </w:tcPr>
          <w:p>
            <w:pPr>
              <w:jc w:val="right"/>
            </w:pPr>
            <w:r>
              <w:rPr>
                <w:rFonts w:ascii="宋体" w:hAnsi="宋体" w:eastAsia="宋体" w:cs="宋体"/>
                <w:b w:val="0"/>
                <w:i w:val="0"/>
                <w:color w:val="000000"/>
                <w:sz w:val="12"/>
              </w:rPr>
              <w:t>4,056.43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使用非财政拨款结余和专用结余</w:t>
            </w:r>
          </w:p>
        </w:tc>
        <w:tc>
          <w:tcPr>
            <w:tcW w:w="340" w:type="dxa"/>
            <w:vAlign w:val="center"/>
          </w:tcPr>
          <w:p>
            <w:pPr>
              <w:jc w:val="center"/>
            </w:pPr>
            <w:r>
              <w:rPr>
                <w:rFonts w:ascii="宋体" w:hAnsi="宋体" w:eastAsia="宋体" w:cs="宋体"/>
                <w:b w:val="0"/>
                <w:i w:val="0"/>
                <w:color w:val="000000"/>
                <w:sz w:val="12"/>
              </w:rPr>
              <w:t>28</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结余分配</w:t>
            </w:r>
          </w:p>
        </w:tc>
        <w:tc>
          <w:tcPr>
            <w:tcW w:w="340" w:type="dxa"/>
            <w:vAlign w:val="center"/>
          </w:tcPr>
          <w:p>
            <w:pPr>
              <w:jc w:val="center"/>
            </w:pPr>
            <w:r>
              <w:rPr>
                <w:rFonts w:ascii="宋体" w:hAnsi="宋体" w:eastAsia="宋体" w:cs="宋体"/>
                <w:b w:val="0"/>
                <w:i w:val="0"/>
                <w:color w:val="000000"/>
                <w:sz w:val="12"/>
              </w:rPr>
              <w:t>59</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left"/>
            </w:pPr>
            <w:r>
              <w:rPr>
                <w:rFonts w:ascii="宋体" w:hAnsi="宋体" w:eastAsia="宋体" w:cs="宋体"/>
                <w:b w:val="0"/>
                <w:i w:val="0"/>
                <w:color w:val="000000"/>
                <w:sz w:val="12"/>
              </w:rPr>
              <w:t>年初结转和结余</w:t>
            </w:r>
          </w:p>
        </w:tc>
        <w:tc>
          <w:tcPr>
            <w:tcW w:w="340" w:type="dxa"/>
            <w:vAlign w:val="center"/>
          </w:tcPr>
          <w:p>
            <w:pPr>
              <w:jc w:val="center"/>
            </w:pPr>
            <w:r>
              <w:rPr>
                <w:rFonts w:ascii="宋体" w:hAnsi="宋体" w:eastAsia="宋体" w:cs="宋体"/>
                <w:b w:val="0"/>
                <w:i w:val="0"/>
                <w:color w:val="000000"/>
                <w:sz w:val="12"/>
              </w:rPr>
              <w:t>29</w:t>
            </w:r>
          </w:p>
        </w:tc>
        <w:tc>
          <w:tcPr>
            <w:tcW w:w="1320" w:type="dxa"/>
            <w:vAlign w:val="center"/>
          </w:tcPr>
          <w:p>
            <w:pPr>
              <w:jc w:val="right"/>
            </w:pPr>
            <w:r>
              <w:rPr>
                <w:rFonts w:ascii="宋体" w:hAnsi="宋体" w:eastAsia="宋体" w:cs="宋体"/>
                <w:b w:val="0"/>
                <w:i w:val="0"/>
                <w:color w:val="000000"/>
                <w:sz w:val="12"/>
              </w:rPr>
              <w:t>0.00</w:t>
            </w:r>
          </w:p>
        </w:tc>
        <w:tc>
          <w:tcPr>
            <w:tcW w:w="2480" w:type="dxa"/>
            <w:vAlign w:val="center"/>
          </w:tcPr>
          <w:p>
            <w:pPr>
              <w:jc w:val="left"/>
            </w:pPr>
            <w:r>
              <w:rPr>
                <w:rFonts w:ascii="宋体" w:hAnsi="宋体" w:eastAsia="宋体" w:cs="宋体"/>
                <w:b w:val="0"/>
                <w:i w:val="0"/>
                <w:color w:val="000000"/>
                <w:sz w:val="12"/>
              </w:rPr>
              <w:t>年末结转和结余</w:t>
            </w:r>
          </w:p>
        </w:tc>
        <w:tc>
          <w:tcPr>
            <w:tcW w:w="340" w:type="dxa"/>
            <w:vAlign w:val="center"/>
          </w:tcPr>
          <w:p>
            <w:pPr>
              <w:jc w:val="center"/>
            </w:pPr>
            <w:r>
              <w:rPr>
                <w:rFonts w:ascii="宋体" w:hAnsi="宋体" w:eastAsia="宋体" w:cs="宋体"/>
                <w:b w:val="0"/>
                <w:i w:val="0"/>
                <w:color w:val="000000"/>
                <w:sz w:val="12"/>
              </w:rPr>
              <w:t>60</w:t>
            </w:r>
          </w:p>
        </w:tc>
        <w:tc>
          <w:tcPr>
            <w:tcW w:w="1346" w:type="dxa"/>
            <w:vAlign w:val="center"/>
          </w:tcPr>
          <w:p>
            <w:pPr>
              <w:jc w:val="right"/>
            </w:pPr>
            <w:r>
              <w:rPr>
                <w:rFonts w:ascii="宋体" w:hAnsi="宋体" w:eastAsia="宋体" w:cs="宋体"/>
                <w:b w:val="0"/>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tc>
        <w:tc>
          <w:tcPr>
            <w:tcW w:w="340" w:type="dxa"/>
            <w:vAlign w:val="center"/>
          </w:tcPr>
          <w:p>
            <w:pPr>
              <w:jc w:val="center"/>
            </w:pPr>
            <w:r>
              <w:rPr>
                <w:rFonts w:ascii="宋体" w:hAnsi="宋体" w:eastAsia="宋体" w:cs="宋体"/>
                <w:b w:val="0"/>
                <w:i w:val="0"/>
                <w:color w:val="000000"/>
                <w:sz w:val="12"/>
              </w:rPr>
              <w:t>30</w:t>
            </w:r>
          </w:p>
        </w:tc>
        <w:tc>
          <w:tcPr>
            <w:tcW w:w="1320" w:type="dxa"/>
            <w:vAlign w:val="center"/>
          </w:tcPr>
          <w:p/>
        </w:tc>
        <w:tc>
          <w:tcPr>
            <w:tcW w:w="2480" w:type="dxa"/>
            <w:vAlign w:val="center"/>
          </w:tcPr>
          <w:p/>
        </w:tc>
        <w:tc>
          <w:tcPr>
            <w:tcW w:w="340" w:type="dxa"/>
            <w:vAlign w:val="center"/>
          </w:tcPr>
          <w:p>
            <w:pPr>
              <w:jc w:val="center"/>
            </w:pPr>
            <w:r>
              <w:rPr>
                <w:rFonts w:ascii="宋体" w:hAnsi="宋体" w:eastAsia="宋体" w:cs="宋体"/>
                <w:b w:val="0"/>
                <w:i w:val="0"/>
                <w:color w:val="000000"/>
                <w:sz w:val="12"/>
              </w:rPr>
              <w:t>61</w:t>
            </w:r>
          </w:p>
        </w:tc>
        <w:tc>
          <w:tcPr>
            <w:tcW w:w="134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vAlign w:val="center"/>
          </w:tcPr>
          <w:p>
            <w:pPr>
              <w:jc w:val="center"/>
            </w:pPr>
            <w:r>
              <w:rPr>
                <w:rFonts w:ascii="宋体" w:hAnsi="宋体" w:eastAsia="宋体" w:cs="宋体"/>
                <w:b/>
                <w:i w:val="0"/>
                <w:color w:val="000000"/>
                <w:sz w:val="12"/>
              </w:rPr>
              <w:t>总计</w:t>
            </w:r>
          </w:p>
        </w:tc>
        <w:tc>
          <w:tcPr>
            <w:tcW w:w="340" w:type="dxa"/>
            <w:vAlign w:val="center"/>
          </w:tcPr>
          <w:p>
            <w:pPr>
              <w:jc w:val="center"/>
            </w:pPr>
            <w:r>
              <w:rPr>
                <w:rFonts w:ascii="宋体" w:hAnsi="宋体" w:eastAsia="宋体" w:cs="宋体"/>
                <w:b w:val="0"/>
                <w:i w:val="0"/>
                <w:color w:val="000000"/>
                <w:sz w:val="12"/>
              </w:rPr>
              <w:t>31</w:t>
            </w:r>
          </w:p>
        </w:tc>
        <w:tc>
          <w:tcPr>
            <w:tcW w:w="1320" w:type="dxa"/>
            <w:vAlign w:val="center"/>
          </w:tcPr>
          <w:p>
            <w:pPr>
              <w:jc w:val="right"/>
            </w:pPr>
            <w:r>
              <w:rPr>
                <w:rFonts w:ascii="宋体" w:hAnsi="宋体" w:eastAsia="宋体" w:cs="宋体"/>
                <w:b w:val="0"/>
                <w:i w:val="0"/>
                <w:color w:val="000000"/>
                <w:sz w:val="12"/>
              </w:rPr>
              <w:t>4,056.43</w:t>
            </w:r>
          </w:p>
        </w:tc>
        <w:tc>
          <w:tcPr>
            <w:tcW w:w="2480" w:type="dxa"/>
            <w:vAlign w:val="center"/>
          </w:tcPr>
          <w:p>
            <w:pPr>
              <w:jc w:val="center"/>
            </w:pPr>
            <w:r>
              <w:rPr>
                <w:rFonts w:ascii="宋体" w:hAnsi="宋体" w:eastAsia="宋体" w:cs="宋体"/>
                <w:b/>
                <w:i w:val="0"/>
                <w:color w:val="000000"/>
                <w:sz w:val="12"/>
              </w:rPr>
              <w:t>总计</w:t>
            </w:r>
          </w:p>
        </w:tc>
        <w:tc>
          <w:tcPr>
            <w:tcW w:w="340" w:type="dxa"/>
            <w:vAlign w:val="center"/>
          </w:tcPr>
          <w:p>
            <w:pPr>
              <w:jc w:val="center"/>
            </w:pPr>
            <w:r>
              <w:rPr>
                <w:rFonts w:ascii="宋体" w:hAnsi="宋体" w:eastAsia="宋体" w:cs="宋体"/>
                <w:b w:val="0"/>
                <w:i w:val="0"/>
                <w:color w:val="000000"/>
                <w:sz w:val="12"/>
              </w:rPr>
              <w:t>62</w:t>
            </w:r>
          </w:p>
        </w:tc>
        <w:tc>
          <w:tcPr>
            <w:tcW w:w="1346" w:type="dxa"/>
            <w:vAlign w:val="center"/>
          </w:tcPr>
          <w:p>
            <w:pPr>
              <w:jc w:val="right"/>
            </w:pPr>
            <w:r>
              <w:rPr>
                <w:rFonts w:ascii="宋体" w:hAnsi="宋体" w:eastAsia="宋体" w:cs="宋体"/>
                <w:b w:val="0"/>
                <w:i w:val="0"/>
                <w:color w:val="000000"/>
                <w:sz w:val="12"/>
              </w:rPr>
              <w:t>4,056.43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2"/>
              </w:rPr>
              <w:t>注：1.本表反映部门本年度的总收支和年末结转结余情况。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6" w:hRule="exact"/>
          <w:jc w:val="center"/>
        </w:trPr>
        <w:tc>
          <w:tcPr>
            <w:tcW w:w="2480" w:type="dxa"/>
            <w:gridSpan w:val="6"/>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2"/>
              </w:rPr>
              <w:t xml:space="preserve">    2.本套报表金额单位转换时可能存在尾数误差。</w:t>
            </w: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二、收入决算表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公开02表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80"/>
        <w:gridCol w:w="1860"/>
        <w:gridCol w:w="860"/>
        <w:gridCol w:w="860"/>
        <w:gridCol w:w="860"/>
        <w:gridCol w:w="860"/>
        <w:gridCol w:w="860"/>
        <w:gridCol w:w="860"/>
        <w:gridCol w:w="8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gridSpan w:val="2"/>
            <w:vAlign w:val="center"/>
          </w:tcPr>
          <w:p>
            <w:pPr>
              <w:jc w:val="center"/>
            </w:pPr>
            <w:r>
              <w:rPr>
                <w:rFonts w:ascii="宋体" w:hAnsi="宋体" w:eastAsia="宋体" w:cs="宋体"/>
                <w:b w:val="0"/>
                <w:i w:val="0"/>
                <w:color w:val="000000"/>
                <w:sz w:val="10"/>
              </w:rPr>
              <w:t>项目</w:t>
            </w:r>
          </w:p>
        </w:tc>
        <w:tc>
          <w:tcPr>
            <w:tcW w:w="860" w:type="dxa"/>
            <w:vMerge w:val="restart"/>
            <w:vAlign w:val="center"/>
          </w:tcPr>
          <w:p>
            <w:pPr>
              <w:jc w:val="center"/>
            </w:pPr>
            <w:r>
              <w:rPr>
                <w:rFonts w:ascii="宋体" w:hAnsi="宋体" w:eastAsia="宋体" w:cs="宋体"/>
                <w:b w:val="0"/>
                <w:i w:val="0"/>
                <w:color w:val="000000"/>
                <w:sz w:val="10"/>
              </w:rPr>
              <w:t>本年收入合计</w:t>
            </w:r>
          </w:p>
        </w:tc>
        <w:tc>
          <w:tcPr>
            <w:tcW w:w="860" w:type="dxa"/>
            <w:vMerge w:val="restart"/>
            <w:vAlign w:val="center"/>
          </w:tcPr>
          <w:p>
            <w:pPr>
              <w:jc w:val="center"/>
            </w:pPr>
            <w:r>
              <w:rPr>
                <w:rFonts w:ascii="宋体" w:hAnsi="宋体" w:eastAsia="宋体" w:cs="宋体"/>
                <w:b w:val="0"/>
                <w:i w:val="0"/>
                <w:color w:val="000000"/>
                <w:sz w:val="10"/>
              </w:rPr>
              <w:t>财政拨款收入</w:t>
            </w:r>
          </w:p>
        </w:tc>
        <w:tc>
          <w:tcPr>
            <w:tcW w:w="860" w:type="dxa"/>
            <w:vMerge w:val="restart"/>
            <w:vAlign w:val="center"/>
          </w:tcPr>
          <w:p>
            <w:pPr>
              <w:jc w:val="center"/>
            </w:pPr>
            <w:r>
              <w:rPr>
                <w:rFonts w:ascii="宋体" w:hAnsi="宋体" w:eastAsia="宋体" w:cs="宋体"/>
                <w:b w:val="0"/>
                <w:i w:val="0"/>
                <w:color w:val="000000"/>
                <w:sz w:val="10"/>
              </w:rPr>
              <w:t>上级补助收入</w:t>
            </w:r>
          </w:p>
        </w:tc>
        <w:tc>
          <w:tcPr>
            <w:tcW w:w="860" w:type="dxa"/>
            <w:vMerge w:val="restart"/>
            <w:vAlign w:val="center"/>
          </w:tcPr>
          <w:p>
            <w:pPr>
              <w:jc w:val="center"/>
            </w:pPr>
            <w:r>
              <w:rPr>
                <w:rFonts w:ascii="宋体" w:hAnsi="宋体" w:eastAsia="宋体" w:cs="宋体"/>
                <w:b w:val="0"/>
                <w:i w:val="0"/>
                <w:color w:val="000000"/>
                <w:sz w:val="10"/>
              </w:rPr>
              <w:t>事业收入</w:t>
            </w:r>
          </w:p>
        </w:tc>
        <w:tc>
          <w:tcPr>
            <w:tcW w:w="860" w:type="dxa"/>
            <w:vMerge w:val="restart"/>
            <w:vAlign w:val="center"/>
          </w:tcPr>
          <w:p>
            <w:pPr>
              <w:jc w:val="center"/>
            </w:pPr>
            <w:r>
              <w:rPr>
                <w:rFonts w:ascii="宋体" w:hAnsi="宋体" w:eastAsia="宋体" w:cs="宋体"/>
                <w:b w:val="0"/>
                <w:i w:val="0"/>
                <w:color w:val="000000"/>
                <w:sz w:val="10"/>
              </w:rPr>
              <w:t>经营收入</w:t>
            </w:r>
          </w:p>
        </w:tc>
        <w:tc>
          <w:tcPr>
            <w:tcW w:w="860" w:type="dxa"/>
            <w:vMerge w:val="restart"/>
            <w:vAlign w:val="center"/>
          </w:tcPr>
          <w:p>
            <w:pPr>
              <w:jc w:val="center"/>
            </w:pPr>
            <w:r>
              <w:rPr>
                <w:rFonts w:ascii="宋体" w:hAnsi="宋体" w:eastAsia="宋体" w:cs="宋体"/>
                <w:b w:val="0"/>
                <w:i w:val="0"/>
                <w:color w:val="000000"/>
                <w:sz w:val="10"/>
              </w:rPr>
              <w:t>附属单位上缴收入</w:t>
            </w:r>
          </w:p>
        </w:tc>
        <w:tc>
          <w:tcPr>
            <w:tcW w:w="806" w:type="dxa"/>
            <w:vMerge w:val="restart"/>
            <w:vAlign w:val="center"/>
          </w:tcPr>
          <w:p>
            <w:pPr>
              <w:jc w:val="center"/>
            </w:pPr>
            <w:r>
              <w:rPr>
                <w:rFonts w:ascii="宋体" w:hAnsi="宋体" w:eastAsia="宋体" w:cs="宋体"/>
                <w:b w:val="0"/>
                <w:i w:val="0"/>
                <w:color w:val="000000"/>
                <w:sz w:val="10"/>
              </w:rPr>
              <w:t>其他收入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Merge w:val="restart"/>
            <w:vAlign w:val="center"/>
          </w:tcPr>
          <w:p>
            <w:pPr>
              <w:jc w:val="center"/>
            </w:pPr>
            <w:r>
              <w:rPr>
                <w:rFonts w:ascii="宋体" w:hAnsi="宋体" w:eastAsia="宋体" w:cs="宋体"/>
                <w:b w:val="0"/>
                <w:i w:val="0"/>
                <w:color w:val="000000"/>
                <w:sz w:val="10"/>
              </w:rPr>
              <w:t>科目代码</w:t>
            </w:r>
          </w:p>
        </w:tc>
        <w:tc>
          <w:tcPr>
            <w:tcW w:w="1860" w:type="dxa"/>
            <w:vMerge w:val="restart"/>
            <w:vAlign w:val="center"/>
          </w:tcPr>
          <w:p>
            <w:pPr>
              <w:jc w:val="center"/>
            </w:pPr>
            <w:r>
              <w:rPr>
                <w:rFonts w:ascii="宋体" w:hAnsi="宋体" w:eastAsia="宋体" w:cs="宋体"/>
                <w:b w:val="0"/>
                <w:i w:val="0"/>
                <w:color w:val="000000"/>
                <w:sz w:val="10"/>
              </w:rPr>
              <w:t>科目名称</w:t>
            </w: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0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Merge w:val="continue"/>
            <w:vAlign w:val="center"/>
          </w:tcPr>
          <w:p/>
        </w:tc>
        <w:tc>
          <w:tcPr>
            <w:tcW w:w="1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0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Merge w:val="continue"/>
            <w:vAlign w:val="center"/>
          </w:tcPr>
          <w:p/>
        </w:tc>
        <w:tc>
          <w:tcPr>
            <w:tcW w:w="1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60" w:type="dxa"/>
            <w:vMerge w:val="continue"/>
            <w:vAlign w:val="center"/>
          </w:tcPr>
          <w:p/>
        </w:tc>
        <w:tc>
          <w:tcPr>
            <w:tcW w:w="80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gridSpan w:val="2"/>
            <w:vAlign w:val="center"/>
          </w:tcPr>
          <w:p>
            <w:pPr>
              <w:jc w:val="center"/>
            </w:pPr>
            <w:r>
              <w:rPr>
                <w:rFonts w:ascii="宋体" w:hAnsi="宋体" w:eastAsia="宋体" w:cs="宋体"/>
                <w:b w:val="0"/>
                <w:i w:val="0"/>
                <w:color w:val="000000"/>
                <w:sz w:val="10"/>
              </w:rPr>
              <w:t>栏次</w:t>
            </w:r>
          </w:p>
        </w:tc>
        <w:tc>
          <w:tcPr>
            <w:tcW w:w="860" w:type="dxa"/>
            <w:vAlign w:val="center"/>
          </w:tcPr>
          <w:p>
            <w:pPr>
              <w:jc w:val="center"/>
            </w:pPr>
            <w:r>
              <w:rPr>
                <w:rFonts w:ascii="宋体" w:hAnsi="宋体" w:eastAsia="宋体" w:cs="宋体"/>
                <w:b w:val="0"/>
                <w:i w:val="0"/>
                <w:color w:val="000000"/>
                <w:sz w:val="10"/>
              </w:rPr>
              <w:t>1</w:t>
            </w:r>
          </w:p>
        </w:tc>
        <w:tc>
          <w:tcPr>
            <w:tcW w:w="860" w:type="dxa"/>
            <w:vAlign w:val="center"/>
          </w:tcPr>
          <w:p>
            <w:pPr>
              <w:jc w:val="center"/>
            </w:pPr>
            <w:r>
              <w:rPr>
                <w:rFonts w:ascii="宋体" w:hAnsi="宋体" w:eastAsia="宋体" w:cs="宋体"/>
                <w:b w:val="0"/>
                <w:i w:val="0"/>
                <w:color w:val="000000"/>
                <w:sz w:val="10"/>
              </w:rPr>
              <w:t>2</w:t>
            </w:r>
          </w:p>
        </w:tc>
        <w:tc>
          <w:tcPr>
            <w:tcW w:w="860" w:type="dxa"/>
            <w:vAlign w:val="center"/>
          </w:tcPr>
          <w:p>
            <w:pPr>
              <w:jc w:val="center"/>
            </w:pPr>
            <w:r>
              <w:rPr>
                <w:rFonts w:ascii="宋体" w:hAnsi="宋体" w:eastAsia="宋体" w:cs="宋体"/>
                <w:b w:val="0"/>
                <w:i w:val="0"/>
                <w:color w:val="000000"/>
                <w:sz w:val="10"/>
              </w:rPr>
              <w:t>3</w:t>
            </w:r>
          </w:p>
        </w:tc>
        <w:tc>
          <w:tcPr>
            <w:tcW w:w="860" w:type="dxa"/>
            <w:vAlign w:val="center"/>
          </w:tcPr>
          <w:p>
            <w:pPr>
              <w:jc w:val="center"/>
            </w:pPr>
            <w:r>
              <w:rPr>
                <w:rFonts w:ascii="宋体" w:hAnsi="宋体" w:eastAsia="宋体" w:cs="宋体"/>
                <w:b w:val="0"/>
                <w:i w:val="0"/>
                <w:color w:val="000000"/>
                <w:sz w:val="10"/>
              </w:rPr>
              <w:t>4</w:t>
            </w:r>
          </w:p>
        </w:tc>
        <w:tc>
          <w:tcPr>
            <w:tcW w:w="860" w:type="dxa"/>
            <w:vAlign w:val="center"/>
          </w:tcPr>
          <w:p>
            <w:pPr>
              <w:jc w:val="center"/>
            </w:pPr>
            <w:r>
              <w:rPr>
                <w:rFonts w:ascii="宋体" w:hAnsi="宋体" w:eastAsia="宋体" w:cs="宋体"/>
                <w:b w:val="0"/>
                <w:i w:val="0"/>
                <w:color w:val="000000"/>
                <w:sz w:val="10"/>
              </w:rPr>
              <w:t>5</w:t>
            </w:r>
          </w:p>
        </w:tc>
        <w:tc>
          <w:tcPr>
            <w:tcW w:w="860" w:type="dxa"/>
            <w:vAlign w:val="center"/>
          </w:tcPr>
          <w:p>
            <w:pPr>
              <w:jc w:val="center"/>
            </w:pPr>
            <w:r>
              <w:rPr>
                <w:rFonts w:ascii="宋体" w:hAnsi="宋体" w:eastAsia="宋体" w:cs="宋体"/>
                <w:b w:val="0"/>
                <w:i w:val="0"/>
                <w:color w:val="000000"/>
                <w:sz w:val="10"/>
              </w:rPr>
              <w:t>6</w:t>
            </w:r>
          </w:p>
        </w:tc>
        <w:tc>
          <w:tcPr>
            <w:tcW w:w="806" w:type="dxa"/>
            <w:vAlign w:val="center"/>
          </w:tcPr>
          <w:p>
            <w:pPr>
              <w:jc w:val="center"/>
            </w:pPr>
            <w:r>
              <w:rPr>
                <w:rFonts w:ascii="宋体" w:hAnsi="宋体" w:eastAsia="宋体" w:cs="宋体"/>
                <w:b w:val="0"/>
                <w:i w:val="0"/>
                <w:color w:val="000000"/>
                <w:sz w:val="10"/>
              </w:rPr>
              <w:t>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gridSpan w:val="2"/>
            <w:vAlign w:val="center"/>
          </w:tcPr>
          <w:p>
            <w:pPr>
              <w:jc w:val="center"/>
            </w:pPr>
            <w:r>
              <w:rPr>
                <w:rFonts w:ascii="宋体" w:hAnsi="宋体" w:eastAsia="宋体" w:cs="宋体"/>
                <w:b w:val="0"/>
                <w:i w:val="0"/>
                <w:color w:val="000000"/>
                <w:sz w:val="10"/>
              </w:rPr>
              <w:t>合计</w:t>
            </w:r>
          </w:p>
        </w:tc>
        <w:tc>
          <w:tcPr>
            <w:tcW w:w="860" w:type="dxa"/>
            <w:vAlign w:val="center"/>
          </w:tcPr>
          <w:p>
            <w:pPr>
              <w:jc w:val="right"/>
            </w:pPr>
            <w:r>
              <w:rPr>
                <w:rFonts w:ascii="宋体" w:hAnsi="宋体" w:eastAsia="宋体" w:cs="宋体"/>
                <w:b/>
                <w:i w:val="0"/>
                <w:color w:val="000000"/>
                <w:sz w:val="10"/>
              </w:rPr>
              <w:t>4,056.43</w:t>
            </w:r>
          </w:p>
        </w:tc>
        <w:tc>
          <w:tcPr>
            <w:tcW w:w="860" w:type="dxa"/>
            <w:vAlign w:val="center"/>
          </w:tcPr>
          <w:p>
            <w:pPr>
              <w:jc w:val="right"/>
            </w:pPr>
            <w:r>
              <w:rPr>
                <w:rFonts w:ascii="宋体" w:hAnsi="宋体" w:eastAsia="宋体" w:cs="宋体"/>
                <w:b/>
                <w:i w:val="0"/>
                <w:color w:val="000000"/>
                <w:sz w:val="10"/>
              </w:rPr>
              <w:t>4,056.43</w:t>
            </w:r>
          </w:p>
        </w:tc>
        <w:tc>
          <w:tcPr>
            <w:tcW w:w="860" w:type="dxa"/>
            <w:vAlign w:val="center"/>
          </w:tcPr>
          <w:p>
            <w:pPr>
              <w:jc w:val="right"/>
            </w:pPr>
            <w:r>
              <w:rPr>
                <w:rFonts w:ascii="宋体" w:hAnsi="宋体" w:eastAsia="宋体" w:cs="宋体"/>
                <w:b/>
                <w:i w:val="0"/>
                <w:color w:val="000000"/>
                <w:sz w:val="10"/>
              </w:rPr>
              <w:t>0.00</w:t>
            </w:r>
          </w:p>
        </w:tc>
        <w:tc>
          <w:tcPr>
            <w:tcW w:w="860" w:type="dxa"/>
            <w:vAlign w:val="center"/>
          </w:tcPr>
          <w:p>
            <w:pPr>
              <w:jc w:val="right"/>
            </w:pPr>
            <w:r>
              <w:rPr>
                <w:rFonts w:ascii="宋体" w:hAnsi="宋体" w:eastAsia="宋体" w:cs="宋体"/>
                <w:b/>
                <w:i w:val="0"/>
                <w:color w:val="000000"/>
                <w:sz w:val="10"/>
              </w:rPr>
              <w:t>0.00</w:t>
            </w:r>
          </w:p>
        </w:tc>
        <w:tc>
          <w:tcPr>
            <w:tcW w:w="860" w:type="dxa"/>
            <w:vAlign w:val="center"/>
          </w:tcPr>
          <w:p>
            <w:pPr>
              <w:jc w:val="right"/>
            </w:pPr>
            <w:r>
              <w:rPr>
                <w:rFonts w:ascii="宋体" w:hAnsi="宋体" w:eastAsia="宋体" w:cs="宋体"/>
                <w:b/>
                <w:i w:val="0"/>
                <w:color w:val="000000"/>
                <w:sz w:val="10"/>
              </w:rPr>
              <w:t>0.00</w:t>
            </w:r>
          </w:p>
        </w:tc>
        <w:tc>
          <w:tcPr>
            <w:tcW w:w="860" w:type="dxa"/>
            <w:vAlign w:val="center"/>
          </w:tcPr>
          <w:p>
            <w:pPr>
              <w:jc w:val="right"/>
            </w:pPr>
            <w:r>
              <w:rPr>
                <w:rFonts w:ascii="宋体" w:hAnsi="宋体" w:eastAsia="宋体" w:cs="宋体"/>
                <w:b/>
                <w:i w:val="0"/>
                <w:color w:val="000000"/>
                <w:sz w:val="10"/>
              </w:rPr>
              <w:t>0.00</w:t>
            </w:r>
          </w:p>
        </w:tc>
        <w:tc>
          <w:tcPr>
            <w:tcW w:w="806" w:type="dxa"/>
            <w:vAlign w:val="center"/>
          </w:tcPr>
          <w:p>
            <w:pPr>
              <w:jc w:val="right"/>
            </w:pPr>
            <w:r>
              <w:rPr>
                <w:rFonts w:ascii="宋体" w:hAnsi="宋体" w:eastAsia="宋体" w:cs="宋体"/>
                <w:b/>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208</w:t>
            </w:r>
          </w:p>
        </w:tc>
        <w:tc>
          <w:tcPr>
            <w:tcW w:w="1860" w:type="dxa"/>
            <w:vAlign w:val="center"/>
          </w:tcPr>
          <w:p>
            <w:pPr>
              <w:jc w:val="left"/>
            </w:pPr>
            <w:r>
              <w:rPr>
                <w:rFonts w:ascii="宋体" w:hAnsi="宋体" w:eastAsia="宋体" w:cs="宋体"/>
                <w:b w:val="0"/>
                <w:i w:val="0"/>
                <w:color w:val="000000"/>
                <w:sz w:val="10"/>
              </w:rPr>
              <w:t>社会保障和就业支出</w:t>
            </w:r>
          </w:p>
        </w:tc>
        <w:tc>
          <w:tcPr>
            <w:tcW w:w="860" w:type="dxa"/>
            <w:vAlign w:val="center"/>
          </w:tcPr>
          <w:p>
            <w:pPr>
              <w:jc w:val="right"/>
            </w:pPr>
            <w:r>
              <w:rPr>
                <w:rFonts w:ascii="宋体" w:hAnsi="宋体" w:eastAsia="宋体" w:cs="宋体"/>
                <w:b w:val="0"/>
                <w:i w:val="0"/>
                <w:color w:val="000000"/>
                <w:sz w:val="10"/>
              </w:rPr>
              <w:t>364.37</w:t>
            </w:r>
          </w:p>
        </w:tc>
        <w:tc>
          <w:tcPr>
            <w:tcW w:w="860" w:type="dxa"/>
            <w:vAlign w:val="center"/>
          </w:tcPr>
          <w:p>
            <w:pPr>
              <w:jc w:val="right"/>
            </w:pPr>
            <w:r>
              <w:rPr>
                <w:rFonts w:ascii="宋体" w:hAnsi="宋体" w:eastAsia="宋体" w:cs="宋体"/>
                <w:b w:val="0"/>
                <w:i w:val="0"/>
                <w:color w:val="000000"/>
                <w:sz w:val="10"/>
              </w:rPr>
              <w:t>364.37</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20805</w:t>
            </w:r>
          </w:p>
        </w:tc>
        <w:tc>
          <w:tcPr>
            <w:tcW w:w="1860" w:type="dxa"/>
            <w:vAlign w:val="center"/>
          </w:tcPr>
          <w:p>
            <w:pPr>
              <w:jc w:val="left"/>
            </w:pPr>
            <w:r>
              <w:rPr>
                <w:rFonts w:ascii="宋体" w:hAnsi="宋体" w:eastAsia="宋体" w:cs="宋体"/>
                <w:b w:val="0"/>
                <w:i w:val="0"/>
                <w:color w:val="000000"/>
                <w:sz w:val="10"/>
              </w:rPr>
              <w:t>行政事业单位养老支出</w:t>
            </w:r>
          </w:p>
        </w:tc>
        <w:tc>
          <w:tcPr>
            <w:tcW w:w="860" w:type="dxa"/>
            <w:vAlign w:val="center"/>
          </w:tcPr>
          <w:p>
            <w:pPr>
              <w:jc w:val="right"/>
            </w:pPr>
            <w:r>
              <w:rPr>
                <w:rFonts w:ascii="宋体" w:hAnsi="宋体" w:eastAsia="宋体" w:cs="宋体"/>
                <w:b w:val="0"/>
                <w:i w:val="0"/>
                <w:color w:val="000000"/>
                <w:sz w:val="10"/>
              </w:rPr>
              <w:t>364.37</w:t>
            </w:r>
          </w:p>
        </w:tc>
        <w:tc>
          <w:tcPr>
            <w:tcW w:w="860" w:type="dxa"/>
            <w:vAlign w:val="center"/>
          </w:tcPr>
          <w:p>
            <w:pPr>
              <w:jc w:val="right"/>
            </w:pPr>
            <w:r>
              <w:rPr>
                <w:rFonts w:ascii="宋体" w:hAnsi="宋体" w:eastAsia="宋体" w:cs="宋体"/>
                <w:b w:val="0"/>
                <w:i w:val="0"/>
                <w:color w:val="000000"/>
                <w:sz w:val="10"/>
              </w:rPr>
              <w:t>364.37</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2080502</w:t>
            </w:r>
          </w:p>
        </w:tc>
        <w:tc>
          <w:tcPr>
            <w:tcW w:w="1860" w:type="dxa"/>
            <w:vAlign w:val="center"/>
          </w:tcPr>
          <w:p>
            <w:pPr>
              <w:jc w:val="left"/>
            </w:pPr>
            <w:r>
              <w:rPr>
                <w:rFonts w:ascii="宋体" w:hAnsi="宋体" w:eastAsia="宋体" w:cs="宋体"/>
                <w:b w:val="0"/>
                <w:i w:val="0"/>
                <w:color w:val="000000"/>
                <w:sz w:val="10"/>
              </w:rPr>
              <w:t>事业单位离退休</w:t>
            </w:r>
          </w:p>
        </w:tc>
        <w:tc>
          <w:tcPr>
            <w:tcW w:w="860" w:type="dxa"/>
            <w:vAlign w:val="center"/>
          </w:tcPr>
          <w:p>
            <w:pPr>
              <w:jc w:val="right"/>
            </w:pPr>
            <w:r>
              <w:rPr>
                <w:rFonts w:ascii="宋体" w:hAnsi="宋体" w:eastAsia="宋体" w:cs="宋体"/>
                <w:b w:val="0"/>
                <w:i w:val="0"/>
                <w:color w:val="000000"/>
                <w:sz w:val="10"/>
              </w:rPr>
              <w:t>239.36</w:t>
            </w:r>
          </w:p>
        </w:tc>
        <w:tc>
          <w:tcPr>
            <w:tcW w:w="860" w:type="dxa"/>
            <w:vAlign w:val="center"/>
          </w:tcPr>
          <w:p>
            <w:pPr>
              <w:jc w:val="right"/>
            </w:pPr>
            <w:r>
              <w:rPr>
                <w:rFonts w:ascii="宋体" w:hAnsi="宋体" w:eastAsia="宋体" w:cs="宋体"/>
                <w:b w:val="0"/>
                <w:i w:val="0"/>
                <w:color w:val="000000"/>
                <w:sz w:val="10"/>
              </w:rPr>
              <w:t>239.36</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2080505</w:t>
            </w:r>
          </w:p>
        </w:tc>
        <w:tc>
          <w:tcPr>
            <w:tcW w:w="1860" w:type="dxa"/>
            <w:vAlign w:val="center"/>
          </w:tcPr>
          <w:p>
            <w:pPr>
              <w:jc w:val="left"/>
            </w:pPr>
            <w:r>
              <w:rPr>
                <w:rFonts w:ascii="宋体" w:hAnsi="宋体" w:eastAsia="宋体" w:cs="宋体"/>
                <w:b w:val="0"/>
                <w:i w:val="0"/>
                <w:color w:val="000000"/>
                <w:sz w:val="10"/>
              </w:rPr>
              <w:t>机关事业单位基本养老保险缴费支出</w:t>
            </w:r>
          </w:p>
        </w:tc>
        <w:tc>
          <w:tcPr>
            <w:tcW w:w="860" w:type="dxa"/>
            <w:vAlign w:val="center"/>
          </w:tcPr>
          <w:p>
            <w:pPr>
              <w:jc w:val="right"/>
            </w:pPr>
            <w:r>
              <w:rPr>
                <w:rFonts w:ascii="宋体" w:hAnsi="宋体" w:eastAsia="宋体" w:cs="宋体"/>
                <w:b w:val="0"/>
                <w:i w:val="0"/>
                <w:color w:val="000000"/>
                <w:sz w:val="10"/>
              </w:rPr>
              <w:t>103.85</w:t>
            </w:r>
          </w:p>
        </w:tc>
        <w:tc>
          <w:tcPr>
            <w:tcW w:w="860" w:type="dxa"/>
            <w:vAlign w:val="center"/>
          </w:tcPr>
          <w:p>
            <w:pPr>
              <w:jc w:val="right"/>
            </w:pPr>
            <w:r>
              <w:rPr>
                <w:rFonts w:ascii="宋体" w:hAnsi="宋体" w:eastAsia="宋体" w:cs="宋体"/>
                <w:b w:val="0"/>
                <w:i w:val="0"/>
                <w:color w:val="000000"/>
                <w:sz w:val="10"/>
              </w:rPr>
              <w:t>103.85</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2080506</w:t>
            </w:r>
          </w:p>
        </w:tc>
        <w:tc>
          <w:tcPr>
            <w:tcW w:w="1860" w:type="dxa"/>
            <w:vAlign w:val="center"/>
          </w:tcPr>
          <w:p>
            <w:pPr>
              <w:jc w:val="left"/>
            </w:pPr>
            <w:r>
              <w:rPr>
                <w:rFonts w:ascii="宋体" w:hAnsi="宋体" w:eastAsia="宋体" w:cs="宋体"/>
                <w:b w:val="0"/>
                <w:i w:val="0"/>
                <w:color w:val="000000"/>
                <w:sz w:val="10"/>
              </w:rPr>
              <w:t>机关事业单位职业年金缴费支出</w:t>
            </w:r>
          </w:p>
        </w:tc>
        <w:tc>
          <w:tcPr>
            <w:tcW w:w="860" w:type="dxa"/>
            <w:vAlign w:val="center"/>
          </w:tcPr>
          <w:p>
            <w:pPr>
              <w:jc w:val="right"/>
            </w:pPr>
            <w:r>
              <w:rPr>
                <w:rFonts w:ascii="宋体" w:hAnsi="宋体" w:eastAsia="宋体" w:cs="宋体"/>
                <w:b w:val="0"/>
                <w:i w:val="0"/>
                <w:color w:val="000000"/>
                <w:sz w:val="10"/>
              </w:rPr>
              <w:t>21.16</w:t>
            </w:r>
          </w:p>
        </w:tc>
        <w:tc>
          <w:tcPr>
            <w:tcW w:w="860" w:type="dxa"/>
            <w:vAlign w:val="center"/>
          </w:tcPr>
          <w:p>
            <w:pPr>
              <w:jc w:val="right"/>
            </w:pPr>
            <w:r>
              <w:rPr>
                <w:rFonts w:ascii="宋体" w:hAnsi="宋体" w:eastAsia="宋体" w:cs="宋体"/>
                <w:b w:val="0"/>
                <w:i w:val="0"/>
                <w:color w:val="000000"/>
                <w:sz w:val="10"/>
              </w:rPr>
              <w:t>21.16</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210</w:t>
            </w:r>
          </w:p>
        </w:tc>
        <w:tc>
          <w:tcPr>
            <w:tcW w:w="1860" w:type="dxa"/>
            <w:vAlign w:val="center"/>
          </w:tcPr>
          <w:p>
            <w:pPr>
              <w:jc w:val="left"/>
            </w:pPr>
            <w:r>
              <w:rPr>
                <w:rFonts w:ascii="宋体" w:hAnsi="宋体" w:eastAsia="宋体" w:cs="宋体"/>
                <w:b w:val="0"/>
                <w:i w:val="0"/>
                <w:color w:val="000000"/>
                <w:sz w:val="10"/>
              </w:rPr>
              <w:t>卫生健康支出</w:t>
            </w:r>
          </w:p>
        </w:tc>
        <w:tc>
          <w:tcPr>
            <w:tcW w:w="860" w:type="dxa"/>
            <w:vAlign w:val="center"/>
          </w:tcPr>
          <w:p>
            <w:pPr>
              <w:jc w:val="right"/>
            </w:pPr>
            <w:r>
              <w:rPr>
                <w:rFonts w:ascii="宋体" w:hAnsi="宋体" w:eastAsia="宋体" w:cs="宋体"/>
                <w:b w:val="0"/>
                <w:i w:val="0"/>
                <w:color w:val="000000"/>
                <w:sz w:val="10"/>
              </w:rPr>
              <w:t>185.21</w:t>
            </w:r>
          </w:p>
        </w:tc>
        <w:tc>
          <w:tcPr>
            <w:tcW w:w="860" w:type="dxa"/>
            <w:vAlign w:val="center"/>
          </w:tcPr>
          <w:p>
            <w:pPr>
              <w:jc w:val="right"/>
            </w:pPr>
            <w:r>
              <w:rPr>
                <w:rFonts w:ascii="宋体" w:hAnsi="宋体" w:eastAsia="宋体" w:cs="宋体"/>
                <w:b w:val="0"/>
                <w:i w:val="0"/>
                <w:color w:val="000000"/>
                <w:sz w:val="10"/>
              </w:rPr>
              <w:t>185.21</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21011</w:t>
            </w:r>
          </w:p>
        </w:tc>
        <w:tc>
          <w:tcPr>
            <w:tcW w:w="1860" w:type="dxa"/>
            <w:vAlign w:val="center"/>
          </w:tcPr>
          <w:p>
            <w:pPr>
              <w:jc w:val="left"/>
            </w:pPr>
            <w:r>
              <w:rPr>
                <w:rFonts w:ascii="宋体" w:hAnsi="宋体" w:eastAsia="宋体" w:cs="宋体"/>
                <w:b w:val="0"/>
                <w:i w:val="0"/>
                <w:color w:val="000000"/>
                <w:sz w:val="10"/>
              </w:rPr>
              <w:t>行政事业单位医疗</w:t>
            </w:r>
          </w:p>
        </w:tc>
        <w:tc>
          <w:tcPr>
            <w:tcW w:w="860" w:type="dxa"/>
            <w:vAlign w:val="center"/>
          </w:tcPr>
          <w:p>
            <w:pPr>
              <w:jc w:val="right"/>
            </w:pPr>
            <w:r>
              <w:rPr>
                <w:rFonts w:ascii="宋体" w:hAnsi="宋体" w:eastAsia="宋体" w:cs="宋体"/>
                <w:b w:val="0"/>
                <w:i w:val="0"/>
                <w:color w:val="000000"/>
                <w:sz w:val="10"/>
              </w:rPr>
              <w:t>185.21</w:t>
            </w:r>
          </w:p>
        </w:tc>
        <w:tc>
          <w:tcPr>
            <w:tcW w:w="860" w:type="dxa"/>
            <w:vAlign w:val="center"/>
          </w:tcPr>
          <w:p>
            <w:pPr>
              <w:jc w:val="right"/>
            </w:pPr>
            <w:r>
              <w:rPr>
                <w:rFonts w:ascii="宋体" w:hAnsi="宋体" w:eastAsia="宋体" w:cs="宋体"/>
                <w:b w:val="0"/>
                <w:i w:val="0"/>
                <w:color w:val="000000"/>
                <w:sz w:val="10"/>
              </w:rPr>
              <w:t>185.21</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2101102</w:t>
            </w:r>
          </w:p>
        </w:tc>
        <w:tc>
          <w:tcPr>
            <w:tcW w:w="1860" w:type="dxa"/>
            <w:vAlign w:val="center"/>
          </w:tcPr>
          <w:p>
            <w:pPr>
              <w:jc w:val="left"/>
            </w:pPr>
            <w:r>
              <w:rPr>
                <w:rFonts w:ascii="宋体" w:hAnsi="宋体" w:eastAsia="宋体" w:cs="宋体"/>
                <w:b w:val="0"/>
                <w:i w:val="0"/>
                <w:color w:val="000000"/>
                <w:sz w:val="10"/>
              </w:rPr>
              <w:t>事业单位医疗</w:t>
            </w:r>
          </w:p>
        </w:tc>
        <w:tc>
          <w:tcPr>
            <w:tcW w:w="860" w:type="dxa"/>
            <w:vAlign w:val="center"/>
          </w:tcPr>
          <w:p>
            <w:pPr>
              <w:jc w:val="right"/>
            </w:pPr>
            <w:r>
              <w:rPr>
                <w:rFonts w:ascii="宋体" w:hAnsi="宋体" w:eastAsia="宋体" w:cs="宋体"/>
                <w:b w:val="0"/>
                <w:i w:val="0"/>
                <w:color w:val="000000"/>
                <w:sz w:val="10"/>
              </w:rPr>
              <w:t>59.54</w:t>
            </w:r>
          </w:p>
        </w:tc>
        <w:tc>
          <w:tcPr>
            <w:tcW w:w="860" w:type="dxa"/>
            <w:vAlign w:val="center"/>
          </w:tcPr>
          <w:p>
            <w:pPr>
              <w:jc w:val="right"/>
            </w:pPr>
            <w:r>
              <w:rPr>
                <w:rFonts w:ascii="宋体" w:hAnsi="宋体" w:eastAsia="宋体" w:cs="宋体"/>
                <w:b w:val="0"/>
                <w:i w:val="0"/>
                <w:color w:val="000000"/>
                <w:sz w:val="10"/>
              </w:rPr>
              <w:t>59.54</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2101103</w:t>
            </w:r>
          </w:p>
        </w:tc>
        <w:tc>
          <w:tcPr>
            <w:tcW w:w="1860" w:type="dxa"/>
            <w:vAlign w:val="center"/>
          </w:tcPr>
          <w:p>
            <w:pPr>
              <w:jc w:val="left"/>
            </w:pPr>
            <w:r>
              <w:rPr>
                <w:rFonts w:ascii="宋体" w:hAnsi="宋体" w:eastAsia="宋体" w:cs="宋体"/>
                <w:b w:val="0"/>
                <w:i w:val="0"/>
                <w:color w:val="000000"/>
                <w:sz w:val="10"/>
              </w:rPr>
              <w:t>公务员医疗补助</w:t>
            </w:r>
          </w:p>
        </w:tc>
        <w:tc>
          <w:tcPr>
            <w:tcW w:w="860" w:type="dxa"/>
            <w:vAlign w:val="center"/>
          </w:tcPr>
          <w:p>
            <w:pPr>
              <w:jc w:val="right"/>
            </w:pPr>
            <w:r>
              <w:rPr>
                <w:rFonts w:ascii="宋体" w:hAnsi="宋体" w:eastAsia="宋体" w:cs="宋体"/>
                <w:b w:val="0"/>
                <w:i w:val="0"/>
                <w:color w:val="000000"/>
                <w:sz w:val="10"/>
              </w:rPr>
              <w:t>125.67</w:t>
            </w:r>
          </w:p>
        </w:tc>
        <w:tc>
          <w:tcPr>
            <w:tcW w:w="860" w:type="dxa"/>
            <w:vAlign w:val="center"/>
          </w:tcPr>
          <w:p>
            <w:pPr>
              <w:jc w:val="right"/>
            </w:pPr>
            <w:r>
              <w:rPr>
                <w:rFonts w:ascii="宋体" w:hAnsi="宋体" w:eastAsia="宋体" w:cs="宋体"/>
                <w:b w:val="0"/>
                <w:i w:val="0"/>
                <w:color w:val="000000"/>
                <w:sz w:val="10"/>
              </w:rPr>
              <w:t>125.67</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214</w:t>
            </w:r>
          </w:p>
        </w:tc>
        <w:tc>
          <w:tcPr>
            <w:tcW w:w="1860" w:type="dxa"/>
            <w:vAlign w:val="center"/>
          </w:tcPr>
          <w:p>
            <w:pPr>
              <w:jc w:val="left"/>
            </w:pPr>
            <w:r>
              <w:rPr>
                <w:rFonts w:ascii="宋体" w:hAnsi="宋体" w:eastAsia="宋体" w:cs="宋体"/>
                <w:b w:val="0"/>
                <w:i w:val="0"/>
                <w:color w:val="000000"/>
                <w:sz w:val="10"/>
              </w:rPr>
              <w:t>交通运输支出</w:t>
            </w:r>
          </w:p>
        </w:tc>
        <w:tc>
          <w:tcPr>
            <w:tcW w:w="860" w:type="dxa"/>
            <w:vAlign w:val="center"/>
          </w:tcPr>
          <w:p>
            <w:pPr>
              <w:jc w:val="right"/>
            </w:pPr>
            <w:r>
              <w:rPr>
                <w:rFonts w:ascii="宋体" w:hAnsi="宋体" w:eastAsia="宋体" w:cs="宋体"/>
                <w:b w:val="0"/>
                <w:i w:val="0"/>
                <w:color w:val="000000"/>
                <w:sz w:val="10"/>
              </w:rPr>
              <w:t>3,418.22</w:t>
            </w:r>
          </w:p>
        </w:tc>
        <w:tc>
          <w:tcPr>
            <w:tcW w:w="860" w:type="dxa"/>
            <w:vAlign w:val="center"/>
          </w:tcPr>
          <w:p>
            <w:pPr>
              <w:jc w:val="right"/>
            </w:pPr>
            <w:r>
              <w:rPr>
                <w:rFonts w:ascii="宋体" w:hAnsi="宋体" w:eastAsia="宋体" w:cs="宋体"/>
                <w:b w:val="0"/>
                <w:i w:val="0"/>
                <w:color w:val="000000"/>
                <w:sz w:val="10"/>
              </w:rPr>
              <w:t>3,418.22</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21401</w:t>
            </w:r>
          </w:p>
        </w:tc>
        <w:tc>
          <w:tcPr>
            <w:tcW w:w="1860" w:type="dxa"/>
            <w:vAlign w:val="center"/>
          </w:tcPr>
          <w:p>
            <w:pPr>
              <w:jc w:val="left"/>
            </w:pPr>
            <w:r>
              <w:rPr>
                <w:rFonts w:ascii="宋体" w:hAnsi="宋体" w:eastAsia="宋体" w:cs="宋体"/>
                <w:b w:val="0"/>
                <w:i w:val="0"/>
                <w:color w:val="000000"/>
                <w:sz w:val="10"/>
              </w:rPr>
              <w:t>公路水路运输</w:t>
            </w:r>
          </w:p>
        </w:tc>
        <w:tc>
          <w:tcPr>
            <w:tcW w:w="860" w:type="dxa"/>
            <w:vAlign w:val="center"/>
          </w:tcPr>
          <w:p>
            <w:pPr>
              <w:jc w:val="right"/>
            </w:pPr>
            <w:r>
              <w:rPr>
                <w:rFonts w:ascii="宋体" w:hAnsi="宋体" w:eastAsia="宋体" w:cs="宋体"/>
                <w:b w:val="0"/>
                <w:i w:val="0"/>
                <w:color w:val="000000"/>
                <w:sz w:val="10"/>
              </w:rPr>
              <w:t>1.00</w:t>
            </w:r>
          </w:p>
        </w:tc>
        <w:tc>
          <w:tcPr>
            <w:tcW w:w="860" w:type="dxa"/>
            <w:vAlign w:val="center"/>
          </w:tcPr>
          <w:p>
            <w:pPr>
              <w:jc w:val="right"/>
            </w:pPr>
            <w:r>
              <w:rPr>
                <w:rFonts w:ascii="宋体" w:hAnsi="宋体" w:eastAsia="宋体" w:cs="宋体"/>
                <w:b w:val="0"/>
                <w:i w:val="0"/>
                <w:color w:val="000000"/>
                <w:sz w:val="10"/>
              </w:rPr>
              <w:t>1.00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2140199</w:t>
            </w:r>
          </w:p>
        </w:tc>
        <w:tc>
          <w:tcPr>
            <w:tcW w:w="1860" w:type="dxa"/>
            <w:vAlign w:val="center"/>
          </w:tcPr>
          <w:p>
            <w:pPr>
              <w:jc w:val="left"/>
            </w:pPr>
            <w:r>
              <w:rPr>
                <w:rFonts w:ascii="宋体" w:hAnsi="宋体" w:eastAsia="宋体" w:cs="宋体"/>
                <w:b w:val="0"/>
                <w:i w:val="0"/>
                <w:color w:val="000000"/>
                <w:sz w:val="10"/>
              </w:rPr>
              <w:t>其他公路水路运输支出</w:t>
            </w:r>
          </w:p>
        </w:tc>
        <w:tc>
          <w:tcPr>
            <w:tcW w:w="860" w:type="dxa"/>
            <w:vAlign w:val="center"/>
          </w:tcPr>
          <w:p>
            <w:pPr>
              <w:jc w:val="right"/>
            </w:pPr>
            <w:r>
              <w:rPr>
                <w:rFonts w:ascii="宋体" w:hAnsi="宋体" w:eastAsia="宋体" w:cs="宋体"/>
                <w:b w:val="0"/>
                <w:i w:val="0"/>
                <w:color w:val="000000"/>
                <w:sz w:val="10"/>
              </w:rPr>
              <w:t>1.00</w:t>
            </w:r>
          </w:p>
        </w:tc>
        <w:tc>
          <w:tcPr>
            <w:tcW w:w="860" w:type="dxa"/>
            <w:vAlign w:val="center"/>
          </w:tcPr>
          <w:p>
            <w:pPr>
              <w:jc w:val="right"/>
            </w:pPr>
            <w:r>
              <w:rPr>
                <w:rFonts w:ascii="宋体" w:hAnsi="宋体" w:eastAsia="宋体" w:cs="宋体"/>
                <w:b w:val="0"/>
                <w:i w:val="0"/>
                <w:color w:val="000000"/>
                <w:sz w:val="10"/>
              </w:rPr>
              <w:t>1.00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21499</w:t>
            </w:r>
          </w:p>
        </w:tc>
        <w:tc>
          <w:tcPr>
            <w:tcW w:w="1860" w:type="dxa"/>
            <w:vAlign w:val="center"/>
          </w:tcPr>
          <w:p>
            <w:pPr>
              <w:jc w:val="left"/>
            </w:pPr>
            <w:r>
              <w:rPr>
                <w:rFonts w:ascii="宋体" w:hAnsi="宋体" w:eastAsia="宋体" w:cs="宋体"/>
                <w:b w:val="0"/>
                <w:i w:val="0"/>
                <w:color w:val="000000"/>
                <w:sz w:val="10"/>
              </w:rPr>
              <w:t>其他交通运输支出</w:t>
            </w:r>
          </w:p>
        </w:tc>
        <w:tc>
          <w:tcPr>
            <w:tcW w:w="860" w:type="dxa"/>
            <w:vAlign w:val="center"/>
          </w:tcPr>
          <w:p>
            <w:pPr>
              <w:jc w:val="right"/>
            </w:pPr>
            <w:r>
              <w:rPr>
                <w:rFonts w:ascii="宋体" w:hAnsi="宋体" w:eastAsia="宋体" w:cs="宋体"/>
                <w:b w:val="0"/>
                <w:i w:val="0"/>
                <w:color w:val="000000"/>
                <w:sz w:val="10"/>
              </w:rPr>
              <w:t>3,417.22</w:t>
            </w:r>
          </w:p>
        </w:tc>
        <w:tc>
          <w:tcPr>
            <w:tcW w:w="860" w:type="dxa"/>
            <w:vAlign w:val="center"/>
          </w:tcPr>
          <w:p>
            <w:pPr>
              <w:jc w:val="right"/>
            </w:pPr>
            <w:r>
              <w:rPr>
                <w:rFonts w:ascii="宋体" w:hAnsi="宋体" w:eastAsia="宋体" w:cs="宋体"/>
                <w:b w:val="0"/>
                <w:i w:val="0"/>
                <w:color w:val="000000"/>
                <w:sz w:val="10"/>
              </w:rPr>
              <w:t>3,417.22</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2149999</w:t>
            </w:r>
          </w:p>
        </w:tc>
        <w:tc>
          <w:tcPr>
            <w:tcW w:w="1860" w:type="dxa"/>
            <w:vAlign w:val="center"/>
          </w:tcPr>
          <w:p>
            <w:pPr>
              <w:jc w:val="left"/>
            </w:pPr>
            <w:r>
              <w:rPr>
                <w:rFonts w:ascii="宋体" w:hAnsi="宋体" w:eastAsia="宋体" w:cs="宋体"/>
                <w:b w:val="0"/>
                <w:i w:val="0"/>
                <w:color w:val="000000"/>
                <w:sz w:val="10"/>
              </w:rPr>
              <w:t>其他交通运输支出</w:t>
            </w:r>
          </w:p>
        </w:tc>
        <w:tc>
          <w:tcPr>
            <w:tcW w:w="860" w:type="dxa"/>
            <w:vAlign w:val="center"/>
          </w:tcPr>
          <w:p>
            <w:pPr>
              <w:jc w:val="right"/>
            </w:pPr>
            <w:r>
              <w:rPr>
                <w:rFonts w:ascii="宋体" w:hAnsi="宋体" w:eastAsia="宋体" w:cs="宋体"/>
                <w:b w:val="0"/>
                <w:i w:val="0"/>
                <w:color w:val="000000"/>
                <w:sz w:val="10"/>
              </w:rPr>
              <w:t>3,417.22</w:t>
            </w:r>
          </w:p>
        </w:tc>
        <w:tc>
          <w:tcPr>
            <w:tcW w:w="860" w:type="dxa"/>
            <w:vAlign w:val="center"/>
          </w:tcPr>
          <w:p>
            <w:pPr>
              <w:jc w:val="right"/>
            </w:pPr>
            <w:r>
              <w:rPr>
                <w:rFonts w:ascii="宋体" w:hAnsi="宋体" w:eastAsia="宋体" w:cs="宋体"/>
                <w:b w:val="0"/>
                <w:i w:val="0"/>
                <w:color w:val="000000"/>
                <w:sz w:val="10"/>
              </w:rPr>
              <w:t>3,417.22</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221</w:t>
            </w:r>
          </w:p>
        </w:tc>
        <w:tc>
          <w:tcPr>
            <w:tcW w:w="1860" w:type="dxa"/>
            <w:vAlign w:val="center"/>
          </w:tcPr>
          <w:p>
            <w:pPr>
              <w:jc w:val="left"/>
            </w:pPr>
            <w:r>
              <w:rPr>
                <w:rFonts w:ascii="宋体" w:hAnsi="宋体" w:eastAsia="宋体" w:cs="宋体"/>
                <w:b w:val="0"/>
                <w:i w:val="0"/>
                <w:color w:val="000000"/>
                <w:sz w:val="10"/>
              </w:rPr>
              <w:t>住房保障支出</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22102</w:t>
            </w:r>
          </w:p>
        </w:tc>
        <w:tc>
          <w:tcPr>
            <w:tcW w:w="1860" w:type="dxa"/>
            <w:vAlign w:val="center"/>
          </w:tcPr>
          <w:p>
            <w:pPr>
              <w:jc w:val="left"/>
            </w:pPr>
            <w:r>
              <w:rPr>
                <w:rFonts w:ascii="宋体" w:hAnsi="宋体" w:eastAsia="宋体" w:cs="宋体"/>
                <w:b w:val="0"/>
                <w:i w:val="0"/>
                <w:color w:val="000000"/>
                <w:sz w:val="10"/>
              </w:rPr>
              <w:t>住房改革支出</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vAlign w:val="center"/>
          </w:tcPr>
          <w:p>
            <w:pPr>
              <w:jc w:val="left"/>
            </w:pPr>
            <w:r>
              <w:rPr>
                <w:rFonts w:ascii="宋体" w:hAnsi="宋体" w:eastAsia="宋体" w:cs="宋体"/>
                <w:b w:val="0"/>
                <w:i w:val="0"/>
                <w:color w:val="000000"/>
                <w:sz w:val="10"/>
              </w:rPr>
              <w:t>2210201</w:t>
            </w:r>
          </w:p>
        </w:tc>
        <w:tc>
          <w:tcPr>
            <w:tcW w:w="1860" w:type="dxa"/>
            <w:vAlign w:val="center"/>
          </w:tcPr>
          <w:p>
            <w:pPr>
              <w:jc w:val="left"/>
            </w:pPr>
            <w:r>
              <w:rPr>
                <w:rFonts w:ascii="宋体" w:hAnsi="宋体" w:eastAsia="宋体" w:cs="宋体"/>
                <w:b w:val="0"/>
                <w:i w:val="0"/>
                <w:color w:val="000000"/>
                <w:sz w:val="10"/>
              </w:rPr>
              <w:t>住房公积金</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88.63</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60" w:type="dxa"/>
            <w:vAlign w:val="center"/>
          </w:tcPr>
          <w:p>
            <w:pPr>
              <w:jc w:val="right"/>
            </w:pPr>
            <w:r>
              <w:rPr>
                <w:rFonts w:ascii="宋体" w:hAnsi="宋体" w:eastAsia="宋体" w:cs="宋体"/>
                <w:b w:val="0"/>
                <w:i w:val="0"/>
                <w:color w:val="000000"/>
                <w:sz w:val="10"/>
              </w:rPr>
              <w:t>0.00</w:t>
            </w:r>
          </w:p>
        </w:tc>
        <w:tc>
          <w:tcPr>
            <w:tcW w:w="806" w:type="dxa"/>
            <w:vAlign w:val="center"/>
          </w:tcPr>
          <w:p>
            <w:pPr>
              <w:jc w:val="right"/>
            </w:pPr>
            <w:r>
              <w:rPr>
                <w:rFonts w:ascii="宋体" w:hAnsi="宋体" w:eastAsia="宋体" w:cs="宋体"/>
                <w:b w:val="0"/>
                <w:i w:val="0"/>
                <w:color w:val="000000"/>
                <w:sz w:val="10"/>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3" w:hRule="exact"/>
          <w:jc w:val="center"/>
        </w:trPr>
        <w:tc>
          <w:tcPr>
            <w:tcW w:w="16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0"/>
              </w:rPr>
              <w:t>注：本表反映部门本年度取得的各项收入情况。</w:t>
            </w: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三、支出决算表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公开03表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540"/>
        <w:gridCol w:w="2080"/>
        <w:gridCol w:w="960"/>
        <w:gridCol w:w="960"/>
        <w:gridCol w:w="960"/>
        <w:gridCol w:w="960"/>
        <w:gridCol w:w="960"/>
        <w:gridCol w:w="8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gridSpan w:val="2"/>
            <w:vAlign w:val="center"/>
          </w:tcPr>
          <w:p>
            <w:pPr>
              <w:jc w:val="center"/>
            </w:pPr>
            <w:r>
              <w:rPr>
                <w:rFonts w:ascii="宋体" w:hAnsi="宋体" w:eastAsia="宋体" w:cs="宋体"/>
                <w:b w:val="0"/>
                <w:i w:val="0"/>
                <w:color w:val="000000"/>
                <w:sz w:val="11"/>
              </w:rPr>
              <w:t>项目</w:t>
            </w:r>
          </w:p>
        </w:tc>
        <w:tc>
          <w:tcPr>
            <w:tcW w:w="960" w:type="dxa"/>
            <w:vMerge w:val="restart"/>
            <w:vAlign w:val="center"/>
          </w:tcPr>
          <w:p>
            <w:pPr>
              <w:jc w:val="center"/>
            </w:pPr>
            <w:r>
              <w:rPr>
                <w:rFonts w:ascii="宋体" w:hAnsi="宋体" w:eastAsia="宋体" w:cs="宋体"/>
                <w:b w:val="0"/>
                <w:i w:val="0"/>
                <w:color w:val="000000"/>
                <w:sz w:val="11"/>
              </w:rPr>
              <w:t>本年支出合计</w:t>
            </w:r>
          </w:p>
        </w:tc>
        <w:tc>
          <w:tcPr>
            <w:tcW w:w="960" w:type="dxa"/>
            <w:vMerge w:val="restart"/>
            <w:vAlign w:val="center"/>
          </w:tcPr>
          <w:p>
            <w:pPr>
              <w:jc w:val="center"/>
            </w:pPr>
            <w:r>
              <w:rPr>
                <w:rFonts w:ascii="宋体" w:hAnsi="宋体" w:eastAsia="宋体" w:cs="宋体"/>
                <w:b w:val="0"/>
                <w:i w:val="0"/>
                <w:color w:val="000000"/>
                <w:sz w:val="11"/>
              </w:rPr>
              <w:t>基本支出</w:t>
            </w:r>
          </w:p>
        </w:tc>
        <w:tc>
          <w:tcPr>
            <w:tcW w:w="960" w:type="dxa"/>
            <w:vMerge w:val="restart"/>
            <w:vAlign w:val="center"/>
          </w:tcPr>
          <w:p>
            <w:pPr>
              <w:jc w:val="center"/>
            </w:pPr>
            <w:r>
              <w:rPr>
                <w:rFonts w:ascii="宋体" w:hAnsi="宋体" w:eastAsia="宋体" w:cs="宋体"/>
                <w:b w:val="0"/>
                <w:i w:val="0"/>
                <w:color w:val="000000"/>
                <w:sz w:val="11"/>
              </w:rPr>
              <w:t>项目支出</w:t>
            </w:r>
          </w:p>
        </w:tc>
        <w:tc>
          <w:tcPr>
            <w:tcW w:w="960" w:type="dxa"/>
            <w:vMerge w:val="restart"/>
            <w:vAlign w:val="center"/>
          </w:tcPr>
          <w:p>
            <w:pPr>
              <w:jc w:val="center"/>
            </w:pPr>
            <w:r>
              <w:rPr>
                <w:rFonts w:ascii="宋体" w:hAnsi="宋体" w:eastAsia="宋体" w:cs="宋体"/>
                <w:b w:val="0"/>
                <w:i w:val="0"/>
                <w:color w:val="000000"/>
                <w:sz w:val="11"/>
              </w:rPr>
              <w:t>上缴上级支出</w:t>
            </w:r>
          </w:p>
        </w:tc>
        <w:tc>
          <w:tcPr>
            <w:tcW w:w="960" w:type="dxa"/>
            <w:vMerge w:val="restart"/>
            <w:vAlign w:val="center"/>
          </w:tcPr>
          <w:p>
            <w:pPr>
              <w:jc w:val="center"/>
            </w:pPr>
            <w:r>
              <w:rPr>
                <w:rFonts w:ascii="宋体" w:hAnsi="宋体" w:eastAsia="宋体" w:cs="宋体"/>
                <w:b w:val="0"/>
                <w:i w:val="0"/>
                <w:color w:val="000000"/>
                <w:sz w:val="11"/>
              </w:rPr>
              <w:t>经营支出</w:t>
            </w:r>
          </w:p>
        </w:tc>
        <w:tc>
          <w:tcPr>
            <w:tcW w:w="886" w:type="dxa"/>
            <w:vMerge w:val="restart"/>
            <w:vAlign w:val="center"/>
          </w:tcPr>
          <w:p>
            <w:pPr>
              <w:jc w:val="center"/>
            </w:pPr>
            <w:r>
              <w:rPr>
                <w:rFonts w:ascii="宋体" w:hAnsi="宋体" w:eastAsia="宋体" w:cs="宋体"/>
                <w:b w:val="0"/>
                <w:i w:val="0"/>
                <w:color w:val="000000"/>
                <w:sz w:val="11"/>
              </w:rPr>
              <w:t>对附属单位补助支出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Merge w:val="restart"/>
            <w:vAlign w:val="center"/>
          </w:tcPr>
          <w:p>
            <w:pPr>
              <w:jc w:val="center"/>
            </w:pPr>
            <w:r>
              <w:rPr>
                <w:rFonts w:ascii="宋体" w:hAnsi="宋体" w:eastAsia="宋体" w:cs="宋体"/>
                <w:b w:val="0"/>
                <w:i w:val="0"/>
                <w:color w:val="000000"/>
                <w:sz w:val="11"/>
              </w:rPr>
              <w:t>科目代码</w:t>
            </w:r>
          </w:p>
        </w:tc>
        <w:tc>
          <w:tcPr>
            <w:tcW w:w="2080" w:type="dxa"/>
            <w:vMerge w:val="restart"/>
            <w:vAlign w:val="center"/>
          </w:tcPr>
          <w:p>
            <w:pPr>
              <w:jc w:val="center"/>
            </w:pPr>
            <w:r>
              <w:rPr>
                <w:rFonts w:ascii="宋体" w:hAnsi="宋体" w:eastAsia="宋体" w:cs="宋体"/>
                <w:b w:val="0"/>
                <w:i w:val="0"/>
                <w:color w:val="000000"/>
                <w:sz w:val="11"/>
              </w:rPr>
              <w:t>科目名称</w:t>
            </w: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Merge w:val="continue"/>
            <w:vAlign w:val="center"/>
          </w:tcPr>
          <w:p/>
        </w:tc>
        <w:tc>
          <w:tcPr>
            <w:tcW w:w="208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Merge w:val="continue"/>
            <w:vAlign w:val="center"/>
          </w:tcPr>
          <w:p/>
        </w:tc>
        <w:tc>
          <w:tcPr>
            <w:tcW w:w="208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960" w:type="dxa"/>
            <w:vMerge w:val="continue"/>
            <w:vAlign w:val="center"/>
          </w:tcP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gridSpan w:val="2"/>
            <w:vAlign w:val="center"/>
          </w:tcPr>
          <w:p>
            <w:pPr>
              <w:jc w:val="center"/>
            </w:pPr>
            <w:r>
              <w:rPr>
                <w:rFonts w:ascii="宋体" w:hAnsi="宋体" w:eastAsia="宋体" w:cs="宋体"/>
                <w:b w:val="0"/>
                <w:i w:val="0"/>
                <w:color w:val="000000"/>
                <w:sz w:val="11"/>
              </w:rPr>
              <w:t>栏次</w:t>
            </w:r>
          </w:p>
        </w:tc>
        <w:tc>
          <w:tcPr>
            <w:tcW w:w="960" w:type="dxa"/>
            <w:vAlign w:val="center"/>
          </w:tcPr>
          <w:p>
            <w:pPr>
              <w:jc w:val="center"/>
            </w:pPr>
            <w:r>
              <w:rPr>
                <w:rFonts w:ascii="宋体" w:hAnsi="宋体" w:eastAsia="宋体" w:cs="宋体"/>
                <w:b w:val="0"/>
                <w:i w:val="0"/>
                <w:color w:val="000000"/>
                <w:sz w:val="11"/>
              </w:rPr>
              <w:t>1</w:t>
            </w:r>
          </w:p>
        </w:tc>
        <w:tc>
          <w:tcPr>
            <w:tcW w:w="960" w:type="dxa"/>
            <w:vAlign w:val="center"/>
          </w:tcPr>
          <w:p>
            <w:pPr>
              <w:jc w:val="center"/>
            </w:pPr>
            <w:r>
              <w:rPr>
                <w:rFonts w:ascii="宋体" w:hAnsi="宋体" w:eastAsia="宋体" w:cs="宋体"/>
                <w:b w:val="0"/>
                <w:i w:val="0"/>
                <w:color w:val="000000"/>
                <w:sz w:val="11"/>
              </w:rPr>
              <w:t>2</w:t>
            </w:r>
          </w:p>
        </w:tc>
        <w:tc>
          <w:tcPr>
            <w:tcW w:w="960" w:type="dxa"/>
            <w:vAlign w:val="center"/>
          </w:tcPr>
          <w:p>
            <w:pPr>
              <w:jc w:val="center"/>
            </w:pPr>
            <w:r>
              <w:rPr>
                <w:rFonts w:ascii="宋体" w:hAnsi="宋体" w:eastAsia="宋体" w:cs="宋体"/>
                <w:b w:val="0"/>
                <w:i w:val="0"/>
                <w:color w:val="000000"/>
                <w:sz w:val="11"/>
              </w:rPr>
              <w:t>3</w:t>
            </w:r>
          </w:p>
        </w:tc>
        <w:tc>
          <w:tcPr>
            <w:tcW w:w="960" w:type="dxa"/>
            <w:vAlign w:val="center"/>
          </w:tcPr>
          <w:p>
            <w:pPr>
              <w:jc w:val="center"/>
            </w:pPr>
            <w:r>
              <w:rPr>
                <w:rFonts w:ascii="宋体" w:hAnsi="宋体" w:eastAsia="宋体" w:cs="宋体"/>
                <w:b w:val="0"/>
                <w:i w:val="0"/>
                <w:color w:val="000000"/>
                <w:sz w:val="11"/>
              </w:rPr>
              <w:t>4</w:t>
            </w:r>
          </w:p>
        </w:tc>
        <w:tc>
          <w:tcPr>
            <w:tcW w:w="960" w:type="dxa"/>
            <w:vAlign w:val="center"/>
          </w:tcPr>
          <w:p>
            <w:pPr>
              <w:jc w:val="center"/>
            </w:pPr>
            <w:r>
              <w:rPr>
                <w:rFonts w:ascii="宋体" w:hAnsi="宋体" w:eastAsia="宋体" w:cs="宋体"/>
                <w:b w:val="0"/>
                <w:i w:val="0"/>
                <w:color w:val="000000"/>
                <w:sz w:val="11"/>
              </w:rPr>
              <w:t>5</w:t>
            </w:r>
          </w:p>
        </w:tc>
        <w:tc>
          <w:tcPr>
            <w:tcW w:w="88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gridSpan w:val="2"/>
            <w:vAlign w:val="center"/>
          </w:tcPr>
          <w:p>
            <w:pPr>
              <w:jc w:val="center"/>
            </w:pPr>
            <w:r>
              <w:rPr>
                <w:rFonts w:ascii="宋体" w:hAnsi="宋体" w:eastAsia="宋体" w:cs="宋体"/>
                <w:b w:val="0"/>
                <w:i w:val="0"/>
                <w:color w:val="000000"/>
                <w:sz w:val="11"/>
              </w:rPr>
              <w:t>合计</w:t>
            </w:r>
          </w:p>
        </w:tc>
        <w:tc>
          <w:tcPr>
            <w:tcW w:w="960" w:type="dxa"/>
            <w:vAlign w:val="center"/>
          </w:tcPr>
          <w:p>
            <w:pPr>
              <w:jc w:val="right"/>
            </w:pPr>
            <w:r>
              <w:rPr>
                <w:rFonts w:ascii="宋体" w:hAnsi="宋体" w:eastAsia="宋体" w:cs="宋体"/>
                <w:b/>
                <w:i w:val="0"/>
                <w:color w:val="000000"/>
                <w:sz w:val="11"/>
              </w:rPr>
              <w:t>4,056.43</w:t>
            </w:r>
          </w:p>
        </w:tc>
        <w:tc>
          <w:tcPr>
            <w:tcW w:w="960" w:type="dxa"/>
            <w:vAlign w:val="center"/>
          </w:tcPr>
          <w:p>
            <w:pPr>
              <w:jc w:val="right"/>
            </w:pPr>
            <w:r>
              <w:rPr>
                <w:rFonts w:ascii="宋体" w:hAnsi="宋体" w:eastAsia="宋体" w:cs="宋体"/>
                <w:b/>
                <w:i w:val="0"/>
                <w:color w:val="000000"/>
                <w:sz w:val="11"/>
              </w:rPr>
              <w:t>1,467.06</w:t>
            </w:r>
          </w:p>
        </w:tc>
        <w:tc>
          <w:tcPr>
            <w:tcW w:w="960" w:type="dxa"/>
            <w:vAlign w:val="center"/>
          </w:tcPr>
          <w:p>
            <w:pPr>
              <w:jc w:val="right"/>
            </w:pPr>
            <w:r>
              <w:rPr>
                <w:rFonts w:ascii="宋体" w:hAnsi="宋体" w:eastAsia="宋体" w:cs="宋体"/>
                <w:b/>
                <w:i w:val="0"/>
                <w:color w:val="000000"/>
                <w:sz w:val="11"/>
              </w:rPr>
              <w:t>2,589.36</w:t>
            </w:r>
          </w:p>
        </w:tc>
        <w:tc>
          <w:tcPr>
            <w:tcW w:w="960" w:type="dxa"/>
            <w:vAlign w:val="center"/>
          </w:tcPr>
          <w:p>
            <w:pPr>
              <w:jc w:val="right"/>
            </w:pPr>
            <w:r>
              <w:rPr>
                <w:rFonts w:ascii="宋体" w:hAnsi="宋体" w:eastAsia="宋体" w:cs="宋体"/>
                <w:b/>
                <w:i w:val="0"/>
                <w:color w:val="000000"/>
                <w:sz w:val="11"/>
              </w:rPr>
              <w:t>0.00</w:t>
            </w:r>
          </w:p>
        </w:tc>
        <w:tc>
          <w:tcPr>
            <w:tcW w:w="960" w:type="dxa"/>
            <w:vAlign w:val="center"/>
          </w:tcPr>
          <w:p>
            <w:pPr>
              <w:jc w:val="right"/>
            </w:pPr>
            <w:r>
              <w:rPr>
                <w:rFonts w:ascii="宋体" w:hAnsi="宋体" w:eastAsia="宋体" w:cs="宋体"/>
                <w:b/>
                <w:i w:val="0"/>
                <w:color w:val="000000"/>
                <w:sz w:val="11"/>
              </w:rPr>
              <w:t>0.00</w:t>
            </w:r>
          </w:p>
        </w:tc>
        <w:tc>
          <w:tcPr>
            <w:tcW w:w="886" w:type="dxa"/>
            <w:vAlign w:val="center"/>
          </w:tcPr>
          <w:p>
            <w:pPr>
              <w:jc w:val="right"/>
            </w:pPr>
            <w:r>
              <w:rPr>
                <w:rFonts w:ascii="宋体" w:hAnsi="宋体" w:eastAsia="宋体" w:cs="宋体"/>
                <w:b/>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208</w:t>
            </w:r>
          </w:p>
        </w:tc>
        <w:tc>
          <w:tcPr>
            <w:tcW w:w="2080" w:type="dxa"/>
            <w:vAlign w:val="center"/>
          </w:tcPr>
          <w:p>
            <w:pPr>
              <w:jc w:val="left"/>
            </w:pPr>
            <w:r>
              <w:rPr>
                <w:rFonts w:ascii="宋体" w:hAnsi="宋体" w:eastAsia="宋体" w:cs="宋体"/>
                <w:b w:val="0"/>
                <w:i w:val="0"/>
                <w:color w:val="000000"/>
                <w:sz w:val="11"/>
              </w:rPr>
              <w:t>社会保障和就业支出</w:t>
            </w:r>
          </w:p>
        </w:tc>
        <w:tc>
          <w:tcPr>
            <w:tcW w:w="960" w:type="dxa"/>
            <w:vAlign w:val="center"/>
          </w:tcPr>
          <w:p>
            <w:pPr>
              <w:jc w:val="right"/>
            </w:pPr>
            <w:r>
              <w:rPr>
                <w:rFonts w:ascii="宋体" w:hAnsi="宋体" w:eastAsia="宋体" w:cs="宋体"/>
                <w:b w:val="0"/>
                <w:i w:val="0"/>
                <w:color w:val="000000"/>
                <w:sz w:val="11"/>
              </w:rPr>
              <w:t>364.37</w:t>
            </w:r>
          </w:p>
        </w:tc>
        <w:tc>
          <w:tcPr>
            <w:tcW w:w="960" w:type="dxa"/>
            <w:vAlign w:val="center"/>
          </w:tcPr>
          <w:p>
            <w:pPr>
              <w:jc w:val="right"/>
            </w:pPr>
            <w:r>
              <w:rPr>
                <w:rFonts w:ascii="宋体" w:hAnsi="宋体" w:eastAsia="宋体" w:cs="宋体"/>
                <w:b w:val="0"/>
                <w:i w:val="0"/>
                <w:color w:val="000000"/>
                <w:sz w:val="11"/>
              </w:rPr>
              <w:t>364.37</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20805</w:t>
            </w:r>
          </w:p>
        </w:tc>
        <w:tc>
          <w:tcPr>
            <w:tcW w:w="2080" w:type="dxa"/>
            <w:vAlign w:val="center"/>
          </w:tcPr>
          <w:p>
            <w:pPr>
              <w:jc w:val="left"/>
            </w:pPr>
            <w:r>
              <w:rPr>
                <w:rFonts w:ascii="宋体" w:hAnsi="宋体" w:eastAsia="宋体" w:cs="宋体"/>
                <w:b w:val="0"/>
                <w:i w:val="0"/>
                <w:color w:val="000000"/>
                <w:sz w:val="11"/>
              </w:rPr>
              <w:t>行政事业单位养老支出</w:t>
            </w:r>
          </w:p>
        </w:tc>
        <w:tc>
          <w:tcPr>
            <w:tcW w:w="960" w:type="dxa"/>
            <w:vAlign w:val="center"/>
          </w:tcPr>
          <w:p>
            <w:pPr>
              <w:jc w:val="right"/>
            </w:pPr>
            <w:r>
              <w:rPr>
                <w:rFonts w:ascii="宋体" w:hAnsi="宋体" w:eastAsia="宋体" w:cs="宋体"/>
                <w:b w:val="0"/>
                <w:i w:val="0"/>
                <w:color w:val="000000"/>
                <w:sz w:val="11"/>
              </w:rPr>
              <w:t>364.37</w:t>
            </w:r>
          </w:p>
        </w:tc>
        <w:tc>
          <w:tcPr>
            <w:tcW w:w="960" w:type="dxa"/>
            <w:vAlign w:val="center"/>
          </w:tcPr>
          <w:p>
            <w:pPr>
              <w:jc w:val="right"/>
            </w:pPr>
            <w:r>
              <w:rPr>
                <w:rFonts w:ascii="宋体" w:hAnsi="宋体" w:eastAsia="宋体" w:cs="宋体"/>
                <w:b w:val="0"/>
                <w:i w:val="0"/>
                <w:color w:val="000000"/>
                <w:sz w:val="11"/>
              </w:rPr>
              <w:t>364.37</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2080502</w:t>
            </w:r>
          </w:p>
        </w:tc>
        <w:tc>
          <w:tcPr>
            <w:tcW w:w="2080" w:type="dxa"/>
            <w:vAlign w:val="center"/>
          </w:tcPr>
          <w:p>
            <w:pPr>
              <w:jc w:val="left"/>
            </w:pPr>
            <w:r>
              <w:rPr>
                <w:rFonts w:ascii="宋体" w:hAnsi="宋体" w:eastAsia="宋体" w:cs="宋体"/>
                <w:b w:val="0"/>
                <w:i w:val="0"/>
                <w:color w:val="000000"/>
                <w:sz w:val="11"/>
              </w:rPr>
              <w:t>事业单位离退休</w:t>
            </w:r>
          </w:p>
        </w:tc>
        <w:tc>
          <w:tcPr>
            <w:tcW w:w="960" w:type="dxa"/>
            <w:vAlign w:val="center"/>
          </w:tcPr>
          <w:p>
            <w:pPr>
              <w:jc w:val="right"/>
            </w:pPr>
            <w:r>
              <w:rPr>
                <w:rFonts w:ascii="宋体" w:hAnsi="宋体" w:eastAsia="宋体" w:cs="宋体"/>
                <w:b w:val="0"/>
                <w:i w:val="0"/>
                <w:color w:val="000000"/>
                <w:sz w:val="11"/>
              </w:rPr>
              <w:t>239.36</w:t>
            </w:r>
          </w:p>
        </w:tc>
        <w:tc>
          <w:tcPr>
            <w:tcW w:w="960" w:type="dxa"/>
            <w:vAlign w:val="center"/>
          </w:tcPr>
          <w:p>
            <w:pPr>
              <w:jc w:val="right"/>
            </w:pPr>
            <w:r>
              <w:rPr>
                <w:rFonts w:ascii="宋体" w:hAnsi="宋体" w:eastAsia="宋体" w:cs="宋体"/>
                <w:b w:val="0"/>
                <w:i w:val="0"/>
                <w:color w:val="000000"/>
                <w:sz w:val="11"/>
              </w:rPr>
              <w:t>239.36</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2080505</w:t>
            </w:r>
          </w:p>
        </w:tc>
        <w:tc>
          <w:tcPr>
            <w:tcW w:w="2080" w:type="dxa"/>
            <w:vAlign w:val="center"/>
          </w:tcPr>
          <w:p>
            <w:pPr>
              <w:jc w:val="left"/>
            </w:pPr>
            <w:r>
              <w:rPr>
                <w:rFonts w:ascii="宋体" w:hAnsi="宋体" w:eastAsia="宋体" w:cs="宋体"/>
                <w:b w:val="0"/>
                <w:i w:val="0"/>
                <w:color w:val="000000"/>
                <w:sz w:val="11"/>
              </w:rPr>
              <w:t>机关事业单位基本养老保险缴费支出</w:t>
            </w:r>
          </w:p>
        </w:tc>
        <w:tc>
          <w:tcPr>
            <w:tcW w:w="960" w:type="dxa"/>
            <w:vAlign w:val="center"/>
          </w:tcPr>
          <w:p>
            <w:pPr>
              <w:jc w:val="right"/>
            </w:pPr>
            <w:r>
              <w:rPr>
                <w:rFonts w:ascii="宋体" w:hAnsi="宋体" w:eastAsia="宋体" w:cs="宋体"/>
                <w:b w:val="0"/>
                <w:i w:val="0"/>
                <w:color w:val="000000"/>
                <w:sz w:val="11"/>
              </w:rPr>
              <w:t>103.85</w:t>
            </w:r>
          </w:p>
        </w:tc>
        <w:tc>
          <w:tcPr>
            <w:tcW w:w="960" w:type="dxa"/>
            <w:vAlign w:val="center"/>
          </w:tcPr>
          <w:p>
            <w:pPr>
              <w:jc w:val="right"/>
            </w:pPr>
            <w:r>
              <w:rPr>
                <w:rFonts w:ascii="宋体" w:hAnsi="宋体" w:eastAsia="宋体" w:cs="宋体"/>
                <w:b w:val="0"/>
                <w:i w:val="0"/>
                <w:color w:val="000000"/>
                <w:sz w:val="11"/>
              </w:rPr>
              <w:t>103.85</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2080506</w:t>
            </w:r>
          </w:p>
        </w:tc>
        <w:tc>
          <w:tcPr>
            <w:tcW w:w="2080" w:type="dxa"/>
            <w:vAlign w:val="center"/>
          </w:tcPr>
          <w:p>
            <w:pPr>
              <w:jc w:val="left"/>
            </w:pPr>
            <w:r>
              <w:rPr>
                <w:rFonts w:ascii="宋体" w:hAnsi="宋体" w:eastAsia="宋体" w:cs="宋体"/>
                <w:b w:val="0"/>
                <w:i w:val="0"/>
                <w:color w:val="000000"/>
                <w:sz w:val="11"/>
              </w:rPr>
              <w:t>机关事业单位职业年金缴费支出</w:t>
            </w:r>
          </w:p>
        </w:tc>
        <w:tc>
          <w:tcPr>
            <w:tcW w:w="960" w:type="dxa"/>
            <w:vAlign w:val="center"/>
          </w:tcPr>
          <w:p>
            <w:pPr>
              <w:jc w:val="right"/>
            </w:pPr>
            <w:r>
              <w:rPr>
                <w:rFonts w:ascii="宋体" w:hAnsi="宋体" w:eastAsia="宋体" w:cs="宋体"/>
                <w:b w:val="0"/>
                <w:i w:val="0"/>
                <w:color w:val="000000"/>
                <w:sz w:val="11"/>
              </w:rPr>
              <w:t>21.16</w:t>
            </w:r>
          </w:p>
        </w:tc>
        <w:tc>
          <w:tcPr>
            <w:tcW w:w="960" w:type="dxa"/>
            <w:vAlign w:val="center"/>
          </w:tcPr>
          <w:p>
            <w:pPr>
              <w:jc w:val="right"/>
            </w:pPr>
            <w:r>
              <w:rPr>
                <w:rFonts w:ascii="宋体" w:hAnsi="宋体" w:eastAsia="宋体" w:cs="宋体"/>
                <w:b w:val="0"/>
                <w:i w:val="0"/>
                <w:color w:val="000000"/>
                <w:sz w:val="11"/>
              </w:rPr>
              <w:t>21.16</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210</w:t>
            </w:r>
          </w:p>
        </w:tc>
        <w:tc>
          <w:tcPr>
            <w:tcW w:w="2080" w:type="dxa"/>
            <w:vAlign w:val="center"/>
          </w:tcPr>
          <w:p>
            <w:pPr>
              <w:jc w:val="left"/>
            </w:pPr>
            <w:r>
              <w:rPr>
                <w:rFonts w:ascii="宋体" w:hAnsi="宋体" w:eastAsia="宋体" w:cs="宋体"/>
                <w:b w:val="0"/>
                <w:i w:val="0"/>
                <w:color w:val="000000"/>
                <w:sz w:val="11"/>
              </w:rPr>
              <w:t>卫生健康支出</w:t>
            </w:r>
          </w:p>
        </w:tc>
        <w:tc>
          <w:tcPr>
            <w:tcW w:w="960" w:type="dxa"/>
            <w:vAlign w:val="center"/>
          </w:tcPr>
          <w:p>
            <w:pPr>
              <w:jc w:val="right"/>
            </w:pPr>
            <w:r>
              <w:rPr>
                <w:rFonts w:ascii="宋体" w:hAnsi="宋体" w:eastAsia="宋体" w:cs="宋体"/>
                <w:b w:val="0"/>
                <w:i w:val="0"/>
                <w:color w:val="000000"/>
                <w:sz w:val="11"/>
              </w:rPr>
              <w:t>185.21</w:t>
            </w:r>
          </w:p>
        </w:tc>
        <w:tc>
          <w:tcPr>
            <w:tcW w:w="960" w:type="dxa"/>
            <w:vAlign w:val="center"/>
          </w:tcPr>
          <w:p>
            <w:pPr>
              <w:jc w:val="right"/>
            </w:pPr>
            <w:r>
              <w:rPr>
                <w:rFonts w:ascii="宋体" w:hAnsi="宋体" w:eastAsia="宋体" w:cs="宋体"/>
                <w:b w:val="0"/>
                <w:i w:val="0"/>
                <w:color w:val="000000"/>
                <w:sz w:val="11"/>
              </w:rPr>
              <w:t>185.21</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21011</w:t>
            </w:r>
          </w:p>
        </w:tc>
        <w:tc>
          <w:tcPr>
            <w:tcW w:w="2080" w:type="dxa"/>
            <w:vAlign w:val="center"/>
          </w:tcPr>
          <w:p>
            <w:pPr>
              <w:jc w:val="left"/>
            </w:pPr>
            <w:r>
              <w:rPr>
                <w:rFonts w:ascii="宋体" w:hAnsi="宋体" w:eastAsia="宋体" w:cs="宋体"/>
                <w:b w:val="0"/>
                <w:i w:val="0"/>
                <w:color w:val="000000"/>
                <w:sz w:val="11"/>
              </w:rPr>
              <w:t>行政事业单位医疗</w:t>
            </w:r>
          </w:p>
        </w:tc>
        <w:tc>
          <w:tcPr>
            <w:tcW w:w="960" w:type="dxa"/>
            <w:vAlign w:val="center"/>
          </w:tcPr>
          <w:p>
            <w:pPr>
              <w:jc w:val="right"/>
            </w:pPr>
            <w:r>
              <w:rPr>
                <w:rFonts w:ascii="宋体" w:hAnsi="宋体" w:eastAsia="宋体" w:cs="宋体"/>
                <w:b w:val="0"/>
                <w:i w:val="0"/>
                <w:color w:val="000000"/>
                <w:sz w:val="11"/>
              </w:rPr>
              <w:t>185.21</w:t>
            </w:r>
          </w:p>
        </w:tc>
        <w:tc>
          <w:tcPr>
            <w:tcW w:w="960" w:type="dxa"/>
            <w:vAlign w:val="center"/>
          </w:tcPr>
          <w:p>
            <w:pPr>
              <w:jc w:val="right"/>
            </w:pPr>
            <w:r>
              <w:rPr>
                <w:rFonts w:ascii="宋体" w:hAnsi="宋体" w:eastAsia="宋体" w:cs="宋体"/>
                <w:b w:val="0"/>
                <w:i w:val="0"/>
                <w:color w:val="000000"/>
                <w:sz w:val="11"/>
              </w:rPr>
              <w:t>185.21</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2101102</w:t>
            </w:r>
          </w:p>
        </w:tc>
        <w:tc>
          <w:tcPr>
            <w:tcW w:w="2080" w:type="dxa"/>
            <w:vAlign w:val="center"/>
          </w:tcPr>
          <w:p>
            <w:pPr>
              <w:jc w:val="left"/>
            </w:pPr>
            <w:r>
              <w:rPr>
                <w:rFonts w:ascii="宋体" w:hAnsi="宋体" w:eastAsia="宋体" w:cs="宋体"/>
                <w:b w:val="0"/>
                <w:i w:val="0"/>
                <w:color w:val="000000"/>
                <w:sz w:val="11"/>
              </w:rPr>
              <w:t>事业单位医疗</w:t>
            </w:r>
          </w:p>
        </w:tc>
        <w:tc>
          <w:tcPr>
            <w:tcW w:w="960" w:type="dxa"/>
            <w:vAlign w:val="center"/>
          </w:tcPr>
          <w:p>
            <w:pPr>
              <w:jc w:val="right"/>
            </w:pPr>
            <w:r>
              <w:rPr>
                <w:rFonts w:ascii="宋体" w:hAnsi="宋体" w:eastAsia="宋体" w:cs="宋体"/>
                <w:b w:val="0"/>
                <w:i w:val="0"/>
                <w:color w:val="000000"/>
                <w:sz w:val="11"/>
              </w:rPr>
              <w:t>59.54</w:t>
            </w:r>
          </w:p>
        </w:tc>
        <w:tc>
          <w:tcPr>
            <w:tcW w:w="960" w:type="dxa"/>
            <w:vAlign w:val="center"/>
          </w:tcPr>
          <w:p>
            <w:pPr>
              <w:jc w:val="right"/>
            </w:pPr>
            <w:r>
              <w:rPr>
                <w:rFonts w:ascii="宋体" w:hAnsi="宋体" w:eastAsia="宋体" w:cs="宋体"/>
                <w:b w:val="0"/>
                <w:i w:val="0"/>
                <w:color w:val="000000"/>
                <w:sz w:val="11"/>
              </w:rPr>
              <w:t>59.54</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2101103</w:t>
            </w:r>
          </w:p>
        </w:tc>
        <w:tc>
          <w:tcPr>
            <w:tcW w:w="2080" w:type="dxa"/>
            <w:vAlign w:val="center"/>
          </w:tcPr>
          <w:p>
            <w:pPr>
              <w:jc w:val="left"/>
            </w:pPr>
            <w:r>
              <w:rPr>
                <w:rFonts w:ascii="宋体" w:hAnsi="宋体" w:eastAsia="宋体" w:cs="宋体"/>
                <w:b w:val="0"/>
                <w:i w:val="0"/>
                <w:color w:val="000000"/>
                <w:sz w:val="11"/>
              </w:rPr>
              <w:t>公务员医疗补助</w:t>
            </w:r>
          </w:p>
        </w:tc>
        <w:tc>
          <w:tcPr>
            <w:tcW w:w="960" w:type="dxa"/>
            <w:vAlign w:val="center"/>
          </w:tcPr>
          <w:p>
            <w:pPr>
              <w:jc w:val="right"/>
            </w:pPr>
            <w:r>
              <w:rPr>
                <w:rFonts w:ascii="宋体" w:hAnsi="宋体" w:eastAsia="宋体" w:cs="宋体"/>
                <w:b w:val="0"/>
                <w:i w:val="0"/>
                <w:color w:val="000000"/>
                <w:sz w:val="11"/>
              </w:rPr>
              <w:t>125.67</w:t>
            </w:r>
          </w:p>
        </w:tc>
        <w:tc>
          <w:tcPr>
            <w:tcW w:w="960" w:type="dxa"/>
            <w:vAlign w:val="center"/>
          </w:tcPr>
          <w:p>
            <w:pPr>
              <w:jc w:val="right"/>
            </w:pPr>
            <w:r>
              <w:rPr>
                <w:rFonts w:ascii="宋体" w:hAnsi="宋体" w:eastAsia="宋体" w:cs="宋体"/>
                <w:b w:val="0"/>
                <w:i w:val="0"/>
                <w:color w:val="000000"/>
                <w:sz w:val="11"/>
              </w:rPr>
              <w:t>125.67</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214</w:t>
            </w:r>
          </w:p>
        </w:tc>
        <w:tc>
          <w:tcPr>
            <w:tcW w:w="2080" w:type="dxa"/>
            <w:vAlign w:val="center"/>
          </w:tcPr>
          <w:p>
            <w:pPr>
              <w:jc w:val="left"/>
            </w:pPr>
            <w:r>
              <w:rPr>
                <w:rFonts w:ascii="宋体" w:hAnsi="宋体" w:eastAsia="宋体" w:cs="宋体"/>
                <w:b w:val="0"/>
                <w:i w:val="0"/>
                <w:color w:val="000000"/>
                <w:sz w:val="11"/>
              </w:rPr>
              <w:t>交通运输支出</w:t>
            </w:r>
          </w:p>
        </w:tc>
        <w:tc>
          <w:tcPr>
            <w:tcW w:w="960" w:type="dxa"/>
            <w:vAlign w:val="center"/>
          </w:tcPr>
          <w:p>
            <w:pPr>
              <w:jc w:val="right"/>
            </w:pPr>
            <w:r>
              <w:rPr>
                <w:rFonts w:ascii="宋体" w:hAnsi="宋体" w:eastAsia="宋体" w:cs="宋体"/>
                <w:b w:val="0"/>
                <w:i w:val="0"/>
                <w:color w:val="000000"/>
                <w:sz w:val="11"/>
              </w:rPr>
              <w:t>3,418.22</w:t>
            </w:r>
          </w:p>
        </w:tc>
        <w:tc>
          <w:tcPr>
            <w:tcW w:w="960" w:type="dxa"/>
            <w:vAlign w:val="center"/>
          </w:tcPr>
          <w:p>
            <w:pPr>
              <w:jc w:val="right"/>
            </w:pPr>
            <w:r>
              <w:rPr>
                <w:rFonts w:ascii="宋体" w:hAnsi="宋体" w:eastAsia="宋体" w:cs="宋体"/>
                <w:b w:val="0"/>
                <w:i w:val="0"/>
                <w:color w:val="000000"/>
                <w:sz w:val="11"/>
              </w:rPr>
              <w:t>828.86</w:t>
            </w:r>
          </w:p>
        </w:tc>
        <w:tc>
          <w:tcPr>
            <w:tcW w:w="960" w:type="dxa"/>
            <w:vAlign w:val="center"/>
          </w:tcPr>
          <w:p>
            <w:pPr>
              <w:jc w:val="right"/>
            </w:pPr>
            <w:r>
              <w:rPr>
                <w:rFonts w:ascii="宋体" w:hAnsi="宋体" w:eastAsia="宋体" w:cs="宋体"/>
                <w:b w:val="0"/>
                <w:i w:val="0"/>
                <w:color w:val="000000"/>
                <w:sz w:val="11"/>
              </w:rPr>
              <w:t>2,589.36</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21401</w:t>
            </w:r>
          </w:p>
        </w:tc>
        <w:tc>
          <w:tcPr>
            <w:tcW w:w="2080" w:type="dxa"/>
            <w:vAlign w:val="center"/>
          </w:tcPr>
          <w:p>
            <w:pPr>
              <w:jc w:val="left"/>
            </w:pPr>
            <w:r>
              <w:rPr>
                <w:rFonts w:ascii="宋体" w:hAnsi="宋体" w:eastAsia="宋体" w:cs="宋体"/>
                <w:b w:val="0"/>
                <w:i w:val="0"/>
                <w:color w:val="000000"/>
                <w:sz w:val="11"/>
              </w:rPr>
              <w:t>公路水路运输</w:t>
            </w:r>
          </w:p>
        </w:tc>
        <w:tc>
          <w:tcPr>
            <w:tcW w:w="960" w:type="dxa"/>
            <w:vAlign w:val="center"/>
          </w:tcPr>
          <w:p>
            <w:pPr>
              <w:jc w:val="right"/>
            </w:pPr>
            <w:r>
              <w:rPr>
                <w:rFonts w:ascii="宋体" w:hAnsi="宋体" w:eastAsia="宋体" w:cs="宋体"/>
                <w:b w:val="0"/>
                <w:i w:val="0"/>
                <w:color w:val="000000"/>
                <w:sz w:val="11"/>
              </w:rPr>
              <w:t>1.00</w:t>
            </w:r>
          </w:p>
        </w:tc>
        <w:tc>
          <w:tcPr>
            <w:tcW w:w="960" w:type="dxa"/>
            <w:vAlign w:val="center"/>
          </w:tcPr>
          <w:p>
            <w:pPr>
              <w:jc w:val="right"/>
            </w:pPr>
            <w:r>
              <w:rPr>
                <w:rFonts w:ascii="宋体" w:hAnsi="宋体" w:eastAsia="宋体" w:cs="宋体"/>
                <w:b w:val="0"/>
                <w:i w:val="0"/>
                <w:color w:val="000000"/>
                <w:sz w:val="11"/>
              </w:rPr>
              <w:t>1.00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2140199</w:t>
            </w:r>
          </w:p>
        </w:tc>
        <w:tc>
          <w:tcPr>
            <w:tcW w:w="2080" w:type="dxa"/>
            <w:vAlign w:val="center"/>
          </w:tcPr>
          <w:p>
            <w:pPr>
              <w:jc w:val="left"/>
            </w:pPr>
            <w:r>
              <w:rPr>
                <w:rFonts w:ascii="宋体" w:hAnsi="宋体" w:eastAsia="宋体" w:cs="宋体"/>
                <w:b w:val="0"/>
                <w:i w:val="0"/>
                <w:color w:val="000000"/>
                <w:sz w:val="11"/>
              </w:rPr>
              <w:t>其他公路水路运输支出</w:t>
            </w:r>
          </w:p>
        </w:tc>
        <w:tc>
          <w:tcPr>
            <w:tcW w:w="960" w:type="dxa"/>
            <w:vAlign w:val="center"/>
          </w:tcPr>
          <w:p>
            <w:pPr>
              <w:jc w:val="right"/>
            </w:pPr>
            <w:r>
              <w:rPr>
                <w:rFonts w:ascii="宋体" w:hAnsi="宋体" w:eastAsia="宋体" w:cs="宋体"/>
                <w:b w:val="0"/>
                <w:i w:val="0"/>
                <w:color w:val="000000"/>
                <w:sz w:val="11"/>
              </w:rPr>
              <w:t>1.00</w:t>
            </w:r>
          </w:p>
        </w:tc>
        <w:tc>
          <w:tcPr>
            <w:tcW w:w="960" w:type="dxa"/>
            <w:vAlign w:val="center"/>
          </w:tcPr>
          <w:p>
            <w:pPr>
              <w:jc w:val="right"/>
            </w:pPr>
            <w:r>
              <w:rPr>
                <w:rFonts w:ascii="宋体" w:hAnsi="宋体" w:eastAsia="宋体" w:cs="宋体"/>
                <w:b w:val="0"/>
                <w:i w:val="0"/>
                <w:color w:val="000000"/>
                <w:sz w:val="11"/>
              </w:rPr>
              <w:t>1.00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21499</w:t>
            </w:r>
          </w:p>
        </w:tc>
        <w:tc>
          <w:tcPr>
            <w:tcW w:w="2080" w:type="dxa"/>
            <w:vAlign w:val="center"/>
          </w:tcPr>
          <w:p>
            <w:pPr>
              <w:jc w:val="left"/>
            </w:pPr>
            <w:r>
              <w:rPr>
                <w:rFonts w:ascii="宋体" w:hAnsi="宋体" w:eastAsia="宋体" w:cs="宋体"/>
                <w:b w:val="0"/>
                <w:i w:val="0"/>
                <w:color w:val="000000"/>
                <w:sz w:val="11"/>
              </w:rPr>
              <w:t>其他交通运输支出</w:t>
            </w:r>
          </w:p>
        </w:tc>
        <w:tc>
          <w:tcPr>
            <w:tcW w:w="960" w:type="dxa"/>
            <w:vAlign w:val="center"/>
          </w:tcPr>
          <w:p>
            <w:pPr>
              <w:jc w:val="right"/>
            </w:pPr>
            <w:r>
              <w:rPr>
                <w:rFonts w:ascii="宋体" w:hAnsi="宋体" w:eastAsia="宋体" w:cs="宋体"/>
                <w:b w:val="0"/>
                <w:i w:val="0"/>
                <w:color w:val="000000"/>
                <w:sz w:val="11"/>
              </w:rPr>
              <w:t>3,417.22</w:t>
            </w:r>
          </w:p>
        </w:tc>
        <w:tc>
          <w:tcPr>
            <w:tcW w:w="960" w:type="dxa"/>
            <w:vAlign w:val="center"/>
          </w:tcPr>
          <w:p>
            <w:pPr>
              <w:jc w:val="right"/>
            </w:pPr>
            <w:r>
              <w:rPr>
                <w:rFonts w:ascii="宋体" w:hAnsi="宋体" w:eastAsia="宋体" w:cs="宋体"/>
                <w:b w:val="0"/>
                <w:i w:val="0"/>
                <w:color w:val="000000"/>
                <w:sz w:val="11"/>
              </w:rPr>
              <w:t>827.86</w:t>
            </w:r>
          </w:p>
        </w:tc>
        <w:tc>
          <w:tcPr>
            <w:tcW w:w="960" w:type="dxa"/>
            <w:vAlign w:val="center"/>
          </w:tcPr>
          <w:p>
            <w:pPr>
              <w:jc w:val="right"/>
            </w:pPr>
            <w:r>
              <w:rPr>
                <w:rFonts w:ascii="宋体" w:hAnsi="宋体" w:eastAsia="宋体" w:cs="宋体"/>
                <w:b w:val="0"/>
                <w:i w:val="0"/>
                <w:color w:val="000000"/>
                <w:sz w:val="11"/>
              </w:rPr>
              <w:t>2,589.36</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2149999</w:t>
            </w:r>
          </w:p>
        </w:tc>
        <w:tc>
          <w:tcPr>
            <w:tcW w:w="2080" w:type="dxa"/>
            <w:vAlign w:val="center"/>
          </w:tcPr>
          <w:p>
            <w:pPr>
              <w:jc w:val="left"/>
            </w:pPr>
            <w:r>
              <w:rPr>
                <w:rFonts w:ascii="宋体" w:hAnsi="宋体" w:eastAsia="宋体" w:cs="宋体"/>
                <w:b w:val="0"/>
                <w:i w:val="0"/>
                <w:color w:val="000000"/>
                <w:sz w:val="11"/>
              </w:rPr>
              <w:t>其他交通运输支出</w:t>
            </w:r>
          </w:p>
        </w:tc>
        <w:tc>
          <w:tcPr>
            <w:tcW w:w="960" w:type="dxa"/>
            <w:vAlign w:val="center"/>
          </w:tcPr>
          <w:p>
            <w:pPr>
              <w:jc w:val="right"/>
            </w:pPr>
            <w:r>
              <w:rPr>
                <w:rFonts w:ascii="宋体" w:hAnsi="宋体" w:eastAsia="宋体" w:cs="宋体"/>
                <w:b w:val="0"/>
                <w:i w:val="0"/>
                <w:color w:val="000000"/>
                <w:sz w:val="11"/>
              </w:rPr>
              <w:t>3,417.22</w:t>
            </w:r>
          </w:p>
        </w:tc>
        <w:tc>
          <w:tcPr>
            <w:tcW w:w="960" w:type="dxa"/>
            <w:vAlign w:val="center"/>
          </w:tcPr>
          <w:p>
            <w:pPr>
              <w:jc w:val="right"/>
            </w:pPr>
            <w:r>
              <w:rPr>
                <w:rFonts w:ascii="宋体" w:hAnsi="宋体" w:eastAsia="宋体" w:cs="宋体"/>
                <w:b w:val="0"/>
                <w:i w:val="0"/>
                <w:color w:val="000000"/>
                <w:sz w:val="11"/>
              </w:rPr>
              <w:t>827.86</w:t>
            </w:r>
          </w:p>
        </w:tc>
        <w:tc>
          <w:tcPr>
            <w:tcW w:w="960" w:type="dxa"/>
            <w:vAlign w:val="center"/>
          </w:tcPr>
          <w:p>
            <w:pPr>
              <w:jc w:val="right"/>
            </w:pPr>
            <w:r>
              <w:rPr>
                <w:rFonts w:ascii="宋体" w:hAnsi="宋体" w:eastAsia="宋体" w:cs="宋体"/>
                <w:b w:val="0"/>
                <w:i w:val="0"/>
                <w:color w:val="000000"/>
                <w:sz w:val="11"/>
              </w:rPr>
              <w:t>2,589.36</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221</w:t>
            </w:r>
          </w:p>
        </w:tc>
        <w:tc>
          <w:tcPr>
            <w:tcW w:w="2080" w:type="dxa"/>
            <w:vAlign w:val="center"/>
          </w:tcPr>
          <w:p>
            <w:pPr>
              <w:jc w:val="left"/>
            </w:pPr>
            <w:r>
              <w:rPr>
                <w:rFonts w:ascii="宋体" w:hAnsi="宋体" w:eastAsia="宋体" w:cs="宋体"/>
                <w:b w:val="0"/>
                <w:i w:val="0"/>
                <w:color w:val="000000"/>
                <w:sz w:val="11"/>
              </w:rPr>
              <w:t>住房保障支出</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22102</w:t>
            </w:r>
          </w:p>
        </w:tc>
        <w:tc>
          <w:tcPr>
            <w:tcW w:w="2080" w:type="dxa"/>
            <w:vAlign w:val="center"/>
          </w:tcPr>
          <w:p>
            <w:pPr>
              <w:jc w:val="left"/>
            </w:pPr>
            <w:r>
              <w:rPr>
                <w:rFonts w:ascii="宋体" w:hAnsi="宋体" w:eastAsia="宋体" w:cs="宋体"/>
                <w:b w:val="0"/>
                <w:i w:val="0"/>
                <w:color w:val="000000"/>
                <w:sz w:val="11"/>
              </w:rPr>
              <w:t>住房改革支出</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vAlign w:val="center"/>
          </w:tcPr>
          <w:p>
            <w:pPr>
              <w:jc w:val="left"/>
            </w:pPr>
            <w:r>
              <w:rPr>
                <w:rFonts w:ascii="宋体" w:hAnsi="宋体" w:eastAsia="宋体" w:cs="宋体"/>
                <w:b w:val="0"/>
                <w:i w:val="0"/>
                <w:color w:val="000000"/>
                <w:sz w:val="11"/>
              </w:rPr>
              <w:t>2210201</w:t>
            </w:r>
          </w:p>
        </w:tc>
        <w:tc>
          <w:tcPr>
            <w:tcW w:w="2080" w:type="dxa"/>
            <w:vAlign w:val="center"/>
          </w:tcPr>
          <w:p>
            <w:pPr>
              <w:jc w:val="left"/>
            </w:pPr>
            <w:r>
              <w:rPr>
                <w:rFonts w:ascii="宋体" w:hAnsi="宋体" w:eastAsia="宋体" w:cs="宋体"/>
                <w:b w:val="0"/>
                <w:i w:val="0"/>
                <w:color w:val="000000"/>
                <w:sz w:val="11"/>
              </w:rPr>
              <w:t>住房公积金</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88.63</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960" w:type="dxa"/>
            <w:vAlign w:val="center"/>
          </w:tcPr>
          <w:p>
            <w:pPr>
              <w:jc w:val="right"/>
            </w:pPr>
            <w:r>
              <w:rPr>
                <w:rFonts w:ascii="宋体" w:hAnsi="宋体" w:eastAsia="宋体" w:cs="宋体"/>
                <w:b w:val="0"/>
                <w:i w:val="0"/>
                <w:color w:val="000000"/>
                <w:sz w:val="11"/>
              </w:rPr>
              <w:t>0.00</w:t>
            </w:r>
          </w:p>
        </w:tc>
        <w:tc>
          <w:tcPr>
            <w:tcW w:w="88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8" w:hRule="exact"/>
          <w:jc w:val="center"/>
        </w:trPr>
        <w:tc>
          <w:tcPr>
            <w:tcW w:w="180" w:type="dxa"/>
            <w:gridSpan w:val="8"/>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注：本表反映部门本年度各项支出情况。</w:t>
            </w: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四、财政拨款收入支出决算总表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640"/>
        <w:gridCol w:w="280"/>
        <w:gridCol w:w="840"/>
        <w:gridCol w:w="1840"/>
        <w:gridCol w:w="280"/>
        <w:gridCol w:w="840"/>
        <w:gridCol w:w="840"/>
        <w:gridCol w:w="840"/>
        <w:gridCol w:w="9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gridSpan w:val="3"/>
            <w:vAlign w:val="center"/>
          </w:tcPr>
          <w:p>
            <w:pPr>
              <w:jc w:val="center"/>
            </w:pPr>
            <w:r>
              <w:rPr>
                <w:rFonts w:ascii="宋体" w:hAnsi="宋体" w:eastAsia="宋体" w:cs="宋体"/>
                <w:b w:val="0"/>
                <w:i w:val="0"/>
                <w:color w:val="000000"/>
                <w:sz w:val="11"/>
              </w:rPr>
              <w:t>收     入</w:t>
            </w:r>
          </w:p>
        </w:tc>
        <w:tc>
          <w:tcPr>
            <w:tcW w:w="1840" w:type="dxa"/>
            <w:gridSpan w:val="6"/>
            <w:vAlign w:val="center"/>
          </w:tcPr>
          <w:p>
            <w:pPr>
              <w:jc w:val="center"/>
            </w:pPr>
            <w:r>
              <w:rPr>
                <w:rFonts w:ascii="宋体" w:hAnsi="宋体" w:eastAsia="宋体" w:cs="宋体"/>
                <w:b w:val="0"/>
                <w:i w:val="0"/>
                <w:color w:val="000000"/>
                <w:sz w:val="11"/>
              </w:rPr>
              <w:t>支     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4" w:hRule="exact"/>
          <w:jc w:val="center"/>
        </w:trPr>
        <w:tc>
          <w:tcPr>
            <w:tcW w:w="1640" w:type="dxa"/>
            <w:vMerge w:val="restart"/>
            <w:vAlign w:val="center"/>
          </w:tcPr>
          <w:p>
            <w:pPr>
              <w:jc w:val="center"/>
            </w:pPr>
            <w:r>
              <w:rPr>
                <w:rFonts w:ascii="宋体" w:hAnsi="宋体" w:eastAsia="宋体" w:cs="宋体"/>
                <w:b w:val="0"/>
                <w:i w:val="0"/>
                <w:color w:val="000000"/>
                <w:sz w:val="11"/>
              </w:rPr>
              <w:t>项目</w:t>
            </w:r>
          </w:p>
        </w:tc>
        <w:tc>
          <w:tcPr>
            <w:tcW w:w="280" w:type="dxa"/>
            <w:vMerge w:val="restart"/>
            <w:vAlign w:val="center"/>
          </w:tcPr>
          <w:p>
            <w:pPr>
              <w:jc w:val="center"/>
            </w:pPr>
            <w:r>
              <w:rPr>
                <w:rFonts w:ascii="宋体" w:hAnsi="宋体" w:eastAsia="宋体" w:cs="宋体"/>
                <w:b w:val="0"/>
                <w:i w:val="0"/>
                <w:color w:val="000000"/>
                <w:sz w:val="11"/>
              </w:rPr>
              <w:t>行次</w:t>
            </w:r>
          </w:p>
        </w:tc>
        <w:tc>
          <w:tcPr>
            <w:tcW w:w="840" w:type="dxa"/>
            <w:vMerge w:val="restart"/>
            <w:vAlign w:val="center"/>
          </w:tcPr>
          <w:p>
            <w:pPr>
              <w:jc w:val="center"/>
            </w:pPr>
            <w:r>
              <w:rPr>
                <w:rFonts w:ascii="宋体" w:hAnsi="宋体" w:eastAsia="宋体" w:cs="宋体"/>
                <w:b w:val="0"/>
                <w:i w:val="0"/>
                <w:color w:val="000000"/>
                <w:sz w:val="11"/>
              </w:rPr>
              <w:t>金额</w:t>
            </w:r>
          </w:p>
        </w:tc>
        <w:tc>
          <w:tcPr>
            <w:tcW w:w="1840" w:type="dxa"/>
            <w:vMerge w:val="restart"/>
            <w:vAlign w:val="center"/>
          </w:tcPr>
          <w:p>
            <w:pPr>
              <w:jc w:val="center"/>
            </w:pPr>
            <w:r>
              <w:rPr>
                <w:rFonts w:ascii="宋体" w:hAnsi="宋体" w:eastAsia="宋体" w:cs="宋体"/>
                <w:b w:val="0"/>
                <w:i w:val="0"/>
                <w:color w:val="000000"/>
                <w:sz w:val="11"/>
              </w:rPr>
              <w:t>项目</w:t>
            </w:r>
          </w:p>
        </w:tc>
        <w:tc>
          <w:tcPr>
            <w:tcW w:w="280" w:type="dxa"/>
            <w:vMerge w:val="restart"/>
            <w:vAlign w:val="center"/>
          </w:tcPr>
          <w:p>
            <w:pPr>
              <w:jc w:val="center"/>
            </w:pPr>
            <w:r>
              <w:rPr>
                <w:rFonts w:ascii="宋体" w:hAnsi="宋体" w:eastAsia="宋体" w:cs="宋体"/>
                <w:b w:val="0"/>
                <w:i w:val="0"/>
                <w:color w:val="000000"/>
                <w:sz w:val="11"/>
              </w:rPr>
              <w:t>行次</w:t>
            </w:r>
          </w:p>
        </w:tc>
        <w:tc>
          <w:tcPr>
            <w:tcW w:w="840" w:type="dxa"/>
            <w:vMerge w:val="restart"/>
            <w:vAlign w:val="center"/>
          </w:tcPr>
          <w:p>
            <w:pPr>
              <w:jc w:val="center"/>
            </w:pPr>
            <w:r>
              <w:rPr>
                <w:rFonts w:ascii="宋体" w:hAnsi="宋体" w:eastAsia="宋体" w:cs="宋体"/>
                <w:b w:val="0"/>
                <w:i w:val="0"/>
                <w:color w:val="000000"/>
                <w:sz w:val="11"/>
              </w:rPr>
              <w:t>合计</w:t>
            </w:r>
          </w:p>
        </w:tc>
        <w:tc>
          <w:tcPr>
            <w:tcW w:w="840" w:type="dxa"/>
            <w:vMerge w:val="restart"/>
            <w:vAlign w:val="center"/>
          </w:tcPr>
          <w:p>
            <w:pPr>
              <w:jc w:val="center"/>
            </w:pPr>
            <w:r>
              <w:rPr>
                <w:rFonts w:ascii="宋体" w:hAnsi="宋体" w:eastAsia="宋体" w:cs="宋体"/>
                <w:b w:val="0"/>
                <w:i w:val="0"/>
                <w:color w:val="000000"/>
                <w:sz w:val="11"/>
              </w:rPr>
              <w:t>一般公共预算财政拨款</w:t>
            </w:r>
          </w:p>
        </w:tc>
        <w:tc>
          <w:tcPr>
            <w:tcW w:w="840" w:type="dxa"/>
            <w:vMerge w:val="restart"/>
            <w:vAlign w:val="center"/>
          </w:tcPr>
          <w:p>
            <w:pPr>
              <w:jc w:val="center"/>
            </w:pPr>
            <w:r>
              <w:rPr>
                <w:rFonts w:ascii="宋体" w:hAnsi="宋体" w:eastAsia="宋体" w:cs="宋体"/>
                <w:b w:val="0"/>
                <w:i w:val="0"/>
                <w:color w:val="000000"/>
                <w:sz w:val="11"/>
              </w:rPr>
              <w:t>政府性基金预算财政拨款</w:t>
            </w:r>
          </w:p>
        </w:tc>
        <w:tc>
          <w:tcPr>
            <w:tcW w:w="906" w:type="dxa"/>
            <w:vMerge w:val="restart"/>
            <w:vAlign w:val="center"/>
          </w:tcPr>
          <w:p>
            <w:pPr>
              <w:jc w:val="center"/>
            </w:pPr>
            <w:r>
              <w:rPr>
                <w:rFonts w:ascii="宋体" w:hAnsi="宋体" w:eastAsia="宋体" w:cs="宋体"/>
                <w:b w:val="0"/>
                <w:i w:val="0"/>
                <w:color w:val="000000"/>
                <w:sz w:val="11"/>
              </w:rPr>
              <w:t>国有资本经营预算财政拨款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1" w:hRule="exact"/>
          <w:jc w:val="center"/>
        </w:trPr>
        <w:tc>
          <w:tcPr>
            <w:tcW w:w="1640" w:type="dxa"/>
            <w:vMerge w:val="continue"/>
            <w:vAlign w:val="center"/>
          </w:tcPr>
          <w:p/>
        </w:tc>
        <w:tc>
          <w:tcPr>
            <w:tcW w:w="280" w:type="dxa"/>
            <w:vMerge w:val="continue"/>
            <w:vAlign w:val="center"/>
          </w:tcPr>
          <w:p/>
        </w:tc>
        <w:tc>
          <w:tcPr>
            <w:tcW w:w="840" w:type="dxa"/>
            <w:vMerge w:val="continue"/>
            <w:vAlign w:val="center"/>
          </w:tcPr>
          <w:p/>
        </w:tc>
        <w:tc>
          <w:tcPr>
            <w:tcW w:w="1840" w:type="dxa"/>
            <w:vMerge w:val="continue"/>
            <w:vAlign w:val="center"/>
          </w:tcPr>
          <w:p/>
        </w:tc>
        <w:tc>
          <w:tcPr>
            <w:tcW w:w="280" w:type="dxa"/>
            <w:vMerge w:val="continue"/>
            <w:vAlign w:val="center"/>
          </w:tcPr>
          <w:p/>
        </w:tc>
        <w:tc>
          <w:tcPr>
            <w:tcW w:w="840" w:type="dxa"/>
            <w:vMerge w:val="continue"/>
            <w:vAlign w:val="center"/>
          </w:tcPr>
          <w:p/>
        </w:tc>
        <w:tc>
          <w:tcPr>
            <w:tcW w:w="840" w:type="dxa"/>
            <w:vMerge w:val="continue"/>
            <w:vAlign w:val="center"/>
          </w:tcPr>
          <w:p/>
        </w:tc>
        <w:tc>
          <w:tcPr>
            <w:tcW w:w="840" w:type="dxa"/>
            <w:vMerge w:val="continue"/>
            <w:vAlign w:val="center"/>
          </w:tcPr>
          <w:p/>
        </w:tc>
        <w:tc>
          <w:tcPr>
            <w:tcW w:w="90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center"/>
            </w:pPr>
            <w:r>
              <w:rPr>
                <w:rFonts w:ascii="宋体" w:hAnsi="宋体" w:eastAsia="宋体" w:cs="宋体"/>
                <w:b w:val="0"/>
                <w:i w:val="0"/>
                <w:color w:val="000000"/>
                <w:sz w:val="11"/>
              </w:rPr>
              <w:t>栏次</w:t>
            </w:r>
          </w:p>
        </w:tc>
        <w:tc>
          <w:tcPr>
            <w:tcW w:w="280" w:type="dxa"/>
            <w:vAlign w:val="center"/>
          </w:tcPr>
          <w:p/>
        </w:tc>
        <w:tc>
          <w:tcPr>
            <w:tcW w:w="840" w:type="dxa"/>
            <w:vAlign w:val="center"/>
          </w:tcPr>
          <w:p>
            <w:pPr>
              <w:jc w:val="center"/>
            </w:pPr>
            <w:r>
              <w:rPr>
                <w:rFonts w:ascii="宋体" w:hAnsi="宋体" w:eastAsia="宋体" w:cs="宋体"/>
                <w:b w:val="0"/>
                <w:i w:val="0"/>
                <w:color w:val="000000"/>
                <w:sz w:val="11"/>
              </w:rPr>
              <w:t>1</w:t>
            </w:r>
          </w:p>
        </w:tc>
        <w:tc>
          <w:tcPr>
            <w:tcW w:w="1840" w:type="dxa"/>
            <w:vAlign w:val="center"/>
          </w:tcPr>
          <w:p>
            <w:pPr>
              <w:jc w:val="center"/>
            </w:pPr>
            <w:r>
              <w:rPr>
                <w:rFonts w:ascii="宋体" w:hAnsi="宋体" w:eastAsia="宋体" w:cs="宋体"/>
                <w:b w:val="0"/>
                <w:i w:val="0"/>
                <w:color w:val="000000"/>
                <w:sz w:val="11"/>
              </w:rPr>
              <w:t>栏次</w:t>
            </w:r>
          </w:p>
        </w:tc>
        <w:tc>
          <w:tcPr>
            <w:tcW w:w="280" w:type="dxa"/>
            <w:vAlign w:val="center"/>
          </w:tcPr>
          <w:p/>
        </w:tc>
        <w:tc>
          <w:tcPr>
            <w:tcW w:w="840" w:type="dxa"/>
            <w:vAlign w:val="center"/>
          </w:tcPr>
          <w:p>
            <w:pPr>
              <w:jc w:val="center"/>
            </w:pPr>
            <w:r>
              <w:rPr>
                <w:rFonts w:ascii="宋体" w:hAnsi="宋体" w:eastAsia="宋体" w:cs="宋体"/>
                <w:b w:val="0"/>
                <w:i w:val="0"/>
                <w:color w:val="000000"/>
                <w:sz w:val="11"/>
              </w:rPr>
              <w:t>2</w:t>
            </w:r>
          </w:p>
        </w:tc>
        <w:tc>
          <w:tcPr>
            <w:tcW w:w="840" w:type="dxa"/>
            <w:vAlign w:val="center"/>
          </w:tcPr>
          <w:p>
            <w:pPr>
              <w:jc w:val="center"/>
            </w:pPr>
            <w:r>
              <w:rPr>
                <w:rFonts w:ascii="宋体" w:hAnsi="宋体" w:eastAsia="宋体" w:cs="宋体"/>
                <w:b w:val="0"/>
                <w:i w:val="0"/>
                <w:color w:val="000000"/>
                <w:sz w:val="11"/>
              </w:rPr>
              <w:t>3</w:t>
            </w:r>
          </w:p>
        </w:tc>
        <w:tc>
          <w:tcPr>
            <w:tcW w:w="840" w:type="dxa"/>
            <w:vAlign w:val="center"/>
          </w:tcPr>
          <w:p>
            <w:pPr>
              <w:jc w:val="center"/>
            </w:pPr>
            <w:r>
              <w:rPr>
                <w:rFonts w:ascii="宋体" w:hAnsi="宋体" w:eastAsia="宋体" w:cs="宋体"/>
                <w:b w:val="0"/>
                <w:i w:val="0"/>
                <w:color w:val="000000"/>
                <w:sz w:val="11"/>
              </w:rPr>
              <w:t>4</w:t>
            </w:r>
          </w:p>
        </w:tc>
        <w:tc>
          <w:tcPr>
            <w:tcW w:w="906" w:type="dxa"/>
            <w:vAlign w:val="center"/>
          </w:tcPr>
          <w:p>
            <w:pPr>
              <w:jc w:val="center"/>
            </w:pPr>
            <w:r>
              <w:rPr>
                <w:rFonts w:ascii="宋体" w:hAnsi="宋体" w:eastAsia="宋体" w:cs="宋体"/>
                <w:b w:val="0"/>
                <w:i w:val="0"/>
                <w:color w:val="000000"/>
                <w:sz w:val="11"/>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一、一般公共预算财政拨款</w:t>
            </w:r>
          </w:p>
        </w:tc>
        <w:tc>
          <w:tcPr>
            <w:tcW w:w="280" w:type="dxa"/>
            <w:vAlign w:val="center"/>
          </w:tcPr>
          <w:p>
            <w:pPr>
              <w:jc w:val="center"/>
            </w:pPr>
            <w:r>
              <w:rPr>
                <w:rFonts w:ascii="宋体" w:hAnsi="宋体" w:eastAsia="宋体" w:cs="宋体"/>
                <w:b w:val="0"/>
                <w:i w:val="0"/>
                <w:color w:val="000000"/>
                <w:sz w:val="11"/>
              </w:rPr>
              <w:t>1</w:t>
            </w:r>
          </w:p>
        </w:tc>
        <w:tc>
          <w:tcPr>
            <w:tcW w:w="840" w:type="dxa"/>
            <w:vAlign w:val="center"/>
          </w:tcPr>
          <w:p>
            <w:pPr>
              <w:jc w:val="right"/>
            </w:pPr>
            <w:r>
              <w:rPr>
                <w:rFonts w:ascii="宋体" w:hAnsi="宋体" w:eastAsia="宋体" w:cs="宋体"/>
                <w:b w:val="0"/>
                <w:i w:val="0"/>
                <w:color w:val="000000"/>
                <w:sz w:val="11"/>
              </w:rPr>
              <w:t>4,056.43</w:t>
            </w:r>
          </w:p>
        </w:tc>
        <w:tc>
          <w:tcPr>
            <w:tcW w:w="1840" w:type="dxa"/>
            <w:vAlign w:val="center"/>
          </w:tcPr>
          <w:p>
            <w:pPr>
              <w:jc w:val="left"/>
            </w:pPr>
            <w:r>
              <w:rPr>
                <w:rFonts w:ascii="宋体" w:hAnsi="宋体" w:eastAsia="宋体" w:cs="宋体"/>
                <w:b w:val="0"/>
                <w:i w:val="0"/>
                <w:color w:val="000000"/>
                <w:sz w:val="11"/>
              </w:rPr>
              <w:t>一、一般公共服务支出</w:t>
            </w:r>
          </w:p>
        </w:tc>
        <w:tc>
          <w:tcPr>
            <w:tcW w:w="280" w:type="dxa"/>
            <w:vAlign w:val="center"/>
          </w:tcPr>
          <w:p>
            <w:pPr>
              <w:jc w:val="center"/>
            </w:pPr>
            <w:r>
              <w:rPr>
                <w:rFonts w:ascii="宋体" w:hAnsi="宋体" w:eastAsia="宋体" w:cs="宋体"/>
                <w:b w:val="0"/>
                <w:i w:val="0"/>
                <w:color w:val="000000"/>
                <w:sz w:val="11"/>
              </w:rPr>
              <w:t>33</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二、政府性基金预算财政拨款</w:t>
            </w:r>
          </w:p>
        </w:tc>
        <w:tc>
          <w:tcPr>
            <w:tcW w:w="280" w:type="dxa"/>
            <w:vAlign w:val="center"/>
          </w:tcPr>
          <w:p>
            <w:pPr>
              <w:jc w:val="center"/>
            </w:pPr>
            <w:r>
              <w:rPr>
                <w:rFonts w:ascii="宋体" w:hAnsi="宋体" w:eastAsia="宋体" w:cs="宋体"/>
                <w:b w:val="0"/>
                <w:i w:val="0"/>
                <w:color w:val="000000"/>
                <w:sz w:val="11"/>
              </w:rPr>
              <w:t>2</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pPr>
              <w:jc w:val="left"/>
            </w:pPr>
            <w:r>
              <w:rPr>
                <w:rFonts w:ascii="宋体" w:hAnsi="宋体" w:eastAsia="宋体" w:cs="宋体"/>
                <w:b w:val="0"/>
                <w:i w:val="0"/>
                <w:color w:val="000000"/>
                <w:sz w:val="11"/>
              </w:rPr>
              <w:t>二、外交支出</w:t>
            </w:r>
          </w:p>
        </w:tc>
        <w:tc>
          <w:tcPr>
            <w:tcW w:w="280" w:type="dxa"/>
            <w:vAlign w:val="center"/>
          </w:tcPr>
          <w:p>
            <w:pPr>
              <w:jc w:val="center"/>
            </w:pPr>
            <w:r>
              <w:rPr>
                <w:rFonts w:ascii="宋体" w:hAnsi="宋体" w:eastAsia="宋体" w:cs="宋体"/>
                <w:b w:val="0"/>
                <w:i w:val="0"/>
                <w:color w:val="000000"/>
                <w:sz w:val="11"/>
              </w:rPr>
              <w:t>34</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三、国有资本经营预算财政拨款</w:t>
            </w:r>
          </w:p>
        </w:tc>
        <w:tc>
          <w:tcPr>
            <w:tcW w:w="280" w:type="dxa"/>
            <w:vAlign w:val="center"/>
          </w:tcPr>
          <w:p>
            <w:pPr>
              <w:jc w:val="center"/>
            </w:pPr>
            <w:r>
              <w:rPr>
                <w:rFonts w:ascii="宋体" w:hAnsi="宋体" w:eastAsia="宋体" w:cs="宋体"/>
                <w:b w:val="0"/>
                <w:i w:val="0"/>
                <w:color w:val="000000"/>
                <w:sz w:val="11"/>
              </w:rPr>
              <w:t>3</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pPr>
              <w:jc w:val="left"/>
            </w:pPr>
            <w:r>
              <w:rPr>
                <w:rFonts w:ascii="宋体" w:hAnsi="宋体" w:eastAsia="宋体" w:cs="宋体"/>
                <w:b w:val="0"/>
                <w:i w:val="0"/>
                <w:color w:val="000000"/>
                <w:sz w:val="11"/>
              </w:rPr>
              <w:t>三、国防支出</w:t>
            </w:r>
          </w:p>
        </w:tc>
        <w:tc>
          <w:tcPr>
            <w:tcW w:w="280" w:type="dxa"/>
            <w:vAlign w:val="center"/>
          </w:tcPr>
          <w:p>
            <w:pPr>
              <w:jc w:val="center"/>
            </w:pPr>
            <w:r>
              <w:rPr>
                <w:rFonts w:ascii="宋体" w:hAnsi="宋体" w:eastAsia="宋体" w:cs="宋体"/>
                <w:b w:val="0"/>
                <w:i w:val="0"/>
                <w:color w:val="000000"/>
                <w:sz w:val="11"/>
              </w:rPr>
              <w:t>35</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4</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四、公共安全支出</w:t>
            </w:r>
          </w:p>
        </w:tc>
        <w:tc>
          <w:tcPr>
            <w:tcW w:w="280" w:type="dxa"/>
            <w:vAlign w:val="center"/>
          </w:tcPr>
          <w:p>
            <w:pPr>
              <w:jc w:val="center"/>
            </w:pPr>
            <w:r>
              <w:rPr>
                <w:rFonts w:ascii="宋体" w:hAnsi="宋体" w:eastAsia="宋体" w:cs="宋体"/>
                <w:b w:val="0"/>
                <w:i w:val="0"/>
                <w:color w:val="000000"/>
                <w:sz w:val="11"/>
              </w:rPr>
              <w:t>36</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5</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五、教育支出</w:t>
            </w:r>
          </w:p>
        </w:tc>
        <w:tc>
          <w:tcPr>
            <w:tcW w:w="280" w:type="dxa"/>
            <w:vAlign w:val="center"/>
          </w:tcPr>
          <w:p>
            <w:pPr>
              <w:jc w:val="center"/>
            </w:pPr>
            <w:r>
              <w:rPr>
                <w:rFonts w:ascii="宋体" w:hAnsi="宋体" w:eastAsia="宋体" w:cs="宋体"/>
                <w:b w:val="0"/>
                <w:i w:val="0"/>
                <w:color w:val="000000"/>
                <w:sz w:val="11"/>
              </w:rPr>
              <w:t>37</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6</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六、科学技术支出</w:t>
            </w:r>
          </w:p>
        </w:tc>
        <w:tc>
          <w:tcPr>
            <w:tcW w:w="280" w:type="dxa"/>
            <w:vAlign w:val="center"/>
          </w:tcPr>
          <w:p>
            <w:pPr>
              <w:jc w:val="center"/>
            </w:pPr>
            <w:r>
              <w:rPr>
                <w:rFonts w:ascii="宋体" w:hAnsi="宋体" w:eastAsia="宋体" w:cs="宋体"/>
                <w:b w:val="0"/>
                <w:i w:val="0"/>
                <w:color w:val="000000"/>
                <w:sz w:val="11"/>
              </w:rPr>
              <w:t>38</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7</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七、文化旅游体育与传媒支出</w:t>
            </w:r>
          </w:p>
        </w:tc>
        <w:tc>
          <w:tcPr>
            <w:tcW w:w="280" w:type="dxa"/>
            <w:vAlign w:val="center"/>
          </w:tcPr>
          <w:p>
            <w:pPr>
              <w:jc w:val="center"/>
            </w:pPr>
            <w:r>
              <w:rPr>
                <w:rFonts w:ascii="宋体" w:hAnsi="宋体" w:eastAsia="宋体" w:cs="宋体"/>
                <w:b w:val="0"/>
                <w:i w:val="0"/>
                <w:color w:val="000000"/>
                <w:sz w:val="11"/>
              </w:rPr>
              <w:t>39</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8</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八、社会保障和就业支出</w:t>
            </w:r>
          </w:p>
        </w:tc>
        <w:tc>
          <w:tcPr>
            <w:tcW w:w="280" w:type="dxa"/>
            <w:vAlign w:val="center"/>
          </w:tcPr>
          <w:p>
            <w:pPr>
              <w:jc w:val="center"/>
            </w:pPr>
            <w:r>
              <w:rPr>
                <w:rFonts w:ascii="宋体" w:hAnsi="宋体" w:eastAsia="宋体" w:cs="宋体"/>
                <w:b w:val="0"/>
                <w:i w:val="0"/>
                <w:color w:val="000000"/>
                <w:sz w:val="11"/>
              </w:rPr>
              <w:t>40</w:t>
            </w:r>
          </w:p>
        </w:tc>
        <w:tc>
          <w:tcPr>
            <w:tcW w:w="840" w:type="dxa"/>
            <w:vAlign w:val="center"/>
          </w:tcPr>
          <w:p>
            <w:pPr>
              <w:jc w:val="right"/>
            </w:pPr>
            <w:r>
              <w:rPr>
                <w:rFonts w:ascii="宋体" w:hAnsi="宋体" w:eastAsia="宋体" w:cs="宋体"/>
                <w:b w:val="0"/>
                <w:i w:val="0"/>
                <w:color w:val="000000"/>
                <w:sz w:val="11"/>
              </w:rPr>
              <w:t>364.37</w:t>
            </w:r>
          </w:p>
        </w:tc>
        <w:tc>
          <w:tcPr>
            <w:tcW w:w="840" w:type="dxa"/>
            <w:vAlign w:val="center"/>
          </w:tcPr>
          <w:p>
            <w:pPr>
              <w:jc w:val="right"/>
            </w:pPr>
            <w:r>
              <w:rPr>
                <w:rFonts w:ascii="宋体" w:hAnsi="宋体" w:eastAsia="宋体" w:cs="宋体"/>
                <w:b w:val="0"/>
                <w:i w:val="0"/>
                <w:color w:val="000000"/>
                <w:sz w:val="11"/>
              </w:rPr>
              <w:t>364.37</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9</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九、卫生健康支出</w:t>
            </w:r>
          </w:p>
        </w:tc>
        <w:tc>
          <w:tcPr>
            <w:tcW w:w="280" w:type="dxa"/>
            <w:vAlign w:val="center"/>
          </w:tcPr>
          <w:p>
            <w:pPr>
              <w:jc w:val="center"/>
            </w:pPr>
            <w:r>
              <w:rPr>
                <w:rFonts w:ascii="宋体" w:hAnsi="宋体" w:eastAsia="宋体" w:cs="宋体"/>
                <w:b w:val="0"/>
                <w:i w:val="0"/>
                <w:color w:val="000000"/>
                <w:sz w:val="11"/>
              </w:rPr>
              <w:t>41</w:t>
            </w:r>
          </w:p>
        </w:tc>
        <w:tc>
          <w:tcPr>
            <w:tcW w:w="840" w:type="dxa"/>
            <w:vAlign w:val="center"/>
          </w:tcPr>
          <w:p>
            <w:pPr>
              <w:jc w:val="right"/>
            </w:pPr>
            <w:r>
              <w:rPr>
                <w:rFonts w:ascii="宋体" w:hAnsi="宋体" w:eastAsia="宋体" w:cs="宋体"/>
                <w:b w:val="0"/>
                <w:i w:val="0"/>
                <w:color w:val="000000"/>
                <w:sz w:val="11"/>
              </w:rPr>
              <w:t>185.21</w:t>
            </w:r>
          </w:p>
        </w:tc>
        <w:tc>
          <w:tcPr>
            <w:tcW w:w="840" w:type="dxa"/>
            <w:vAlign w:val="center"/>
          </w:tcPr>
          <w:p>
            <w:pPr>
              <w:jc w:val="right"/>
            </w:pPr>
            <w:r>
              <w:rPr>
                <w:rFonts w:ascii="宋体" w:hAnsi="宋体" w:eastAsia="宋体" w:cs="宋体"/>
                <w:b w:val="0"/>
                <w:i w:val="0"/>
                <w:color w:val="000000"/>
                <w:sz w:val="11"/>
              </w:rPr>
              <w:t>185.21</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10</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十、节能环保支出</w:t>
            </w:r>
          </w:p>
        </w:tc>
        <w:tc>
          <w:tcPr>
            <w:tcW w:w="280" w:type="dxa"/>
            <w:vAlign w:val="center"/>
          </w:tcPr>
          <w:p>
            <w:pPr>
              <w:jc w:val="center"/>
            </w:pPr>
            <w:r>
              <w:rPr>
                <w:rFonts w:ascii="宋体" w:hAnsi="宋体" w:eastAsia="宋体" w:cs="宋体"/>
                <w:b w:val="0"/>
                <w:i w:val="0"/>
                <w:color w:val="000000"/>
                <w:sz w:val="11"/>
              </w:rPr>
              <w:t>42</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11</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十一、城乡社区支出</w:t>
            </w:r>
          </w:p>
        </w:tc>
        <w:tc>
          <w:tcPr>
            <w:tcW w:w="280" w:type="dxa"/>
            <w:vAlign w:val="center"/>
          </w:tcPr>
          <w:p>
            <w:pPr>
              <w:jc w:val="center"/>
            </w:pPr>
            <w:r>
              <w:rPr>
                <w:rFonts w:ascii="宋体" w:hAnsi="宋体" w:eastAsia="宋体" w:cs="宋体"/>
                <w:b w:val="0"/>
                <w:i w:val="0"/>
                <w:color w:val="000000"/>
                <w:sz w:val="11"/>
              </w:rPr>
              <w:t>43</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12</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十二、农林水支出</w:t>
            </w:r>
          </w:p>
        </w:tc>
        <w:tc>
          <w:tcPr>
            <w:tcW w:w="280" w:type="dxa"/>
            <w:vAlign w:val="center"/>
          </w:tcPr>
          <w:p>
            <w:pPr>
              <w:jc w:val="center"/>
            </w:pPr>
            <w:r>
              <w:rPr>
                <w:rFonts w:ascii="宋体" w:hAnsi="宋体" w:eastAsia="宋体" w:cs="宋体"/>
                <w:b w:val="0"/>
                <w:i w:val="0"/>
                <w:color w:val="000000"/>
                <w:sz w:val="11"/>
              </w:rPr>
              <w:t>44</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13</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十三、交通运输支出</w:t>
            </w:r>
          </w:p>
        </w:tc>
        <w:tc>
          <w:tcPr>
            <w:tcW w:w="280" w:type="dxa"/>
            <w:vAlign w:val="center"/>
          </w:tcPr>
          <w:p>
            <w:pPr>
              <w:jc w:val="center"/>
            </w:pPr>
            <w:r>
              <w:rPr>
                <w:rFonts w:ascii="宋体" w:hAnsi="宋体" w:eastAsia="宋体" w:cs="宋体"/>
                <w:b w:val="0"/>
                <w:i w:val="0"/>
                <w:color w:val="000000"/>
                <w:sz w:val="11"/>
              </w:rPr>
              <w:t>45</w:t>
            </w:r>
          </w:p>
        </w:tc>
        <w:tc>
          <w:tcPr>
            <w:tcW w:w="840" w:type="dxa"/>
            <w:vAlign w:val="center"/>
          </w:tcPr>
          <w:p>
            <w:pPr>
              <w:jc w:val="right"/>
            </w:pPr>
            <w:r>
              <w:rPr>
                <w:rFonts w:ascii="宋体" w:hAnsi="宋体" w:eastAsia="宋体" w:cs="宋体"/>
                <w:b w:val="0"/>
                <w:i w:val="0"/>
                <w:color w:val="000000"/>
                <w:sz w:val="11"/>
              </w:rPr>
              <w:t>3,418.22</w:t>
            </w:r>
          </w:p>
        </w:tc>
        <w:tc>
          <w:tcPr>
            <w:tcW w:w="840" w:type="dxa"/>
            <w:vAlign w:val="center"/>
          </w:tcPr>
          <w:p>
            <w:pPr>
              <w:jc w:val="right"/>
            </w:pPr>
            <w:r>
              <w:rPr>
                <w:rFonts w:ascii="宋体" w:hAnsi="宋体" w:eastAsia="宋体" w:cs="宋体"/>
                <w:b w:val="0"/>
                <w:i w:val="0"/>
                <w:color w:val="000000"/>
                <w:sz w:val="11"/>
              </w:rPr>
              <w:t>3,418.22</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14</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十四、资源勘探工业信息等支出</w:t>
            </w:r>
          </w:p>
        </w:tc>
        <w:tc>
          <w:tcPr>
            <w:tcW w:w="280" w:type="dxa"/>
            <w:vAlign w:val="center"/>
          </w:tcPr>
          <w:p>
            <w:pPr>
              <w:jc w:val="center"/>
            </w:pPr>
            <w:r>
              <w:rPr>
                <w:rFonts w:ascii="宋体" w:hAnsi="宋体" w:eastAsia="宋体" w:cs="宋体"/>
                <w:b w:val="0"/>
                <w:i w:val="0"/>
                <w:color w:val="000000"/>
                <w:sz w:val="11"/>
              </w:rPr>
              <w:t>46</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15</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十五、商业服务业等支出</w:t>
            </w:r>
          </w:p>
        </w:tc>
        <w:tc>
          <w:tcPr>
            <w:tcW w:w="280" w:type="dxa"/>
            <w:vAlign w:val="center"/>
          </w:tcPr>
          <w:p>
            <w:pPr>
              <w:jc w:val="center"/>
            </w:pPr>
            <w:r>
              <w:rPr>
                <w:rFonts w:ascii="宋体" w:hAnsi="宋体" w:eastAsia="宋体" w:cs="宋体"/>
                <w:b w:val="0"/>
                <w:i w:val="0"/>
                <w:color w:val="000000"/>
                <w:sz w:val="11"/>
              </w:rPr>
              <w:t>47</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16</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十六、金融支出</w:t>
            </w:r>
          </w:p>
        </w:tc>
        <w:tc>
          <w:tcPr>
            <w:tcW w:w="280" w:type="dxa"/>
            <w:vAlign w:val="center"/>
          </w:tcPr>
          <w:p>
            <w:pPr>
              <w:jc w:val="center"/>
            </w:pPr>
            <w:r>
              <w:rPr>
                <w:rFonts w:ascii="宋体" w:hAnsi="宋体" w:eastAsia="宋体" w:cs="宋体"/>
                <w:b w:val="0"/>
                <w:i w:val="0"/>
                <w:color w:val="000000"/>
                <w:sz w:val="11"/>
              </w:rPr>
              <w:t>48</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17</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十七、援助其他地区支出</w:t>
            </w:r>
          </w:p>
        </w:tc>
        <w:tc>
          <w:tcPr>
            <w:tcW w:w="280" w:type="dxa"/>
            <w:vAlign w:val="center"/>
          </w:tcPr>
          <w:p>
            <w:pPr>
              <w:jc w:val="center"/>
            </w:pPr>
            <w:r>
              <w:rPr>
                <w:rFonts w:ascii="宋体" w:hAnsi="宋体" w:eastAsia="宋体" w:cs="宋体"/>
                <w:b w:val="0"/>
                <w:i w:val="0"/>
                <w:color w:val="000000"/>
                <w:sz w:val="11"/>
              </w:rPr>
              <w:t>49</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18</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十八、自然资源海洋气象等支出</w:t>
            </w:r>
          </w:p>
        </w:tc>
        <w:tc>
          <w:tcPr>
            <w:tcW w:w="280" w:type="dxa"/>
            <w:vAlign w:val="center"/>
          </w:tcPr>
          <w:p>
            <w:pPr>
              <w:jc w:val="center"/>
            </w:pPr>
            <w:r>
              <w:rPr>
                <w:rFonts w:ascii="宋体" w:hAnsi="宋体" w:eastAsia="宋体" w:cs="宋体"/>
                <w:b w:val="0"/>
                <w:i w:val="0"/>
                <w:color w:val="000000"/>
                <w:sz w:val="11"/>
              </w:rPr>
              <w:t>50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19</w:t>
            </w:r>
          </w:p>
        </w:tc>
        <w:tc>
          <w:tcPr>
            <w:tcW w:w="840" w:type="dxa"/>
            <w:vAlign w:val="center"/>
          </w:tcPr>
          <w:p/>
        </w:tc>
        <w:tc>
          <w:tcPr>
            <w:tcW w:w="1840" w:type="dxa"/>
            <w:vAlign w:val="center"/>
          </w:tcPr>
          <w:p>
            <w:pPr>
              <w:jc w:val="left"/>
            </w:pPr>
            <w:r>
              <w:rPr>
                <w:rFonts w:ascii="宋体" w:hAnsi="宋体" w:eastAsia="宋体" w:cs="宋体"/>
                <w:b w:val="0"/>
                <w:i w:val="0"/>
                <w:color w:val="000000"/>
                <w:sz w:val="11"/>
              </w:rPr>
              <w:t>十九、住房保障支出</w:t>
            </w:r>
          </w:p>
        </w:tc>
        <w:tc>
          <w:tcPr>
            <w:tcW w:w="280" w:type="dxa"/>
            <w:vAlign w:val="center"/>
          </w:tcPr>
          <w:p>
            <w:pPr>
              <w:jc w:val="center"/>
            </w:pPr>
            <w:r>
              <w:rPr>
                <w:rFonts w:ascii="宋体" w:hAnsi="宋体" w:eastAsia="宋体" w:cs="宋体"/>
                <w:b w:val="0"/>
                <w:i w:val="0"/>
                <w:color w:val="000000"/>
                <w:sz w:val="11"/>
              </w:rPr>
              <w:t>51</w:t>
            </w:r>
          </w:p>
        </w:tc>
        <w:tc>
          <w:tcPr>
            <w:tcW w:w="840" w:type="dxa"/>
            <w:vAlign w:val="center"/>
          </w:tcPr>
          <w:p>
            <w:pPr>
              <w:jc w:val="right"/>
            </w:pPr>
            <w:r>
              <w:rPr>
                <w:rFonts w:ascii="宋体" w:hAnsi="宋体" w:eastAsia="宋体" w:cs="宋体"/>
                <w:b w:val="0"/>
                <w:i w:val="0"/>
                <w:color w:val="000000"/>
                <w:sz w:val="11"/>
              </w:rPr>
              <w:t>88.63</w:t>
            </w:r>
          </w:p>
        </w:tc>
        <w:tc>
          <w:tcPr>
            <w:tcW w:w="840" w:type="dxa"/>
            <w:vAlign w:val="center"/>
          </w:tcPr>
          <w:p>
            <w:pPr>
              <w:jc w:val="right"/>
            </w:pPr>
            <w:r>
              <w:rPr>
                <w:rFonts w:ascii="宋体" w:hAnsi="宋体" w:eastAsia="宋体" w:cs="宋体"/>
                <w:b w:val="0"/>
                <w:i w:val="0"/>
                <w:color w:val="000000"/>
                <w:sz w:val="11"/>
              </w:rPr>
              <w:t>88.63</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20</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二十、粮油物资储备支出</w:t>
            </w:r>
          </w:p>
        </w:tc>
        <w:tc>
          <w:tcPr>
            <w:tcW w:w="280" w:type="dxa"/>
            <w:vAlign w:val="center"/>
          </w:tcPr>
          <w:p>
            <w:pPr>
              <w:jc w:val="center"/>
            </w:pPr>
            <w:r>
              <w:rPr>
                <w:rFonts w:ascii="宋体" w:hAnsi="宋体" w:eastAsia="宋体" w:cs="宋体"/>
                <w:b w:val="0"/>
                <w:i w:val="0"/>
                <w:color w:val="000000"/>
                <w:sz w:val="11"/>
              </w:rPr>
              <w:t>52</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21</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二十一、国有资本经营预算支出</w:t>
            </w:r>
          </w:p>
        </w:tc>
        <w:tc>
          <w:tcPr>
            <w:tcW w:w="280" w:type="dxa"/>
            <w:vAlign w:val="center"/>
          </w:tcPr>
          <w:p>
            <w:pPr>
              <w:jc w:val="center"/>
            </w:pPr>
            <w:r>
              <w:rPr>
                <w:rFonts w:ascii="宋体" w:hAnsi="宋体" w:eastAsia="宋体" w:cs="宋体"/>
                <w:b w:val="0"/>
                <w:i w:val="0"/>
                <w:color w:val="000000"/>
                <w:sz w:val="11"/>
              </w:rPr>
              <w:t>53</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22</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二十二、灾害防治及应急管理支出</w:t>
            </w:r>
          </w:p>
        </w:tc>
        <w:tc>
          <w:tcPr>
            <w:tcW w:w="280" w:type="dxa"/>
            <w:vAlign w:val="center"/>
          </w:tcPr>
          <w:p>
            <w:pPr>
              <w:jc w:val="center"/>
            </w:pPr>
            <w:r>
              <w:rPr>
                <w:rFonts w:ascii="宋体" w:hAnsi="宋体" w:eastAsia="宋体" w:cs="宋体"/>
                <w:b w:val="0"/>
                <w:i w:val="0"/>
                <w:color w:val="000000"/>
                <w:sz w:val="11"/>
              </w:rPr>
              <w:t>54</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23</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二十三、其他支出</w:t>
            </w:r>
          </w:p>
        </w:tc>
        <w:tc>
          <w:tcPr>
            <w:tcW w:w="280" w:type="dxa"/>
            <w:vAlign w:val="center"/>
          </w:tcPr>
          <w:p>
            <w:pPr>
              <w:jc w:val="center"/>
            </w:pPr>
            <w:r>
              <w:rPr>
                <w:rFonts w:ascii="宋体" w:hAnsi="宋体" w:eastAsia="宋体" w:cs="宋体"/>
                <w:b w:val="0"/>
                <w:i w:val="0"/>
                <w:color w:val="000000"/>
                <w:sz w:val="11"/>
              </w:rPr>
              <w:t>55</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24</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二十四、债务还本支出</w:t>
            </w:r>
          </w:p>
        </w:tc>
        <w:tc>
          <w:tcPr>
            <w:tcW w:w="280" w:type="dxa"/>
            <w:vAlign w:val="center"/>
          </w:tcPr>
          <w:p>
            <w:pPr>
              <w:jc w:val="center"/>
            </w:pPr>
            <w:r>
              <w:rPr>
                <w:rFonts w:ascii="宋体" w:hAnsi="宋体" w:eastAsia="宋体" w:cs="宋体"/>
                <w:b w:val="0"/>
                <w:i w:val="0"/>
                <w:color w:val="000000"/>
                <w:sz w:val="11"/>
              </w:rPr>
              <w:t>56</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25</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二十五、债务付息支出</w:t>
            </w:r>
          </w:p>
        </w:tc>
        <w:tc>
          <w:tcPr>
            <w:tcW w:w="280" w:type="dxa"/>
            <w:vAlign w:val="center"/>
          </w:tcPr>
          <w:p>
            <w:pPr>
              <w:jc w:val="center"/>
            </w:pPr>
            <w:r>
              <w:rPr>
                <w:rFonts w:ascii="宋体" w:hAnsi="宋体" w:eastAsia="宋体" w:cs="宋体"/>
                <w:b w:val="0"/>
                <w:i w:val="0"/>
                <w:color w:val="000000"/>
                <w:sz w:val="11"/>
              </w:rPr>
              <w:t>57</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tc>
        <w:tc>
          <w:tcPr>
            <w:tcW w:w="280" w:type="dxa"/>
            <w:vAlign w:val="center"/>
          </w:tcPr>
          <w:p>
            <w:pPr>
              <w:jc w:val="center"/>
            </w:pPr>
            <w:r>
              <w:rPr>
                <w:rFonts w:ascii="宋体" w:hAnsi="宋体" w:eastAsia="宋体" w:cs="宋体"/>
                <w:b w:val="0"/>
                <w:i w:val="0"/>
                <w:color w:val="000000"/>
                <w:sz w:val="11"/>
              </w:rPr>
              <w:t>26</w:t>
            </w:r>
          </w:p>
        </w:tc>
        <w:tc>
          <w:tcPr>
            <w:tcW w:w="840" w:type="dxa"/>
            <w:vAlign w:val="center"/>
          </w:tcPr>
          <w:p/>
        </w:tc>
        <w:tc>
          <w:tcPr>
            <w:tcW w:w="1840" w:type="dxa"/>
            <w:vAlign w:val="center"/>
          </w:tcPr>
          <w:p>
            <w:pPr>
              <w:jc w:val="left"/>
            </w:pPr>
            <w:r>
              <w:rPr>
                <w:rFonts w:ascii="宋体" w:hAnsi="宋体" w:eastAsia="宋体" w:cs="宋体"/>
                <w:b w:val="0"/>
                <w:i w:val="0"/>
                <w:color w:val="000000"/>
                <w:sz w:val="11"/>
              </w:rPr>
              <w:t>二十六、抗疫特别国债安排的支出</w:t>
            </w:r>
          </w:p>
        </w:tc>
        <w:tc>
          <w:tcPr>
            <w:tcW w:w="280" w:type="dxa"/>
            <w:vAlign w:val="center"/>
          </w:tcPr>
          <w:p>
            <w:pPr>
              <w:jc w:val="center"/>
            </w:pPr>
            <w:r>
              <w:rPr>
                <w:rFonts w:ascii="宋体" w:hAnsi="宋体" w:eastAsia="宋体" w:cs="宋体"/>
                <w:b w:val="0"/>
                <w:i w:val="0"/>
                <w:color w:val="000000"/>
                <w:sz w:val="11"/>
              </w:rPr>
              <w:t>58</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center"/>
            </w:pPr>
            <w:r>
              <w:rPr>
                <w:rFonts w:ascii="宋体" w:hAnsi="宋体" w:eastAsia="宋体" w:cs="宋体"/>
                <w:b/>
                <w:i w:val="0"/>
                <w:color w:val="000000"/>
                <w:sz w:val="11"/>
              </w:rPr>
              <w:t>本年收入合计</w:t>
            </w:r>
          </w:p>
        </w:tc>
        <w:tc>
          <w:tcPr>
            <w:tcW w:w="280" w:type="dxa"/>
            <w:vAlign w:val="center"/>
          </w:tcPr>
          <w:p>
            <w:pPr>
              <w:jc w:val="center"/>
            </w:pPr>
            <w:r>
              <w:rPr>
                <w:rFonts w:ascii="宋体" w:hAnsi="宋体" w:eastAsia="宋体" w:cs="宋体"/>
                <w:b w:val="0"/>
                <w:i w:val="0"/>
                <w:color w:val="000000"/>
                <w:sz w:val="11"/>
              </w:rPr>
              <w:t>27</w:t>
            </w:r>
          </w:p>
        </w:tc>
        <w:tc>
          <w:tcPr>
            <w:tcW w:w="840" w:type="dxa"/>
            <w:vAlign w:val="center"/>
          </w:tcPr>
          <w:p>
            <w:pPr>
              <w:jc w:val="right"/>
            </w:pPr>
            <w:r>
              <w:rPr>
                <w:rFonts w:ascii="宋体" w:hAnsi="宋体" w:eastAsia="宋体" w:cs="宋体"/>
                <w:b w:val="0"/>
                <w:i w:val="0"/>
                <w:color w:val="000000"/>
                <w:sz w:val="11"/>
              </w:rPr>
              <w:t>4,056.43</w:t>
            </w:r>
          </w:p>
        </w:tc>
        <w:tc>
          <w:tcPr>
            <w:tcW w:w="1840" w:type="dxa"/>
            <w:vAlign w:val="center"/>
          </w:tcPr>
          <w:p>
            <w:pPr>
              <w:jc w:val="center"/>
            </w:pPr>
            <w:r>
              <w:rPr>
                <w:rFonts w:ascii="宋体" w:hAnsi="宋体" w:eastAsia="宋体" w:cs="宋体"/>
                <w:b/>
                <w:i w:val="0"/>
                <w:color w:val="000000"/>
                <w:sz w:val="11"/>
              </w:rPr>
              <w:t>本年支出合计</w:t>
            </w:r>
          </w:p>
        </w:tc>
        <w:tc>
          <w:tcPr>
            <w:tcW w:w="280" w:type="dxa"/>
            <w:vAlign w:val="center"/>
          </w:tcPr>
          <w:p>
            <w:pPr>
              <w:jc w:val="center"/>
            </w:pPr>
            <w:r>
              <w:rPr>
                <w:rFonts w:ascii="宋体" w:hAnsi="宋体" w:eastAsia="宋体" w:cs="宋体"/>
                <w:b w:val="0"/>
                <w:i w:val="0"/>
                <w:color w:val="000000"/>
                <w:sz w:val="11"/>
              </w:rPr>
              <w:t>59</w:t>
            </w:r>
          </w:p>
        </w:tc>
        <w:tc>
          <w:tcPr>
            <w:tcW w:w="840" w:type="dxa"/>
            <w:vAlign w:val="center"/>
          </w:tcPr>
          <w:p>
            <w:pPr>
              <w:jc w:val="right"/>
            </w:pPr>
            <w:r>
              <w:rPr>
                <w:rFonts w:ascii="宋体" w:hAnsi="宋体" w:eastAsia="宋体" w:cs="宋体"/>
                <w:b w:val="0"/>
                <w:i w:val="0"/>
                <w:color w:val="000000"/>
                <w:sz w:val="11"/>
              </w:rPr>
              <w:t>4,056.43</w:t>
            </w:r>
          </w:p>
        </w:tc>
        <w:tc>
          <w:tcPr>
            <w:tcW w:w="840" w:type="dxa"/>
            <w:vAlign w:val="center"/>
          </w:tcPr>
          <w:p>
            <w:pPr>
              <w:jc w:val="right"/>
            </w:pPr>
            <w:r>
              <w:rPr>
                <w:rFonts w:ascii="宋体" w:hAnsi="宋体" w:eastAsia="宋体" w:cs="宋体"/>
                <w:b w:val="0"/>
                <w:i w:val="0"/>
                <w:color w:val="000000"/>
                <w:sz w:val="11"/>
              </w:rPr>
              <w:t>4,056.43</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年初财政拨款结转和结余</w:t>
            </w:r>
          </w:p>
        </w:tc>
        <w:tc>
          <w:tcPr>
            <w:tcW w:w="280" w:type="dxa"/>
            <w:vAlign w:val="center"/>
          </w:tcPr>
          <w:p>
            <w:pPr>
              <w:jc w:val="center"/>
            </w:pPr>
            <w:r>
              <w:rPr>
                <w:rFonts w:ascii="宋体" w:hAnsi="宋体" w:eastAsia="宋体" w:cs="宋体"/>
                <w:b w:val="0"/>
                <w:i w:val="0"/>
                <w:color w:val="000000"/>
                <w:sz w:val="11"/>
              </w:rPr>
              <w:t>28</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pPr>
              <w:jc w:val="left"/>
            </w:pPr>
            <w:r>
              <w:rPr>
                <w:rFonts w:ascii="宋体" w:hAnsi="宋体" w:eastAsia="宋体" w:cs="宋体"/>
                <w:b w:val="0"/>
                <w:i w:val="0"/>
                <w:color w:val="000000"/>
                <w:sz w:val="11"/>
              </w:rPr>
              <w:t>年末财政拨款结转和结余</w:t>
            </w:r>
          </w:p>
        </w:tc>
        <w:tc>
          <w:tcPr>
            <w:tcW w:w="280" w:type="dxa"/>
            <w:vAlign w:val="center"/>
          </w:tcPr>
          <w:p>
            <w:pPr>
              <w:jc w:val="center"/>
            </w:pPr>
            <w:r>
              <w:rPr>
                <w:rFonts w:ascii="宋体" w:hAnsi="宋体" w:eastAsia="宋体" w:cs="宋体"/>
                <w:b w:val="0"/>
                <w:i w:val="0"/>
                <w:color w:val="000000"/>
                <w:sz w:val="11"/>
              </w:rPr>
              <w:t>60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 xml:space="preserve">  一般公共预算财政拨款</w:t>
            </w:r>
          </w:p>
        </w:tc>
        <w:tc>
          <w:tcPr>
            <w:tcW w:w="280" w:type="dxa"/>
            <w:vAlign w:val="center"/>
          </w:tcPr>
          <w:p>
            <w:pPr>
              <w:jc w:val="center"/>
            </w:pPr>
            <w:r>
              <w:rPr>
                <w:rFonts w:ascii="宋体" w:hAnsi="宋体" w:eastAsia="宋体" w:cs="宋体"/>
                <w:b w:val="0"/>
                <w:i w:val="0"/>
                <w:color w:val="000000"/>
                <w:sz w:val="11"/>
              </w:rPr>
              <w:t>29</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tc>
        <w:tc>
          <w:tcPr>
            <w:tcW w:w="280" w:type="dxa"/>
            <w:vAlign w:val="center"/>
          </w:tcPr>
          <w:p>
            <w:pPr>
              <w:jc w:val="center"/>
            </w:pPr>
            <w:r>
              <w:rPr>
                <w:rFonts w:ascii="宋体" w:hAnsi="宋体" w:eastAsia="宋体" w:cs="宋体"/>
                <w:b w:val="0"/>
                <w:i w:val="0"/>
                <w:color w:val="000000"/>
                <w:sz w:val="11"/>
              </w:rPr>
              <w:t>61</w:t>
            </w:r>
          </w:p>
        </w:tc>
        <w:tc>
          <w:tcPr>
            <w:tcW w:w="840" w:type="dxa"/>
            <w:vAlign w:val="center"/>
          </w:tcPr>
          <w:p/>
        </w:tc>
        <w:tc>
          <w:tcPr>
            <w:tcW w:w="840" w:type="dxa"/>
            <w:vAlign w:val="center"/>
          </w:tcPr>
          <w:p/>
        </w:tc>
        <w:tc>
          <w:tcPr>
            <w:tcW w:w="840" w:type="dxa"/>
            <w:vAlign w:val="center"/>
          </w:tcPr>
          <w:p/>
        </w:tc>
        <w:tc>
          <w:tcPr>
            <w:tcW w:w="9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 xml:space="preserve">  政府性基金预算财政拨款</w:t>
            </w:r>
          </w:p>
        </w:tc>
        <w:tc>
          <w:tcPr>
            <w:tcW w:w="280" w:type="dxa"/>
            <w:vAlign w:val="center"/>
          </w:tcPr>
          <w:p>
            <w:pPr>
              <w:jc w:val="center"/>
            </w:pPr>
            <w:r>
              <w:rPr>
                <w:rFonts w:ascii="宋体" w:hAnsi="宋体" w:eastAsia="宋体" w:cs="宋体"/>
                <w:b w:val="0"/>
                <w:i w:val="0"/>
                <w:color w:val="000000"/>
                <w:sz w:val="11"/>
              </w:rPr>
              <w:t>30</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tc>
        <w:tc>
          <w:tcPr>
            <w:tcW w:w="280" w:type="dxa"/>
            <w:vAlign w:val="center"/>
          </w:tcPr>
          <w:p>
            <w:pPr>
              <w:jc w:val="center"/>
            </w:pPr>
            <w:r>
              <w:rPr>
                <w:rFonts w:ascii="宋体" w:hAnsi="宋体" w:eastAsia="宋体" w:cs="宋体"/>
                <w:b w:val="0"/>
                <w:i w:val="0"/>
                <w:color w:val="000000"/>
                <w:sz w:val="11"/>
              </w:rPr>
              <w:t>62</w:t>
            </w:r>
          </w:p>
        </w:tc>
        <w:tc>
          <w:tcPr>
            <w:tcW w:w="840" w:type="dxa"/>
            <w:vAlign w:val="center"/>
          </w:tcPr>
          <w:p/>
        </w:tc>
        <w:tc>
          <w:tcPr>
            <w:tcW w:w="840" w:type="dxa"/>
            <w:vAlign w:val="center"/>
          </w:tcPr>
          <w:p/>
        </w:tc>
        <w:tc>
          <w:tcPr>
            <w:tcW w:w="840" w:type="dxa"/>
            <w:vAlign w:val="center"/>
          </w:tcPr>
          <w:p/>
        </w:tc>
        <w:tc>
          <w:tcPr>
            <w:tcW w:w="9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left"/>
            </w:pPr>
            <w:r>
              <w:rPr>
                <w:rFonts w:ascii="宋体" w:hAnsi="宋体" w:eastAsia="宋体" w:cs="宋体"/>
                <w:b w:val="0"/>
                <w:i w:val="0"/>
                <w:color w:val="000000"/>
                <w:sz w:val="11"/>
              </w:rPr>
              <w:t xml:space="preserve">  国有资本经营预算财政拨款</w:t>
            </w:r>
          </w:p>
        </w:tc>
        <w:tc>
          <w:tcPr>
            <w:tcW w:w="280" w:type="dxa"/>
            <w:vAlign w:val="center"/>
          </w:tcPr>
          <w:p>
            <w:pPr>
              <w:jc w:val="center"/>
            </w:pPr>
            <w:r>
              <w:rPr>
                <w:rFonts w:ascii="宋体" w:hAnsi="宋体" w:eastAsia="宋体" w:cs="宋体"/>
                <w:b w:val="0"/>
                <w:i w:val="0"/>
                <w:color w:val="000000"/>
                <w:sz w:val="11"/>
              </w:rPr>
              <w:t>31</w:t>
            </w:r>
          </w:p>
        </w:tc>
        <w:tc>
          <w:tcPr>
            <w:tcW w:w="840" w:type="dxa"/>
            <w:vAlign w:val="center"/>
          </w:tcPr>
          <w:p>
            <w:pPr>
              <w:jc w:val="right"/>
            </w:pPr>
            <w:r>
              <w:rPr>
                <w:rFonts w:ascii="宋体" w:hAnsi="宋体" w:eastAsia="宋体" w:cs="宋体"/>
                <w:b w:val="0"/>
                <w:i w:val="0"/>
                <w:color w:val="000000"/>
                <w:sz w:val="11"/>
              </w:rPr>
              <w:t>0.00</w:t>
            </w:r>
          </w:p>
        </w:tc>
        <w:tc>
          <w:tcPr>
            <w:tcW w:w="1840" w:type="dxa"/>
            <w:vAlign w:val="center"/>
          </w:tcPr>
          <w:p/>
        </w:tc>
        <w:tc>
          <w:tcPr>
            <w:tcW w:w="280" w:type="dxa"/>
            <w:vAlign w:val="center"/>
          </w:tcPr>
          <w:p>
            <w:pPr>
              <w:jc w:val="center"/>
            </w:pPr>
            <w:r>
              <w:rPr>
                <w:rFonts w:ascii="宋体" w:hAnsi="宋体" w:eastAsia="宋体" w:cs="宋体"/>
                <w:b w:val="0"/>
                <w:i w:val="0"/>
                <w:color w:val="000000"/>
                <w:sz w:val="11"/>
              </w:rPr>
              <w:t>63</w:t>
            </w:r>
          </w:p>
        </w:tc>
        <w:tc>
          <w:tcPr>
            <w:tcW w:w="840" w:type="dxa"/>
            <w:vAlign w:val="center"/>
          </w:tcPr>
          <w:p/>
        </w:tc>
        <w:tc>
          <w:tcPr>
            <w:tcW w:w="840" w:type="dxa"/>
            <w:vAlign w:val="center"/>
          </w:tcPr>
          <w:p/>
        </w:tc>
        <w:tc>
          <w:tcPr>
            <w:tcW w:w="840" w:type="dxa"/>
            <w:vAlign w:val="center"/>
          </w:tcPr>
          <w:p/>
        </w:tc>
        <w:tc>
          <w:tcPr>
            <w:tcW w:w="9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vAlign w:val="center"/>
          </w:tcPr>
          <w:p>
            <w:pPr>
              <w:jc w:val="center"/>
            </w:pPr>
            <w:r>
              <w:rPr>
                <w:rFonts w:ascii="宋体" w:hAnsi="宋体" w:eastAsia="宋体" w:cs="宋体"/>
                <w:b/>
                <w:i w:val="0"/>
                <w:color w:val="000000"/>
                <w:sz w:val="11"/>
              </w:rPr>
              <w:t>总计</w:t>
            </w:r>
          </w:p>
        </w:tc>
        <w:tc>
          <w:tcPr>
            <w:tcW w:w="280" w:type="dxa"/>
            <w:vAlign w:val="center"/>
          </w:tcPr>
          <w:p>
            <w:pPr>
              <w:jc w:val="center"/>
            </w:pPr>
            <w:r>
              <w:rPr>
                <w:rFonts w:ascii="宋体" w:hAnsi="宋体" w:eastAsia="宋体" w:cs="宋体"/>
                <w:b w:val="0"/>
                <w:i w:val="0"/>
                <w:color w:val="000000"/>
                <w:sz w:val="11"/>
              </w:rPr>
              <w:t>32</w:t>
            </w:r>
          </w:p>
        </w:tc>
        <w:tc>
          <w:tcPr>
            <w:tcW w:w="840" w:type="dxa"/>
            <w:vAlign w:val="center"/>
          </w:tcPr>
          <w:p>
            <w:pPr>
              <w:jc w:val="right"/>
            </w:pPr>
            <w:r>
              <w:rPr>
                <w:rFonts w:ascii="宋体" w:hAnsi="宋体" w:eastAsia="宋体" w:cs="宋体"/>
                <w:b w:val="0"/>
                <w:i w:val="0"/>
                <w:color w:val="000000"/>
                <w:sz w:val="11"/>
              </w:rPr>
              <w:t>4,056.43</w:t>
            </w:r>
          </w:p>
        </w:tc>
        <w:tc>
          <w:tcPr>
            <w:tcW w:w="1840" w:type="dxa"/>
            <w:vAlign w:val="center"/>
          </w:tcPr>
          <w:p>
            <w:pPr>
              <w:jc w:val="center"/>
            </w:pPr>
            <w:r>
              <w:rPr>
                <w:rFonts w:ascii="宋体" w:hAnsi="宋体" w:eastAsia="宋体" w:cs="宋体"/>
                <w:b/>
                <w:i w:val="0"/>
                <w:color w:val="000000"/>
                <w:sz w:val="11"/>
              </w:rPr>
              <w:t>总计</w:t>
            </w:r>
          </w:p>
        </w:tc>
        <w:tc>
          <w:tcPr>
            <w:tcW w:w="280" w:type="dxa"/>
            <w:vAlign w:val="center"/>
          </w:tcPr>
          <w:p>
            <w:pPr>
              <w:jc w:val="center"/>
            </w:pPr>
            <w:r>
              <w:rPr>
                <w:rFonts w:ascii="宋体" w:hAnsi="宋体" w:eastAsia="宋体" w:cs="宋体"/>
                <w:b w:val="0"/>
                <w:i w:val="0"/>
                <w:color w:val="000000"/>
                <w:sz w:val="11"/>
              </w:rPr>
              <w:t>64</w:t>
            </w:r>
          </w:p>
        </w:tc>
        <w:tc>
          <w:tcPr>
            <w:tcW w:w="840" w:type="dxa"/>
            <w:vAlign w:val="center"/>
          </w:tcPr>
          <w:p>
            <w:pPr>
              <w:jc w:val="right"/>
            </w:pPr>
            <w:r>
              <w:rPr>
                <w:rFonts w:ascii="宋体" w:hAnsi="宋体" w:eastAsia="宋体" w:cs="宋体"/>
                <w:b w:val="0"/>
                <w:i w:val="0"/>
                <w:color w:val="000000"/>
                <w:sz w:val="11"/>
              </w:rPr>
              <w:t>4,056.43</w:t>
            </w:r>
          </w:p>
        </w:tc>
        <w:tc>
          <w:tcPr>
            <w:tcW w:w="840" w:type="dxa"/>
            <w:vAlign w:val="center"/>
          </w:tcPr>
          <w:p>
            <w:pPr>
              <w:jc w:val="right"/>
            </w:pPr>
            <w:r>
              <w:rPr>
                <w:rFonts w:ascii="宋体" w:hAnsi="宋体" w:eastAsia="宋体" w:cs="宋体"/>
                <w:b w:val="0"/>
                <w:i w:val="0"/>
                <w:color w:val="000000"/>
                <w:sz w:val="11"/>
              </w:rPr>
              <w:t>4,056.43</w:t>
            </w:r>
          </w:p>
        </w:tc>
        <w:tc>
          <w:tcPr>
            <w:tcW w:w="840" w:type="dxa"/>
            <w:vAlign w:val="center"/>
          </w:tcPr>
          <w:p>
            <w:pPr>
              <w:jc w:val="right"/>
            </w:pPr>
            <w:r>
              <w:rPr>
                <w:rFonts w:ascii="宋体" w:hAnsi="宋体" w:eastAsia="宋体" w:cs="宋体"/>
                <w:b w:val="0"/>
                <w:i w:val="0"/>
                <w:color w:val="000000"/>
                <w:sz w:val="11"/>
              </w:rPr>
              <w:t>0.00</w:t>
            </w:r>
          </w:p>
        </w:tc>
        <w:tc>
          <w:tcPr>
            <w:tcW w:w="906" w:type="dxa"/>
            <w:vAlign w:val="center"/>
          </w:tcPr>
          <w:p>
            <w:pPr>
              <w:jc w:val="right"/>
            </w:pPr>
            <w:r>
              <w:rPr>
                <w:rFonts w:ascii="宋体" w:hAnsi="宋体" w:eastAsia="宋体" w:cs="宋体"/>
                <w:b w:val="0"/>
                <w:i w:val="0"/>
                <w:color w:val="000000"/>
                <w:sz w:val="11"/>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gridSpan w:val="8"/>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注：本表反映部门本年度一般公共预算财政拨款、政府性基金预算财政拨款和国有资本经营预算财政拨款的总收支和年末结转结余情况。</w:t>
            </w:r>
          </w:p>
        </w:tc>
        <w:tc>
          <w:tcPr>
            <w:tcW w:w="906" w:type="dxa"/>
            <w:tcBorders>
              <w:left w:val="single" w:color="FFFFFF" w:sz="4" w:space="0"/>
              <w:bottom w:val="single" w:color="FFFFFF" w:sz="4" w:space="0"/>
              <w:right w:val="single" w:color="FFFFFF" w:sz="4" w:space="0"/>
              <w:insideH w:val="single" w:sz="4" w:space="0"/>
              <w:insideV w:val="single"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5" w:hRule="exact"/>
          <w:jc w:val="center"/>
        </w:trPr>
        <w:tc>
          <w:tcPr>
            <w:tcW w:w="1640" w:type="dxa"/>
            <w:gridSpan w:val="9"/>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五、一般公共预算财政拨款支出决算表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720"/>
        <w:gridCol w:w="2800"/>
        <w:gridCol w:w="1600"/>
        <w:gridCol w:w="160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gridSpan w:val="2"/>
            <w:vAlign w:val="center"/>
          </w:tcPr>
          <w:p>
            <w:pPr>
              <w:jc w:val="center"/>
            </w:pPr>
            <w:r>
              <w:rPr>
                <w:rFonts w:ascii="宋体" w:hAnsi="宋体" w:eastAsia="宋体" w:cs="宋体"/>
                <w:b w:val="0"/>
                <w:i w:val="0"/>
                <w:color w:val="000000"/>
                <w:sz w:val="15"/>
              </w:rPr>
              <w:t>项目</w:t>
            </w:r>
          </w:p>
        </w:tc>
        <w:tc>
          <w:tcPr>
            <w:tcW w:w="1600" w:type="dxa"/>
            <w:gridSpan w:val="3"/>
            <w:vAlign w:val="center"/>
          </w:tcPr>
          <w:p>
            <w:pPr>
              <w:jc w:val="center"/>
            </w:pPr>
            <w:r>
              <w:rPr>
                <w:rFonts w:ascii="宋体" w:hAnsi="宋体" w:eastAsia="宋体" w:cs="宋体"/>
                <w:b w:val="0"/>
                <w:i w:val="0"/>
                <w:color w:val="000000"/>
                <w:sz w:val="15"/>
              </w:rPr>
              <w:t>本年支出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Merge w:val="restart"/>
            <w:vAlign w:val="center"/>
          </w:tcPr>
          <w:p>
            <w:pPr>
              <w:jc w:val="center"/>
            </w:pPr>
            <w:r>
              <w:rPr>
                <w:rFonts w:ascii="宋体" w:hAnsi="宋体" w:eastAsia="宋体" w:cs="宋体"/>
                <w:b w:val="0"/>
                <w:i w:val="0"/>
                <w:color w:val="000000"/>
                <w:sz w:val="15"/>
              </w:rPr>
              <w:t>科目代码</w:t>
            </w:r>
          </w:p>
        </w:tc>
        <w:tc>
          <w:tcPr>
            <w:tcW w:w="2800" w:type="dxa"/>
            <w:vMerge w:val="restart"/>
            <w:vAlign w:val="center"/>
          </w:tcPr>
          <w:p>
            <w:pPr>
              <w:jc w:val="center"/>
            </w:pPr>
            <w:r>
              <w:rPr>
                <w:rFonts w:ascii="宋体" w:hAnsi="宋体" w:eastAsia="宋体" w:cs="宋体"/>
                <w:b w:val="0"/>
                <w:i w:val="0"/>
                <w:color w:val="000000"/>
                <w:sz w:val="15"/>
              </w:rPr>
              <w:t>科目名称</w:t>
            </w:r>
          </w:p>
        </w:tc>
        <w:tc>
          <w:tcPr>
            <w:tcW w:w="1600" w:type="dxa"/>
            <w:vMerge w:val="restart"/>
            <w:vAlign w:val="center"/>
          </w:tcPr>
          <w:p>
            <w:pPr>
              <w:jc w:val="center"/>
            </w:pPr>
            <w:r>
              <w:rPr>
                <w:rFonts w:ascii="宋体" w:hAnsi="宋体" w:eastAsia="宋体" w:cs="宋体"/>
                <w:b w:val="0"/>
                <w:i w:val="0"/>
                <w:color w:val="000000"/>
                <w:sz w:val="15"/>
              </w:rPr>
              <w:t>小计</w:t>
            </w:r>
          </w:p>
        </w:tc>
        <w:tc>
          <w:tcPr>
            <w:tcW w:w="1600" w:type="dxa"/>
            <w:vMerge w:val="restart"/>
            <w:vAlign w:val="center"/>
          </w:tcPr>
          <w:p>
            <w:pPr>
              <w:jc w:val="center"/>
            </w:pPr>
            <w:r>
              <w:rPr>
                <w:rFonts w:ascii="宋体" w:hAnsi="宋体" w:eastAsia="宋体" w:cs="宋体"/>
                <w:b w:val="0"/>
                <w:i w:val="0"/>
                <w:color w:val="000000"/>
                <w:sz w:val="15"/>
              </w:rPr>
              <w:t>基本支出</w:t>
            </w:r>
          </w:p>
        </w:tc>
        <w:tc>
          <w:tcPr>
            <w:tcW w:w="1586" w:type="dxa"/>
            <w:vMerge w:val="restart"/>
            <w:vAlign w:val="center"/>
          </w:tcPr>
          <w:p>
            <w:pPr>
              <w:jc w:val="center"/>
            </w:pPr>
            <w:r>
              <w:rPr>
                <w:rFonts w:ascii="宋体" w:hAnsi="宋体" w:eastAsia="宋体" w:cs="宋体"/>
                <w:b w:val="0"/>
                <w:i w:val="0"/>
                <w:color w:val="000000"/>
                <w:sz w:val="15"/>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88" w:hRule="exact"/>
          <w:jc w:val="center"/>
        </w:trPr>
        <w:tc>
          <w:tcPr>
            <w:tcW w:w="240" w:type="dxa"/>
            <w:vMerge w:val="continue"/>
            <w:vAlign w:val="center"/>
          </w:tcPr>
          <w:p/>
        </w:tc>
        <w:tc>
          <w:tcPr>
            <w:tcW w:w="2800" w:type="dxa"/>
            <w:vMerge w:val="continue"/>
            <w:vAlign w:val="center"/>
          </w:tcPr>
          <w:p/>
        </w:tc>
        <w:tc>
          <w:tcPr>
            <w:tcW w:w="1600" w:type="dxa"/>
            <w:vMerge w:val="continue"/>
            <w:vAlign w:val="center"/>
          </w:tcPr>
          <w:p/>
        </w:tc>
        <w:tc>
          <w:tcPr>
            <w:tcW w:w="1600" w:type="dxa"/>
            <w:vMerge w:val="continue"/>
            <w:vAlign w:val="center"/>
          </w:tcPr>
          <w:p/>
        </w:tc>
        <w:tc>
          <w:tcPr>
            <w:tcW w:w="15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Merge w:val="continue"/>
            <w:vAlign w:val="center"/>
          </w:tcPr>
          <w:p/>
        </w:tc>
        <w:tc>
          <w:tcPr>
            <w:tcW w:w="2800" w:type="dxa"/>
            <w:vMerge w:val="continue"/>
            <w:vAlign w:val="center"/>
          </w:tcPr>
          <w:p/>
        </w:tc>
        <w:tc>
          <w:tcPr>
            <w:tcW w:w="1600" w:type="dxa"/>
            <w:vMerge w:val="continue"/>
            <w:vAlign w:val="center"/>
          </w:tcPr>
          <w:p/>
        </w:tc>
        <w:tc>
          <w:tcPr>
            <w:tcW w:w="1600" w:type="dxa"/>
            <w:vMerge w:val="continue"/>
            <w:vAlign w:val="center"/>
          </w:tcPr>
          <w:p/>
        </w:tc>
        <w:tc>
          <w:tcPr>
            <w:tcW w:w="15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gridSpan w:val="2"/>
            <w:vAlign w:val="center"/>
          </w:tcPr>
          <w:p>
            <w:pPr>
              <w:jc w:val="center"/>
            </w:pPr>
            <w:r>
              <w:rPr>
                <w:rFonts w:ascii="宋体" w:hAnsi="宋体" w:eastAsia="宋体" w:cs="宋体"/>
                <w:b w:val="0"/>
                <w:i w:val="0"/>
                <w:color w:val="000000"/>
                <w:sz w:val="15"/>
              </w:rPr>
              <w:t>栏次</w:t>
            </w:r>
          </w:p>
        </w:tc>
        <w:tc>
          <w:tcPr>
            <w:tcW w:w="1600" w:type="dxa"/>
            <w:vAlign w:val="center"/>
          </w:tcPr>
          <w:p>
            <w:pPr>
              <w:jc w:val="center"/>
            </w:pPr>
            <w:r>
              <w:rPr>
                <w:rFonts w:ascii="宋体" w:hAnsi="宋体" w:eastAsia="宋体" w:cs="宋体"/>
                <w:b w:val="0"/>
                <w:i w:val="0"/>
                <w:color w:val="000000"/>
                <w:sz w:val="15"/>
              </w:rPr>
              <w:t>1</w:t>
            </w:r>
          </w:p>
        </w:tc>
        <w:tc>
          <w:tcPr>
            <w:tcW w:w="1600" w:type="dxa"/>
            <w:vAlign w:val="center"/>
          </w:tcPr>
          <w:p>
            <w:pPr>
              <w:jc w:val="center"/>
            </w:pPr>
            <w:r>
              <w:rPr>
                <w:rFonts w:ascii="宋体" w:hAnsi="宋体" w:eastAsia="宋体" w:cs="宋体"/>
                <w:b w:val="0"/>
                <w:i w:val="0"/>
                <w:color w:val="000000"/>
                <w:sz w:val="15"/>
              </w:rPr>
              <w:t>2</w:t>
            </w:r>
          </w:p>
        </w:tc>
        <w:tc>
          <w:tcPr>
            <w:tcW w:w="1586" w:type="dxa"/>
            <w:vAlign w:val="center"/>
          </w:tcPr>
          <w:p>
            <w:pPr>
              <w:jc w:val="center"/>
            </w:pPr>
            <w:r>
              <w:rPr>
                <w:rFonts w:ascii="宋体" w:hAnsi="宋体" w:eastAsia="宋体" w:cs="宋体"/>
                <w:b w:val="0"/>
                <w:i w:val="0"/>
                <w:color w:val="000000"/>
                <w:sz w:val="15"/>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gridSpan w:val="2"/>
            <w:vAlign w:val="center"/>
          </w:tcPr>
          <w:p>
            <w:pPr>
              <w:jc w:val="center"/>
            </w:pPr>
            <w:r>
              <w:rPr>
                <w:rFonts w:ascii="宋体" w:hAnsi="宋体" w:eastAsia="宋体" w:cs="宋体"/>
                <w:b w:val="0"/>
                <w:i w:val="0"/>
                <w:color w:val="000000"/>
                <w:sz w:val="15"/>
              </w:rPr>
              <w:t>合计</w:t>
            </w:r>
          </w:p>
        </w:tc>
        <w:tc>
          <w:tcPr>
            <w:tcW w:w="1600" w:type="dxa"/>
            <w:vAlign w:val="center"/>
          </w:tcPr>
          <w:p>
            <w:pPr>
              <w:jc w:val="right"/>
            </w:pPr>
            <w:r>
              <w:rPr>
                <w:rFonts w:ascii="宋体" w:hAnsi="宋体" w:eastAsia="宋体" w:cs="宋体"/>
                <w:b/>
                <w:i w:val="0"/>
                <w:color w:val="000000"/>
                <w:sz w:val="15"/>
              </w:rPr>
              <w:t>4,056.43</w:t>
            </w:r>
          </w:p>
        </w:tc>
        <w:tc>
          <w:tcPr>
            <w:tcW w:w="1600" w:type="dxa"/>
            <w:vAlign w:val="center"/>
          </w:tcPr>
          <w:p>
            <w:pPr>
              <w:jc w:val="right"/>
            </w:pPr>
            <w:r>
              <w:rPr>
                <w:rFonts w:ascii="宋体" w:hAnsi="宋体" w:eastAsia="宋体" w:cs="宋体"/>
                <w:b/>
                <w:i w:val="0"/>
                <w:color w:val="000000"/>
                <w:sz w:val="15"/>
              </w:rPr>
              <w:t>1,467.06</w:t>
            </w:r>
          </w:p>
        </w:tc>
        <w:tc>
          <w:tcPr>
            <w:tcW w:w="1586" w:type="dxa"/>
            <w:vAlign w:val="center"/>
          </w:tcPr>
          <w:p>
            <w:pPr>
              <w:jc w:val="right"/>
            </w:pPr>
            <w:r>
              <w:rPr>
                <w:rFonts w:ascii="宋体" w:hAnsi="宋体" w:eastAsia="宋体" w:cs="宋体"/>
                <w:b/>
                <w:i w:val="0"/>
                <w:color w:val="000000"/>
                <w:sz w:val="15"/>
              </w:rPr>
              <w:t>2,589.36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208</w:t>
            </w:r>
          </w:p>
        </w:tc>
        <w:tc>
          <w:tcPr>
            <w:tcW w:w="2800" w:type="dxa"/>
            <w:vAlign w:val="center"/>
          </w:tcPr>
          <w:p>
            <w:pPr>
              <w:jc w:val="left"/>
            </w:pPr>
            <w:r>
              <w:rPr>
                <w:rFonts w:ascii="宋体" w:hAnsi="宋体" w:eastAsia="宋体" w:cs="宋体"/>
                <w:b w:val="0"/>
                <w:i w:val="0"/>
                <w:color w:val="000000"/>
                <w:sz w:val="15"/>
              </w:rPr>
              <w:t>社会保障和就业支出</w:t>
            </w:r>
          </w:p>
        </w:tc>
        <w:tc>
          <w:tcPr>
            <w:tcW w:w="1600" w:type="dxa"/>
            <w:vAlign w:val="center"/>
          </w:tcPr>
          <w:p>
            <w:pPr>
              <w:jc w:val="right"/>
            </w:pPr>
            <w:r>
              <w:rPr>
                <w:rFonts w:ascii="宋体" w:hAnsi="宋体" w:eastAsia="宋体" w:cs="宋体"/>
                <w:b w:val="0"/>
                <w:i w:val="0"/>
                <w:color w:val="000000"/>
                <w:sz w:val="15"/>
              </w:rPr>
              <w:t>364.37</w:t>
            </w:r>
          </w:p>
        </w:tc>
        <w:tc>
          <w:tcPr>
            <w:tcW w:w="1600" w:type="dxa"/>
            <w:vAlign w:val="center"/>
          </w:tcPr>
          <w:p>
            <w:pPr>
              <w:jc w:val="right"/>
            </w:pPr>
            <w:r>
              <w:rPr>
                <w:rFonts w:ascii="宋体" w:hAnsi="宋体" w:eastAsia="宋体" w:cs="宋体"/>
                <w:b w:val="0"/>
                <w:i w:val="0"/>
                <w:color w:val="000000"/>
                <w:sz w:val="15"/>
              </w:rPr>
              <w:t>364.37</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20805</w:t>
            </w:r>
          </w:p>
        </w:tc>
        <w:tc>
          <w:tcPr>
            <w:tcW w:w="2800" w:type="dxa"/>
            <w:vAlign w:val="center"/>
          </w:tcPr>
          <w:p>
            <w:pPr>
              <w:jc w:val="left"/>
            </w:pPr>
            <w:r>
              <w:rPr>
                <w:rFonts w:ascii="宋体" w:hAnsi="宋体" w:eastAsia="宋体" w:cs="宋体"/>
                <w:b w:val="0"/>
                <w:i w:val="0"/>
                <w:color w:val="000000"/>
                <w:sz w:val="15"/>
              </w:rPr>
              <w:t>行政事业单位养老支出</w:t>
            </w:r>
          </w:p>
        </w:tc>
        <w:tc>
          <w:tcPr>
            <w:tcW w:w="1600" w:type="dxa"/>
            <w:vAlign w:val="center"/>
          </w:tcPr>
          <w:p>
            <w:pPr>
              <w:jc w:val="right"/>
            </w:pPr>
            <w:r>
              <w:rPr>
                <w:rFonts w:ascii="宋体" w:hAnsi="宋体" w:eastAsia="宋体" w:cs="宋体"/>
                <w:b w:val="0"/>
                <w:i w:val="0"/>
                <w:color w:val="000000"/>
                <w:sz w:val="15"/>
              </w:rPr>
              <w:t>364.37</w:t>
            </w:r>
          </w:p>
        </w:tc>
        <w:tc>
          <w:tcPr>
            <w:tcW w:w="1600" w:type="dxa"/>
            <w:vAlign w:val="center"/>
          </w:tcPr>
          <w:p>
            <w:pPr>
              <w:jc w:val="right"/>
            </w:pPr>
            <w:r>
              <w:rPr>
                <w:rFonts w:ascii="宋体" w:hAnsi="宋体" w:eastAsia="宋体" w:cs="宋体"/>
                <w:b w:val="0"/>
                <w:i w:val="0"/>
                <w:color w:val="000000"/>
                <w:sz w:val="15"/>
              </w:rPr>
              <w:t>364.37</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2080502</w:t>
            </w:r>
          </w:p>
        </w:tc>
        <w:tc>
          <w:tcPr>
            <w:tcW w:w="2800" w:type="dxa"/>
            <w:vAlign w:val="center"/>
          </w:tcPr>
          <w:p>
            <w:pPr>
              <w:jc w:val="left"/>
            </w:pPr>
            <w:r>
              <w:rPr>
                <w:rFonts w:ascii="宋体" w:hAnsi="宋体" w:eastAsia="宋体" w:cs="宋体"/>
                <w:b w:val="0"/>
                <w:i w:val="0"/>
                <w:color w:val="000000"/>
                <w:sz w:val="15"/>
              </w:rPr>
              <w:t>事业单位离退休</w:t>
            </w:r>
          </w:p>
        </w:tc>
        <w:tc>
          <w:tcPr>
            <w:tcW w:w="1600" w:type="dxa"/>
            <w:vAlign w:val="center"/>
          </w:tcPr>
          <w:p>
            <w:pPr>
              <w:jc w:val="right"/>
            </w:pPr>
            <w:r>
              <w:rPr>
                <w:rFonts w:ascii="宋体" w:hAnsi="宋体" w:eastAsia="宋体" w:cs="宋体"/>
                <w:b w:val="0"/>
                <w:i w:val="0"/>
                <w:color w:val="000000"/>
                <w:sz w:val="15"/>
              </w:rPr>
              <w:t>239.36</w:t>
            </w:r>
          </w:p>
        </w:tc>
        <w:tc>
          <w:tcPr>
            <w:tcW w:w="1600" w:type="dxa"/>
            <w:vAlign w:val="center"/>
          </w:tcPr>
          <w:p>
            <w:pPr>
              <w:jc w:val="right"/>
            </w:pPr>
            <w:r>
              <w:rPr>
                <w:rFonts w:ascii="宋体" w:hAnsi="宋体" w:eastAsia="宋体" w:cs="宋体"/>
                <w:b w:val="0"/>
                <w:i w:val="0"/>
                <w:color w:val="000000"/>
                <w:sz w:val="15"/>
              </w:rPr>
              <w:t>239.36</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2080505</w:t>
            </w:r>
          </w:p>
        </w:tc>
        <w:tc>
          <w:tcPr>
            <w:tcW w:w="2800" w:type="dxa"/>
            <w:vAlign w:val="center"/>
          </w:tcPr>
          <w:p>
            <w:pPr>
              <w:jc w:val="left"/>
            </w:pPr>
            <w:r>
              <w:rPr>
                <w:rFonts w:ascii="宋体" w:hAnsi="宋体" w:eastAsia="宋体" w:cs="宋体"/>
                <w:b w:val="0"/>
                <w:i w:val="0"/>
                <w:color w:val="000000"/>
                <w:sz w:val="15"/>
              </w:rPr>
              <w:t>机关事业单位基本养老保险缴费支出</w:t>
            </w:r>
          </w:p>
        </w:tc>
        <w:tc>
          <w:tcPr>
            <w:tcW w:w="1600" w:type="dxa"/>
            <w:vAlign w:val="center"/>
          </w:tcPr>
          <w:p>
            <w:pPr>
              <w:jc w:val="right"/>
            </w:pPr>
            <w:r>
              <w:rPr>
                <w:rFonts w:ascii="宋体" w:hAnsi="宋体" w:eastAsia="宋体" w:cs="宋体"/>
                <w:b w:val="0"/>
                <w:i w:val="0"/>
                <w:color w:val="000000"/>
                <w:sz w:val="15"/>
              </w:rPr>
              <w:t>103.85</w:t>
            </w:r>
          </w:p>
        </w:tc>
        <w:tc>
          <w:tcPr>
            <w:tcW w:w="1600" w:type="dxa"/>
            <w:vAlign w:val="center"/>
          </w:tcPr>
          <w:p>
            <w:pPr>
              <w:jc w:val="right"/>
            </w:pPr>
            <w:r>
              <w:rPr>
                <w:rFonts w:ascii="宋体" w:hAnsi="宋体" w:eastAsia="宋体" w:cs="宋体"/>
                <w:b w:val="0"/>
                <w:i w:val="0"/>
                <w:color w:val="000000"/>
                <w:sz w:val="15"/>
              </w:rPr>
              <w:t>103.85</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2080506</w:t>
            </w:r>
          </w:p>
        </w:tc>
        <w:tc>
          <w:tcPr>
            <w:tcW w:w="2800" w:type="dxa"/>
            <w:vAlign w:val="center"/>
          </w:tcPr>
          <w:p>
            <w:pPr>
              <w:jc w:val="left"/>
            </w:pPr>
            <w:r>
              <w:rPr>
                <w:rFonts w:ascii="宋体" w:hAnsi="宋体" w:eastAsia="宋体" w:cs="宋体"/>
                <w:b w:val="0"/>
                <w:i w:val="0"/>
                <w:color w:val="000000"/>
                <w:sz w:val="15"/>
              </w:rPr>
              <w:t>机关事业单位职业年金缴费支出</w:t>
            </w:r>
          </w:p>
        </w:tc>
        <w:tc>
          <w:tcPr>
            <w:tcW w:w="1600" w:type="dxa"/>
            <w:vAlign w:val="center"/>
          </w:tcPr>
          <w:p>
            <w:pPr>
              <w:jc w:val="right"/>
            </w:pPr>
            <w:r>
              <w:rPr>
                <w:rFonts w:ascii="宋体" w:hAnsi="宋体" w:eastAsia="宋体" w:cs="宋体"/>
                <w:b w:val="0"/>
                <w:i w:val="0"/>
                <w:color w:val="000000"/>
                <w:sz w:val="15"/>
              </w:rPr>
              <w:t>21.16</w:t>
            </w:r>
          </w:p>
        </w:tc>
        <w:tc>
          <w:tcPr>
            <w:tcW w:w="1600" w:type="dxa"/>
            <w:vAlign w:val="center"/>
          </w:tcPr>
          <w:p>
            <w:pPr>
              <w:jc w:val="right"/>
            </w:pPr>
            <w:r>
              <w:rPr>
                <w:rFonts w:ascii="宋体" w:hAnsi="宋体" w:eastAsia="宋体" w:cs="宋体"/>
                <w:b w:val="0"/>
                <w:i w:val="0"/>
                <w:color w:val="000000"/>
                <w:sz w:val="15"/>
              </w:rPr>
              <w:t>21.16</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210</w:t>
            </w:r>
          </w:p>
        </w:tc>
        <w:tc>
          <w:tcPr>
            <w:tcW w:w="2800" w:type="dxa"/>
            <w:vAlign w:val="center"/>
          </w:tcPr>
          <w:p>
            <w:pPr>
              <w:jc w:val="left"/>
            </w:pPr>
            <w:r>
              <w:rPr>
                <w:rFonts w:ascii="宋体" w:hAnsi="宋体" w:eastAsia="宋体" w:cs="宋体"/>
                <w:b w:val="0"/>
                <w:i w:val="0"/>
                <w:color w:val="000000"/>
                <w:sz w:val="15"/>
              </w:rPr>
              <w:t>卫生健康支出</w:t>
            </w:r>
          </w:p>
        </w:tc>
        <w:tc>
          <w:tcPr>
            <w:tcW w:w="1600" w:type="dxa"/>
            <w:vAlign w:val="center"/>
          </w:tcPr>
          <w:p>
            <w:pPr>
              <w:jc w:val="right"/>
            </w:pPr>
            <w:r>
              <w:rPr>
                <w:rFonts w:ascii="宋体" w:hAnsi="宋体" w:eastAsia="宋体" w:cs="宋体"/>
                <w:b w:val="0"/>
                <w:i w:val="0"/>
                <w:color w:val="000000"/>
                <w:sz w:val="15"/>
              </w:rPr>
              <w:t>185.21</w:t>
            </w:r>
          </w:p>
        </w:tc>
        <w:tc>
          <w:tcPr>
            <w:tcW w:w="1600" w:type="dxa"/>
            <w:vAlign w:val="center"/>
          </w:tcPr>
          <w:p>
            <w:pPr>
              <w:jc w:val="right"/>
            </w:pPr>
            <w:r>
              <w:rPr>
                <w:rFonts w:ascii="宋体" w:hAnsi="宋体" w:eastAsia="宋体" w:cs="宋体"/>
                <w:b w:val="0"/>
                <w:i w:val="0"/>
                <w:color w:val="000000"/>
                <w:sz w:val="15"/>
              </w:rPr>
              <w:t>185.21</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21011</w:t>
            </w:r>
          </w:p>
        </w:tc>
        <w:tc>
          <w:tcPr>
            <w:tcW w:w="2800" w:type="dxa"/>
            <w:vAlign w:val="center"/>
          </w:tcPr>
          <w:p>
            <w:pPr>
              <w:jc w:val="left"/>
            </w:pPr>
            <w:r>
              <w:rPr>
                <w:rFonts w:ascii="宋体" w:hAnsi="宋体" w:eastAsia="宋体" w:cs="宋体"/>
                <w:b w:val="0"/>
                <w:i w:val="0"/>
                <w:color w:val="000000"/>
                <w:sz w:val="15"/>
              </w:rPr>
              <w:t>行政事业单位医疗</w:t>
            </w:r>
          </w:p>
        </w:tc>
        <w:tc>
          <w:tcPr>
            <w:tcW w:w="1600" w:type="dxa"/>
            <w:vAlign w:val="center"/>
          </w:tcPr>
          <w:p>
            <w:pPr>
              <w:jc w:val="right"/>
            </w:pPr>
            <w:r>
              <w:rPr>
                <w:rFonts w:ascii="宋体" w:hAnsi="宋体" w:eastAsia="宋体" w:cs="宋体"/>
                <w:b w:val="0"/>
                <w:i w:val="0"/>
                <w:color w:val="000000"/>
                <w:sz w:val="15"/>
              </w:rPr>
              <w:t>185.21</w:t>
            </w:r>
          </w:p>
        </w:tc>
        <w:tc>
          <w:tcPr>
            <w:tcW w:w="1600" w:type="dxa"/>
            <w:vAlign w:val="center"/>
          </w:tcPr>
          <w:p>
            <w:pPr>
              <w:jc w:val="right"/>
            </w:pPr>
            <w:r>
              <w:rPr>
                <w:rFonts w:ascii="宋体" w:hAnsi="宋体" w:eastAsia="宋体" w:cs="宋体"/>
                <w:b w:val="0"/>
                <w:i w:val="0"/>
                <w:color w:val="000000"/>
                <w:sz w:val="15"/>
              </w:rPr>
              <w:t>185.21</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2101102</w:t>
            </w:r>
          </w:p>
        </w:tc>
        <w:tc>
          <w:tcPr>
            <w:tcW w:w="2800" w:type="dxa"/>
            <w:vAlign w:val="center"/>
          </w:tcPr>
          <w:p>
            <w:pPr>
              <w:jc w:val="left"/>
            </w:pPr>
            <w:r>
              <w:rPr>
                <w:rFonts w:ascii="宋体" w:hAnsi="宋体" w:eastAsia="宋体" w:cs="宋体"/>
                <w:b w:val="0"/>
                <w:i w:val="0"/>
                <w:color w:val="000000"/>
                <w:sz w:val="15"/>
              </w:rPr>
              <w:t>事业单位医疗</w:t>
            </w:r>
          </w:p>
        </w:tc>
        <w:tc>
          <w:tcPr>
            <w:tcW w:w="1600" w:type="dxa"/>
            <w:vAlign w:val="center"/>
          </w:tcPr>
          <w:p>
            <w:pPr>
              <w:jc w:val="right"/>
            </w:pPr>
            <w:r>
              <w:rPr>
                <w:rFonts w:ascii="宋体" w:hAnsi="宋体" w:eastAsia="宋体" w:cs="宋体"/>
                <w:b w:val="0"/>
                <w:i w:val="0"/>
                <w:color w:val="000000"/>
                <w:sz w:val="15"/>
              </w:rPr>
              <w:t>59.54</w:t>
            </w:r>
          </w:p>
        </w:tc>
        <w:tc>
          <w:tcPr>
            <w:tcW w:w="1600" w:type="dxa"/>
            <w:vAlign w:val="center"/>
          </w:tcPr>
          <w:p>
            <w:pPr>
              <w:jc w:val="right"/>
            </w:pPr>
            <w:r>
              <w:rPr>
                <w:rFonts w:ascii="宋体" w:hAnsi="宋体" w:eastAsia="宋体" w:cs="宋体"/>
                <w:b w:val="0"/>
                <w:i w:val="0"/>
                <w:color w:val="000000"/>
                <w:sz w:val="15"/>
              </w:rPr>
              <w:t>59.54</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2101103</w:t>
            </w:r>
          </w:p>
        </w:tc>
        <w:tc>
          <w:tcPr>
            <w:tcW w:w="2800" w:type="dxa"/>
            <w:vAlign w:val="center"/>
          </w:tcPr>
          <w:p>
            <w:pPr>
              <w:jc w:val="left"/>
            </w:pPr>
            <w:r>
              <w:rPr>
                <w:rFonts w:ascii="宋体" w:hAnsi="宋体" w:eastAsia="宋体" w:cs="宋体"/>
                <w:b w:val="0"/>
                <w:i w:val="0"/>
                <w:color w:val="000000"/>
                <w:sz w:val="15"/>
              </w:rPr>
              <w:t>公务员医疗补助</w:t>
            </w:r>
          </w:p>
        </w:tc>
        <w:tc>
          <w:tcPr>
            <w:tcW w:w="1600" w:type="dxa"/>
            <w:vAlign w:val="center"/>
          </w:tcPr>
          <w:p>
            <w:pPr>
              <w:jc w:val="right"/>
            </w:pPr>
            <w:r>
              <w:rPr>
                <w:rFonts w:ascii="宋体" w:hAnsi="宋体" w:eastAsia="宋体" w:cs="宋体"/>
                <w:b w:val="0"/>
                <w:i w:val="0"/>
                <w:color w:val="000000"/>
                <w:sz w:val="15"/>
              </w:rPr>
              <w:t>125.67</w:t>
            </w:r>
          </w:p>
        </w:tc>
        <w:tc>
          <w:tcPr>
            <w:tcW w:w="1600" w:type="dxa"/>
            <w:vAlign w:val="center"/>
          </w:tcPr>
          <w:p>
            <w:pPr>
              <w:jc w:val="right"/>
            </w:pPr>
            <w:r>
              <w:rPr>
                <w:rFonts w:ascii="宋体" w:hAnsi="宋体" w:eastAsia="宋体" w:cs="宋体"/>
                <w:b w:val="0"/>
                <w:i w:val="0"/>
                <w:color w:val="000000"/>
                <w:sz w:val="15"/>
              </w:rPr>
              <w:t>125.67</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214</w:t>
            </w:r>
          </w:p>
        </w:tc>
        <w:tc>
          <w:tcPr>
            <w:tcW w:w="2800" w:type="dxa"/>
            <w:vAlign w:val="center"/>
          </w:tcPr>
          <w:p>
            <w:pPr>
              <w:jc w:val="left"/>
            </w:pPr>
            <w:r>
              <w:rPr>
                <w:rFonts w:ascii="宋体" w:hAnsi="宋体" w:eastAsia="宋体" w:cs="宋体"/>
                <w:b w:val="0"/>
                <w:i w:val="0"/>
                <w:color w:val="000000"/>
                <w:sz w:val="15"/>
              </w:rPr>
              <w:t>交通运输支出</w:t>
            </w:r>
          </w:p>
        </w:tc>
        <w:tc>
          <w:tcPr>
            <w:tcW w:w="1600" w:type="dxa"/>
            <w:vAlign w:val="center"/>
          </w:tcPr>
          <w:p>
            <w:pPr>
              <w:jc w:val="right"/>
            </w:pPr>
            <w:r>
              <w:rPr>
                <w:rFonts w:ascii="宋体" w:hAnsi="宋体" w:eastAsia="宋体" w:cs="宋体"/>
                <w:b w:val="0"/>
                <w:i w:val="0"/>
                <w:color w:val="000000"/>
                <w:sz w:val="15"/>
              </w:rPr>
              <w:t>3,418.22</w:t>
            </w:r>
          </w:p>
        </w:tc>
        <w:tc>
          <w:tcPr>
            <w:tcW w:w="1600" w:type="dxa"/>
            <w:vAlign w:val="center"/>
          </w:tcPr>
          <w:p>
            <w:pPr>
              <w:jc w:val="right"/>
            </w:pPr>
            <w:r>
              <w:rPr>
                <w:rFonts w:ascii="宋体" w:hAnsi="宋体" w:eastAsia="宋体" w:cs="宋体"/>
                <w:b w:val="0"/>
                <w:i w:val="0"/>
                <w:color w:val="000000"/>
                <w:sz w:val="15"/>
              </w:rPr>
              <w:t>828.86</w:t>
            </w:r>
          </w:p>
        </w:tc>
        <w:tc>
          <w:tcPr>
            <w:tcW w:w="1586" w:type="dxa"/>
            <w:vAlign w:val="center"/>
          </w:tcPr>
          <w:p>
            <w:pPr>
              <w:jc w:val="right"/>
            </w:pPr>
            <w:r>
              <w:rPr>
                <w:rFonts w:ascii="宋体" w:hAnsi="宋体" w:eastAsia="宋体" w:cs="宋体"/>
                <w:b w:val="0"/>
                <w:i w:val="0"/>
                <w:color w:val="000000"/>
                <w:sz w:val="15"/>
              </w:rPr>
              <w:t>2,589.36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21401</w:t>
            </w:r>
          </w:p>
        </w:tc>
        <w:tc>
          <w:tcPr>
            <w:tcW w:w="2800" w:type="dxa"/>
            <w:vAlign w:val="center"/>
          </w:tcPr>
          <w:p>
            <w:pPr>
              <w:jc w:val="left"/>
            </w:pPr>
            <w:r>
              <w:rPr>
                <w:rFonts w:ascii="宋体" w:hAnsi="宋体" w:eastAsia="宋体" w:cs="宋体"/>
                <w:b w:val="0"/>
                <w:i w:val="0"/>
                <w:color w:val="000000"/>
                <w:sz w:val="15"/>
              </w:rPr>
              <w:t>公路水路运输</w:t>
            </w:r>
          </w:p>
        </w:tc>
        <w:tc>
          <w:tcPr>
            <w:tcW w:w="1600" w:type="dxa"/>
            <w:vAlign w:val="center"/>
          </w:tcPr>
          <w:p>
            <w:pPr>
              <w:jc w:val="right"/>
            </w:pPr>
            <w:r>
              <w:rPr>
                <w:rFonts w:ascii="宋体" w:hAnsi="宋体" w:eastAsia="宋体" w:cs="宋体"/>
                <w:b w:val="0"/>
                <w:i w:val="0"/>
                <w:color w:val="000000"/>
                <w:sz w:val="15"/>
              </w:rPr>
              <w:t>1.00</w:t>
            </w:r>
          </w:p>
        </w:tc>
        <w:tc>
          <w:tcPr>
            <w:tcW w:w="1600" w:type="dxa"/>
            <w:vAlign w:val="center"/>
          </w:tcPr>
          <w:p>
            <w:pPr>
              <w:jc w:val="right"/>
            </w:pPr>
            <w:r>
              <w:rPr>
                <w:rFonts w:ascii="宋体" w:hAnsi="宋体" w:eastAsia="宋体" w:cs="宋体"/>
                <w:b w:val="0"/>
                <w:i w:val="0"/>
                <w:color w:val="000000"/>
                <w:sz w:val="15"/>
              </w:rPr>
              <w:t>1.00</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2140199</w:t>
            </w:r>
          </w:p>
        </w:tc>
        <w:tc>
          <w:tcPr>
            <w:tcW w:w="2800" w:type="dxa"/>
            <w:vAlign w:val="center"/>
          </w:tcPr>
          <w:p>
            <w:pPr>
              <w:jc w:val="left"/>
            </w:pPr>
            <w:r>
              <w:rPr>
                <w:rFonts w:ascii="宋体" w:hAnsi="宋体" w:eastAsia="宋体" w:cs="宋体"/>
                <w:b w:val="0"/>
                <w:i w:val="0"/>
                <w:color w:val="000000"/>
                <w:sz w:val="15"/>
              </w:rPr>
              <w:t>其他公路水路运输支出</w:t>
            </w:r>
          </w:p>
        </w:tc>
        <w:tc>
          <w:tcPr>
            <w:tcW w:w="1600" w:type="dxa"/>
            <w:vAlign w:val="center"/>
          </w:tcPr>
          <w:p>
            <w:pPr>
              <w:jc w:val="right"/>
            </w:pPr>
            <w:r>
              <w:rPr>
                <w:rFonts w:ascii="宋体" w:hAnsi="宋体" w:eastAsia="宋体" w:cs="宋体"/>
                <w:b w:val="0"/>
                <w:i w:val="0"/>
                <w:color w:val="000000"/>
                <w:sz w:val="15"/>
              </w:rPr>
              <w:t>1.00</w:t>
            </w:r>
          </w:p>
        </w:tc>
        <w:tc>
          <w:tcPr>
            <w:tcW w:w="1600" w:type="dxa"/>
            <w:vAlign w:val="center"/>
          </w:tcPr>
          <w:p>
            <w:pPr>
              <w:jc w:val="right"/>
            </w:pPr>
            <w:r>
              <w:rPr>
                <w:rFonts w:ascii="宋体" w:hAnsi="宋体" w:eastAsia="宋体" w:cs="宋体"/>
                <w:b w:val="0"/>
                <w:i w:val="0"/>
                <w:color w:val="000000"/>
                <w:sz w:val="15"/>
              </w:rPr>
              <w:t>1.00</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21499</w:t>
            </w:r>
          </w:p>
        </w:tc>
        <w:tc>
          <w:tcPr>
            <w:tcW w:w="2800" w:type="dxa"/>
            <w:vAlign w:val="center"/>
          </w:tcPr>
          <w:p>
            <w:pPr>
              <w:jc w:val="left"/>
            </w:pPr>
            <w:r>
              <w:rPr>
                <w:rFonts w:ascii="宋体" w:hAnsi="宋体" w:eastAsia="宋体" w:cs="宋体"/>
                <w:b w:val="0"/>
                <w:i w:val="0"/>
                <w:color w:val="000000"/>
                <w:sz w:val="15"/>
              </w:rPr>
              <w:t>其他交通运输支出</w:t>
            </w:r>
          </w:p>
        </w:tc>
        <w:tc>
          <w:tcPr>
            <w:tcW w:w="1600" w:type="dxa"/>
            <w:vAlign w:val="center"/>
          </w:tcPr>
          <w:p>
            <w:pPr>
              <w:jc w:val="right"/>
            </w:pPr>
            <w:r>
              <w:rPr>
                <w:rFonts w:ascii="宋体" w:hAnsi="宋体" w:eastAsia="宋体" w:cs="宋体"/>
                <w:b w:val="0"/>
                <w:i w:val="0"/>
                <w:color w:val="000000"/>
                <w:sz w:val="15"/>
              </w:rPr>
              <w:t>3,417.22</w:t>
            </w:r>
          </w:p>
        </w:tc>
        <w:tc>
          <w:tcPr>
            <w:tcW w:w="1600" w:type="dxa"/>
            <w:vAlign w:val="center"/>
          </w:tcPr>
          <w:p>
            <w:pPr>
              <w:jc w:val="right"/>
            </w:pPr>
            <w:r>
              <w:rPr>
                <w:rFonts w:ascii="宋体" w:hAnsi="宋体" w:eastAsia="宋体" w:cs="宋体"/>
                <w:b w:val="0"/>
                <w:i w:val="0"/>
                <w:color w:val="000000"/>
                <w:sz w:val="15"/>
              </w:rPr>
              <w:t>827.86</w:t>
            </w:r>
          </w:p>
        </w:tc>
        <w:tc>
          <w:tcPr>
            <w:tcW w:w="1586" w:type="dxa"/>
            <w:vAlign w:val="center"/>
          </w:tcPr>
          <w:p>
            <w:pPr>
              <w:jc w:val="right"/>
            </w:pPr>
            <w:r>
              <w:rPr>
                <w:rFonts w:ascii="宋体" w:hAnsi="宋体" w:eastAsia="宋体" w:cs="宋体"/>
                <w:b w:val="0"/>
                <w:i w:val="0"/>
                <w:color w:val="000000"/>
                <w:sz w:val="15"/>
              </w:rPr>
              <w:t>2,589.36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2149999</w:t>
            </w:r>
          </w:p>
        </w:tc>
        <w:tc>
          <w:tcPr>
            <w:tcW w:w="2800" w:type="dxa"/>
            <w:vAlign w:val="center"/>
          </w:tcPr>
          <w:p>
            <w:pPr>
              <w:jc w:val="left"/>
            </w:pPr>
            <w:r>
              <w:rPr>
                <w:rFonts w:ascii="宋体" w:hAnsi="宋体" w:eastAsia="宋体" w:cs="宋体"/>
                <w:b w:val="0"/>
                <w:i w:val="0"/>
                <w:color w:val="000000"/>
                <w:sz w:val="15"/>
              </w:rPr>
              <w:t>其他交通运输支出</w:t>
            </w:r>
          </w:p>
        </w:tc>
        <w:tc>
          <w:tcPr>
            <w:tcW w:w="1600" w:type="dxa"/>
            <w:vAlign w:val="center"/>
          </w:tcPr>
          <w:p>
            <w:pPr>
              <w:jc w:val="right"/>
            </w:pPr>
            <w:r>
              <w:rPr>
                <w:rFonts w:ascii="宋体" w:hAnsi="宋体" w:eastAsia="宋体" w:cs="宋体"/>
                <w:b w:val="0"/>
                <w:i w:val="0"/>
                <w:color w:val="000000"/>
                <w:sz w:val="15"/>
              </w:rPr>
              <w:t>3,417.22</w:t>
            </w:r>
          </w:p>
        </w:tc>
        <w:tc>
          <w:tcPr>
            <w:tcW w:w="1600" w:type="dxa"/>
            <w:vAlign w:val="center"/>
          </w:tcPr>
          <w:p>
            <w:pPr>
              <w:jc w:val="right"/>
            </w:pPr>
            <w:r>
              <w:rPr>
                <w:rFonts w:ascii="宋体" w:hAnsi="宋体" w:eastAsia="宋体" w:cs="宋体"/>
                <w:b w:val="0"/>
                <w:i w:val="0"/>
                <w:color w:val="000000"/>
                <w:sz w:val="15"/>
              </w:rPr>
              <w:t>827.86</w:t>
            </w:r>
          </w:p>
        </w:tc>
        <w:tc>
          <w:tcPr>
            <w:tcW w:w="1586" w:type="dxa"/>
            <w:vAlign w:val="center"/>
          </w:tcPr>
          <w:p>
            <w:pPr>
              <w:jc w:val="right"/>
            </w:pPr>
            <w:r>
              <w:rPr>
                <w:rFonts w:ascii="宋体" w:hAnsi="宋体" w:eastAsia="宋体" w:cs="宋体"/>
                <w:b w:val="0"/>
                <w:i w:val="0"/>
                <w:color w:val="000000"/>
                <w:sz w:val="15"/>
              </w:rPr>
              <w:t>2,589.36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221</w:t>
            </w:r>
          </w:p>
        </w:tc>
        <w:tc>
          <w:tcPr>
            <w:tcW w:w="2800" w:type="dxa"/>
            <w:vAlign w:val="center"/>
          </w:tcPr>
          <w:p>
            <w:pPr>
              <w:jc w:val="left"/>
            </w:pPr>
            <w:r>
              <w:rPr>
                <w:rFonts w:ascii="宋体" w:hAnsi="宋体" w:eastAsia="宋体" w:cs="宋体"/>
                <w:b w:val="0"/>
                <w:i w:val="0"/>
                <w:color w:val="000000"/>
                <w:sz w:val="15"/>
              </w:rPr>
              <w:t>住房保障支出</w:t>
            </w:r>
          </w:p>
        </w:tc>
        <w:tc>
          <w:tcPr>
            <w:tcW w:w="1600" w:type="dxa"/>
            <w:vAlign w:val="center"/>
          </w:tcPr>
          <w:p>
            <w:pPr>
              <w:jc w:val="right"/>
            </w:pPr>
            <w:r>
              <w:rPr>
                <w:rFonts w:ascii="宋体" w:hAnsi="宋体" w:eastAsia="宋体" w:cs="宋体"/>
                <w:b w:val="0"/>
                <w:i w:val="0"/>
                <w:color w:val="000000"/>
                <w:sz w:val="15"/>
              </w:rPr>
              <w:t>88.63</w:t>
            </w:r>
          </w:p>
        </w:tc>
        <w:tc>
          <w:tcPr>
            <w:tcW w:w="1600" w:type="dxa"/>
            <w:vAlign w:val="center"/>
          </w:tcPr>
          <w:p>
            <w:pPr>
              <w:jc w:val="right"/>
            </w:pPr>
            <w:r>
              <w:rPr>
                <w:rFonts w:ascii="宋体" w:hAnsi="宋体" w:eastAsia="宋体" w:cs="宋体"/>
                <w:b w:val="0"/>
                <w:i w:val="0"/>
                <w:color w:val="000000"/>
                <w:sz w:val="15"/>
              </w:rPr>
              <w:t>88.63</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22102</w:t>
            </w:r>
          </w:p>
        </w:tc>
        <w:tc>
          <w:tcPr>
            <w:tcW w:w="2800" w:type="dxa"/>
            <w:vAlign w:val="center"/>
          </w:tcPr>
          <w:p>
            <w:pPr>
              <w:jc w:val="left"/>
            </w:pPr>
            <w:r>
              <w:rPr>
                <w:rFonts w:ascii="宋体" w:hAnsi="宋体" w:eastAsia="宋体" w:cs="宋体"/>
                <w:b w:val="0"/>
                <w:i w:val="0"/>
                <w:color w:val="000000"/>
                <w:sz w:val="15"/>
              </w:rPr>
              <w:t>住房改革支出</w:t>
            </w:r>
          </w:p>
        </w:tc>
        <w:tc>
          <w:tcPr>
            <w:tcW w:w="1600" w:type="dxa"/>
            <w:vAlign w:val="center"/>
          </w:tcPr>
          <w:p>
            <w:pPr>
              <w:jc w:val="right"/>
            </w:pPr>
            <w:r>
              <w:rPr>
                <w:rFonts w:ascii="宋体" w:hAnsi="宋体" w:eastAsia="宋体" w:cs="宋体"/>
                <w:b w:val="0"/>
                <w:i w:val="0"/>
                <w:color w:val="000000"/>
                <w:sz w:val="15"/>
              </w:rPr>
              <w:t>88.63</w:t>
            </w:r>
          </w:p>
        </w:tc>
        <w:tc>
          <w:tcPr>
            <w:tcW w:w="1600" w:type="dxa"/>
            <w:vAlign w:val="center"/>
          </w:tcPr>
          <w:p>
            <w:pPr>
              <w:jc w:val="right"/>
            </w:pPr>
            <w:r>
              <w:rPr>
                <w:rFonts w:ascii="宋体" w:hAnsi="宋体" w:eastAsia="宋体" w:cs="宋体"/>
                <w:b w:val="0"/>
                <w:i w:val="0"/>
                <w:color w:val="000000"/>
                <w:sz w:val="15"/>
              </w:rPr>
              <w:t>88.63</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vAlign w:val="center"/>
          </w:tcPr>
          <w:p>
            <w:pPr>
              <w:jc w:val="left"/>
            </w:pPr>
            <w:r>
              <w:rPr>
                <w:rFonts w:ascii="宋体" w:hAnsi="宋体" w:eastAsia="宋体" w:cs="宋体"/>
                <w:b w:val="0"/>
                <w:i w:val="0"/>
                <w:color w:val="000000"/>
                <w:sz w:val="15"/>
              </w:rPr>
              <w:t>2210201</w:t>
            </w:r>
          </w:p>
        </w:tc>
        <w:tc>
          <w:tcPr>
            <w:tcW w:w="2800" w:type="dxa"/>
            <w:vAlign w:val="center"/>
          </w:tcPr>
          <w:p>
            <w:pPr>
              <w:jc w:val="left"/>
            </w:pPr>
            <w:r>
              <w:rPr>
                <w:rFonts w:ascii="宋体" w:hAnsi="宋体" w:eastAsia="宋体" w:cs="宋体"/>
                <w:b w:val="0"/>
                <w:i w:val="0"/>
                <w:color w:val="000000"/>
                <w:sz w:val="15"/>
              </w:rPr>
              <w:t>住房公积金</w:t>
            </w:r>
          </w:p>
        </w:tc>
        <w:tc>
          <w:tcPr>
            <w:tcW w:w="1600" w:type="dxa"/>
            <w:vAlign w:val="center"/>
          </w:tcPr>
          <w:p>
            <w:pPr>
              <w:jc w:val="right"/>
            </w:pPr>
            <w:r>
              <w:rPr>
                <w:rFonts w:ascii="宋体" w:hAnsi="宋体" w:eastAsia="宋体" w:cs="宋体"/>
                <w:b w:val="0"/>
                <w:i w:val="0"/>
                <w:color w:val="000000"/>
                <w:sz w:val="15"/>
              </w:rPr>
              <w:t>88.63</w:t>
            </w:r>
          </w:p>
        </w:tc>
        <w:tc>
          <w:tcPr>
            <w:tcW w:w="1600" w:type="dxa"/>
            <w:vAlign w:val="center"/>
          </w:tcPr>
          <w:p>
            <w:pPr>
              <w:jc w:val="right"/>
            </w:pPr>
            <w:r>
              <w:rPr>
                <w:rFonts w:ascii="宋体" w:hAnsi="宋体" w:eastAsia="宋体" w:cs="宋体"/>
                <w:b w:val="0"/>
                <w:i w:val="0"/>
                <w:color w:val="000000"/>
                <w:sz w:val="15"/>
              </w:rPr>
              <w:t>88.63</w:t>
            </w:r>
          </w:p>
        </w:tc>
        <w:tc>
          <w:tcPr>
            <w:tcW w:w="1586" w:type="dxa"/>
            <w:vAlign w:val="center"/>
          </w:tcPr>
          <w:p>
            <w:pPr>
              <w:jc w:val="right"/>
            </w:pPr>
            <w:r>
              <w:rPr>
                <w:rFonts w:ascii="宋体" w:hAnsi="宋体" w:eastAsia="宋体" w:cs="宋体"/>
                <w:b w:val="0"/>
                <w:i w:val="0"/>
                <w:color w:val="000000"/>
                <w:sz w:val="15"/>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5"/>
              </w:rPr>
              <w:t>注：本表反映部门本年度一般公共预算财政拨款支出情况。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20" w:hRule="exact"/>
          <w:jc w:val="center"/>
        </w:trPr>
        <w:tc>
          <w:tcPr>
            <w:tcW w:w="24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六、一般公共预算财政拨款基本支出决算明细表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40"/>
        <w:gridCol w:w="1580"/>
        <w:gridCol w:w="820"/>
        <w:gridCol w:w="340"/>
        <w:gridCol w:w="1260"/>
        <w:gridCol w:w="820"/>
        <w:gridCol w:w="340"/>
        <w:gridCol w:w="2040"/>
        <w:gridCol w:w="7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Merge w:val="restart"/>
            <w:vAlign w:val="center"/>
          </w:tcPr>
          <w:p>
            <w:pPr>
              <w:jc w:val="center"/>
            </w:pPr>
            <w:r>
              <w:rPr>
                <w:rFonts w:ascii="宋体" w:hAnsi="宋体" w:eastAsia="宋体" w:cs="宋体"/>
                <w:b w:val="0"/>
                <w:i w:val="0"/>
                <w:color w:val="000000"/>
                <w:sz w:val="9"/>
              </w:rPr>
              <w:t>科目代码</w:t>
            </w:r>
          </w:p>
        </w:tc>
        <w:tc>
          <w:tcPr>
            <w:tcW w:w="1580" w:type="dxa"/>
            <w:vMerge w:val="restart"/>
            <w:vAlign w:val="center"/>
          </w:tcPr>
          <w:p>
            <w:pPr>
              <w:jc w:val="center"/>
            </w:pPr>
            <w:r>
              <w:rPr>
                <w:rFonts w:ascii="宋体" w:hAnsi="宋体" w:eastAsia="宋体" w:cs="宋体"/>
                <w:b w:val="0"/>
                <w:i w:val="0"/>
                <w:color w:val="000000"/>
                <w:sz w:val="9"/>
              </w:rPr>
              <w:t>科目名称</w:t>
            </w:r>
          </w:p>
        </w:tc>
        <w:tc>
          <w:tcPr>
            <w:tcW w:w="820" w:type="dxa"/>
            <w:vMerge w:val="restart"/>
            <w:vAlign w:val="center"/>
          </w:tcPr>
          <w:p>
            <w:pPr>
              <w:jc w:val="center"/>
            </w:pPr>
            <w:r>
              <w:rPr>
                <w:rFonts w:ascii="宋体" w:hAnsi="宋体" w:eastAsia="宋体" w:cs="宋体"/>
                <w:b w:val="0"/>
                <w:i w:val="0"/>
                <w:color w:val="000000"/>
                <w:sz w:val="9"/>
              </w:rPr>
              <w:t>决算数</w:t>
            </w:r>
          </w:p>
        </w:tc>
        <w:tc>
          <w:tcPr>
            <w:tcW w:w="340" w:type="dxa"/>
            <w:vMerge w:val="restart"/>
            <w:vAlign w:val="center"/>
          </w:tcPr>
          <w:p>
            <w:pPr>
              <w:jc w:val="center"/>
            </w:pPr>
            <w:r>
              <w:rPr>
                <w:rFonts w:ascii="宋体" w:hAnsi="宋体" w:eastAsia="宋体" w:cs="宋体"/>
                <w:b w:val="0"/>
                <w:i w:val="0"/>
                <w:color w:val="000000"/>
                <w:sz w:val="9"/>
              </w:rPr>
              <w:t>科目代码</w:t>
            </w:r>
          </w:p>
        </w:tc>
        <w:tc>
          <w:tcPr>
            <w:tcW w:w="1260" w:type="dxa"/>
            <w:vMerge w:val="restart"/>
            <w:vAlign w:val="center"/>
          </w:tcPr>
          <w:p>
            <w:pPr>
              <w:jc w:val="center"/>
            </w:pPr>
            <w:r>
              <w:rPr>
                <w:rFonts w:ascii="宋体" w:hAnsi="宋体" w:eastAsia="宋体" w:cs="宋体"/>
                <w:b w:val="0"/>
                <w:i w:val="0"/>
                <w:color w:val="000000"/>
                <w:sz w:val="9"/>
              </w:rPr>
              <w:t>科目名称</w:t>
            </w:r>
          </w:p>
        </w:tc>
        <w:tc>
          <w:tcPr>
            <w:tcW w:w="820" w:type="dxa"/>
            <w:vMerge w:val="restart"/>
            <w:vAlign w:val="center"/>
          </w:tcPr>
          <w:p>
            <w:pPr>
              <w:jc w:val="center"/>
            </w:pPr>
            <w:r>
              <w:rPr>
                <w:rFonts w:ascii="宋体" w:hAnsi="宋体" w:eastAsia="宋体" w:cs="宋体"/>
                <w:b w:val="0"/>
                <w:i w:val="0"/>
                <w:color w:val="000000"/>
                <w:sz w:val="9"/>
              </w:rPr>
              <w:t>决算数</w:t>
            </w:r>
          </w:p>
        </w:tc>
        <w:tc>
          <w:tcPr>
            <w:tcW w:w="340" w:type="dxa"/>
            <w:vMerge w:val="restart"/>
            <w:vAlign w:val="center"/>
          </w:tcPr>
          <w:p>
            <w:pPr>
              <w:jc w:val="center"/>
            </w:pPr>
            <w:r>
              <w:rPr>
                <w:rFonts w:ascii="宋体" w:hAnsi="宋体" w:eastAsia="宋体" w:cs="宋体"/>
                <w:b w:val="0"/>
                <w:i w:val="0"/>
                <w:color w:val="000000"/>
                <w:sz w:val="9"/>
              </w:rPr>
              <w:t>科目代码</w:t>
            </w:r>
          </w:p>
        </w:tc>
        <w:tc>
          <w:tcPr>
            <w:tcW w:w="2040" w:type="dxa"/>
            <w:vMerge w:val="restart"/>
            <w:vAlign w:val="center"/>
          </w:tcPr>
          <w:p>
            <w:pPr>
              <w:jc w:val="center"/>
            </w:pPr>
            <w:r>
              <w:rPr>
                <w:rFonts w:ascii="宋体" w:hAnsi="宋体" w:eastAsia="宋体" w:cs="宋体"/>
                <w:b w:val="0"/>
                <w:i w:val="0"/>
                <w:color w:val="000000"/>
                <w:sz w:val="9"/>
              </w:rPr>
              <w:t>科目名称</w:t>
            </w:r>
          </w:p>
        </w:tc>
        <w:tc>
          <w:tcPr>
            <w:tcW w:w="766" w:type="dxa"/>
            <w:vMerge w:val="restart"/>
            <w:vAlign w:val="center"/>
          </w:tcPr>
          <w:p>
            <w:pPr>
              <w:jc w:val="center"/>
            </w:pPr>
            <w:r>
              <w:rPr>
                <w:rFonts w:ascii="宋体" w:hAnsi="宋体" w:eastAsia="宋体" w:cs="宋体"/>
                <w:b w:val="0"/>
                <w:i w:val="0"/>
                <w:color w:val="000000"/>
                <w:sz w:val="9"/>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Merge w:val="continue"/>
            <w:vAlign w:val="center"/>
          </w:tcPr>
          <w:p/>
        </w:tc>
        <w:tc>
          <w:tcPr>
            <w:tcW w:w="1580" w:type="dxa"/>
            <w:vMerge w:val="continue"/>
            <w:vAlign w:val="center"/>
          </w:tcPr>
          <w:p/>
        </w:tc>
        <w:tc>
          <w:tcPr>
            <w:tcW w:w="820" w:type="dxa"/>
            <w:vMerge w:val="continue"/>
            <w:vAlign w:val="center"/>
          </w:tcPr>
          <w:p/>
        </w:tc>
        <w:tc>
          <w:tcPr>
            <w:tcW w:w="340" w:type="dxa"/>
            <w:vMerge w:val="continue"/>
            <w:vAlign w:val="center"/>
          </w:tcPr>
          <w:p/>
        </w:tc>
        <w:tc>
          <w:tcPr>
            <w:tcW w:w="1260" w:type="dxa"/>
            <w:vMerge w:val="continue"/>
            <w:vAlign w:val="center"/>
          </w:tcPr>
          <w:p/>
        </w:tc>
        <w:tc>
          <w:tcPr>
            <w:tcW w:w="820" w:type="dxa"/>
            <w:vMerge w:val="continue"/>
            <w:vAlign w:val="center"/>
          </w:tcPr>
          <w:p/>
        </w:tc>
        <w:tc>
          <w:tcPr>
            <w:tcW w:w="340" w:type="dxa"/>
            <w:vMerge w:val="continue"/>
            <w:vAlign w:val="center"/>
          </w:tcPr>
          <w:p/>
        </w:tc>
        <w:tc>
          <w:tcPr>
            <w:tcW w:w="2040" w:type="dxa"/>
            <w:vMerge w:val="continue"/>
            <w:vAlign w:val="center"/>
          </w:tcPr>
          <w:p/>
        </w:tc>
        <w:tc>
          <w:tcPr>
            <w:tcW w:w="7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w:t>
            </w:r>
          </w:p>
        </w:tc>
        <w:tc>
          <w:tcPr>
            <w:tcW w:w="1580" w:type="dxa"/>
            <w:vAlign w:val="center"/>
          </w:tcPr>
          <w:p>
            <w:pPr>
              <w:jc w:val="left"/>
            </w:pPr>
            <w:r>
              <w:rPr>
                <w:rFonts w:ascii="宋体" w:hAnsi="宋体" w:eastAsia="宋体" w:cs="宋体"/>
                <w:b w:val="0"/>
                <w:i w:val="0"/>
                <w:color w:val="000000"/>
                <w:sz w:val="9"/>
              </w:rPr>
              <w:t>工资福利支出</w:t>
            </w:r>
          </w:p>
        </w:tc>
        <w:tc>
          <w:tcPr>
            <w:tcW w:w="820" w:type="dxa"/>
            <w:vAlign w:val="center"/>
          </w:tcPr>
          <w:p>
            <w:pPr>
              <w:jc w:val="right"/>
            </w:pPr>
            <w:r>
              <w:rPr>
                <w:rFonts w:ascii="宋体" w:hAnsi="宋体" w:eastAsia="宋体" w:cs="宋体"/>
                <w:b w:val="0"/>
                <w:i w:val="0"/>
                <w:color w:val="000000"/>
                <w:sz w:val="9"/>
              </w:rPr>
              <w:t>1,029.75</w:t>
            </w:r>
          </w:p>
        </w:tc>
        <w:tc>
          <w:tcPr>
            <w:tcW w:w="340" w:type="dxa"/>
            <w:vAlign w:val="center"/>
          </w:tcPr>
          <w:p>
            <w:pPr>
              <w:jc w:val="left"/>
            </w:pPr>
            <w:r>
              <w:rPr>
                <w:rFonts w:ascii="宋体" w:hAnsi="宋体" w:eastAsia="宋体" w:cs="宋体"/>
                <w:b w:val="0"/>
                <w:i w:val="0"/>
                <w:color w:val="000000"/>
                <w:sz w:val="9"/>
              </w:rPr>
              <w:t>302</w:t>
            </w:r>
          </w:p>
        </w:tc>
        <w:tc>
          <w:tcPr>
            <w:tcW w:w="1260" w:type="dxa"/>
            <w:vAlign w:val="center"/>
          </w:tcPr>
          <w:p>
            <w:pPr>
              <w:jc w:val="left"/>
            </w:pPr>
            <w:r>
              <w:rPr>
                <w:rFonts w:ascii="宋体" w:hAnsi="宋体" w:eastAsia="宋体" w:cs="宋体"/>
                <w:b w:val="0"/>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133.35</w:t>
            </w:r>
          </w:p>
        </w:tc>
        <w:tc>
          <w:tcPr>
            <w:tcW w:w="340" w:type="dxa"/>
            <w:vAlign w:val="center"/>
          </w:tcPr>
          <w:p>
            <w:pPr>
              <w:jc w:val="left"/>
            </w:pPr>
            <w:r>
              <w:rPr>
                <w:rFonts w:ascii="宋体" w:hAnsi="宋体" w:eastAsia="宋体" w:cs="宋体"/>
                <w:b w:val="0"/>
                <w:i w:val="0"/>
                <w:color w:val="000000"/>
                <w:sz w:val="9"/>
              </w:rPr>
              <w:t>307</w:t>
            </w:r>
          </w:p>
        </w:tc>
        <w:tc>
          <w:tcPr>
            <w:tcW w:w="2040" w:type="dxa"/>
            <w:vAlign w:val="center"/>
          </w:tcPr>
          <w:p>
            <w:pPr>
              <w:jc w:val="left"/>
            </w:pPr>
            <w:r>
              <w:rPr>
                <w:rFonts w:ascii="宋体" w:hAnsi="宋体" w:eastAsia="宋体" w:cs="宋体"/>
                <w:b w:val="0"/>
                <w:i w:val="0"/>
                <w:color w:val="000000"/>
                <w:sz w:val="9"/>
              </w:rPr>
              <w:t>债务利息及费用支出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30101</w:t>
            </w:r>
          </w:p>
        </w:tc>
        <w:tc>
          <w:tcPr>
            <w:tcW w:w="1580" w:type="dxa"/>
            <w:vAlign w:val="center"/>
          </w:tcPr>
          <w:p>
            <w:pPr>
              <w:jc w:val="left"/>
            </w:pPr>
            <w:r>
              <w:rPr>
                <w:rFonts w:ascii="宋体" w:hAnsi="宋体" w:eastAsia="宋体" w:cs="宋体"/>
                <w:b w:val="0"/>
                <w:i w:val="0"/>
                <w:color w:val="000000"/>
                <w:sz w:val="9"/>
              </w:rPr>
              <w:t xml:space="preserve">  基本工资</w:t>
            </w:r>
          </w:p>
        </w:tc>
        <w:tc>
          <w:tcPr>
            <w:tcW w:w="820" w:type="dxa"/>
            <w:vAlign w:val="center"/>
          </w:tcPr>
          <w:p>
            <w:pPr>
              <w:jc w:val="right"/>
            </w:pPr>
            <w:r>
              <w:rPr>
                <w:rFonts w:ascii="宋体" w:hAnsi="宋体" w:eastAsia="宋体" w:cs="宋体"/>
                <w:b w:val="0"/>
                <w:i w:val="0"/>
                <w:color w:val="000000"/>
                <w:sz w:val="9"/>
              </w:rPr>
              <w:t>216.55</w:t>
            </w:r>
          </w:p>
        </w:tc>
        <w:tc>
          <w:tcPr>
            <w:tcW w:w="340" w:type="dxa"/>
            <w:vAlign w:val="center"/>
          </w:tcPr>
          <w:p>
            <w:pPr>
              <w:jc w:val="left"/>
            </w:pPr>
            <w:r>
              <w:rPr>
                <w:rFonts w:ascii="宋体" w:hAnsi="宋体" w:eastAsia="宋体" w:cs="宋体"/>
                <w:b w:val="0"/>
                <w:i w:val="0"/>
                <w:color w:val="000000"/>
                <w:sz w:val="9"/>
              </w:rPr>
              <w:t>30201</w:t>
            </w:r>
          </w:p>
        </w:tc>
        <w:tc>
          <w:tcPr>
            <w:tcW w:w="126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pPr>
              <w:jc w:val="right"/>
            </w:pPr>
            <w:r>
              <w:rPr>
                <w:rFonts w:ascii="宋体" w:hAnsi="宋体" w:eastAsia="宋体" w:cs="宋体"/>
                <w:b w:val="0"/>
                <w:i w:val="0"/>
                <w:color w:val="000000"/>
                <w:sz w:val="9"/>
              </w:rPr>
              <w:t>8.31</w:t>
            </w:r>
          </w:p>
        </w:tc>
        <w:tc>
          <w:tcPr>
            <w:tcW w:w="340" w:type="dxa"/>
            <w:vAlign w:val="center"/>
          </w:tcPr>
          <w:p>
            <w:pPr>
              <w:jc w:val="left"/>
            </w:pPr>
            <w:r>
              <w:rPr>
                <w:rFonts w:ascii="宋体" w:hAnsi="宋体" w:eastAsia="宋体" w:cs="宋体"/>
                <w:b w:val="0"/>
                <w:i w:val="0"/>
                <w:color w:val="000000"/>
                <w:sz w:val="9"/>
              </w:rPr>
              <w:t>30701</w:t>
            </w:r>
          </w:p>
        </w:tc>
        <w:tc>
          <w:tcPr>
            <w:tcW w:w="2040" w:type="dxa"/>
            <w:vAlign w:val="center"/>
          </w:tcPr>
          <w:p>
            <w:pPr>
              <w:jc w:val="left"/>
            </w:pPr>
            <w:r>
              <w:rPr>
                <w:rFonts w:ascii="宋体" w:hAnsi="宋体" w:eastAsia="宋体" w:cs="宋体"/>
                <w:b w:val="0"/>
                <w:i w:val="0"/>
                <w:color w:val="000000"/>
                <w:sz w:val="9"/>
              </w:rPr>
              <w:t xml:space="preserve">  国内债务付息</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30102</w:t>
            </w:r>
          </w:p>
        </w:tc>
        <w:tc>
          <w:tcPr>
            <w:tcW w:w="1580" w:type="dxa"/>
            <w:vAlign w:val="center"/>
          </w:tcPr>
          <w:p>
            <w:pPr>
              <w:jc w:val="left"/>
            </w:pPr>
            <w:r>
              <w:rPr>
                <w:rFonts w:ascii="宋体" w:hAnsi="宋体" w:eastAsia="宋体" w:cs="宋体"/>
                <w:b w:val="0"/>
                <w:i w:val="0"/>
                <w:color w:val="000000"/>
                <w:sz w:val="9"/>
              </w:rPr>
              <w:t xml:space="preserve">  津贴补贴</w:t>
            </w:r>
          </w:p>
        </w:tc>
        <w:tc>
          <w:tcPr>
            <w:tcW w:w="820" w:type="dxa"/>
            <w:vAlign w:val="center"/>
          </w:tcPr>
          <w:p>
            <w:pPr>
              <w:jc w:val="right"/>
            </w:pPr>
            <w:r>
              <w:rPr>
                <w:rFonts w:ascii="宋体" w:hAnsi="宋体" w:eastAsia="宋体" w:cs="宋体"/>
                <w:b w:val="0"/>
                <w:i w:val="0"/>
                <w:color w:val="000000"/>
                <w:sz w:val="9"/>
              </w:rPr>
              <w:t>64.40</w:t>
            </w:r>
          </w:p>
        </w:tc>
        <w:tc>
          <w:tcPr>
            <w:tcW w:w="340" w:type="dxa"/>
            <w:vAlign w:val="center"/>
          </w:tcPr>
          <w:p>
            <w:pPr>
              <w:jc w:val="left"/>
            </w:pPr>
            <w:r>
              <w:rPr>
                <w:rFonts w:ascii="宋体" w:hAnsi="宋体" w:eastAsia="宋体" w:cs="宋体"/>
                <w:b w:val="0"/>
                <w:i w:val="0"/>
                <w:color w:val="000000"/>
                <w:sz w:val="9"/>
              </w:rPr>
              <w:t>30202</w:t>
            </w:r>
          </w:p>
        </w:tc>
        <w:tc>
          <w:tcPr>
            <w:tcW w:w="126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pPr>
              <w:jc w:val="right"/>
            </w:pPr>
            <w:r>
              <w:rPr>
                <w:rFonts w:ascii="宋体" w:hAnsi="宋体" w:eastAsia="宋体" w:cs="宋体"/>
                <w:b w:val="0"/>
                <w:i w:val="0"/>
                <w:color w:val="000000"/>
                <w:sz w:val="9"/>
              </w:rPr>
              <w:t>2.58</w:t>
            </w:r>
          </w:p>
        </w:tc>
        <w:tc>
          <w:tcPr>
            <w:tcW w:w="340" w:type="dxa"/>
            <w:vAlign w:val="center"/>
          </w:tcPr>
          <w:p>
            <w:pPr>
              <w:jc w:val="left"/>
            </w:pPr>
            <w:r>
              <w:rPr>
                <w:rFonts w:ascii="宋体" w:hAnsi="宋体" w:eastAsia="宋体" w:cs="宋体"/>
                <w:b w:val="0"/>
                <w:i w:val="0"/>
                <w:color w:val="000000"/>
                <w:sz w:val="9"/>
              </w:rPr>
              <w:t>30702</w:t>
            </w:r>
          </w:p>
        </w:tc>
        <w:tc>
          <w:tcPr>
            <w:tcW w:w="2040" w:type="dxa"/>
            <w:vAlign w:val="center"/>
          </w:tcPr>
          <w:p>
            <w:pPr>
              <w:jc w:val="left"/>
            </w:pPr>
            <w:r>
              <w:rPr>
                <w:rFonts w:ascii="宋体" w:hAnsi="宋体" w:eastAsia="宋体" w:cs="宋体"/>
                <w:b w:val="0"/>
                <w:i w:val="0"/>
                <w:color w:val="000000"/>
                <w:sz w:val="9"/>
              </w:rPr>
              <w:t xml:space="preserve">  国外债务付息</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30103</w:t>
            </w:r>
          </w:p>
        </w:tc>
        <w:tc>
          <w:tcPr>
            <w:tcW w:w="1580" w:type="dxa"/>
            <w:vAlign w:val="center"/>
          </w:tcPr>
          <w:p>
            <w:pPr>
              <w:jc w:val="left"/>
            </w:pPr>
            <w:r>
              <w:rPr>
                <w:rFonts w:ascii="宋体" w:hAnsi="宋体" w:eastAsia="宋体" w:cs="宋体"/>
                <w:b w:val="0"/>
                <w:i w:val="0"/>
                <w:color w:val="000000"/>
                <w:sz w:val="9"/>
              </w:rPr>
              <w:t xml:space="preserve">  奖金</w:t>
            </w:r>
          </w:p>
        </w:tc>
        <w:tc>
          <w:tcPr>
            <w:tcW w:w="820" w:type="dxa"/>
            <w:vAlign w:val="center"/>
          </w:tcPr>
          <w:p>
            <w:pPr>
              <w:jc w:val="right"/>
            </w:pPr>
            <w:r>
              <w:rPr>
                <w:rFonts w:ascii="宋体" w:hAnsi="宋体" w:eastAsia="宋体" w:cs="宋体"/>
                <w:b w:val="0"/>
                <w:i w:val="0"/>
                <w:color w:val="000000"/>
                <w:sz w:val="9"/>
              </w:rPr>
              <w:t>286.03</w:t>
            </w:r>
          </w:p>
        </w:tc>
        <w:tc>
          <w:tcPr>
            <w:tcW w:w="340" w:type="dxa"/>
            <w:vAlign w:val="center"/>
          </w:tcPr>
          <w:p>
            <w:pPr>
              <w:jc w:val="left"/>
            </w:pPr>
            <w:r>
              <w:rPr>
                <w:rFonts w:ascii="宋体" w:hAnsi="宋体" w:eastAsia="宋体" w:cs="宋体"/>
                <w:b w:val="0"/>
                <w:i w:val="0"/>
                <w:color w:val="000000"/>
                <w:sz w:val="9"/>
              </w:rPr>
              <w:t>30203</w:t>
            </w:r>
          </w:p>
        </w:tc>
        <w:tc>
          <w:tcPr>
            <w:tcW w:w="126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pPr>
              <w:jc w:val="right"/>
            </w:pPr>
            <w:r>
              <w:rPr>
                <w:rFonts w:ascii="宋体" w:hAnsi="宋体" w:eastAsia="宋体" w:cs="宋体"/>
                <w:b w:val="0"/>
                <w:i w:val="0"/>
                <w:color w:val="000000"/>
                <w:sz w:val="9"/>
              </w:rPr>
              <w:t>2.00</w:t>
            </w:r>
          </w:p>
        </w:tc>
        <w:tc>
          <w:tcPr>
            <w:tcW w:w="340" w:type="dxa"/>
            <w:vAlign w:val="center"/>
          </w:tcPr>
          <w:p>
            <w:pPr>
              <w:jc w:val="left"/>
            </w:pPr>
            <w:r>
              <w:rPr>
                <w:rFonts w:ascii="宋体" w:hAnsi="宋体" w:eastAsia="宋体" w:cs="宋体"/>
                <w:b w:val="0"/>
                <w:i w:val="0"/>
                <w:color w:val="000000"/>
                <w:sz w:val="9"/>
              </w:rPr>
              <w:t>310</w:t>
            </w:r>
          </w:p>
        </w:tc>
        <w:tc>
          <w:tcPr>
            <w:tcW w:w="2040" w:type="dxa"/>
            <w:vAlign w:val="center"/>
          </w:tcPr>
          <w:p>
            <w:pPr>
              <w:jc w:val="left"/>
            </w:pPr>
            <w:r>
              <w:rPr>
                <w:rFonts w:ascii="宋体" w:hAnsi="宋体" w:eastAsia="宋体" w:cs="宋体"/>
                <w:b w:val="0"/>
                <w:i w:val="0"/>
                <w:color w:val="000000"/>
                <w:sz w:val="9"/>
              </w:rPr>
              <w:t>资本性支出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30106</w:t>
            </w:r>
          </w:p>
        </w:tc>
        <w:tc>
          <w:tcPr>
            <w:tcW w:w="1580" w:type="dxa"/>
            <w:vAlign w:val="center"/>
          </w:tcPr>
          <w:p>
            <w:pPr>
              <w:jc w:val="left"/>
            </w:pPr>
            <w:r>
              <w:rPr>
                <w:rFonts w:ascii="宋体" w:hAnsi="宋体" w:eastAsia="宋体" w:cs="宋体"/>
                <w:b w:val="0"/>
                <w:i w:val="0"/>
                <w:color w:val="000000"/>
                <w:sz w:val="9"/>
              </w:rPr>
              <w:t xml:space="preserve">  伙食补助费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30204</w:t>
            </w:r>
          </w:p>
        </w:tc>
        <w:tc>
          <w:tcPr>
            <w:tcW w:w="126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31001</w:t>
            </w:r>
          </w:p>
        </w:tc>
        <w:tc>
          <w:tcPr>
            <w:tcW w:w="2040" w:type="dxa"/>
            <w:vAlign w:val="center"/>
          </w:tcPr>
          <w:p>
            <w:pPr>
              <w:jc w:val="left"/>
            </w:pPr>
            <w:r>
              <w:rPr>
                <w:rFonts w:ascii="宋体" w:hAnsi="宋体" w:eastAsia="宋体" w:cs="宋体"/>
                <w:b w:val="0"/>
                <w:i w:val="0"/>
                <w:color w:val="000000"/>
                <w:sz w:val="9"/>
              </w:rPr>
              <w:t xml:space="preserve">  房屋建筑物购建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30107</w:t>
            </w:r>
          </w:p>
        </w:tc>
        <w:tc>
          <w:tcPr>
            <w:tcW w:w="1580" w:type="dxa"/>
            <w:vAlign w:val="center"/>
          </w:tcPr>
          <w:p>
            <w:pPr>
              <w:jc w:val="left"/>
            </w:pPr>
            <w:r>
              <w:rPr>
                <w:rFonts w:ascii="宋体" w:hAnsi="宋体" w:eastAsia="宋体" w:cs="宋体"/>
                <w:b w:val="0"/>
                <w:i w:val="0"/>
                <w:color w:val="000000"/>
                <w:sz w:val="9"/>
              </w:rPr>
              <w:t xml:space="preserve">  绩效工资</w:t>
            </w:r>
          </w:p>
        </w:tc>
        <w:tc>
          <w:tcPr>
            <w:tcW w:w="820" w:type="dxa"/>
            <w:vAlign w:val="center"/>
          </w:tcPr>
          <w:p>
            <w:pPr>
              <w:jc w:val="right"/>
            </w:pPr>
            <w:r>
              <w:rPr>
                <w:rFonts w:ascii="宋体" w:hAnsi="宋体" w:eastAsia="宋体" w:cs="宋体"/>
                <w:b w:val="0"/>
                <w:i w:val="0"/>
                <w:color w:val="000000"/>
                <w:sz w:val="9"/>
              </w:rPr>
              <w:t>116.73</w:t>
            </w:r>
          </w:p>
        </w:tc>
        <w:tc>
          <w:tcPr>
            <w:tcW w:w="340" w:type="dxa"/>
            <w:vAlign w:val="center"/>
          </w:tcPr>
          <w:p>
            <w:pPr>
              <w:jc w:val="left"/>
            </w:pPr>
            <w:r>
              <w:rPr>
                <w:rFonts w:ascii="宋体" w:hAnsi="宋体" w:eastAsia="宋体" w:cs="宋体"/>
                <w:b w:val="0"/>
                <w:i w:val="0"/>
                <w:color w:val="000000"/>
                <w:sz w:val="9"/>
              </w:rPr>
              <w:t>30205</w:t>
            </w:r>
          </w:p>
        </w:tc>
        <w:tc>
          <w:tcPr>
            <w:tcW w:w="1260" w:type="dxa"/>
            <w:vAlign w:val="center"/>
          </w:tcPr>
          <w:p>
            <w:pPr>
              <w:jc w:val="left"/>
            </w:pPr>
            <w:r>
              <w:rPr>
                <w:rFonts w:ascii="宋体" w:hAnsi="宋体" w:eastAsia="宋体" w:cs="宋体"/>
                <w:b w:val="0"/>
                <w:i w:val="0"/>
                <w:color w:val="000000"/>
                <w:sz w:val="9"/>
              </w:rPr>
              <w:t xml:space="preserve">  水费</w:t>
            </w:r>
          </w:p>
        </w:tc>
        <w:tc>
          <w:tcPr>
            <w:tcW w:w="820" w:type="dxa"/>
            <w:vAlign w:val="center"/>
          </w:tcPr>
          <w:p>
            <w:pPr>
              <w:jc w:val="right"/>
            </w:pPr>
            <w:r>
              <w:rPr>
                <w:rFonts w:ascii="宋体" w:hAnsi="宋体" w:eastAsia="宋体" w:cs="宋体"/>
                <w:b w:val="0"/>
                <w:i w:val="0"/>
                <w:color w:val="000000"/>
                <w:sz w:val="9"/>
              </w:rPr>
              <w:t>0.58</w:t>
            </w:r>
          </w:p>
        </w:tc>
        <w:tc>
          <w:tcPr>
            <w:tcW w:w="340" w:type="dxa"/>
            <w:vAlign w:val="center"/>
          </w:tcPr>
          <w:p>
            <w:pPr>
              <w:jc w:val="left"/>
            </w:pPr>
            <w:r>
              <w:rPr>
                <w:rFonts w:ascii="宋体" w:hAnsi="宋体" w:eastAsia="宋体" w:cs="宋体"/>
                <w:b w:val="0"/>
                <w:i w:val="0"/>
                <w:color w:val="000000"/>
                <w:sz w:val="9"/>
              </w:rPr>
              <w:t>31002</w:t>
            </w:r>
          </w:p>
        </w:tc>
        <w:tc>
          <w:tcPr>
            <w:tcW w:w="2040" w:type="dxa"/>
            <w:vAlign w:val="center"/>
          </w:tcPr>
          <w:p>
            <w:pPr>
              <w:jc w:val="left"/>
            </w:pPr>
            <w:r>
              <w:rPr>
                <w:rFonts w:ascii="宋体" w:hAnsi="宋体" w:eastAsia="宋体" w:cs="宋体"/>
                <w:b w:val="0"/>
                <w:i w:val="0"/>
                <w:color w:val="000000"/>
                <w:sz w:val="9"/>
              </w:rPr>
              <w:t xml:space="preserve">  办公设备购置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30108</w:t>
            </w:r>
          </w:p>
        </w:tc>
        <w:tc>
          <w:tcPr>
            <w:tcW w:w="1580" w:type="dxa"/>
            <w:vAlign w:val="center"/>
          </w:tcPr>
          <w:p>
            <w:pPr>
              <w:jc w:val="left"/>
            </w:pPr>
            <w:r>
              <w:rPr>
                <w:rFonts w:ascii="宋体" w:hAnsi="宋体" w:eastAsia="宋体" w:cs="宋体"/>
                <w:b w:val="0"/>
                <w:i w:val="0"/>
                <w:color w:val="000000"/>
                <w:sz w:val="9"/>
              </w:rPr>
              <w:t xml:space="preserve">  机关事业单位基本养老保险缴费</w:t>
            </w:r>
          </w:p>
        </w:tc>
        <w:tc>
          <w:tcPr>
            <w:tcW w:w="820" w:type="dxa"/>
            <w:vAlign w:val="center"/>
          </w:tcPr>
          <w:p>
            <w:pPr>
              <w:jc w:val="right"/>
            </w:pPr>
            <w:r>
              <w:rPr>
                <w:rFonts w:ascii="宋体" w:hAnsi="宋体" w:eastAsia="宋体" w:cs="宋体"/>
                <w:b w:val="0"/>
                <w:i w:val="0"/>
                <w:color w:val="000000"/>
                <w:sz w:val="9"/>
              </w:rPr>
              <w:t>86.71</w:t>
            </w:r>
          </w:p>
        </w:tc>
        <w:tc>
          <w:tcPr>
            <w:tcW w:w="340" w:type="dxa"/>
            <w:vAlign w:val="center"/>
          </w:tcPr>
          <w:p>
            <w:pPr>
              <w:jc w:val="left"/>
            </w:pPr>
            <w:r>
              <w:rPr>
                <w:rFonts w:ascii="宋体" w:hAnsi="宋体" w:eastAsia="宋体" w:cs="宋体"/>
                <w:b w:val="0"/>
                <w:i w:val="0"/>
                <w:color w:val="000000"/>
                <w:sz w:val="9"/>
              </w:rPr>
              <w:t>30206</w:t>
            </w:r>
          </w:p>
        </w:tc>
        <w:tc>
          <w:tcPr>
            <w:tcW w:w="1260" w:type="dxa"/>
            <w:vAlign w:val="center"/>
          </w:tcPr>
          <w:p>
            <w:pPr>
              <w:jc w:val="left"/>
            </w:pPr>
            <w:r>
              <w:rPr>
                <w:rFonts w:ascii="宋体" w:hAnsi="宋体" w:eastAsia="宋体" w:cs="宋体"/>
                <w:b w:val="0"/>
                <w:i w:val="0"/>
                <w:color w:val="000000"/>
                <w:sz w:val="9"/>
              </w:rPr>
              <w:t xml:space="preserve">  电费</w:t>
            </w:r>
          </w:p>
        </w:tc>
        <w:tc>
          <w:tcPr>
            <w:tcW w:w="820" w:type="dxa"/>
            <w:vAlign w:val="center"/>
          </w:tcPr>
          <w:p>
            <w:pPr>
              <w:jc w:val="right"/>
            </w:pPr>
            <w:r>
              <w:rPr>
                <w:rFonts w:ascii="宋体" w:hAnsi="宋体" w:eastAsia="宋体" w:cs="宋体"/>
                <w:b w:val="0"/>
                <w:i w:val="0"/>
                <w:color w:val="000000"/>
                <w:sz w:val="9"/>
              </w:rPr>
              <w:t>10.00</w:t>
            </w:r>
          </w:p>
        </w:tc>
        <w:tc>
          <w:tcPr>
            <w:tcW w:w="340" w:type="dxa"/>
            <w:vAlign w:val="center"/>
          </w:tcPr>
          <w:p>
            <w:pPr>
              <w:jc w:val="left"/>
            </w:pPr>
            <w:r>
              <w:rPr>
                <w:rFonts w:ascii="宋体" w:hAnsi="宋体" w:eastAsia="宋体" w:cs="宋体"/>
                <w:b w:val="0"/>
                <w:i w:val="0"/>
                <w:color w:val="000000"/>
                <w:sz w:val="9"/>
              </w:rPr>
              <w:t>31003</w:t>
            </w:r>
          </w:p>
        </w:tc>
        <w:tc>
          <w:tcPr>
            <w:tcW w:w="2040" w:type="dxa"/>
            <w:vAlign w:val="center"/>
          </w:tcPr>
          <w:p>
            <w:pPr>
              <w:jc w:val="left"/>
            </w:pPr>
            <w:r>
              <w:rPr>
                <w:rFonts w:ascii="宋体" w:hAnsi="宋体" w:eastAsia="宋体" w:cs="宋体"/>
                <w:b w:val="0"/>
                <w:i w:val="0"/>
                <w:color w:val="000000"/>
                <w:sz w:val="9"/>
              </w:rPr>
              <w:t xml:space="preserve">  专用设备购置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30109</w:t>
            </w:r>
          </w:p>
        </w:tc>
        <w:tc>
          <w:tcPr>
            <w:tcW w:w="1580" w:type="dxa"/>
            <w:vAlign w:val="center"/>
          </w:tcPr>
          <w:p>
            <w:pPr>
              <w:jc w:val="left"/>
            </w:pPr>
            <w:r>
              <w:rPr>
                <w:rFonts w:ascii="宋体" w:hAnsi="宋体" w:eastAsia="宋体" w:cs="宋体"/>
                <w:b w:val="0"/>
                <w:i w:val="0"/>
                <w:color w:val="000000"/>
                <w:sz w:val="9"/>
              </w:rPr>
              <w:t xml:space="preserve">  职业年金缴费</w:t>
            </w:r>
          </w:p>
        </w:tc>
        <w:tc>
          <w:tcPr>
            <w:tcW w:w="820" w:type="dxa"/>
            <w:vAlign w:val="center"/>
          </w:tcPr>
          <w:p>
            <w:pPr>
              <w:jc w:val="right"/>
            </w:pPr>
            <w:r>
              <w:rPr>
                <w:rFonts w:ascii="宋体" w:hAnsi="宋体" w:eastAsia="宋体" w:cs="宋体"/>
                <w:b w:val="0"/>
                <w:i w:val="0"/>
                <w:color w:val="000000"/>
                <w:sz w:val="9"/>
              </w:rPr>
              <w:t>38.30</w:t>
            </w:r>
          </w:p>
        </w:tc>
        <w:tc>
          <w:tcPr>
            <w:tcW w:w="340" w:type="dxa"/>
            <w:vAlign w:val="center"/>
          </w:tcPr>
          <w:p>
            <w:pPr>
              <w:jc w:val="left"/>
            </w:pPr>
            <w:r>
              <w:rPr>
                <w:rFonts w:ascii="宋体" w:hAnsi="宋体" w:eastAsia="宋体" w:cs="宋体"/>
                <w:b w:val="0"/>
                <w:i w:val="0"/>
                <w:color w:val="000000"/>
                <w:sz w:val="9"/>
              </w:rPr>
              <w:t>30207</w:t>
            </w:r>
          </w:p>
        </w:tc>
        <w:tc>
          <w:tcPr>
            <w:tcW w:w="126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pPr>
              <w:jc w:val="right"/>
            </w:pPr>
            <w:r>
              <w:rPr>
                <w:rFonts w:ascii="宋体" w:hAnsi="宋体" w:eastAsia="宋体" w:cs="宋体"/>
                <w:b w:val="0"/>
                <w:i w:val="0"/>
                <w:color w:val="000000"/>
                <w:sz w:val="9"/>
              </w:rPr>
              <w:t>2.82</w:t>
            </w:r>
          </w:p>
        </w:tc>
        <w:tc>
          <w:tcPr>
            <w:tcW w:w="340" w:type="dxa"/>
            <w:vAlign w:val="center"/>
          </w:tcPr>
          <w:p>
            <w:pPr>
              <w:jc w:val="left"/>
            </w:pPr>
            <w:r>
              <w:rPr>
                <w:rFonts w:ascii="宋体" w:hAnsi="宋体" w:eastAsia="宋体" w:cs="宋体"/>
                <w:b w:val="0"/>
                <w:i w:val="0"/>
                <w:color w:val="000000"/>
                <w:sz w:val="9"/>
              </w:rPr>
              <w:t>31005</w:t>
            </w:r>
          </w:p>
        </w:tc>
        <w:tc>
          <w:tcPr>
            <w:tcW w:w="2040" w:type="dxa"/>
            <w:vAlign w:val="center"/>
          </w:tcPr>
          <w:p>
            <w:pPr>
              <w:jc w:val="left"/>
            </w:pPr>
            <w:r>
              <w:rPr>
                <w:rFonts w:ascii="宋体" w:hAnsi="宋体" w:eastAsia="宋体" w:cs="宋体"/>
                <w:b w:val="0"/>
                <w:i w:val="0"/>
                <w:color w:val="000000"/>
                <w:sz w:val="9"/>
              </w:rPr>
              <w:t xml:space="preserve">  基础设施建设</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30110</w:t>
            </w:r>
          </w:p>
        </w:tc>
        <w:tc>
          <w:tcPr>
            <w:tcW w:w="1580" w:type="dxa"/>
            <w:vAlign w:val="center"/>
          </w:tcPr>
          <w:p>
            <w:pPr>
              <w:jc w:val="left"/>
            </w:pPr>
            <w:r>
              <w:rPr>
                <w:rFonts w:ascii="宋体" w:hAnsi="宋体" w:eastAsia="宋体" w:cs="宋体"/>
                <w:b w:val="0"/>
                <w:i w:val="0"/>
                <w:color w:val="000000"/>
                <w:sz w:val="9"/>
              </w:rPr>
              <w:t xml:space="preserve">  职工基本医疗保险缴费</w:t>
            </w:r>
          </w:p>
        </w:tc>
        <w:tc>
          <w:tcPr>
            <w:tcW w:w="820" w:type="dxa"/>
            <w:vAlign w:val="center"/>
          </w:tcPr>
          <w:p>
            <w:pPr>
              <w:jc w:val="right"/>
            </w:pPr>
            <w:r>
              <w:rPr>
                <w:rFonts w:ascii="宋体" w:hAnsi="宋体" w:eastAsia="宋体" w:cs="宋体"/>
                <w:b w:val="0"/>
                <w:i w:val="0"/>
                <w:color w:val="000000"/>
                <w:sz w:val="9"/>
              </w:rPr>
              <w:t>59.54</w:t>
            </w:r>
          </w:p>
        </w:tc>
        <w:tc>
          <w:tcPr>
            <w:tcW w:w="340" w:type="dxa"/>
            <w:vAlign w:val="center"/>
          </w:tcPr>
          <w:p>
            <w:pPr>
              <w:jc w:val="left"/>
            </w:pPr>
            <w:r>
              <w:rPr>
                <w:rFonts w:ascii="宋体" w:hAnsi="宋体" w:eastAsia="宋体" w:cs="宋体"/>
                <w:b w:val="0"/>
                <w:i w:val="0"/>
                <w:color w:val="000000"/>
                <w:sz w:val="9"/>
              </w:rPr>
              <w:t>30208</w:t>
            </w:r>
          </w:p>
        </w:tc>
        <w:tc>
          <w:tcPr>
            <w:tcW w:w="126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31006</w:t>
            </w:r>
          </w:p>
        </w:tc>
        <w:tc>
          <w:tcPr>
            <w:tcW w:w="2040" w:type="dxa"/>
            <w:vAlign w:val="center"/>
          </w:tcPr>
          <w:p>
            <w:pPr>
              <w:jc w:val="left"/>
            </w:pPr>
            <w:r>
              <w:rPr>
                <w:rFonts w:ascii="宋体" w:hAnsi="宋体" w:eastAsia="宋体" w:cs="宋体"/>
                <w:b w:val="0"/>
                <w:i w:val="0"/>
                <w:color w:val="000000"/>
                <w:sz w:val="9"/>
              </w:rPr>
              <w:t xml:space="preserve">  大型修缮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30111</w:t>
            </w:r>
          </w:p>
        </w:tc>
        <w:tc>
          <w:tcPr>
            <w:tcW w:w="1580" w:type="dxa"/>
            <w:vAlign w:val="center"/>
          </w:tcPr>
          <w:p>
            <w:pPr>
              <w:jc w:val="left"/>
            </w:pPr>
            <w:r>
              <w:rPr>
                <w:rFonts w:ascii="宋体" w:hAnsi="宋体" w:eastAsia="宋体" w:cs="宋体"/>
                <w:b w:val="0"/>
                <w:i w:val="0"/>
                <w:color w:val="000000"/>
                <w:sz w:val="9"/>
              </w:rPr>
              <w:t xml:space="preserve">  公务员医疗补助缴费</w:t>
            </w:r>
          </w:p>
        </w:tc>
        <w:tc>
          <w:tcPr>
            <w:tcW w:w="820" w:type="dxa"/>
            <w:vAlign w:val="center"/>
          </w:tcPr>
          <w:p>
            <w:pPr>
              <w:jc w:val="right"/>
            </w:pPr>
            <w:r>
              <w:rPr>
                <w:rFonts w:ascii="宋体" w:hAnsi="宋体" w:eastAsia="宋体" w:cs="宋体"/>
                <w:b w:val="0"/>
                <w:i w:val="0"/>
                <w:color w:val="000000"/>
                <w:sz w:val="9"/>
              </w:rPr>
              <w:t>59.01</w:t>
            </w:r>
          </w:p>
        </w:tc>
        <w:tc>
          <w:tcPr>
            <w:tcW w:w="340" w:type="dxa"/>
            <w:vAlign w:val="center"/>
          </w:tcPr>
          <w:p>
            <w:pPr>
              <w:jc w:val="left"/>
            </w:pPr>
            <w:r>
              <w:rPr>
                <w:rFonts w:ascii="宋体" w:hAnsi="宋体" w:eastAsia="宋体" w:cs="宋体"/>
                <w:b w:val="0"/>
                <w:i w:val="0"/>
                <w:color w:val="000000"/>
                <w:sz w:val="9"/>
              </w:rPr>
              <w:t>30209</w:t>
            </w:r>
          </w:p>
        </w:tc>
        <w:tc>
          <w:tcPr>
            <w:tcW w:w="126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pPr>
              <w:jc w:val="right"/>
            </w:pPr>
            <w:r>
              <w:rPr>
                <w:rFonts w:ascii="宋体" w:hAnsi="宋体" w:eastAsia="宋体" w:cs="宋体"/>
                <w:b w:val="0"/>
                <w:i w:val="0"/>
                <w:color w:val="000000"/>
                <w:sz w:val="9"/>
              </w:rPr>
              <w:t>6.88</w:t>
            </w:r>
          </w:p>
        </w:tc>
        <w:tc>
          <w:tcPr>
            <w:tcW w:w="340" w:type="dxa"/>
            <w:vAlign w:val="center"/>
          </w:tcPr>
          <w:p>
            <w:pPr>
              <w:jc w:val="left"/>
            </w:pPr>
            <w:r>
              <w:rPr>
                <w:rFonts w:ascii="宋体" w:hAnsi="宋体" w:eastAsia="宋体" w:cs="宋体"/>
                <w:b w:val="0"/>
                <w:i w:val="0"/>
                <w:color w:val="000000"/>
                <w:sz w:val="9"/>
              </w:rPr>
              <w:t>31007</w:t>
            </w:r>
          </w:p>
        </w:tc>
        <w:tc>
          <w:tcPr>
            <w:tcW w:w="2040" w:type="dxa"/>
            <w:vAlign w:val="center"/>
          </w:tcPr>
          <w:p>
            <w:pPr>
              <w:jc w:val="left"/>
            </w:pPr>
            <w:r>
              <w:rPr>
                <w:rFonts w:ascii="宋体" w:hAnsi="宋体" w:eastAsia="宋体" w:cs="宋体"/>
                <w:b w:val="0"/>
                <w:i w:val="0"/>
                <w:color w:val="000000"/>
                <w:sz w:val="9"/>
              </w:rPr>
              <w:t xml:space="preserve">  信息网络及软件购置更新</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30112</w:t>
            </w:r>
          </w:p>
        </w:tc>
        <w:tc>
          <w:tcPr>
            <w:tcW w:w="1580" w:type="dxa"/>
            <w:vAlign w:val="center"/>
          </w:tcPr>
          <w:p>
            <w:pPr>
              <w:jc w:val="left"/>
            </w:pPr>
            <w:r>
              <w:rPr>
                <w:rFonts w:ascii="宋体" w:hAnsi="宋体" w:eastAsia="宋体" w:cs="宋体"/>
                <w:b w:val="0"/>
                <w:i w:val="0"/>
                <w:color w:val="000000"/>
                <w:sz w:val="9"/>
              </w:rPr>
              <w:t xml:space="preserve">  其他社会保障缴费</w:t>
            </w:r>
          </w:p>
        </w:tc>
        <w:tc>
          <w:tcPr>
            <w:tcW w:w="820" w:type="dxa"/>
            <w:vAlign w:val="center"/>
          </w:tcPr>
          <w:p>
            <w:pPr>
              <w:jc w:val="right"/>
            </w:pPr>
            <w:r>
              <w:rPr>
                <w:rFonts w:ascii="宋体" w:hAnsi="宋体" w:eastAsia="宋体" w:cs="宋体"/>
                <w:b w:val="0"/>
                <w:i w:val="0"/>
                <w:color w:val="000000"/>
                <w:sz w:val="9"/>
              </w:rPr>
              <w:t>12.08</w:t>
            </w:r>
          </w:p>
        </w:tc>
        <w:tc>
          <w:tcPr>
            <w:tcW w:w="340" w:type="dxa"/>
            <w:vAlign w:val="center"/>
          </w:tcPr>
          <w:p>
            <w:pPr>
              <w:jc w:val="left"/>
            </w:pPr>
            <w:r>
              <w:rPr>
                <w:rFonts w:ascii="宋体" w:hAnsi="宋体" w:eastAsia="宋体" w:cs="宋体"/>
                <w:b w:val="0"/>
                <w:i w:val="0"/>
                <w:color w:val="000000"/>
                <w:sz w:val="9"/>
              </w:rPr>
              <w:t>30211</w:t>
            </w:r>
          </w:p>
        </w:tc>
        <w:tc>
          <w:tcPr>
            <w:tcW w:w="126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pPr>
              <w:jc w:val="right"/>
            </w:pPr>
            <w:r>
              <w:rPr>
                <w:rFonts w:ascii="宋体" w:hAnsi="宋体" w:eastAsia="宋体" w:cs="宋体"/>
                <w:b w:val="0"/>
                <w:i w:val="0"/>
                <w:color w:val="000000"/>
                <w:sz w:val="9"/>
              </w:rPr>
              <w:t>23.30</w:t>
            </w:r>
          </w:p>
        </w:tc>
        <w:tc>
          <w:tcPr>
            <w:tcW w:w="340" w:type="dxa"/>
            <w:vAlign w:val="center"/>
          </w:tcPr>
          <w:p>
            <w:pPr>
              <w:jc w:val="left"/>
            </w:pPr>
            <w:r>
              <w:rPr>
                <w:rFonts w:ascii="宋体" w:hAnsi="宋体" w:eastAsia="宋体" w:cs="宋体"/>
                <w:b w:val="0"/>
                <w:i w:val="0"/>
                <w:color w:val="000000"/>
                <w:sz w:val="9"/>
              </w:rPr>
              <w:t>31008</w:t>
            </w:r>
          </w:p>
        </w:tc>
        <w:tc>
          <w:tcPr>
            <w:tcW w:w="2040" w:type="dxa"/>
            <w:vAlign w:val="center"/>
          </w:tcPr>
          <w:p>
            <w:pPr>
              <w:jc w:val="left"/>
            </w:pPr>
            <w:r>
              <w:rPr>
                <w:rFonts w:ascii="宋体" w:hAnsi="宋体" w:eastAsia="宋体" w:cs="宋体"/>
                <w:b w:val="0"/>
                <w:i w:val="0"/>
                <w:color w:val="000000"/>
                <w:sz w:val="9"/>
              </w:rPr>
              <w:t xml:space="preserve">  物资储备</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30113</w:t>
            </w:r>
          </w:p>
        </w:tc>
        <w:tc>
          <w:tcPr>
            <w:tcW w:w="1580" w:type="dxa"/>
            <w:vAlign w:val="center"/>
          </w:tcPr>
          <w:p>
            <w:pPr>
              <w:jc w:val="left"/>
            </w:pPr>
            <w:r>
              <w:rPr>
                <w:rFonts w:ascii="宋体" w:hAnsi="宋体" w:eastAsia="宋体" w:cs="宋体"/>
                <w:b w:val="0"/>
                <w:i w:val="0"/>
                <w:color w:val="000000"/>
                <w:sz w:val="9"/>
              </w:rPr>
              <w:t xml:space="preserve">  住房公积金</w:t>
            </w:r>
          </w:p>
        </w:tc>
        <w:tc>
          <w:tcPr>
            <w:tcW w:w="820" w:type="dxa"/>
            <w:vAlign w:val="center"/>
          </w:tcPr>
          <w:p>
            <w:pPr>
              <w:jc w:val="right"/>
            </w:pPr>
            <w:r>
              <w:rPr>
                <w:rFonts w:ascii="宋体" w:hAnsi="宋体" w:eastAsia="宋体" w:cs="宋体"/>
                <w:b w:val="0"/>
                <w:i w:val="0"/>
                <w:color w:val="000000"/>
                <w:sz w:val="9"/>
              </w:rPr>
              <w:t>88.63</w:t>
            </w:r>
          </w:p>
        </w:tc>
        <w:tc>
          <w:tcPr>
            <w:tcW w:w="340" w:type="dxa"/>
            <w:vAlign w:val="center"/>
          </w:tcPr>
          <w:p>
            <w:pPr>
              <w:jc w:val="left"/>
            </w:pPr>
            <w:r>
              <w:rPr>
                <w:rFonts w:ascii="宋体" w:hAnsi="宋体" w:eastAsia="宋体" w:cs="宋体"/>
                <w:b w:val="0"/>
                <w:i w:val="0"/>
                <w:color w:val="000000"/>
                <w:sz w:val="9"/>
              </w:rPr>
              <w:t>30212</w:t>
            </w:r>
          </w:p>
        </w:tc>
        <w:tc>
          <w:tcPr>
            <w:tcW w:w="126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31009</w:t>
            </w:r>
          </w:p>
        </w:tc>
        <w:tc>
          <w:tcPr>
            <w:tcW w:w="2040" w:type="dxa"/>
            <w:vAlign w:val="center"/>
          </w:tcPr>
          <w:p>
            <w:pPr>
              <w:jc w:val="left"/>
            </w:pPr>
            <w:r>
              <w:rPr>
                <w:rFonts w:ascii="宋体" w:hAnsi="宋体" w:eastAsia="宋体" w:cs="宋体"/>
                <w:b w:val="0"/>
                <w:i w:val="0"/>
                <w:color w:val="000000"/>
                <w:sz w:val="9"/>
              </w:rPr>
              <w:t xml:space="preserve">  土地补偿</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30114</w:t>
            </w:r>
          </w:p>
        </w:tc>
        <w:tc>
          <w:tcPr>
            <w:tcW w:w="1580" w:type="dxa"/>
            <w:vAlign w:val="center"/>
          </w:tcPr>
          <w:p>
            <w:pPr>
              <w:jc w:val="left"/>
            </w:pPr>
            <w:r>
              <w:rPr>
                <w:rFonts w:ascii="宋体" w:hAnsi="宋体" w:eastAsia="宋体" w:cs="宋体"/>
                <w:b w:val="0"/>
                <w:i w:val="0"/>
                <w:color w:val="000000"/>
                <w:sz w:val="9"/>
              </w:rPr>
              <w:t xml:space="preserve">  医疗费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30213</w:t>
            </w:r>
          </w:p>
        </w:tc>
        <w:tc>
          <w:tcPr>
            <w:tcW w:w="126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pPr>
              <w:jc w:val="right"/>
            </w:pPr>
            <w:r>
              <w:rPr>
                <w:rFonts w:ascii="宋体" w:hAnsi="宋体" w:eastAsia="宋体" w:cs="宋体"/>
                <w:b w:val="0"/>
                <w:i w:val="0"/>
                <w:color w:val="000000"/>
                <w:sz w:val="9"/>
              </w:rPr>
              <w:t>11.43</w:t>
            </w:r>
          </w:p>
        </w:tc>
        <w:tc>
          <w:tcPr>
            <w:tcW w:w="340" w:type="dxa"/>
            <w:vAlign w:val="center"/>
          </w:tcPr>
          <w:p>
            <w:pPr>
              <w:jc w:val="left"/>
            </w:pPr>
            <w:r>
              <w:rPr>
                <w:rFonts w:ascii="宋体" w:hAnsi="宋体" w:eastAsia="宋体" w:cs="宋体"/>
                <w:b w:val="0"/>
                <w:i w:val="0"/>
                <w:color w:val="000000"/>
                <w:sz w:val="9"/>
              </w:rPr>
              <w:t>31010</w:t>
            </w:r>
          </w:p>
        </w:tc>
        <w:tc>
          <w:tcPr>
            <w:tcW w:w="2040" w:type="dxa"/>
            <w:vAlign w:val="center"/>
          </w:tcPr>
          <w:p>
            <w:pPr>
              <w:jc w:val="left"/>
            </w:pPr>
            <w:r>
              <w:rPr>
                <w:rFonts w:ascii="宋体" w:hAnsi="宋体" w:eastAsia="宋体" w:cs="宋体"/>
                <w:b w:val="0"/>
                <w:i w:val="0"/>
                <w:color w:val="000000"/>
                <w:sz w:val="9"/>
              </w:rPr>
              <w:t xml:space="preserve">  安置补助</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30199</w:t>
            </w:r>
          </w:p>
        </w:tc>
        <w:tc>
          <w:tcPr>
            <w:tcW w:w="1580" w:type="dxa"/>
            <w:vAlign w:val="center"/>
          </w:tcPr>
          <w:p>
            <w:pPr>
              <w:jc w:val="left"/>
            </w:pPr>
            <w:r>
              <w:rPr>
                <w:rFonts w:ascii="宋体" w:hAnsi="宋体" w:eastAsia="宋体" w:cs="宋体"/>
                <w:b w:val="0"/>
                <w:i w:val="0"/>
                <w:color w:val="000000"/>
                <w:sz w:val="9"/>
              </w:rPr>
              <w:t xml:space="preserve">  其他工资福利支出</w:t>
            </w:r>
          </w:p>
        </w:tc>
        <w:tc>
          <w:tcPr>
            <w:tcW w:w="820" w:type="dxa"/>
            <w:vAlign w:val="center"/>
          </w:tcPr>
          <w:p>
            <w:pPr>
              <w:jc w:val="right"/>
            </w:pPr>
            <w:r>
              <w:rPr>
                <w:rFonts w:ascii="宋体" w:hAnsi="宋体" w:eastAsia="宋体" w:cs="宋体"/>
                <w:b w:val="0"/>
                <w:i w:val="0"/>
                <w:color w:val="000000"/>
                <w:sz w:val="9"/>
              </w:rPr>
              <w:t>1.76</w:t>
            </w:r>
          </w:p>
        </w:tc>
        <w:tc>
          <w:tcPr>
            <w:tcW w:w="340" w:type="dxa"/>
            <w:vAlign w:val="center"/>
          </w:tcPr>
          <w:p>
            <w:pPr>
              <w:jc w:val="left"/>
            </w:pPr>
            <w:r>
              <w:rPr>
                <w:rFonts w:ascii="宋体" w:hAnsi="宋体" w:eastAsia="宋体" w:cs="宋体"/>
                <w:b w:val="0"/>
                <w:i w:val="0"/>
                <w:color w:val="000000"/>
                <w:sz w:val="9"/>
              </w:rPr>
              <w:t>30214</w:t>
            </w:r>
          </w:p>
        </w:tc>
        <w:tc>
          <w:tcPr>
            <w:tcW w:w="126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31011</w:t>
            </w:r>
          </w:p>
        </w:tc>
        <w:tc>
          <w:tcPr>
            <w:tcW w:w="2040" w:type="dxa"/>
            <w:vAlign w:val="center"/>
          </w:tcPr>
          <w:p>
            <w:pPr>
              <w:jc w:val="left"/>
            </w:pPr>
            <w:r>
              <w:rPr>
                <w:rFonts w:ascii="宋体" w:hAnsi="宋体" w:eastAsia="宋体" w:cs="宋体"/>
                <w:b w:val="0"/>
                <w:i w:val="0"/>
                <w:color w:val="000000"/>
                <w:sz w:val="9"/>
              </w:rPr>
              <w:t xml:space="preserve">  地上附着物和青苗补偿</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w:t>
            </w:r>
          </w:p>
        </w:tc>
        <w:tc>
          <w:tcPr>
            <w:tcW w:w="1580" w:type="dxa"/>
            <w:vAlign w:val="center"/>
          </w:tcPr>
          <w:p>
            <w:pPr>
              <w:jc w:val="left"/>
            </w:pPr>
            <w:r>
              <w:rPr>
                <w:rFonts w:ascii="宋体" w:hAnsi="宋体" w:eastAsia="宋体" w:cs="宋体"/>
                <w:b w:val="0"/>
                <w:i w:val="0"/>
                <w:color w:val="000000"/>
                <w:sz w:val="9"/>
              </w:rPr>
              <w:t>对个人和家庭的补助</w:t>
            </w:r>
          </w:p>
        </w:tc>
        <w:tc>
          <w:tcPr>
            <w:tcW w:w="820" w:type="dxa"/>
            <w:vAlign w:val="center"/>
          </w:tcPr>
          <w:p>
            <w:pPr>
              <w:jc w:val="right"/>
            </w:pPr>
            <w:r>
              <w:rPr>
                <w:rFonts w:ascii="宋体" w:hAnsi="宋体" w:eastAsia="宋体" w:cs="宋体"/>
                <w:b w:val="0"/>
                <w:i w:val="0"/>
                <w:color w:val="000000"/>
                <w:sz w:val="9"/>
              </w:rPr>
              <w:t>303.97</w:t>
            </w:r>
          </w:p>
        </w:tc>
        <w:tc>
          <w:tcPr>
            <w:tcW w:w="340" w:type="dxa"/>
            <w:vAlign w:val="center"/>
          </w:tcPr>
          <w:p>
            <w:pPr>
              <w:jc w:val="left"/>
            </w:pPr>
            <w:r>
              <w:rPr>
                <w:rFonts w:ascii="宋体" w:hAnsi="宋体" w:eastAsia="宋体" w:cs="宋体"/>
                <w:b w:val="0"/>
                <w:i w:val="0"/>
                <w:color w:val="000000"/>
                <w:sz w:val="9"/>
              </w:rPr>
              <w:t>30215</w:t>
            </w:r>
          </w:p>
        </w:tc>
        <w:tc>
          <w:tcPr>
            <w:tcW w:w="126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pPr>
              <w:jc w:val="right"/>
            </w:pPr>
            <w:r>
              <w:rPr>
                <w:rFonts w:ascii="宋体" w:hAnsi="宋体" w:eastAsia="宋体" w:cs="宋体"/>
                <w:b w:val="0"/>
                <w:i w:val="0"/>
                <w:color w:val="000000"/>
                <w:sz w:val="9"/>
              </w:rPr>
              <w:t>0.07</w:t>
            </w:r>
          </w:p>
        </w:tc>
        <w:tc>
          <w:tcPr>
            <w:tcW w:w="340" w:type="dxa"/>
            <w:vAlign w:val="center"/>
          </w:tcPr>
          <w:p>
            <w:pPr>
              <w:jc w:val="left"/>
            </w:pPr>
            <w:r>
              <w:rPr>
                <w:rFonts w:ascii="宋体" w:hAnsi="宋体" w:eastAsia="宋体" w:cs="宋体"/>
                <w:b w:val="0"/>
                <w:i w:val="0"/>
                <w:color w:val="000000"/>
                <w:sz w:val="9"/>
              </w:rPr>
              <w:t>31012</w:t>
            </w:r>
          </w:p>
        </w:tc>
        <w:tc>
          <w:tcPr>
            <w:tcW w:w="2040" w:type="dxa"/>
            <w:vAlign w:val="center"/>
          </w:tcPr>
          <w:p>
            <w:pPr>
              <w:jc w:val="left"/>
            </w:pPr>
            <w:r>
              <w:rPr>
                <w:rFonts w:ascii="宋体" w:hAnsi="宋体" w:eastAsia="宋体" w:cs="宋体"/>
                <w:b w:val="0"/>
                <w:i w:val="0"/>
                <w:color w:val="000000"/>
                <w:sz w:val="9"/>
              </w:rPr>
              <w:t xml:space="preserve">  拆迁补偿</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30301</w:t>
            </w:r>
          </w:p>
        </w:tc>
        <w:tc>
          <w:tcPr>
            <w:tcW w:w="1580" w:type="dxa"/>
            <w:vAlign w:val="center"/>
          </w:tcPr>
          <w:p>
            <w:pPr>
              <w:jc w:val="left"/>
            </w:pPr>
            <w:r>
              <w:rPr>
                <w:rFonts w:ascii="宋体" w:hAnsi="宋体" w:eastAsia="宋体" w:cs="宋体"/>
                <w:b w:val="0"/>
                <w:i w:val="0"/>
                <w:color w:val="000000"/>
                <w:sz w:val="9"/>
              </w:rPr>
              <w:t xml:space="preserve">  离休费</w:t>
            </w:r>
          </w:p>
        </w:tc>
        <w:tc>
          <w:tcPr>
            <w:tcW w:w="820" w:type="dxa"/>
            <w:vAlign w:val="center"/>
          </w:tcPr>
          <w:p>
            <w:pPr>
              <w:jc w:val="right"/>
            </w:pPr>
            <w:r>
              <w:rPr>
                <w:rFonts w:ascii="宋体" w:hAnsi="宋体" w:eastAsia="宋体" w:cs="宋体"/>
                <w:b w:val="0"/>
                <w:i w:val="0"/>
                <w:color w:val="000000"/>
                <w:sz w:val="9"/>
              </w:rPr>
              <w:t>15.18</w:t>
            </w:r>
          </w:p>
        </w:tc>
        <w:tc>
          <w:tcPr>
            <w:tcW w:w="340" w:type="dxa"/>
            <w:vAlign w:val="center"/>
          </w:tcPr>
          <w:p>
            <w:pPr>
              <w:jc w:val="left"/>
            </w:pPr>
            <w:r>
              <w:rPr>
                <w:rFonts w:ascii="宋体" w:hAnsi="宋体" w:eastAsia="宋体" w:cs="宋体"/>
                <w:b w:val="0"/>
                <w:i w:val="0"/>
                <w:color w:val="000000"/>
                <w:sz w:val="9"/>
              </w:rPr>
              <w:t>30216</w:t>
            </w:r>
          </w:p>
        </w:tc>
        <w:tc>
          <w:tcPr>
            <w:tcW w:w="126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pPr>
              <w:jc w:val="right"/>
            </w:pPr>
            <w:r>
              <w:rPr>
                <w:rFonts w:ascii="宋体" w:hAnsi="宋体" w:eastAsia="宋体" w:cs="宋体"/>
                <w:b w:val="0"/>
                <w:i w:val="0"/>
                <w:color w:val="000000"/>
                <w:sz w:val="9"/>
              </w:rPr>
              <w:t>2.15</w:t>
            </w:r>
          </w:p>
        </w:tc>
        <w:tc>
          <w:tcPr>
            <w:tcW w:w="340" w:type="dxa"/>
            <w:vAlign w:val="center"/>
          </w:tcPr>
          <w:p>
            <w:pPr>
              <w:jc w:val="left"/>
            </w:pPr>
            <w:r>
              <w:rPr>
                <w:rFonts w:ascii="宋体" w:hAnsi="宋体" w:eastAsia="宋体" w:cs="宋体"/>
                <w:b w:val="0"/>
                <w:i w:val="0"/>
                <w:color w:val="000000"/>
                <w:sz w:val="9"/>
              </w:rPr>
              <w:t>31013</w:t>
            </w:r>
          </w:p>
        </w:tc>
        <w:tc>
          <w:tcPr>
            <w:tcW w:w="2040" w:type="dxa"/>
            <w:vAlign w:val="center"/>
          </w:tcPr>
          <w:p>
            <w:pPr>
              <w:jc w:val="left"/>
            </w:pPr>
            <w:r>
              <w:rPr>
                <w:rFonts w:ascii="宋体" w:hAnsi="宋体" w:eastAsia="宋体" w:cs="宋体"/>
                <w:b w:val="0"/>
                <w:i w:val="0"/>
                <w:color w:val="000000"/>
                <w:sz w:val="9"/>
              </w:rPr>
              <w:t xml:space="preserve">  公务用车购置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30302</w:t>
            </w:r>
          </w:p>
        </w:tc>
        <w:tc>
          <w:tcPr>
            <w:tcW w:w="1580" w:type="dxa"/>
            <w:vAlign w:val="center"/>
          </w:tcPr>
          <w:p>
            <w:pPr>
              <w:jc w:val="left"/>
            </w:pPr>
            <w:r>
              <w:rPr>
                <w:rFonts w:ascii="宋体" w:hAnsi="宋体" w:eastAsia="宋体" w:cs="宋体"/>
                <w:b w:val="0"/>
                <w:i w:val="0"/>
                <w:color w:val="000000"/>
                <w:sz w:val="9"/>
              </w:rPr>
              <w:t xml:space="preserve">  退休费</w:t>
            </w:r>
          </w:p>
        </w:tc>
        <w:tc>
          <w:tcPr>
            <w:tcW w:w="820" w:type="dxa"/>
            <w:vAlign w:val="center"/>
          </w:tcPr>
          <w:p>
            <w:pPr>
              <w:jc w:val="right"/>
            </w:pPr>
            <w:r>
              <w:rPr>
                <w:rFonts w:ascii="宋体" w:hAnsi="宋体" w:eastAsia="宋体" w:cs="宋体"/>
                <w:b w:val="0"/>
                <w:i w:val="0"/>
                <w:color w:val="000000"/>
                <w:sz w:val="9"/>
              </w:rPr>
              <w:t>217.03</w:t>
            </w:r>
          </w:p>
        </w:tc>
        <w:tc>
          <w:tcPr>
            <w:tcW w:w="340" w:type="dxa"/>
            <w:vAlign w:val="center"/>
          </w:tcPr>
          <w:p>
            <w:pPr>
              <w:jc w:val="left"/>
            </w:pPr>
            <w:r>
              <w:rPr>
                <w:rFonts w:ascii="宋体" w:hAnsi="宋体" w:eastAsia="宋体" w:cs="宋体"/>
                <w:b w:val="0"/>
                <w:i w:val="0"/>
                <w:color w:val="000000"/>
                <w:sz w:val="9"/>
              </w:rPr>
              <w:t>30217</w:t>
            </w:r>
          </w:p>
        </w:tc>
        <w:tc>
          <w:tcPr>
            <w:tcW w:w="126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pPr>
              <w:jc w:val="right"/>
            </w:pPr>
            <w:r>
              <w:rPr>
                <w:rFonts w:ascii="宋体" w:hAnsi="宋体" w:eastAsia="宋体" w:cs="宋体"/>
                <w:b w:val="0"/>
                <w:i w:val="0"/>
                <w:color w:val="000000"/>
                <w:sz w:val="9"/>
              </w:rPr>
              <w:t>0.72</w:t>
            </w:r>
          </w:p>
        </w:tc>
        <w:tc>
          <w:tcPr>
            <w:tcW w:w="340" w:type="dxa"/>
            <w:vAlign w:val="center"/>
          </w:tcPr>
          <w:p>
            <w:pPr>
              <w:jc w:val="left"/>
            </w:pPr>
            <w:r>
              <w:rPr>
                <w:rFonts w:ascii="宋体" w:hAnsi="宋体" w:eastAsia="宋体" w:cs="宋体"/>
                <w:b w:val="0"/>
                <w:i w:val="0"/>
                <w:color w:val="000000"/>
                <w:sz w:val="9"/>
              </w:rPr>
              <w:t>31019</w:t>
            </w:r>
          </w:p>
        </w:tc>
        <w:tc>
          <w:tcPr>
            <w:tcW w:w="2040" w:type="dxa"/>
            <w:vAlign w:val="center"/>
          </w:tcPr>
          <w:p>
            <w:pPr>
              <w:jc w:val="left"/>
            </w:pPr>
            <w:r>
              <w:rPr>
                <w:rFonts w:ascii="宋体" w:hAnsi="宋体" w:eastAsia="宋体" w:cs="宋体"/>
                <w:b w:val="0"/>
                <w:i w:val="0"/>
                <w:color w:val="000000"/>
                <w:sz w:val="9"/>
              </w:rPr>
              <w:t xml:space="preserve">  其他交通工具购置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30303</w:t>
            </w:r>
          </w:p>
        </w:tc>
        <w:tc>
          <w:tcPr>
            <w:tcW w:w="1580" w:type="dxa"/>
            <w:vAlign w:val="center"/>
          </w:tcPr>
          <w:p>
            <w:pPr>
              <w:jc w:val="left"/>
            </w:pPr>
            <w:r>
              <w:rPr>
                <w:rFonts w:ascii="宋体" w:hAnsi="宋体" w:eastAsia="宋体" w:cs="宋体"/>
                <w:b w:val="0"/>
                <w:i w:val="0"/>
                <w:color w:val="000000"/>
                <w:sz w:val="9"/>
              </w:rPr>
              <w:t xml:space="preserve">  退职（役）费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30218</w:t>
            </w:r>
          </w:p>
        </w:tc>
        <w:tc>
          <w:tcPr>
            <w:tcW w:w="126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31021</w:t>
            </w:r>
          </w:p>
        </w:tc>
        <w:tc>
          <w:tcPr>
            <w:tcW w:w="2040" w:type="dxa"/>
            <w:vAlign w:val="center"/>
          </w:tcPr>
          <w:p>
            <w:pPr>
              <w:jc w:val="left"/>
            </w:pPr>
            <w:r>
              <w:rPr>
                <w:rFonts w:ascii="宋体" w:hAnsi="宋体" w:eastAsia="宋体" w:cs="宋体"/>
                <w:b w:val="0"/>
                <w:i w:val="0"/>
                <w:color w:val="000000"/>
                <w:sz w:val="9"/>
              </w:rPr>
              <w:t xml:space="preserve">  文物和陈列品购置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30304</w:t>
            </w:r>
          </w:p>
        </w:tc>
        <w:tc>
          <w:tcPr>
            <w:tcW w:w="1580" w:type="dxa"/>
            <w:vAlign w:val="center"/>
          </w:tcPr>
          <w:p>
            <w:pPr>
              <w:jc w:val="left"/>
            </w:pPr>
            <w:r>
              <w:rPr>
                <w:rFonts w:ascii="宋体" w:hAnsi="宋体" w:eastAsia="宋体" w:cs="宋体"/>
                <w:b w:val="0"/>
                <w:i w:val="0"/>
                <w:color w:val="000000"/>
                <w:sz w:val="9"/>
              </w:rPr>
              <w:t xml:space="preserve">  抚恤金</w:t>
            </w:r>
          </w:p>
        </w:tc>
        <w:tc>
          <w:tcPr>
            <w:tcW w:w="820" w:type="dxa"/>
            <w:vAlign w:val="center"/>
          </w:tcPr>
          <w:p>
            <w:pPr>
              <w:jc w:val="right"/>
            </w:pPr>
            <w:r>
              <w:rPr>
                <w:rFonts w:ascii="宋体" w:hAnsi="宋体" w:eastAsia="宋体" w:cs="宋体"/>
                <w:b w:val="0"/>
                <w:i w:val="0"/>
                <w:color w:val="000000"/>
                <w:sz w:val="9"/>
              </w:rPr>
              <w:t>3.52</w:t>
            </w:r>
          </w:p>
        </w:tc>
        <w:tc>
          <w:tcPr>
            <w:tcW w:w="340" w:type="dxa"/>
            <w:vAlign w:val="center"/>
          </w:tcPr>
          <w:p>
            <w:pPr>
              <w:jc w:val="left"/>
            </w:pPr>
            <w:r>
              <w:rPr>
                <w:rFonts w:ascii="宋体" w:hAnsi="宋体" w:eastAsia="宋体" w:cs="宋体"/>
                <w:b w:val="0"/>
                <w:i w:val="0"/>
                <w:color w:val="000000"/>
                <w:sz w:val="9"/>
              </w:rPr>
              <w:t>30224</w:t>
            </w:r>
          </w:p>
        </w:tc>
        <w:tc>
          <w:tcPr>
            <w:tcW w:w="126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31022</w:t>
            </w:r>
          </w:p>
        </w:tc>
        <w:tc>
          <w:tcPr>
            <w:tcW w:w="2040" w:type="dxa"/>
            <w:vAlign w:val="center"/>
          </w:tcPr>
          <w:p>
            <w:pPr>
              <w:jc w:val="left"/>
            </w:pPr>
            <w:r>
              <w:rPr>
                <w:rFonts w:ascii="宋体" w:hAnsi="宋体" w:eastAsia="宋体" w:cs="宋体"/>
                <w:b w:val="0"/>
                <w:i w:val="0"/>
                <w:color w:val="000000"/>
                <w:sz w:val="9"/>
              </w:rPr>
              <w:t xml:space="preserve">  无形资产购置</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30305</w:t>
            </w:r>
          </w:p>
        </w:tc>
        <w:tc>
          <w:tcPr>
            <w:tcW w:w="1580" w:type="dxa"/>
            <w:vAlign w:val="center"/>
          </w:tcPr>
          <w:p>
            <w:pPr>
              <w:jc w:val="left"/>
            </w:pPr>
            <w:r>
              <w:rPr>
                <w:rFonts w:ascii="宋体" w:hAnsi="宋体" w:eastAsia="宋体" w:cs="宋体"/>
                <w:b w:val="0"/>
                <w:i w:val="0"/>
                <w:color w:val="000000"/>
                <w:sz w:val="9"/>
              </w:rPr>
              <w:t xml:space="preserve">  生活补助</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30225</w:t>
            </w:r>
          </w:p>
        </w:tc>
        <w:tc>
          <w:tcPr>
            <w:tcW w:w="126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31099</w:t>
            </w:r>
          </w:p>
        </w:tc>
        <w:tc>
          <w:tcPr>
            <w:tcW w:w="2040" w:type="dxa"/>
            <w:vAlign w:val="center"/>
          </w:tcPr>
          <w:p>
            <w:pPr>
              <w:jc w:val="left"/>
            </w:pPr>
            <w:r>
              <w:rPr>
                <w:rFonts w:ascii="宋体" w:hAnsi="宋体" w:eastAsia="宋体" w:cs="宋体"/>
                <w:b w:val="0"/>
                <w:i w:val="0"/>
                <w:color w:val="000000"/>
                <w:sz w:val="9"/>
              </w:rPr>
              <w:t xml:space="preserve">  其他资本性支出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30306</w:t>
            </w:r>
          </w:p>
        </w:tc>
        <w:tc>
          <w:tcPr>
            <w:tcW w:w="1580" w:type="dxa"/>
            <w:vAlign w:val="center"/>
          </w:tcPr>
          <w:p>
            <w:pPr>
              <w:jc w:val="left"/>
            </w:pPr>
            <w:r>
              <w:rPr>
                <w:rFonts w:ascii="宋体" w:hAnsi="宋体" w:eastAsia="宋体" w:cs="宋体"/>
                <w:b w:val="0"/>
                <w:i w:val="0"/>
                <w:color w:val="000000"/>
                <w:sz w:val="9"/>
              </w:rPr>
              <w:t xml:space="preserve">  救济费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30226</w:t>
            </w:r>
          </w:p>
        </w:tc>
        <w:tc>
          <w:tcPr>
            <w:tcW w:w="126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pPr>
              <w:jc w:val="right"/>
            </w:pPr>
            <w:r>
              <w:rPr>
                <w:rFonts w:ascii="宋体" w:hAnsi="宋体" w:eastAsia="宋体" w:cs="宋体"/>
                <w:b w:val="0"/>
                <w:i w:val="0"/>
                <w:color w:val="000000"/>
                <w:sz w:val="9"/>
              </w:rPr>
              <w:t>0.99</w:t>
            </w:r>
          </w:p>
        </w:tc>
        <w:tc>
          <w:tcPr>
            <w:tcW w:w="340" w:type="dxa"/>
            <w:vAlign w:val="center"/>
          </w:tcPr>
          <w:p>
            <w:pPr>
              <w:jc w:val="left"/>
            </w:pPr>
            <w:r>
              <w:rPr>
                <w:rFonts w:ascii="宋体" w:hAnsi="宋体" w:eastAsia="宋体" w:cs="宋体"/>
                <w:b w:val="0"/>
                <w:i w:val="0"/>
                <w:color w:val="000000"/>
                <w:sz w:val="9"/>
              </w:rPr>
              <w:t>399</w:t>
            </w:r>
          </w:p>
        </w:tc>
        <w:tc>
          <w:tcPr>
            <w:tcW w:w="2040" w:type="dxa"/>
            <w:vAlign w:val="center"/>
          </w:tcPr>
          <w:p>
            <w:pPr>
              <w:jc w:val="left"/>
            </w:pPr>
            <w:r>
              <w:rPr>
                <w:rFonts w:ascii="宋体" w:hAnsi="宋体" w:eastAsia="宋体" w:cs="宋体"/>
                <w:b w:val="0"/>
                <w:i w:val="0"/>
                <w:color w:val="000000"/>
                <w:sz w:val="9"/>
              </w:rPr>
              <w:t>其他支出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30307</w:t>
            </w:r>
          </w:p>
        </w:tc>
        <w:tc>
          <w:tcPr>
            <w:tcW w:w="1580" w:type="dxa"/>
            <w:vAlign w:val="center"/>
          </w:tcPr>
          <w:p>
            <w:pPr>
              <w:jc w:val="left"/>
            </w:pPr>
            <w:r>
              <w:rPr>
                <w:rFonts w:ascii="宋体" w:hAnsi="宋体" w:eastAsia="宋体" w:cs="宋体"/>
                <w:b w:val="0"/>
                <w:i w:val="0"/>
                <w:color w:val="000000"/>
                <w:sz w:val="9"/>
              </w:rPr>
              <w:t xml:space="preserve">  医疗费补助</w:t>
            </w:r>
          </w:p>
        </w:tc>
        <w:tc>
          <w:tcPr>
            <w:tcW w:w="820" w:type="dxa"/>
            <w:vAlign w:val="center"/>
          </w:tcPr>
          <w:p>
            <w:pPr>
              <w:jc w:val="right"/>
            </w:pPr>
            <w:r>
              <w:rPr>
                <w:rFonts w:ascii="宋体" w:hAnsi="宋体" w:eastAsia="宋体" w:cs="宋体"/>
                <w:b w:val="0"/>
                <w:i w:val="0"/>
                <w:color w:val="000000"/>
                <w:sz w:val="9"/>
              </w:rPr>
              <w:t>66.65</w:t>
            </w:r>
          </w:p>
        </w:tc>
        <w:tc>
          <w:tcPr>
            <w:tcW w:w="340" w:type="dxa"/>
            <w:vAlign w:val="center"/>
          </w:tcPr>
          <w:p>
            <w:pPr>
              <w:jc w:val="left"/>
            </w:pPr>
            <w:r>
              <w:rPr>
                <w:rFonts w:ascii="宋体" w:hAnsi="宋体" w:eastAsia="宋体" w:cs="宋体"/>
                <w:b w:val="0"/>
                <w:i w:val="0"/>
                <w:color w:val="000000"/>
                <w:sz w:val="9"/>
              </w:rPr>
              <w:t>30227</w:t>
            </w:r>
          </w:p>
        </w:tc>
        <w:tc>
          <w:tcPr>
            <w:tcW w:w="126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39907</w:t>
            </w:r>
          </w:p>
        </w:tc>
        <w:tc>
          <w:tcPr>
            <w:tcW w:w="2040" w:type="dxa"/>
            <w:vAlign w:val="center"/>
          </w:tcPr>
          <w:p>
            <w:pPr>
              <w:jc w:val="left"/>
            </w:pPr>
            <w:r>
              <w:rPr>
                <w:rFonts w:ascii="宋体" w:hAnsi="宋体" w:eastAsia="宋体" w:cs="宋体"/>
                <w:b w:val="0"/>
                <w:i w:val="0"/>
                <w:color w:val="000000"/>
                <w:sz w:val="9"/>
              </w:rPr>
              <w:t xml:space="preserve">  国家赔偿费用支出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30308</w:t>
            </w:r>
          </w:p>
        </w:tc>
        <w:tc>
          <w:tcPr>
            <w:tcW w:w="1580" w:type="dxa"/>
            <w:vAlign w:val="center"/>
          </w:tcPr>
          <w:p>
            <w:pPr>
              <w:jc w:val="left"/>
            </w:pPr>
            <w:r>
              <w:rPr>
                <w:rFonts w:ascii="宋体" w:hAnsi="宋体" w:eastAsia="宋体" w:cs="宋体"/>
                <w:b w:val="0"/>
                <w:i w:val="0"/>
                <w:color w:val="000000"/>
                <w:sz w:val="9"/>
              </w:rPr>
              <w:t xml:space="preserve">  助学金</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30228</w:t>
            </w:r>
          </w:p>
        </w:tc>
        <w:tc>
          <w:tcPr>
            <w:tcW w:w="126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pPr>
              <w:jc w:val="right"/>
            </w:pPr>
            <w:r>
              <w:rPr>
                <w:rFonts w:ascii="宋体" w:hAnsi="宋体" w:eastAsia="宋体" w:cs="宋体"/>
                <w:b w:val="0"/>
                <w:i w:val="0"/>
                <w:color w:val="000000"/>
                <w:sz w:val="9"/>
              </w:rPr>
              <w:t>15.40</w:t>
            </w:r>
          </w:p>
        </w:tc>
        <w:tc>
          <w:tcPr>
            <w:tcW w:w="340" w:type="dxa"/>
            <w:vAlign w:val="center"/>
          </w:tcPr>
          <w:p>
            <w:pPr>
              <w:jc w:val="left"/>
            </w:pPr>
            <w:r>
              <w:rPr>
                <w:rFonts w:ascii="宋体" w:hAnsi="宋体" w:eastAsia="宋体" w:cs="宋体"/>
                <w:b w:val="0"/>
                <w:i w:val="0"/>
                <w:color w:val="000000"/>
                <w:sz w:val="9"/>
              </w:rPr>
              <w:t>39908</w:t>
            </w:r>
          </w:p>
        </w:tc>
        <w:tc>
          <w:tcPr>
            <w:tcW w:w="204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30309</w:t>
            </w:r>
          </w:p>
        </w:tc>
        <w:tc>
          <w:tcPr>
            <w:tcW w:w="1580" w:type="dxa"/>
            <w:vAlign w:val="center"/>
          </w:tcPr>
          <w:p>
            <w:pPr>
              <w:jc w:val="left"/>
            </w:pPr>
            <w:r>
              <w:rPr>
                <w:rFonts w:ascii="宋体" w:hAnsi="宋体" w:eastAsia="宋体" w:cs="宋体"/>
                <w:b w:val="0"/>
                <w:i w:val="0"/>
                <w:color w:val="000000"/>
                <w:sz w:val="9"/>
              </w:rPr>
              <w:t xml:space="preserve">  奖励金</w:t>
            </w:r>
          </w:p>
        </w:tc>
        <w:tc>
          <w:tcPr>
            <w:tcW w:w="820" w:type="dxa"/>
            <w:vAlign w:val="center"/>
          </w:tcPr>
          <w:p>
            <w:pPr>
              <w:jc w:val="right"/>
            </w:pPr>
            <w:r>
              <w:rPr>
                <w:rFonts w:ascii="宋体" w:hAnsi="宋体" w:eastAsia="宋体" w:cs="宋体"/>
                <w:b w:val="0"/>
                <w:i w:val="0"/>
                <w:color w:val="000000"/>
                <w:sz w:val="9"/>
              </w:rPr>
              <w:t>0.04</w:t>
            </w:r>
          </w:p>
        </w:tc>
        <w:tc>
          <w:tcPr>
            <w:tcW w:w="340" w:type="dxa"/>
            <w:vAlign w:val="center"/>
          </w:tcPr>
          <w:p>
            <w:pPr>
              <w:jc w:val="left"/>
            </w:pPr>
            <w:r>
              <w:rPr>
                <w:rFonts w:ascii="宋体" w:hAnsi="宋体" w:eastAsia="宋体" w:cs="宋体"/>
                <w:b w:val="0"/>
                <w:i w:val="0"/>
                <w:color w:val="000000"/>
                <w:sz w:val="9"/>
              </w:rPr>
              <w:t>30229</w:t>
            </w:r>
          </w:p>
        </w:tc>
        <w:tc>
          <w:tcPr>
            <w:tcW w:w="126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pPr>
              <w:jc w:val="right"/>
            </w:pPr>
            <w:r>
              <w:rPr>
                <w:rFonts w:ascii="宋体" w:hAnsi="宋体" w:eastAsia="宋体" w:cs="宋体"/>
                <w:b w:val="0"/>
                <w:i w:val="0"/>
                <w:color w:val="000000"/>
                <w:sz w:val="9"/>
              </w:rPr>
              <w:t>7.58</w:t>
            </w:r>
          </w:p>
        </w:tc>
        <w:tc>
          <w:tcPr>
            <w:tcW w:w="340" w:type="dxa"/>
            <w:vAlign w:val="center"/>
          </w:tcPr>
          <w:p>
            <w:pPr>
              <w:jc w:val="left"/>
            </w:pPr>
            <w:r>
              <w:rPr>
                <w:rFonts w:ascii="宋体" w:hAnsi="宋体" w:eastAsia="宋体" w:cs="宋体"/>
                <w:b w:val="0"/>
                <w:i w:val="0"/>
                <w:color w:val="000000"/>
                <w:sz w:val="9"/>
              </w:rPr>
              <w:t>39909</w:t>
            </w:r>
          </w:p>
        </w:tc>
        <w:tc>
          <w:tcPr>
            <w:tcW w:w="2040" w:type="dxa"/>
            <w:vAlign w:val="center"/>
          </w:tcPr>
          <w:p>
            <w:pPr>
              <w:jc w:val="left"/>
            </w:pPr>
            <w:r>
              <w:rPr>
                <w:rFonts w:ascii="宋体" w:hAnsi="宋体" w:eastAsia="宋体" w:cs="宋体"/>
                <w:b w:val="0"/>
                <w:i w:val="0"/>
                <w:color w:val="000000"/>
                <w:sz w:val="9"/>
              </w:rPr>
              <w:t xml:space="preserve">  经常性赠与</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30310</w:t>
            </w:r>
          </w:p>
        </w:tc>
        <w:tc>
          <w:tcPr>
            <w:tcW w:w="1580" w:type="dxa"/>
            <w:vAlign w:val="center"/>
          </w:tcPr>
          <w:p>
            <w:pPr>
              <w:jc w:val="left"/>
            </w:pPr>
            <w:r>
              <w:rPr>
                <w:rFonts w:ascii="宋体" w:hAnsi="宋体" w:eastAsia="宋体" w:cs="宋体"/>
                <w:b w:val="0"/>
                <w:i w:val="0"/>
                <w:color w:val="000000"/>
                <w:sz w:val="9"/>
              </w:rPr>
              <w:t xml:space="preserve">  个人农业生产补贴</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30231</w:t>
            </w:r>
          </w:p>
        </w:tc>
        <w:tc>
          <w:tcPr>
            <w:tcW w:w="126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39910</w:t>
            </w:r>
          </w:p>
        </w:tc>
        <w:tc>
          <w:tcPr>
            <w:tcW w:w="2040" w:type="dxa"/>
            <w:vAlign w:val="center"/>
          </w:tcPr>
          <w:p>
            <w:pPr>
              <w:jc w:val="left"/>
            </w:pPr>
            <w:r>
              <w:rPr>
                <w:rFonts w:ascii="宋体" w:hAnsi="宋体" w:eastAsia="宋体" w:cs="宋体"/>
                <w:b w:val="0"/>
                <w:i w:val="0"/>
                <w:color w:val="000000"/>
                <w:sz w:val="9"/>
              </w:rPr>
              <w:t xml:space="preserve">  资本性赠与</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30311</w:t>
            </w:r>
          </w:p>
        </w:tc>
        <w:tc>
          <w:tcPr>
            <w:tcW w:w="1580" w:type="dxa"/>
            <w:vAlign w:val="center"/>
          </w:tcPr>
          <w:p>
            <w:pPr>
              <w:jc w:val="left"/>
            </w:pPr>
            <w:r>
              <w:rPr>
                <w:rFonts w:ascii="宋体" w:hAnsi="宋体" w:eastAsia="宋体" w:cs="宋体"/>
                <w:b w:val="0"/>
                <w:i w:val="0"/>
                <w:color w:val="000000"/>
                <w:sz w:val="9"/>
              </w:rPr>
              <w:t xml:space="preserve">  代缴社会保险费</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pPr>
              <w:jc w:val="left"/>
            </w:pPr>
            <w:r>
              <w:rPr>
                <w:rFonts w:ascii="宋体" w:hAnsi="宋体" w:eastAsia="宋体" w:cs="宋体"/>
                <w:b w:val="0"/>
                <w:i w:val="0"/>
                <w:color w:val="000000"/>
                <w:sz w:val="9"/>
              </w:rPr>
              <w:t>30239</w:t>
            </w:r>
          </w:p>
        </w:tc>
        <w:tc>
          <w:tcPr>
            <w:tcW w:w="126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pPr>
              <w:jc w:val="right"/>
            </w:pPr>
            <w:r>
              <w:rPr>
                <w:rFonts w:ascii="宋体" w:hAnsi="宋体" w:eastAsia="宋体" w:cs="宋体"/>
                <w:b w:val="0"/>
                <w:i w:val="0"/>
                <w:color w:val="000000"/>
                <w:sz w:val="9"/>
              </w:rPr>
              <w:t>21.56</w:t>
            </w:r>
          </w:p>
        </w:tc>
        <w:tc>
          <w:tcPr>
            <w:tcW w:w="340" w:type="dxa"/>
            <w:vAlign w:val="center"/>
          </w:tcPr>
          <w:p>
            <w:pPr>
              <w:jc w:val="left"/>
            </w:pPr>
            <w:r>
              <w:rPr>
                <w:rFonts w:ascii="宋体" w:hAnsi="宋体" w:eastAsia="宋体" w:cs="宋体"/>
                <w:b w:val="0"/>
                <w:i w:val="0"/>
                <w:color w:val="000000"/>
                <w:sz w:val="9"/>
              </w:rPr>
              <w:t>39999</w:t>
            </w:r>
          </w:p>
        </w:tc>
        <w:tc>
          <w:tcPr>
            <w:tcW w:w="2040" w:type="dxa"/>
            <w:vAlign w:val="center"/>
          </w:tcPr>
          <w:p>
            <w:pPr>
              <w:jc w:val="left"/>
            </w:pPr>
            <w:r>
              <w:rPr>
                <w:rFonts w:ascii="宋体" w:hAnsi="宋体" w:eastAsia="宋体" w:cs="宋体"/>
                <w:b w:val="0"/>
                <w:i w:val="0"/>
                <w:color w:val="000000"/>
                <w:sz w:val="9"/>
              </w:rPr>
              <w:t xml:space="preserve">  其他支出</w:t>
            </w:r>
          </w:p>
        </w:tc>
        <w:tc>
          <w:tcPr>
            <w:tcW w:w="766" w:type="dxa"/>
            <w:vAlign w:val="center"/>
          </w:tcPr>
          <w:p>
            <w:pPr>
              <w:jc w:val="right"/>
            </w:pPr>
            <w:r>
              <w:rPr>
                <w:rFonts w:ascii="宋体" w:hAnsi="宋体" w:eastAsia="宋体" w:cs="宋体"/>
                <w:b w:val="0"/>
                <w:i w:val="0"/>
                <w:color w:val="000000"/>
                <w:sz w:val="9"/>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pPr>
              <w:jc w:val="left"/>
            </w:pPr>
            <w:r>
              <w:rPr>
                <w:rFonts w:ascii="宋体" w:hAnsi="宋体" w:eastAsia="宋体" w:cs="宋体"/>
                <w:b w:val="0"/>
                <w:i w:val="0"/>
                <w:color w:val="000000"/>
                <w:sz w:val="9"/>
              </w:rPr>
              <w:t>30399</w:t>
            </w:r>
          </w:p>
        </w:tc>
        <w:tc>
          <w:tcPr>
            <w:tcW w:w="1580" w:type="dxa"/>
            <w:vAlign w:val="center"/>
          </w:tcPr>
          <w:p>
            <w:pPr>
              <w:jc w:val="left"/>
            </w:pPr>
            <w:r>
              <w:rPr>
                <w:rFonts w:ascii="宋体" w:hAnsi="宋体" w:eastAsia="宋体" w:cs="宋体"/>
                <w:b w:val="0"/>
                <w:i w:val="0"/>
                <w:color w:val="000000"/>
                <w:sz w:val="9"/>
              </w:rPr>
              <w:t xml:space="preserve">  其他对个人和家庭的补助</w:t>
            </w:r>
          </w:p>
        </w:tc>
        <w:tc>
          <w:tcPr>
            <w:tcW w:w="820" w:type="dxa"/>
            <w:vAlign w:val="center"/>
          </w:tcPr>
          <w:p>
            <w:pPr>
              <w:jc w:val="right"/>
            </w:pPr>
            <w:r>
              <w:rPr>
                <w:rFonts w:ascii="宋体" w:hAnsi="宋体" w:eastAsia="宋体" w:cs="宋体"/>
                <w:b w:val="0"/>
                <w:i w:val="0"/>
                <w:color w:val="000000"/>
                <w:sz w:val="9"/>
              </w:rPr>
              <w:t>1.53</w:t>
            </w:r>
          </w:p>
        </w:tc>
        <w:tc>
          <w:tcPr>
            <w:tcW w:w="340" w:type="dxa"/>
            <w:vAlign w:val="center"/>
          </w:tcPr>
          <w:p>
            <w:pPr>
              <w:jc w:val="left"/>
            </w:pPr>
            <w:r>
              <w:rPr>
                <w:rFonts w:ascii="宋体" w:hAnsi="宋体" w:eastAsia="宋体" w:cs="宋体"/>
                <w:b w:val="0"/>
                <w:i w:val="0"/>
                <w:color w:val="000000"/>
                <w:sz w:val="9"/>
              </w:rPr>
              <w:t>30240</w:t>
            </w:r>
          </w:p>
        </w:tc>
        <w:tc>
          <w:tcPr>
            <w:tcW w:w="126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pPr>
              <w:jc w:val="right"/>
            </w:pPr>
            <w:r>
              <w:rPr>
                <w:rFonts w:ascii="宋体" w:hAnsi="宋体" w:eastAsia="宋体" w:cs="宋体"/>
                <w:b w:val="0"/>
                <w:i w:val="0"/>
                <w:color w:val="000000"/>
                <w:sz w:val="9"/>
              </w:rPr>
              <w:t>0.00</w:t>
            </w:r>
          </w:p>
        </w:tc>
        <w:tc>
          <w:tcPr>
            <w:tcW w:w="340" w:type="dxa"/>
            <w:vAlign w:val="center"/>
          </w:tcPr>
          <w:p/>
        </w:tc>
        <w:tc>
          <w:tcPr>
            <w:tcW w:w="2040" w:type="dxa"/>
            <w:vAlign w:val="center"/>
          </w:tcPr>
          <w:p/>
        </w:tc>
        <w:tc>
          <w:tcPr>
            <w:tcW w:w="7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vAlign w:val="center"/>
          </w:tcPr>
          <w:p/>
        </w:tc>
        <w:tc>
          <w:tcPr>
            <w:tcW w:w="1580" w:type="dxa"/>
            <w:vAlign w:val="center"/>
          </w:tcPr>
          <w:p/>
        </w:tc>
        <w:tc>
          <w:tcPr>
            <w:tcW w:w="820" w:type="dxa"/>
            <w:vAlign w:val="center"/>
          </w:tcPr>
          <w:p/>
        </w:tc>
        <w:tc>
          <w:tcPr>
            <w:tcW w:w="340" w:type="dxa"/>
            <w:vAlign w:val="center"/>
          </w:tcPr>
          <w:p>
            <w:pPr>
              <w:jc w:val="left"/>
            </w:pPr>
            <w:r>
              <w:rPr>
                <w:rFonts w:ascii="宋体" w:hAnsi="宋体" w:eastAsia="宋体" w:cs="宋体"/>
                <w:b w:val="0"/>
                <w:i w:val="0"/>
                <w:color w:val="000000"/>
                <w:sz w:val="9"/>
              </w:rPr>
              <w:t>30299</w:t>
            </w:r>
          </w:p>
        </w:tc>
        <w:tc>
          <w:tcPr>
            <w:tcW w:w="126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pPr>
              <w:jc w:val="right"/>
            </w:pPr>
            <w:r>
              <w:rPr>
                <w:rFonts w:ascii="宋体" w:hAnsi="宋体" w:eastAsia="宋体" w:cs="宋体"/>
                <w:b w:val="0"/>
                <w:i w:val="0"/>
                <w:color w:val="000000"/>
                <w:sz w:val="9"/>
              </w:rPr>
              <w:t>17.00</w:t>
            </w:r>
          </w:p>
        </w:tc>
        <w:tc>
          <w:tcPr>
            <w:tcW w:w="340" w:type="dxa"/>
            <w:vAlign w:val="center"/>
          </w:tcPr>
          <w:p/>
        </w:tc>
        <w:tc>
          <w:tcPr>
            <w:tcW w:w="2040" w:type="dxa"/>
            <w:vAlign w:val="center"/>
          </w:tcPr>
          <w:p/>
        </w:tc>
        <w:tc>
          <w:tcPr>
            <w:tcW w:w="7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gridSpan w:val="2"/>
            <w:vAlign w:val="center"/>
          </w:tcPr>
          <w:p>
            <w:pPr>
              <w:jc w:val="center"/>
            </w:pPr>
            <w:r>
              <w:rPr>
                <w:rFonts w:ascii="宋体" w:hAnsi="宋体" w:eastAsia="宋体" w:cs="宋体"/>
                <w:b w:val="0"/>
                <w:i w:val="0"/>
                <w:color w:val="000000"/>
                <w:sz w:val="9"/>
              </w:rPr>
              <w:t>人员经费合计</w:t>
            </w:r>
          </w:p>
        </w:tc>
        <w:tc>
          <w:tcPr>
            <w:tcW w:w="820" w:type="dxa"/>
            <w:vAlign w:val="center"/>
          </w:tcPr>
          <w:p>
            <w:pPr>
              <w:jc w:val="right"/>
            </w:pPr>
            <w:r>
              <w:rPr>
                <w:rFonts w:ascii="宋体" w:hAnsi="宋体" w:eastAsia="宋体" w:cs="宋体"/>
                <w:b w:val="0"/>
                <w:i w:val="0"/>
                <w:color w:val="000000"/>
                <w:sz w:val="9"/>
              </w:rPr>
              <w:t>1,333.71</w:t>
            </w:r>
          </w:p>
        </w:tc>
        <w:tc>
          <w:tcPr>
            <w:tcW w:w="340" w:type="dxa"/>
            <w:gridSpan w:val="5"/>
            <w:vAlign w:val="center"/>
          </w:tcPr>
          <w:p>
            <w:pPr>
              <w:jc w:val="center"/>
            </w:pPr>
            <w:r>
              <w:rPr>
                <w:rFonts w:ascii="宋体" w:hAnsi="宋体" w:eastAsia="宋体" w:cs="宋体"/>
                <w:b w:val="0"/>
                <w:i w:val="0"/>
                <w:color w:val="000000"/>
                <w:sz w:val="9"/>
              </w:rPr>
              <w:t>公用经费合计</w:t>
            </w:r>
          </w:p>
        </w:tc>
        <w:tc>
          <w:tcPr>
            <w:tcW w:w="766" w:type="dxa"/>
            <w:vAlign w:val="center"/>
          </w:tcPr>
          <w:p>
            <w:pPr>
              <w:jc w:val="right"/>
            </w:pPr>
            <w:r>
              <w:rPr>
                <w:rFonts w:ascii="宋体" w:hAnsi="宋体" w:eastAsia="宋体" w:cs="宋体"/>
                <w:b w:val="0"/>
                <w:i w:val="0"/>
                <w:color w:val="000000"/>
                <w:sz w:val="9"/>
              </w:rPr>
              <w:t>133.35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9"/>
              </w:rPr>
              <w:t>注：本表反映部门本年度一般公共预算财政拨款基本支出明细情况。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3" w:hRule="exact"/>
          <w:jc w:val="center"/>
        </w:trPr>
        <w:tc>
          <w:tcPr>
            <w:tcW w:w="340" w:type="dxa"/>
            <w:gridSpan w:val="9"/>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七、政府性基金预算财政拨款收入支出决算表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540"/>
        <w:gridCol w:w="2180"/>
        <w:gridCol w:w="940"/>
        <w:gridCol w:w="940"/>
        <w:gridCol w:w="940"/>
        <w:gridCol w:w="940"/>
        <w:gridCol w:w="940"/>
        <w:gridCol w:w="8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gridSpan w:val="2"/>
            <w:vAlign w:val="center"/>
          </w:tcPr>
          <w:p>
            <w:pPr>
              <w:jc w:val="center"/>
            </w:pPr>
            <w:r>
              <w:rPr>
                <w:rFonts w:ascii="宋体" w:hAnsi="宋体" w:eastAsia="宋体" w:cs="宋体"/>
                <w:b w:val="0"/>
                <w:i w:val="0"/>
                <w:color w:val="000000"/>
                <w:sz w:val="12"/>
              </w:rPr>
              <w:t>项目</w:t>
            </w:r>
          </w:p>
        </w:tc>
        <w:tc>
          <w:tcPr>
            <w:tcW w:w="940" w:type="dxa"/>
            <w:vMerge w:val="restart"/>
            <w:vAlign w:val="center"/>
          </w:tcPr>
          <w:p>
            <w:pPr>
              <w:jc w:val="center"/>
            </w:pPr>
            <w:r>
              <w:rPr>
                <w:rFonts w:ascii="宋体" w:hAnsi="宋体" w:eastAsia="宋体" w:cs="宋体"/>
                <w:b w:val="0"/>
                <w:i w:val="0"/>
                <w:color w:val="000000"/>
                <w:sz w:val="12"/>
              </w:rPr>
              <w:t>年初结转和结余</w:t>
            </w:r>
          </w:p>
        </w:tc>
        <w:tc>
          <w:tcPr>
            <w:tcW w:w="940" w:type="dxa"/>
            <w:vMerge w:val="restart"/>
            <w:vAlign w:val="center"/>
          </w:tcPr>
          <w:p>
            <w:pPr>
              <w:jc w:val="center"/>
            </w:pPr>
            <w:r>
              <w:rPr>
                <w:rFonts w:ascii="宋体" w:hAnsi="宋体" w:eastAsia="宋体" w:cs="宋体"/>
                <w:b w:val="0"/>
                <w:i w:val="0"/>
                <w:color w:val="000000"/>
                <w:sz w:val="12"/>
              </w:rPr>
              <w:t>本年收入</w:t>
            </w:r>
          </w:p>
        </w:tc>
        <w:tc>
          <w:tcPr>
            <w:tcW w:w="940" w:type="dxa"/>
            <w:gridSpan w:val="3"/>
            <w:vAlign w:val="center"/>
          </w:tcPr>
          <w:p>
            <w:pPr>
              <w:jc w:val="center"/>
            </w:pPr>
            <w:r>
              <w:rPr>
                <w:rFonts w:ascii="宋体" w:hAnsi="宋体" w:eastAsia="宋体" w:cs="宋体"/>
                <w:b w:val="0"/>
                <w:i w:val="0"/>
                <w:color w:val="000000"/>
                <w:sz w:val="12"/>
              </w:rPr>
              <w:t>本年支出</w:t>
            </w:r>
          </w:p>
        </w:tc>
        <w:tc>
          <w:tcPr>
            <w:tcW w:w="886" w:type="dxa"/>
            <w:vMerge w:val="restart"/>
            <w:vAlign w:val="center"/>
          </w:tcPr>
          <w:p>
            <w:pPr>
              <w:jc w:val="center"/>
            </w:pPr>
            <w:r>
              <w:rPr>
                <w:rFonts w:ascii="宋体" w:hAnsi="宋体" w:eastAsia="宋体" w:cs="宋体"/>
                <w:b w:val="0"/>
                <w:i w:val="0"/>
                <w:color w:val="000000"/>
                <w:sz w:val="12"/>
              </w:rPr>
              <w:t>年末结转和结余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vMerge w:val="restart"/>
            <w:vAlign w:val="center"/>
          </w:tcPr>
          <w:p>
            <w:pPr>
              <w:jc w:val="center"/>
            </w:pPr>
            <w:r>
              <w:rPr>
                <w:rFonts w:ascii="宋体" w:hAnsi="宋体" w:eastAsia="宋体" w:cs="宋体"/>
                <w:b w:val="0"/>
                <w:i w:val="0"/>
                <w:color w:val="000000"/>
                <w:sz w:val="12"/>
              </w:rPr>
              <w:t>科目代码</w:t>
            </w:r>
          </w:p>
        </w:tc>
        <w:tc>
          <w:tcPr>
            <w:tcW w:w="2180" w:type="dxa"/>
            <w:vMerge w:val="restart"/>
            <w:vAlign w:val="center"/>
          </w:tcPr>
          <w:p>
            <w:pPr>
              <w:jc w:val="center"/>
            </w:pPr>
            <w:r>
              <w:rPr>
                <w:rFonts w:ascii="宋体" w:hAnsi="宋体" w:eastAsia="宋体" w:cs="宋体"/>
                <w:b w:val="0"/>
                <w:i w:val="0"/>
                <w:color w:val="000000"/>
                <w:sz w:val="12"/>
              </w:rPr>
              <w:t>科目名称</w:t>
            </w:r>
          </w:p>
        </w:tc>
        <w:tc>
          <w:tcPr>
            <w:tcW w:w="9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2"/>
              </w:rPr>
              <w:t>小计</w:t>
            </w:r>
          </w:p>
        </w:tc>
        <w:tc>
          <w:tcPr>
            <w:tcW w:w="940" w:type="dxa"/>
            <w:vMerge w:val="restart"/>
            <w:vAlign w:val="center"/>
          </w:tcPr>
          <w:p>
            <w:pPr>
              <w:jc w:val="center"/>
            </w:pPr>
            <w:r>
              <w:rPr>
                <w:rFonts w:ascii="宋体" w:hAnsi="宋体" w:eastAsia="宋体" w:cs="宋体"/>
                <w:b w:val="0"/>
                <w:i w:val="0"/>
                <w:color w:val="000000"/>
                <w:sz w:val="12"/>
              </w:rPr>
              <w:t>基本支出</w:t>
            </w:r>
          </w:p>
        </w:tc>
        <w:tc>
          <w:tcPr>
            <w:tcW w:w="940" w:type="dxa"/>
            <w:vMerge w:val="restart"/>
            <w:vAlign w:val="center"/>
          </w:tcPr>
          <w:p>
            <w:pPr>
              <w:jc w:val="center"/>
            </w:pPr>
            <w:r>
              <w:rPr>
                <w:rFonts w:ascii="宋体" w:hAnsi="宋体" w:eastAsia="宋体" w:cs="宋体"/>
                <w:b w:val="0"/>
                <w:i w:val="0"/>
                <w:color w:val="000000"/>
                <w:sz w:val="12"/>
              </w:rPr>
              <w:t>项目支出</w:t>
            </w: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vMerge w:val="continue"/>
            <w:vAlign w:val="center"/>
          </w:tcPr>
          <w:p/>
        </w:tc>
        <w:tc>
          <w:tcPr>
            <w:tcW w:w="218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vMerge w:val="continue"/>
            <w:vAlign w:val="center"/>
          </w:tcPr>
          <w:p/>
        </w:tc>
        <w:tc>
          <w:tcPr>
            <w:tcW w:w="218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940" w:type="dxa"/>
            <w:vMerge w:val="continue"/>
            <w:vAlign w:val="center"/>
          </w:tcPr>
          <w:p/>
        </w:tc>
        <w:tc>
          <w:tcPr>
            <w:tcW w:w="8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gridSpan w:val="2"/>
            <w:vAlign w:val="center"/>
          </w:tcPr>
          <w:p>
            <w:pPr>
              <w:jc w:val="center"/>
            </w:pPr>
            <w:r>
              <w:rPr>
                <w:rFonts w:ascii="宋体" w:hAnsi="宋体" w:eastAsia="宋体" w:cs="宋体"/>
                <w:b w:val="0"/>
                <w:i w:val="0"/>
                <w:color w:val="000000"/>
                <w:sz w:val="12"/>
              </w:rPr>
              <w:t>栏次</w:t>
            </w:r>
          </w:p>
        </w:tc>
        <w:tc>
          <w:tcPr>
            <w:tcW w:w="940" w:type="dxa"/>
            <w:vAlign w:val="center"/>
          </w:tcPr>
          <w:p>
            <w:pPr>
              <w:jc w:val="center"/>
            </w:pPr>
            <w:r>
              <w:rPr>
                <w:rFonts w:ascii="宋体" w:hAnsi="宋体" w:eastAsia="宋体" w:cs="宋体"/>
                <w:b w:val="0"/>
                <w:i w:val="0"/>
                <w:color w:val="000000"/>
                <w:sz w:val="12"/>
              </w:rPr>
              <w:t>1</w:t>
            </w:r>
          </w:p>
        </w:tc>
        <w:tc>
          <w:tcPr>
            <w:tcW w:w="940" w:type="dxa"/>
            <w:vAlign w:val="center"/>
          </w:tcPr>
          <w:p>
            <w:pPr>
              <w:jc w:val="center"/>
            </w:pPr>
            <w:r>
              <w:rPr>
                <w:rFonts w:ascii="宋体" w:hAnsi="宋体" w:eastAsia="宋体" w:cs="宋体"/>
                <w:b w:val="0"/>
                <w:i w:val="0"/>
                <w:color w:val="000000"/>
                <w:sz w:val="12"/>
              </w:rPr>
              <w:t>2</w:t>
            </w:r>
          </w:p>
        </w:tc>
        <w:tc>
          <w:tcPr>
            <w:tcW w:w="940" w:type="dxa"/>
            <w:vAlign w:val="center"/>
          </w:tcPr>
          <w:p>
            <w:pPr>
              <w:jc w:val="center"/>
            </w:pPr>
            <w:r>
              <w:rPr>
                <w:rFonts w:ascii="宋体" w:hAnsi="宋体" w:eastAsia="宋体" w:cs="宋体"/>
                <w:b w:val="0"/>
                <w:i w:val="0"/>
                <w:color w:val="000000"/>
                <w:sz w:val="12"/>
              </w:rPr>
              <w:t>3</w:t>
            </w:r>
          </w:p>
        </w:tc>
        <w:tc>
          <w:tcPr>
            <w:tcW w:w="940" w:type="dxa"/>
            <w:vAlign w:val="center"/>
          </w:tcPr>
          <w:p>
            <w:pPr>
              <w:jc w:val="center"/>
            </w:pPr>
            <w:r>
              <w:rPr>
                <w:rFonts w:ascii="宋体" w:hAnsi="宋体" w:eastAsia="宋体" w:cs="宋体"/>
                <w:b w:val="0"/>
                <w:i w:val="0"/>
                <w:color w:val="000000"/>
                <w:sz w:val="12"/>
              </w:rPr>
              <w:t>4</w:t>
            </w:r>
          </w:p>
        </w:tc>
        <w:tc>
          <w:tcPr>
            <w:tcW w:w="940" w:type="dxa"/>
            <w:vAlign w:val="center"/>
          </w:tcPr>
          <w:p>
            <w:pPr>
              <w:jc w:val="center"/>
            </w:pPr>
            <w:r>
              <w:rPr>
                <w:rFonts w:ascii="宋体" w:hAnsi="宋体" w:eastAsia="宋体" w:cs="宋体"/>
                <w:b w:val="0"/>
                <w:i w:val="0"/>
                <w:color w:val="000000"/>
                <w:sz w:val="12"/>
              </w:rPr>
              <w:t>5</w:t>
            </w:r>
          </w:p>
        </w:tc>
        <w:tc>
          <w:tcPr>
            <w:tcW w:w="886" w:type="dxa"/>
            <w:vAlign w:val="center"/>
          </w:tcPr>
          <w:p>
            <w:pPr>
              <w:jc w:val="center"/>
            </w:pPr>
            <w:r>
              <w:rPr>
                <w:rFonts w:ascii="宋体" w:hAnsi="宋体" w:eastAsia="宋体" w:cs="宋体"/>
                <w:b w:val="0"/>
                <w:i w:val="0"/>
                <w:color w:val="000000"/>
                <w:sz w:val="12"/>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gridSpan w:val="2"/>
            <w:vAlign w:val="center"/>
          </w:tcPr>
          <w:p>
            <w:pPr>
              <w:jc w:val="center"/>
            </w:pPr>
            <w:r>
              <w:rPr>
                <w:rFonts w:ascii="宋体" w:hAnsi="宋体" w:eastAsia="宋体" w:cs="宋体"/>
                <w:b w:val="0"/>
                <w:i w:val="0"/>
                <w:color w:val="000000"/>
                <w:sz w:val="12"/>
              </w:rPr>
              <w:t>合计</w:t>
            </w:r>
          </w:p>
        </w:tc>
        <w:tc>
          <w:tcPr>
            <w:tcW w:w="940" w:type="dxa"/>
            <w:vAlign w:val="center"/>
          </w:tcPr>
          <w:p>
            <w:pPr>
              <w:jc w:val="right"/>
            </w:pPr>
            <w:r>
              <w:rPr>
                <w:rFonts w:ascii="宋体" w:hAnsi="宋体" w:eastAsia="宋体" w:cs="宋体"/>
                <w:b/>
                <w:i w:val="0"/>
                <w:color w:val="000000"/>
                <w:sz w:val="12"/>
              </w:rPr>
              <w:t>0.00</w:t>
            </w:r>
          </w:p>
        </w:tc>
        <w:tc>
          <w:tcPr>
            <w:tcW w:w="940" w:type="dxa"/>
            <w:vAlign w:val="center"/>
          </w:tcPr>
          <w:p>
            <w:pPr>
              <w:jc w:val="right"/>
            </w:pPr>
            <w:r>
              <w:rPr>
                <w:rFonts w:ascii="宋体" w:hAnsi="宋体" w:eastAsia="宋体" w:cs="宋体"/>
                <w:b/>
                <w:i w:val="0"/>
                <w:color w:val="000000"/>
                <w:sz w:val="12"/>
              </w:rPr>
              <w:t>0.00</w:t>
            </w:r>
          </w:p>
        </w:tc>
        <w:tc>
          <w:tcPr>
            <w:tcW w:w="940" w:type="dxa"/>
            <w:vAlign w:val="center"/>
          </w:tcPr>
          <w:p>
            <w:pPr>
              <w:jc w:val="right"/>
            </w:pPr>
            <w:r>
              <w:rPr>
                <w:rFonts w:ascii="宋体" w:hAnsi="宋体" w:eastAsia="宋体" w:cs="宋体"/>
                <w:b/>
                <w:i w:val="0"/>
                <w:color w:val="000000"/>
                <w:sz w:val="12"/>
              </w:rPr>
              <w:t>0.00</w:t>
            </w:r>
          </w:p>
        </w:tc>
        <w:tc>
          <w:tcPr>
            <w:tcW w:w="940" w:type="dxa"/>
            <w:vAlign w:val="center"/>
          </w:tcPr>
          <w:p>
            <w:pPr>
              <w:jc w:val="right"/>
            </w:pPr>
            <w:r>
              <w:rPr>
                <w:rFonts w:ascii="宋体" w:hAnsi="宋体" w:eastAsia="宋体" w:cs="宋体"/>
                <w:b/>
                <w:i w:val="0"/>
                <w:color w:val="000000"/>
                <w:sz w:val="12"/>
              </w:rPr>
              <w:t>0.00</w:t>
            </w:r>
          </w:p>
        </w:tc>
        <w:tc>
          <w:tcPr>
            <w:tcW w:w="940" w:type="dxa"/>
            <w:vAlign w:val="center"/>
          </w:tcPr>
          <w:p>
            <w:pPr>
              <w:jc w:val="right"/>
            </w:pPr>
            <w:r>
              <w:rPr>
                <w:rFonts w:ascii="宋体" w:hAnsi="宋体" w:eastAsia="宋体" w:cs="宋体"/>
                <w:b/>
                <w:i w:val="0"/>
                <w:color w:val="000000"/>
                <w:sz w:val="12"/>
              </w:rPr>
              <w:t>0.00</w:t>
            </w:r>
          </w:p>
        </w:tc>
        <w:tc>
          <w:tcPr>
            <w:tcW w:w="886" w:type="dxa"/>
            <w:vAlign w:val="center"/>
          </w:tcPr>
          <w:p>
            <w:pPr>
              <w:jc w:val="right"/>
            </w:pPr>
            <w:r>
              <w:rPr>
                <w:rFonts w:ascii="宋体" w:hAnsi="宋体" w:eastAsia="宋体" w:cs="宋体"/>
                <w:b/>
                <w:i w:val="0"/>
                <w:color w:val="000000"/>
                <w:sz w:val="12"/>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vAlign w:val="center"/>
          </w:tcPr>
          <w:p/>
        </w:tc>
        <w:tc>
          <w:tcPr>
            <w:tcW w:w="2180" w:type="dxa"/>
            <w:vAlign w:val="center"/>
          </w:tcPr>
          <w:p/>
        </w:tc>
        <w:tc>
          <w:tcPr>
            <w:tcW w:w="940" w:type="dxa"/>
            <w:vAlign w:val="center"/>
          </w:tcPr>
          <w:p/>
        </w:tc>
        <w:tc>
          <w:tcPr>
            <w:tcW w:w="940" w:type="dxa"/>
            <w:vAlign w:val="center"/>
          </w:tcPr>
          <w:p/>
        </w:tc>
        <w:tc>
          <w:tcPr>
            <w:tcW w:w="940" w:type="dxa"/>
            <w:vAlign w:val="center"/>
          </w:tcPr>
          <w:p/>
        </w:tc>
        <w:tc>
          <w:tcPr>
            <w:tcW w:w="940" w:type="dxa"/>
            <w:vAlign w:val="center"/>
          </w:tcPr>
          <w:p/>
        </w:tc>
        <w:tc>
          <w:tcPr>
            <w:tcW w:w="940" w:type="dxa"/>
            <w:vAlign w:val="center"/>
          </w:tcPr>
          <w:p/>
        </w:tc>
        <w:tc>
          <w:tcPr>
            <w:tcW w:w="8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9" w:hRule="exact"/>
          <w:jc w:val="center"/>
        </w:trPr>
        <w:tc>
          <w:tcPr>
            <w:tcW w:w="180" w:type="dxa"/>
            <w:gridSpan w:val="8"/>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2"/>
              </w:rPr>
              <w:t>注：本表反映部门本年度政府性基金预算财政拨款收入、支出及结转和结余情况。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19" w:hRule="exact"/>
          <w:jc w:val="center"/>
        </w:trPr>
        <w:tc>
          <w:tcPr>
            <w:tcW w:w="180" w:type="dxa"/>
            <w:gridSpan w:val="8"/>
            <w:tcBorders>
              <w:top w:val="single" w:color="FFFFFF" w:sz="4" w:space="0"/>
              <w:left w:val="single" w:color="FFFFFF" w:sz="4" w:space="0"/>
              <w:bottom w:val="single" w:color="FFFFFF" w:sz="4" w:space="0"/>
              <w:right w:val="single" w:color="FFFFFF" w:sz="4" w:space="0"/>
              <w:insideH w:val="single" w:sz="4" w:space="0"/>
              <w:insideV w:val="single" w:sz="4" w:space="0"/>
            </w:tcBorders>
            <w:vAlign w:val="top"/>
          </w:tcPr>
          <w:p>
            <w:pPr>
              <w:widowControl w:val="0"/>
              <w:numPr>
                <w:ilvl w:val="0"/>
                <w:numId w:val="0"/>
              </w:numPr>
              <w:shd w:val="clear" w:color="auto" w:fill="auto"/>
              <w:adjustRightInd w:val="0"/>
              <w:snapToGrid w:val="0"/>
              <w:spacing w:line="580" w:lineRule="atLeast"/>
              <w:jc w:val="both"/>
              <w:rPr>
                <w:rFonts w:hint="eastAsia" w:ascii="宋体" w:hAnsi="宋体" w:eastAsia="宋体" w:cs="宋体"/>
                <w:sz w:val="20"/>
                <w:lang w:val="en-US" w:eastAsia="zh-CN"/>
              </w:rPr>
            </w:pPr>
            <w:r>
              <w:rPr>
                <w:rFonts w:hint="eastAsia" w:ascii="宋体" w:hAnsi="宋体" w:eastAsia="宋体" w:cs="宋体"/>
                <w:sz w:val="20"/>
                <w:lang w:val="en-US" w:eastAsia="zh-CN"/>
              </w:rPr>
              <w:t>本单位本年度无政府性基金预算财政拨款收入、支出及结转结余，故为空表。</w:t>
            </w:r>
          </w:p>
          <w:p>
            <w:pPr>
              <w:widowControl w:val="0"/>
              <w:numPr>
                <w:ilvl w:val="0"/>
                <w:numId w:val="0"/>
              </w:numPr>
              <w:shd w:val="clear" w:color="auto" w:fill="auto"/>
              <w:adjustRightInd w:val="0"/>
              <w:snapToGrid w:val="0"/>
              <w:spacing w:line="580" w:lineRule="atLeast"/>
              <w:jc w:val="both"/>
              <w:rPr>
                <w:rFonts w:hint="eastAsia" w:ascii="宋体" w:hAnsi="宋体" w:eastAsia="宋体" w:cs="宋体"/>
                <w:sz w:val="20"/>
                <w:lang w:val="en-US" w:eastAsia="zh-CN"/>
              </w:rPr>
            </w:pP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八、国有资本经营预算财政拨款支出决算表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840"/>
        <w:gridCol w:w="3280"/>
        <w:gridCol w:w="1400"/>
        <w:gridCol w:w="1400"/>
        <w:gridCol w:w="13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gridSpan w:val="2"/>
            <w:vAlign w:val="center"/>
          </w:tcPr>
          <w:p>
            <w:pPr>
              <w:jc w:val="center"/>
            </w:pPr>
            <w:r>
              <w:rPr>
                <w:rFonts w:ascii="宋体" w:hAnsi="宋体" w:eastAsia="宋体" w:cs="宋体"/>
                <w:b w:val="0"/>
                <w:i w:val="0"/>
                <w:color w:val="000000"/>
                <w:sz w:val="18"/>
              </w:rPr>
              <w:t>项目</w:t>
            </w:r>
          </w:p>
        </w:tc>
        <w:tc>
          <w:tcPr>
            <w:tcW w:w="1400" w:type="dxa"/>
            <w:gridSpan w:val="3"/>
            <w:vAlign w:val="center"/>
          </w:tcPr>
          <w:p>
            <w:pPr>
              <w:jc w:val="center"/>
            </w:pPr>
            <w:r>
              <w:rPr>
                <w:rFonts w:ascii="宋体" w:hAnsi="宋体" w:eastAsia="宋体" w:cs="宋体"/>
                <w:b w:val="0"/>
                <w:i w:val="0"/>
                <w:color w:val="000000"/>
                <w:sz w:val="18"/>
              </w:rPr>
              <w:t>本年支出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vMerge w:val="restart"/>
            <w:vAlign w:val="center"/>
          </w:tcPr>
          <w:p>
            <w:pPr>
              <w:jc w:val="center"/>
            </w:pPr>
            <w:r>
              <w:rPr>
                <w:rFonts w:ascii="宋体" w:hAnsi="宋体" w:eastAsia="宋体" w:cs="宋体"/>
                <w:b w:val="0"/>
                <w:i w:val="0"/>
                <w:color w:val="000000"/>
                <w:sz w:val="18"/>
              </w:rPr>
              <w:t>科目代码</w:t>
            </w:r>
          </w:p>
        </w:tc>
        <w:tc>
          <w:tcPr>
            <w:tcW w:w="3280" w:type="dxa"/>
            <w:vMerge w:val="restart"/>
            <w:vAlign w:val="center"/>
          </w:tcPr>
          <w:p>
            <w:pPr>
              <w:jc w:val="center"/>
            </w:pPr>
            <w:r>
              <w:rPr>
                <w:rFonts w:ascii="宋体" w:hAnsi="宋体" w:eastAsia="宋体" w:cs="宋体"/>
                <w:b w:val="0"/>
                <w:i w:val="0"/>
                <w:color w:val="000000"/>
                <w:sz w:val="18"/>
              </w:rPr>
              <w:t>科目名称</w:t>
            </w:r>
          </w:p>
        </w:tc>
        <w:tc>
          <w:tcPr>
            <w:tcW w:w="1400" w:type="dxa"/>
            <w:vMerge w:val="restart"/>
            <w:vAlign w:val="center"/>
          </w:tcPr>
          <w:p>
            <w:pPr>
              <w:jc w:val="center"/>
            </w:pPr>
            <w:r>
              <w:rPr>
                <w:rFonts w:ascii="宋体" w:hAnsi="宋体" w:eastAsia="宋体" w:cs="宋体"/>
                <w:b w:val="0"/>
                <w:i w:val="0"/>
                <w:color w:val="000000"/>
                <w:sz w:val="18"/>
              </w:rPr>
              <w:t>合计</w:t>
            </w:r>
          </w:p>
        </w:tc>
        <w:tc>
          <w:tcPr>
            <w:tcW w:w="1400" w:type="dxa"/>
            <w:vMerge w:val="restart"/>
            <w:vAlign w:val="center"/>
          </w:tcPr>
          <w:p>
            <w:pPr>
              <w:jc w:val="center"/>
            </w:pPr>
            <w:r>
              <w:rPr>
                <w:rFonts w:ascii="宋体" w:hAnsi="宋体" w:eastAsia="宋体" w:cs="宋体"/>
                <w:b w:val="0"/>
                <w:i w:val="0"/>
                <w:color w:val="000000"/>
                <w:sz w:val="18"/>
              </w:rPr>
              <w:t>基本支出</w:t>
            </w:r>
          </w:p>
        </w:tc>
        <w:tc>
          <w:tcPr>
            <w:tcW w:w="1386" w:type="dxa"/>
            <w:vMerge w:val="restart"/>
            <w:vAlign w:val="center"/>
          </w:tcPr>
          <w:p>
            <w:pPr>
              <w:jc w:val="center"/>
            </w:pPr>
            <w:r>
              <w:rPr>
                <w:rFonts w:ascii="宋体" w:hAnsi="宋体" w:eastAsia="宋体" w:cs="宋体"/>
                <w:b w:val="0"/>
                <w:i w:val="0"/>
                <w:color w:val="000000"/>
                <w:sz w:val="18"/>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vMerge w:val="continue"/>
            <w:vAlign w:val="center"/>
          </w:tcPr>
          <w:p/>
        </w:tc>
        <w:tc>
          <w:tcPr>
            <w:tcW w:w="3280" w:type="dxa"/>
            <w:vMerge w:val="continue"/>
            <w:vAlign w:val="center"/>
          </w:tcPr>
          <w:p/>
        </w:tc>
        <w:tc>
          <w:tcPr>
            <w:tcW w:w="1400" w:type="dxa"/>
            <w:vMerge w:val="continue"/>
            <w:vAlign w:val="center"/>
          </w:tcPr>
          <w:p/>
        </w:tc>
        <w:tc>
          <w:tcPr>
            <w:tcW w:w="1400" w:type="dxa"/>
            <w:vMerge w:val="continue"/>
            <w:vAlign w:val="center"/>
          </w:tcPr>
          <w:p/>
        </w:tc>
        <w:tc>
          <w:tcPr>
            <w:tcW w:w="13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vMerge w:val="continue"/>
            <w:vAlign w:val="center"/>
          </w:tcPr>
          <w:p/>
        </w:tc>
        <w:tc>
          <w:tcPr>
            <w:tcW w:w="3280" w:type="dxa"/>
            <w:vMerge w:val="continue"/>
            <w:vAlign w:val="center"/>
          </w:tcPr>
          <w:p/>
        </w:tc>
        <w:tc>
          <w:tcPr>
            <w:tcW w:w="1400" w:type="dxa"/>
            <w:vMerge w:val="continue"/>
            <w:vAlign w:val="center"/>
          </w:tcPr>
          <w:p/>
        </w:tc>
        <w:tc>
          <w:tcPr>
            <w:tcW w:w="1400" w:type="dxa"/>
            <w:vMerge w:val="continue"/>
            <w:vAlign w:val="center"/>
          </w:tcPr>
          <w:p/>
        </w:tc>
        <w:tc>
          <w:tcPr>
            <w:tcW w:w="13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gridSpan w:val="2"/>
            <w:vAlign w:val="center"/>
          </w:tcPr>
          <w:p>
            <w:pPr>
              <w:jc w:val="center"/>
            </w:pPr>
            <w:r>
              <w:rPr>
                <w:rFonts w:ascii="宋体" w:hAnsi="宋体" w:eastAsia="宋体" w:cs="宋体"/>
                <w:b w:val="0"/>
                <w:i w:val="0"/>
                <w:color w:val="000000"/>
                <w:sz w:val="18"/>
              </w:rPr>
              <w:t>栏次</w:t>
            </w:r>
          </w:p>
        </w:tc>
        <w:tc>
          <w:tcPr>
            <w:tcW w:w="1400" w:type="dxa"/>
            <w:vAlign w:val="center"/>
          </w:tcPr>
          <w:p>
            <w:pPr>
              <w:jc w:val="center"/>
            </w:pPr>
            <w:r>
              <w:rPr>
                <w:rFonts w:ascii="宋体" w:hAnsi="宋体" w:eastAsia="宋体" w:cs="宋体"/>
                <w:b w:val="0"/>
                <w:i w:val="0"/>
                <w:color w:val="000000"/>
                <w:sz w:val="18"/>
              </w:rPr>
              <w:t>1</w:t>
            </w:r>
          </w:p>
        </w:tc>
        <w:tc>
          <w:tcPr>
            <w:tcW w:w="1400" w:type="dxa"/>
            <w:vAlign w:val="center"/>
          </w:tcPr>
          <w:p>
            <w:pPr>
              <w:jc w:val="center"/>
            </w:pPr>
            <w:r>
              <w:rPr>
                <w:rFonts w:ascii="宋体" w:hAnsi="宋体" w:eastAsia="宋体" w:cs="宋体"/>
                <w:b w:val="0"/>
                <w:i w:val="0"/>
                <w:color w:val="000000"/>
                <w:sz w:val="18"/>
              </w:rPr>
              <w:t>2</w:t>
            </w:r>
          </w:p>
        </w:tc>
        <w:tc>
          <w:tcPr>
            <w:tcW w:w="1386" w:type="dxa"/>
            <w:vAlign w:val="center"/>
          </w:tcPr>
          <w:p>
            <w:pPr>
              <w:jc w:val="center"/>
            </w:pPr>
            <w:r>
              <w:rPr>
                <w:rFonts w:ascii="宋体" w:hAnsi="宋体" w:eastAsia="宋体" w:cs="宋体"/>
                <w:b w:val="0"/>
                <w:i w:val="0"/>
                <w:color w:val="000000"/>
                <w:sz w:val="18"/>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gridSpan w:val="2"/>
            <w:vAlign w:val="center"/>
          </w:tcPr>
          <w:p>
            <w:pPr>
              <w:jc w:val="center"/>
            </w:pPr>
            <w:r>
              <w:rPr>
                <w:rFonts w:ascii="宋体" w:hAnsi="宋体" w:eastAsia="宋体" w:cs="宋体"/>
                <w:b w:val="0"/>
                <w:i w:val="0"/>
                <w:color w:val="000000"/>
                <w:sz w:val="18"/>
              </w:rPr>
              <w:t>合计</w:t>
            </w:r>
          </w:p>
        </w:tc>
        <w:tc>
          <w:tcPr>
            <w:tcW w:w="1400" w:type="dxa"/>
            <w:vAlign w:val="center"/>
          </w:tcPr>
          <w:p>
            <w:pPr>
              <w:jc w:val="right"/>
            </w:pPr>
            <w:r>
              <w:rPr>
                <w:rFonts w:ascii="宋体" w:hAnsi="宋体" w:eastAsia="宋体" w:cs="宋体"/>
                <w:b/>
                <w:i w:val="0"/>
                <w:color w:val="000000"/>
                <w:sz w:val="18"/>
              </w:rPr>
              <w:t>0.00</w:t>
            </w:r>
          </w:p>
        </w:tc>
        <w:tc>
          <w:tcPr>
            <w:tcW w:w="1400" w:type="dxa"/>
            <w:vAlign w:val="center"/>
          </w:tcPr>
          <w:p>
            <w:pPr>
              <w:jc w:val="right"/>
            </w:pPr>
            <w:r>
              <w:rPr>
                <w:rFonts w:ascii="宋体" w:hAnsi="宋体" w:eastAsia="宋体" w:cs="宋体"/>
                <w:b/>
                <w:i w:val="0"/>
                <w:color w:val="000000"/>
                <w:sz w:val="18"/>
              </w:rPr>
              <w:t>0.00</w:t>
            </w:r>
          </w:p>
        </w:tc>
        <w:tc>
          <w:tcPr>
            <w:tcW w:w="1386" w:type="dxa"/>
            <w:vAlign w:val="center"/>
          </w:tcPr>
          <w:p>
            <w:pPr>
              <w:jc w:val="right"/>
            </w:pPr>
            <w:r>
              <w:rPr>
                <w:rFonts w:ascii="宋体" w:hAnsi="宋体" w:eastAsia="宋体" w:cs="宋体"/>
                <w:b/>
                <w:i w:val="0"/>
                <w:color w:val="000000"/>
                <w:sz w:val="18"/>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vAlign w:val="center"/>
          </w:tcPr>
          <w:p/>
        </w:tc>
        <w:tc>
          <w:tcPr>
            <w:tcW w:w="3280" w:type="dxa"/>
            <w:vAlign w:val="center"/>
          </w:tcPr>
          <w:p/>
        </w:tc>
        <w:tc>
          <w:tcPr>
            <w:tcW w:w="1400" w:type="dxa"/>
            <w:vAlign w:val="center"/>
          </w:tcPr>
          <w:p/>
        </w:tc>
        <w:tc>
          <w:tcPr>
            <w:tcW w:w="1400" w:type="dxa"/>
            <w:vAlign w:val="center"/>
          </w:tcPr>
          <w:p/>
        </w:tc>
        <w:tc>
          <w:tcPr>
            <w:tcW w:w="13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5" w:hRule="exact"/>
          <w:jc w:val="center"/>
        </w:trPr>
        <w:tc>
          <w:tcPr>
            <w:tcW w:w="280"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8"/>
              </w:rPr>
              <w:t>注：本表反映部门本年度国有资本经营预算财政拨款支出情况。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0" w:hRule="exact"/>
          <w:jc w:val="center"/>
        </w:trPr>
        <w:tc>
          <w:tcPr>
            <w:tcW w:w="28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top"/>
          </w:tcPr>
          <w:p>
            <w:pPr>
              <w:widowControl w:val="0"/>
              <w:numPr>
                <w:ilvl w:val="0"/>
                <w:numId w:val="0"/>
              </w:numPr>
              <w:shd w:val="clear" w:color="auto" w:fill="auto"/>
              <w:adjustRightInd w:val="0"/>
              <w:snapToGrid w:val="0"/>
              <w:spacing w:line="580" w:lineRule="atLeast"/>
              <w:jc w:val="both"/>
              <w:rPr>
                <w:rFonts w:hint="eastAsia" w:ascii="宋体" w:hAnsi="宋体" w:eastAsia="宋体" w:cs="宋体"/>
                <w:sz w:val="20"/>
                <w:lang w:val="en-US" w:eastAsia="zh-CN"/>
              </w:rPr>
            </w:pPr>
            <w:r>
              <w:rPr>
                <w:rFonts w:hint="eastAsia" w:ascii="宋体" w:hAnsi="宋体" w:eastAsia="宋体" w:cs="宋体"/>
                <w:sz w:val="20"/>
                <w:lang w:val="en-US" w:eastAsia="zh-CN"/>
              </w:rPr>
              <w:t>本单位本年度无国有资本经营预算财政拨款支出，故为空表。</w:t>
            </w:r>
          </w:p>
          <w:p>
            <w:pPr>
              <w:jc w:val="both"/>
            </w:pPr>
          </w:p>
        </w:tc>
      </w:tr>
    </w:tbl>
    <w:p>
      <w:pPr>
        <w:snapToGrid w:val="0"/>
        <w:spacing w:before="0" w:after="0" w:line="0" w:lineRule="auto"/>
      </w:pPr>
      <w:r>
        <w:rPr>
          <w:sz w:val="8"/>
        </w:rPr>
        <w:t xml:space="preserve"> </w:t>
      </w:r>
    </w:p>
    <w:p>
      <w:pPr>
        <w:adjustRightInd w:val="0"/>
        <w:snapToGrid w:val="0"/>
        <w:spacing w:line="580" w:lineRule="atLeast"/>
        <w:ind w:firstLine="640" w:firstLineChars="200"/>
        <w:rPr>
          <w:rFonts w:ascii="黑体" w:hAnsi="黑体" w:eastAsia="黑体" w:cs="黑体"/>
          <w:bCs/>
          <w:szCs w:val="32"/>
        </w:rPr>
      </w:pPr>
      <w:r>
        <w:rPr>
          <w:rFonts w:hint="eastAsia" w:ascii="黑体" w:hAnsi="黑体" w:eastAsia="黑体" w:cs="黑体"/>
          <w:bCs/>
          <w:szCs w:val="32"/>
        </w:rPr>
        <w:t>九、财政拨款“三公”经费支出决算表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部门：宜昌市物流业发展中心</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700"/>
        <w:gridCol w:w="700"/>
        <w:gridCol w:w="700"/>
        <w:gridCol w:w="700"/>
        <w:gridCol w:w="700"/>
        <w:gridCol w:w="700"/>
        <w:gridCol w:w="700"/>
        <w:gridCol w:w="700"/>
        <w:gridCol w:w="700"/>
        <w:gridCol w:w="700"/>
        <w:gridCol w:w="700"/>
        <w:gridCol w:w="6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1" w:hRule="exact"/>
          <w:jc w:val="center"/>
        </w:trPr>
        <w:tc>
          <w:tcPr>
            <w:tcW w:w="700" w:type="dxa"/>
            <w:gridSpan w:val="6"/>
            <w:vAlign w:val="center"/>
          </w:tcPr>
          <w:p>
            <w:pPr>
              <w:jc w:val="center"/>
            </w:pPr>
            <w:r>
              <w:rPr>
                <w:rFonts w:ascii="宋体" w:hAnsi="宋体" w:eastAsia="宋体" w:cs="宋体"/>
                <w:b w:val="0"/>
                <w:i w:val="0"/>
                <w:color w:val="000000"/>
                <w:sz w:val="10"/>
              </w:rPr>
              <w:t>预算数</w:t>
            </w:r>
          </w:p>
        </w:tc>
        <w:tc>
          <w:tcPr>
            <w:tcW w:w="700" w:type="dxa"/>
            <w:gridSpan w:val="6"/>
            <w:vAlign w:val="center"/>
          </w:tcPr>
          <w:p>
            <w:pPr>
              <w:jc w:val="center"/>
            </w:pPr>
            <w:r>
              <w:rPr>
                <w:rFonts w:ascii="宋体" w:hAnsi="宋体" w:eastAsia="宋体" w:cs="宋体"/>
                <w:b w:val="0"/>
                <w:i w:val="0"/>
                <w:color w:val="000000"/>
                <w:sz w:val="1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1" w:hRule="exact"/>
          <w:jc w:val="center"/>
        </w:trPr>
        <w:tc>
          <w:tcPr>
            <w:tcW w:w="700" w:type="dxa"/>
            <w:vMerge w:val="restart"/>
            <w:vAlign w:val="center"/>
          </w:tcPr>
          <w:p>
            <w:pPr>
              <w:jc w:val="center"/>
            </w:pPr>
            <w:r>
              <w:rPr>
                <w:rFonts w:ascii="宋体" w:hAnsi="宋体" w:eastAsia="宋体" w:cs="宋体"/>
                <w:b w:val="0"/>
                <w:i w:val="0"/>
                <w:color w:val="000000"/>
                <w:sz w:val="10"/>
              </w:rPr>
              <w:t>合计</w:t>
            </w:r>
          </w:p>
        </w:tc>
        <w:tc>
          <w:tcPr>
            <w:tcW w:w="700" w:type="dxa"/>
            <w:vMerge w:val="restart"/>
            <w:vAlign w:val="center"/>
          </w:tcPr>
          <w:p>
            <w:pPr>
              <w:jc w:val="center"/>
            </w:pPr>
            <w:r>
              <w:rPr>
                <w:rFonts w:ascii="宋体" w:hAnsi="宋体" w:eastAsia="宋体" w:cs="宋体"/>
                <w:b w:val="0"/>
                <w:i w:val="0"/>
                <w:color w:val="000000"/>
                <w:sz w:val="10"/>
              </w:rPr>
              <w:t>因公出国（境）费</w:t>
            </w:r>
          </w:p>
        </w:tc>
        <w:tc>
          <w:tcPr>
            <w:tcW w:w="700" w:type="dxa"/>
            <w:gridSpan w:val="3"/>
            <w:vAlign w:val="center"/>
          </w:tcPr>
          <w:p>
            <w:pPr>
              <w:jc w:val="center"/>
            </w:pPr>
            <w:r>
              <w:rPr>
                <w:rFonts w:ascii="宋体" w:hAnsi="宋体" w:eastAsia="宋体" w:cs="宋体"/>
                <w:b w:val="0"/>
                <w:i w:val="0"/>
                <w:color w:val="000000"/>
                <w:sz w:val="10"/>
              </w:rPr>
              <w:t>公务用车购置及运行维护费</w:t>
            </w:r>
          </w:p>
        </w:tc>
        <w:tc>
          <w:tcPr>
            <w:tcW w:w="700" w:type="dxa"/>
            <w:vMerge w:val="restart"/>
            <w:vAlign w:val="center"/>
          </w:tcPr>
          <w:p>
            <w:pPr>
              <w:jc w:val="center"/>
            </w:pPr>
            <w:r>
              <w:rPr>
                <w:rFonts w:ascii="宋体" w:hAnsi="宋体" w:eastAsia="宋体" w:cs="宋体"/>
                <w:b w:val="0"/>
                <w:i w:val="0"/>
                <w:color w:val="000000"/>
                <w:sz w:val="10"/>
              </w:rPr>
              <w:t>公务接待费</w:t>
            </w:r>
          </w:p>
        </w:tc>
        <w:tc>
          <w:tcPr>
            <w:tcW w:w="700" w:type="dxa"/>
            <w:vMerge w:val="restart"/>
            <w:vAlign w:val="center"/>
          </w:tcPr>
          <w:p>
            <w:pPr>
              <w:jc w:val="center"/>
            </w:pPr>
            <w:r>
              <w:rPr>
                <w:rFonts w:ascii="宋体" w:hAnsi="宋体" w:eastAsia="宋体" w:cs="宋体"/>
                <w:b w:val="0"/>
                <w:i w:val="0"/>
                <w:color w:val="000000"/>
                <w:sz w:val="10"/>
              </w:rPr>
              <w:t>合计</w:t>
            </w:r>
          </w:p>
        </w:tc>
        <w:tc>
          <w:tcPr>
            <w:tcW w:w="700" w:type="dxa"/>
            <w:vMerge w:val="restart"/>
            <w:vAlign w:val="center"/>
          </w:tcPr>
          <w:p>
            <w:pPr>
              <w:jc w:val="center"/>
            </w:pPr>
            <w:r>
              <w:rPr>
                <w:rFonts w:ascii="宋体" w:hAnsi="宋体" w:eastAsia="宋体" w:cs="宋体"/>
                <w:b w:val="0"/>
                <w:i w:val="0"/>
                <w:color w:val="000000"/>
                <w:sz w:val="10"/>
              </w:rPr>
              <w:t>因公出国（境）费</w:t>
            </w:r>
          </w:p>
        </w:tc>
        <w:tc>
          <w:tcPr>
            <w:tcW w:w="700" w:type="dxa"/>
            <w:gridSpan w:val="3"/>
            <w:vAlign w:val="center"/>
          </w:tcPr>
          <w:p>
            <w:pPr>
              <w:jc w:val="center"/>
            </w:pPr>
            <w:r>
              <w:rPr>
                <w:rFonts w:ascii="宋体" w:hAnsi="宋体" w:eastAsia="宋体" w:cs="宋体"/>
                <w:b w:val="0"/>
                <w:i w:val="0"/>
                <w:color w:val="000000"/>
                <w:sz w:val="10"/>
              </w:rPr>
              <w:t>公务用车购置及运行维护费</w:t>
            </w:r>
          </w:p>
        </w:tc>
        <w:tc>
          <w:tcPr>
            <w:tcW w:w="606" w:type="dxa"/>
            <w:vMerge w:val="restart"/>
            <w:vAlign w:val="center"/>
          </w:tcPr>
          <w:p>
            <w:pPr>
              <w:jc w:val="center"/>
            </w:pPr>
            <w:r>
              <w:rPr>
                <w:rFonts w:ascii="宋体" w:hAnsi="宋体" w:eastAsia="宋体" w:cs="宋体"/>
                <w:b w:val="0"/>
                <w:i w:val="0"/>
                <w:color w:val="000000"/>
                <w:sz w:val="10"/>
              </w:rPr>
              <w:t>公务接待费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2" w:hRule="exact"/>
          <w:jc w:val="center"/>
        </w:trPr>
        <w:tc>
          <w:tcPr>
            <w:tcW w:w="700" w:type="dxa"/>
            <w:vMerge w:val="continue"/>
            <w:vAlign w:val="center"/>
          </w:tcPr>
          <w:p/>
        </w:tc>
        <w:tc>
          <w:tcPr>
            <w:tcW w:w="700" w:type="dxa"/>
            <w:vMerge w:val="continue"/>
            <w:vAlign w:val="center"/>
          </w:tcPr>
          <w:p/>
        </w:tc>
        <w:tc>
          <w:tcPr>
            <w:tcW w:w="700" w:type="dxa"/>
            <w:vAlign w:val="center"/>
          </w:tcPr>
          <w:p>
            <w:pPr>
              <w:jc w:val="center"/>
            </w:pPr>
            <w:r>
              <w:rPr>
                <w:rFonts w:ascii="宋体" w:hAnsi="宋体" w:eastAsia="宋体" w:cs="宋体"/>
                <w:b w:val="0"/>
                <w:i w:val="0"/>
                <w:color w:val="000000"/>
                <w:sz w:val="10"/>
              </w:rPr>
              <w:t>小计</w:t>
            </w:r>
          </w:p>
        </w:tc>
        <w:tc>
          <w:tcPr>
            <w:tcW w:w="700" w:type="dxa"/>
            <w:vAlign w:val="center"/>
          </w:tcPr>
          <w:p>
            <w:pPr>
              <w:jc w:val="center"/>
            </w:pPr>
            <w:r>
              <w:rPr>
                <w:rFonts w:ascii="宋体" w:hAnsi="宋体" w:eastAsia="宋体" w:cs="宋体"/>
                <w:b w:val="0"/>
                <w:i w:val="0"/>
                <w:color w:val="000000"/>
                <w:sz w:val="10"/>
              </w:rPr>
              <w:t>公务用车购置费</w:t>
            </w:r>
          </w:p>
        </w:tc>
        <w:tc>
          <w:tcPr>
            <w:tcW w:w="700" w:type="dxa"/>
            <w:vAlign w:val="center"/>
          </w:tcPr>
          <w:p>
            <w:pPr>
              <w:jc w:val="center"/>
            </w:pPr>
            <w:r>
              <w:rPr>
                <w:rFonts w:ascii="宋体" w:hAnsi="宋体" w:eastAsia="宋体" w:cs="宋体"/>
                <w:b w:val="0"/>
                <w:i w:val="0"/>
                <w:color w:val="000000"/>
                <w:sz w:val="10"/>
              </w:rPr>
              <w:t>公务用车运行维护费</w:t>
            </w:r>
          </w:p>
        </w:tc>
        <w:tc>
          <w:tcPr>
            <w:tcW w:w="700" w:type="dxa"/>
            <w:vMerge w:val="continue"/>
            <w:vAlign w:val="center"/>
          </w:tcPr>
          <w:p/>
        </w:tc>
        <w:tc>
          <w:tcPr>
            <w:tcW w:w="700" w:type="dxa"/>
            <w:vMerge w:val="continue"/>
            <w:vAlign w:val="center"/>
          </w:tcPr>
          <w:p/>
        </w:tc>
        <w:tc>
          <w:tcPr>
            <w:tcW w:w="700" w:type="dxa"/>
            <w:vMerge w:val="continue"/>
            <w:vAlign w:val="center"/>
          </w:tcPr>
          <w:p/>
        </w:tc>
        <w:tc>
          <w:tcPr>
            <w:tcW w:w="700" w:type="dxa"/>
            <w:vAlign w:val="center"/>
          </w:tcPr>
          <w:p>
            <w:pPr>
              <w:jc w:val="center"/>
            </w:pPr>
            <w:r>
              <w:rPr>
                <w:rFonts w:ascii="宋体" w:hAnsi="宋体" w:eastAsia="宋体" w:cs="宋体"/>
                <w:b w:val="0"/>
                <w:i w:val="0"/>
                <w:color w:val="000000"/>
                <w:sz w:val="10"/>
              </w:rPr>
              <w:t>小计</w:t>
            </w:r>
          </w:p>
        </w:tc>
        <w:tc>
          <w:tcPr>
            <w:tcW w:w="700" w:type="dxa"/>
            <w:vAlign w:val="center"/>
          </w:tcPr>
          <w:p>
            <w:pPr>
              <w:jc w:val="center"/>
            </w:pPr>
            <w:r>
              <w:rPr>
                <w:rFonts w:ascii="宋体" w:hAnsi="宋体" w:eastAsia="宋体" w:cs="宋体"/>
                <w:b w:val="0"/>
                <w:i w:val="0"/>
                <w:color w:val="000000"/>
                <w:sz w:val="10"/>
              </w:rPr>
              <w:t>公务用车购置费</w:t>
            </w:r>
          </w:p>
        </w:tc>
        <w:tc>
          <w:tcPr>
            <w:tcW w:w="700" w:type="dxa"/>
            <w:vAlign w:val="center"/>
          </w:tcPr>
          <w:p>
            <w:pPr>
              <w:jc w:val="center"/>
            </w:pPr>
            <w:r>
              <w:rPr>
                <w:rFonts w:ascii="宋体" w:hAnsi="宋体" w:eastAsia="宋体" w:cs="宋体"/>
                <w:b w:val="0"/>
                <w:i w:val="0"/>
                <w:color w:val="000000"/>
                <w:sz w:val="10"/>
              </w:rPr>
              <w:t>公务用车运行维护费</w:t>
            </w:r>
          </w:p>
        </w:tc>
        <w:tc>
          <w:tcPr>
            <w:tcW w:w="60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21" w:hRule="exact"/>
          <w:jc w:val="center"/>
        </w:trPr>
        <w:tc>
          <w:tcPr>
            <w:tcW w:w="700" w:type="dxa"/>
            <w:vAlign w:val="center"/>
          </w:tcPr>
          <w:p>
            <w:pPr>
              <w:jc w:val="center"/>
            </w:pPr>
            <w:r>
              <w:rPr>
                <w:rFonts w:ascii="宋体" w:hAnsi="宋体" w:eastAsia="宋体" w:cs="宋体"/>
                <w:b w:val="0"/>
                <w:i w:val="0"/>
                <w:color w:val="000000"/>
                <w:sz w:val="10"/>
              </w:rPr>
              <w:t>1</w:t>
            </w:r>
          </w:p>
        </w:tc>
        <w:tc>
          <w:tcPr>
            <w:tcW w:w="700" w:type="dxa"/>
            <w:vAlign w:val="center"/>
          </w:tcPr>
          <w:p>
            <w:pPr>
              <w:jc w:val="center"/>
            </w:pPr>
            <w:r>
              <w:rPr>
                <w:rFonts w:ascii="宋体" w:hAnsi="宋体" w:eastAsia="宋体" w:cs="宋体"/>
                <w:b w:val="0"/>
                <w:i w:val="0"/>
                <w:color w:val="000000"/>
                <w:sz w:val="10"/>
              </w:rPr>
              <w:t>2</w:t>
            </w:r>
          </w:p>
        </w:tc>
        <w:tc>
          <w:tcPr>
            <w:tcW w:w="700" w:type="dxa"/>
            <w:vAlign w:val="center"/>
          </w:tcPr>
          <w:p>
            <w:pPr>
              <w:jc w:val="center"/>
            </w:pPr>
            <w:r>
              <w:rPr>
                <w:rFonts w:ascii="宋体" w:hAnsi="宋体" w:eastAsia="宋体" w:cs="宋体"/>
                <w:b w:val="0"/>
                <w:i w:val="0"/>
                <w:color w:val="000000"/>
                <w:sz w:val="10"/>
              </w:rPr>
              <w:t>3</w:t>
            </w:r>
          </w:p>
        </w:tc>
        <w:tc>
          <w:tcPr>
            <w:tcW w:w="700" w:type="dxa"/>
            <w:vAlign w:val="center"/>
          </w:tcPr>
          <w:p>
            <w:pPr>
              <w:jc w:val="center"/>
            </w:pPr>
            <w:r>
              <w:rPr>
                <w:rFonts w:ascii="宋体" w:hAnsi="宋体" w:eastAsia="宋体" w:cs="宋体"/>
                <w:b w:val="0"/>
                <w:i w:val="0"/>
                <w:color w:val="000000"/>
                <w:sz w:val="10"/>
              </w:rPr>
              <w:t>4</w:t>
            </w:r>
          </w:p>
        </w:tc>
        <w:tc>
          <w:tcPr>
            <w:tcW w:w="700" w:type="dxa"/>
            <w:vAlign w:val="center"/>
          </w:tcPr>
          <w:p>
            <w:pPr>
              <w:jc w:val="center"/>
            </w:pPr>
            <w:r>
              <w:rPr>
                <w:rFonts w:ascii="宋体" w:hAnsi="宋体" w:eastAsia="宋体" w:cs="宋体"/>
                <w:b w:val="0"/>
                <w:i w:val="0"/>
                <w:color w:val="000000"/>
                <w:sz w:val="10"/>
              </w:rPr>
              <w:t>5</w:t>
            </w:r>
          </w:p>
        </w:tc>
        <w:tc>
          <w:tcPr>
            <w:tcW w:w="700" w:type="dxa"/>
            <w:vAlign w:val="center"/>
          </w:tcPr>
          <w:p>
            <w:pPr>
              <w:jc w:val="center"/>
            </w:pPr>
            <w:r>
              <w:rPr>
                <w:rFonts w:ascii="宋体" w:hAnsi="宋体" w:eastAsia="宋体" w:cs="宋体"/>
                <w:b w:val="0"/>
                <w:i w:val="0"/>
                <w:color w:val="000000"/>
                <w:sz w:val="10"/>
              </w:rPr>
              <w:t>6</w:t>
            </w:r>
          </w:p>
        </w:tc>
        <w:tc>
          <w:tcPr>
            <w:tcW w:w="700" w:type="dxa"/>
            <w:vAlign w:val="center"/>
          </w:tcPr>
          <w:p>
            <w:pPr>
              <w:jc w:val="center"/>
            </w:pPr>
            <w:r>
              <w:rPr>
                <w:rFonts w:ascii="宋体" w:hAnsi="宋体" w:eastAsia="宋体" w:cs="宋体"/>
                <w:b w:val="0"/>
                <w:i w:val="0"/>
                <w:color w:val="000000"/>
                <w:sz w:val="10"/>
              </w:rPr>
              <w:t>7</w:t>
            </w:r>
          </w:p>
        </w:tc>
        <w:tc>
          <w:tcPr>
            <w:tcW w:w="700" w:type="dxa"/>
            <w:vAlign w:val="center"/>
          </w:tcPr>
          <w:p>
            <w:pPr>
              <w:jc w:val="center"/>
            </w:pPr>
            <w:r>
              <w:rPr>
                <w:rFonts w:ascii="宋体" w:hAnsi="宋体" w:eastAsia="宋体" w:cs="宋体"/>
                <w:b w:val="0"/>
                <w:i w:val="0"/>
                <w:color w:val="000000"/>
                <w:sz w:val="10"/>
              </w:rPr>
              <w:t>8</w:t>
            </w:r>
          </w:p>
        </w:tc>
        <w:tc>
          <w:tcPr>
            <w:tcW w:w="700" w:type="dxa"/>
            <w:vAlign w:val="center"/>
          </w:tcPr>
          <w:p>
            <w:pPr>
              <w:jc w:val="center"/>
            </w:pPr>
            <w:r>
              <w:rPr>
                <w:rFonts w:ascii="宋体" w:hAnsi="宋体" w:eastAsia="宋体" w:cs="宋体"/>
                <w:b w:val="0"/>
                <w:i w:val="0"/>
                <w:color w:val="000000"/>
                <w:sz w:val="10"/>
              </w:rPr>
              <w:t>9</w:t>
            </w:r>
          </w:p>
        </w:tc>
        <w:tc>
          <w:tcPr>
            <w:tcW w:w="700" w:type="dxa"/>
            <w:vAlign w:val="center"/>
          </w:tcPr>
          <w:p>
            <w:pPr>
              <w:jc w:val="center"/>
            </w:pPr>
            <w:r>
              <w:rPr>
                <w:rFonts w:ascii="宋体" w:hAnsi="宋体" w:eastAsia="宋体" w:cs="宋体"/>
                <w:b w:val="0"/>
                <w:i w:val="0"/>
                <w:color w:val="000000"/>
                <w:sz w:val="10"/>
              </w:rPr>
              <w:t>10</w:t>
            </w:r>
          </w:p>
        </w:tc>
        <w:tc>
          <w:tcPr>
            <w:tcW w:w="700" w:type="dxa"/>
            <w:vAlign w:val="center"/>
          </w:tcPr>
          <w:p>
            <w:pPr>
              <w:jc w:val="center"/>
            </w:pPr>
            <w:r>
              <w:rPr>
                <w:rFonts w:ascii="宋体" w:hAnsi="宋体" w:eastAsia="宋体" w:cs="宋体"/>
                <w:b w:val="0"/>
                <w:i w:val="0"/>
                <w:color w:val="000000"/>
                <w:sz w:val="10"/>
              </w:rPr>
              <w:t>11</w:t>
            </w:r>
          </w:p>
        </w:tc>
        <w:tc>
          <w:tcPr>
            <w:tcW w:w="606" w:type="dxa"/>
            <w:vAlign w:val="center"/>
          </w:tcPr>
          <w:p>
            <w:pPr>
              <w:jc w:val="center"/>
            </w:pPr>
            <w:r>
              <w:rPr>
                <w:rFonts w:ascii="宋体" w:hAnsi="宋体" w:eastAsia="宋体" w:cs="宋体"/>
                <w:b w:val="0"/>
                <w:i w:val="0"/>
                <w:color w:val="000000"/>
                <w:sz w:val="10"/>
              </w:rPr>
              <w:t>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21" w:hRule="exact"/>
          <w:jc w:val="center"/>
        </w:trPr>
        <w:tc>
          <w:tcPr>
            <w:tcW w:w="700" w:type="dxa"/>
            <w:vAlign w:val="center"/>
          </w:tcPr>
          <w:p>
            <w:pPr>
              <w:jc w:val="right"/>
            </w:pPr>
            <w:r>
              <w:rPr>
                <w:rFonts w:ascii="宋体" w:hAnsi="宋体" w:eastAsia="宋体" w:cs="宋体"/>
                <w:b w:val="0"/>
                <w:i w:val="0"/>
                <w:color w:val="000000"/>
                <w:sz w:val="10"/>
              </w:rPr>
              <w:t>0.72</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0.72</w:t>
            </w:r>
          </w:p>
        </w:tc>
        <w:tc>
          <w:tcPr>
            <w:tcW w:w="700" w:type="dxa"/>
            <w:vAlign w:val="center"/>
          </w:tcPr>
          <w:p>
            <w:pPr>
              <w:jc w:val="right"/>
            </w:pPr>
            <w:r>
              <w:rPr>
                <w:rFonts w:ascii="宋体" w:hAnsi="宋体" w:eastAsia="宋体" w:cs="宋体"/>
                <w:b w:val="0"/>
                <w:i w:val="0"/>
                <w:color w:val="000000"/>
                <w:sz w:val="10"/>
              </w:rPr>
              <w:t>0.72</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700" w:type="dxa"/>
            <w:vAlign w:val="center"/>
          </w:tcPr>
          <w:p>
            <w:pPr>
              <w:jc w:val="right"/>
            </w:pPr>
            <w:r>
              <w:rPr>
                <w:rFonts w:ascii="宋体" w:hAnsi="宋体" w:eastAsia="宋体" w:cs="宋体"/>
                <w:b w:val="0"/>
                <w:i w:val="0"/>
                <w:color w:val="000000"/>
                <w:sz w:val="10"/>
              </w:rPr>
              <w:t>0.00</w:t>
            </w:r>
          </w:p>
        </w:tc>
        <w:tc>
          <w:tcPr>
            <w:tcW w:w="606" w:type="dxa"/>
            <w:vAlign w:val="center"/>
          </w:tcPr>
          <w:p>
            <w:pPr>
              <w:jc w:val="right"/>
            </w:pPr>
            <w:r>
              <w:rPr>
                <w:rFonts w:ascii="宋体" w:hAnsi="宋体" w:eastAsia="宋体" w:cs="宋体"/>
                <w:b w:val="0"/>
                <w:i w:val="0"/>
                <w:color w:val="000000"/>
                <w:sz w:val="10"/>
              </w:rPr>
              <w:t>0.72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42" w:hRule="exact"/>
          <w:jc w:val="center"/>
        </w:trPr>
        <w:tc>
          <w:tcPr>
            <w:tcW w:w="700" w:type="dxa"/>
            <w:gridSpan w:val="12"/>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0"/>
              </w:rPr>
              <w:t>注：本表反映部门本年度财政拨款“三公”经费支出预决算情况。其中，预算数为“三公”经费全年预算数，反映按规定程序调整后的预算数；决算数是包括当年财政拨款和以前年度结转资金安排的实际支出。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8" w:hRule="exact"/>
          <w:jc w:val="center"/>
        </w:trPr>
        <w:tc>
          <w:tcPr>
            <w:tcW w:w="700" w:type="dxa"/>
            <w:gridSpan w:val="12"/>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tc>
      </w:tr>
    </w:tbl>
    <w:p>
      <w:pPr>
        <w:snapToGrid w:val="0"/>
        <w:spacing w:before="0" w:after="0" w:line="0" w:lineRule="auto"/>
      </w:pPr>
      <w:r>
        <w:rPr>
          <w:sz w:val="8"/>
        </w:rPr>
        <w:t xml:space="preserve"> </w:t>
      </w:r>
    </w:p>
    <w:p>
      <w:pPr>
        <w:ind w:firstLine="640"/>
        <w:jc w:val="center"/>
        <w:rPr>
          <w:rFonts w:hint="eastAsia" w:ascii="黑体" w:hAnsi="黑体" w:eastAsia="黑体" w:cs="黑体"/>
          <w:szCs w:val="32"/>
        </w:rPr>
      </w:pPr>
      <w:r>
        <w:rPr>
          <w:rFonts w:hint="eastAsia" w:ascii="黑体" w:hAnsi="黑体" w:eastAsia="黑体" w:cs="黑体"/>
          <w:szCs w:val="32"/>
        </w:rPr>
        <w:t>第三部分  2023年度部门决算情况说明</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黑体" w:hAnsi="黑体" w:eastAsia="黑体" w:cs="黑体"/>
          <w:bCs/>
          <w:szCs w:val="32"/>
        </w:rPr>
      </w:pPr>
      <w:r>
        <w:rPr>
          <w:rFonts w:hint="eastAsia" w:ascii="黑体" w:hAnsi="黑体" w:eastAsia="黑体" w:cs="黑体"/>
          <w:bCs/>
          <w:szCs w:val="32"/>
        </w:rPr>
        <w:t>一、收入支出决算总体情况说明</w:t>
      </w:r>
    </w:p>
    <w:p>
      <w:pPr>
        <w:keepNext w:val="0"/>
        <w:keepLines w:val="0"/>
        <w:pageBreakBefore w:val="0"/>
        <w:kinsoku/>
        <w:overflowPunct/>
        <w:autoSpaceDE/>
        <w:autoSpaceDN/>
        <w:bidi w:val="0"/>
        <w:adjustRightInd w:val="0"/>
        <w:snapToGrid w:val="0"/>
        <w:spacing w:line="540" w:lineRule="exact"/>
        <w:ind w:firstLine="640" w:firstLineChars="200"/>
        <w:jc w:val="left"/>
        <w:textAlignment w:val="auto"/>
        <w:rPr>
          <w:rFonts w:hint="eastAsia" w:ascii="仿宋_GB2312" w:hAnsi="宋体"/>
          <w:bCs/>
          <w:szCs w:val="32"/>
        </w:rPr>
      </w:pPr>
      <w:r>
        <w:rPr>
          <w:rFonts w:hint="eastAsia" w:ascii="仿宋_GB2312" w:hAnsi="宋体"/>
          <w:bCs/>
          <w:szCs w:val="32"/>
        </w:rPr>
        <w:t>2023年度收、支总计均为4056.43万元。与2022年度相比，收、支总计增加1297.69万元，增长47.0%</w:t>
      </w:r>
      <w:r>
        <w:rPr>
          <w:rFonts w:hint="eastAsia" w:ascii="仿宋_GB2312" w:hAnsi="宋体"/>
          <w:bCs/>
          <w:szCs w:val="32"/>
          <w:lang w:eastAsia="zh-CN"/>
        </w:rPr>
        <w:t>。增长的</w:t>
      </w:r>
      <w:r>
        <w:rPr>
          <w:rFonts w:hint="eastAsia" w:ascii="仿宋_GB2312" w:hAnsi="宋体"/>
          <w:bCs/>
          <w:szCs w:val="32"/>
        </w:rPr>
        <w:t>主要原因是</w:t>
      </w:r>
      <w:r>
        <w:rPr>
          <w:rFonts w:hint="eastAsia" w:ascii="仿宋_GB2312" w:hAnsi="宋体"/>
          <w:bCs/>
          <w:szCs w:val="32"/>
          <w:lang w:eastAsia="zh-CN"/>
        </w:rPr>
        <w:t>：</w:t>
      </w:r>
      <w:r>
        <w:rPr>
          <w:rFonts w:hint="eastAsia" w:ascii="仿宋_GB2312" w:hAnsi="宋体"/>
          <w:bCs/>
          <w:sz w:val="32"/>
          <w:szCs w:val="32"/>
          <w:highlight w:val="none"/>
          <w:u w:val="none"/>
          <w:lang w:val="en-US" w:eastAsia="zh-CN"/>
        </w:rPr>
        <w:t>2023年追加预算收支“现代物流业发展资金”2334.29万元，与上年度“现代物流业发展资金”1000万元相比增加1334.29万元，因此2023年度综合收入、支出总计较2022年度增加。</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黑体" w:hAnsi="黑体" w:eastAsia="黑体" w:cs="黑体"/>
          <w:bCs/>
          <w:szCs w:val="32"/>
        </w:rPr>
      </w:pPr>
      <w:r>
        <w:rPr>
          <w:rFonts w:hint="eastAsia" w:ascii="黑体" w:hAnsi="黑体" w:eastAsia="黑体" w:cs="黑体"/>
          <w:bCs/>
          <w:szCs w:val="32"/>
        </w:rPr>
        <w:t>二、收入决算情况说明</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left"/>
        <w:textAlignment w:val="auto"/>
        <w:rPr>
          <w:rFonts w:hint="eastAsia" w:ascii="仿宋_GB2312" w:hAnsi="仿宋_GB2312" w:cs="仿宋_GB2312"/>
          <w:sz w:val="30"/>
          <w:szCs w:val="30"/>
        </w:rPr>
      </w:pPr>
      <w:r>
        <w:rPr>
          <w:rFonts w:hint="eastAsia" w:ascii="仿宋_GB2312" w:hAnsi="宋体"/>
          <w:bCs/>
          <w:szCs w:val="32"/>
        </w:rPr>
        <w:t xml:space="preserve"> </w:t>
      </w:r>
      <w:bookmarkStart w:id="1" w:name="_Hlk174349789"/>
      <w:r>
        <w:rPr>
          <w:rFonts w:hint="eastAsia" w:ascii="仿宋_GB2312" w:hAnsi="宋体"/>
          <w:bCs/>
          <w:szCs w:val="32"/>
        </w:rPr>
        <w:t>2023年度收入合计</w:t>
      </w:r>
      <w:bookmarkStart w:id="2" w:name="_Hlk174349840"/>
      <w:r>
        <w:rPr>
          <w:rFonts w:hint="eastAsia" w:ascii="仿宋_GB2312" w:cs="仿宋_GB2312"/>
          <w:szCs w:val="32"/>
          <w:lang w:bidi="zh-HK"/>
        </w:rPr>
        <w:t>4056.43</w:t>
      </w:r>
      <w:bookmarkEnd w:id="2"/>
      <w:r>
        <w:rPr>
          <w:rFonts w:hint="eastAsia" w:ascii="仿宋_GB2312" w:hAnsi="宋体"/>
          <w:bCs/>
          <w:szCs w:val="32"/>
        </w:rPr>
        <w:t>万元，与2022年度相比，收入合计</w:t>
      </w:r>
      <w:r>
        <w:rPr>
          <w:rFonts w:hint="eastAsia" w:ascii="仿宋_GB2312" w:hAnsi="宋体"/>
          <w:szCs w:val="32"/>
        </w:rPr>
        <w:t>增加1297.69万元，增长47.0%</w:t>
      </w:r>
      <w:r>
        <w:rPr>
          <w:rFonts w:hint="eastAsia" w:ascii="仿宋_GB2312" w:hAnsi="宋体"/>
          <w:bCs/>
          <w:szCs w:val="32"/>
        </w:rPr>
        <w:t>。其中：财政拨款收入</w:t>
      </w:r>
      <w:r>
        <w:rPr>
          <w:rFonts w:hint="eastAsia" w:ascii="仿宋_GB2312" w:cs="仿宋_GB2312"/>
          <w:szCs w:val="32"/>
          <w:lang w:bidi="zh-HK"/>
        </w:rPr>
        <w:t>4056.43</w:t>
      </w:r>
      <w:r>
        <w:rPr>
          <w:rFonts w:hint="eastAsia" w:ascii="仿宋_GB2312" w:hAnsi="宋体"/>
          <w:bCs/>
          <w:szCs w:val="32"/>
        </w:rPr>
        <w:t>万元，占本年收入</w:t>
      </w:r>
      <w:r>
        <w:rPr>
          <w:rFonts w:hint="eastAsia" w:ascii="仿宋_GB2312" w:cs="仿宋_GB2312"/>
          <w:szCs w:val="32"/>
          <w:lang w:bidi="zh-HK"/>
        </w:rPr>
        <w:t>100.0</w:t>
      </w:r>
      <w:r>
        <w:rPr>
          <w:rFonts w:hint="eastAsia" w:ascii="仿宋_GB2312" w:hAnsi="宋体"/>
          <w:bCs/>
          <w:szCs w:val="32"/>
        </w:rPr>
        <w:t>%；上级补助收入</w:t>
      </w:r>
      <w:r>
        <w:rPr>
          <w:rFonts w:hint="eastAsia" w:ascii="仿宋_GB2312" w:cs="仿宋_GB2312"/>
          <w:szCs w:val="32"/>
          <w:lang w:bidi="zh-HK"/>
        </w:rPr>
        <w:t>0.00</w:t>
      </w:r>
      <w:r>
        <w:rPr>
          <w:rFonts w:hint="eastAsia" w:ascii="仿宋_GB2312" w:hAnsi="宋体"/>
          <w:bCs/>
          <w:szCs w:val="32"/>
        </w:rPr>
        <w:t>万元，占本年收入</w:t>
      </w:r>
      <w:r>
        <w:rPr>
          <w:rFonts w:hint="eastAsia" w:ascii="仿宋_GB2312" w:cs="仿宋_GB2312"/>
          <w:szCs w:val="32"/>
          <w:lang w:bidi="zh-HK"/>
        </w:rPr>
        <w:t>0.0</w:t>
      </w:r>
      <w:r>
        <w:rPr>
          <w:rFonts w:hint="eastAsia" w:ascii="仿宋_GB2312" w:hAnsi="宋体"/>
          <w:bCs/>
          <w:szCs w:val="32"/>
        </w:rPr>
        <w:t>%；事业收入</w:t>
      </w:r>
      <w:r>
        <w:rPr>
          <w:rFonts w:hint="eastAsia" w:ascii="仿宋_GB2312" w:cs="仿宋_GB2312"/>
          <w:szCs w:val="32"/>
          <w:lang w:bidi="zh-HK"/>
        </w:rPr>
        <w:t>0.00</w:t>
      </w:r>
      <w:r>
        <w:rPr>
          <w:rFonts w:hint="eastAsia" w:ascii="仿宋_GB2312" w:hAnsi="宋体"/>
          <w:bCs/>
          <w:szCs w:val="32"/>
        </w:rPr>
        <w:t>万元，占本年收入</w:t>
      </w:r>
      <w:r>
        <w:rPr>
          <w:rFonts w:hint="eastAsia" w:ascii="仿宋_GB2312" w:cs="仿宋_GB2312"/>
          <w:szCs w:val="32"/>
          <w:lang w:bidi="zh-HK"/>
        </w:rPr>
        <w:t>0.0</w:t>
      </w:r>
      <w:r>
        <w:rPr>
          <w:rFonts w:hint="eastAsia" w:ascii="仿宋_GB2312" w:hAnsi="宋体"/>
          <w:bCs/>
          <w:szCs w:val="32"/>
        </w:rPr>
        <w:t>%；经营收入</w:t>
      </w:r>
      <w:r>
        <w:rPr>
          <w:rFonts w:hint="eastAsia" w:ascii="仿宋_GB2312" w:cs="仿宋_GB2312"/>
          <w:szCs w:val="32"/>
          <w:lang w:bidi="zh-HK"/>
        </w:rPr>
        <w:t>0.00</w:t>
      </w:r>
      <w:r>
        <w:rPr>
          <w:rFonts w:hint="eastAsia" w:ascii="仿宋_GB2312" w:hAnsi="宋体"/>
          <w:bCs/>
          <w:szCs w:val="32"/>
        </w:rPr>
        <w:t>万元，占</w:t>
      </w:r>
      <w:r>
        <w:rPr>
          <w:rFonts w:hint="eastAsia"/>
        </w:rPr>
        <w:t>本年收入</w:t>
      </w:r>
      <w:r>
        <w:rPr>
          <w:rFonts w:hint="eastAsia" w:ascii="仿宋_GB2312" w:cs="仿宋_GB2312"/>
          <w:szCs w:val="32"/>
          <w:lang w:bidi="zh-HK"/>
        </w:rPr>
        <w:t>0.0</w:t>
      </w:r>
      <w:r>
        <w:rPr>
          <w:rFonts w:hint="eastAsia"/>
        </w:rPr>
        <w:t>%；附属单位上缴收入</w:t>
      </w:r>
      <w:r>
        <w:rPr>
          <w:rFonts w:hint="eastAsia" w:ascii="仿宋_GB2312" w:cs="仿宋_GB2312"/>
          <w:szCs w:val="32"/>
          <w:lang w:bidi="zh-HK"/>
        </w:rPr>
        <w:t>0.00</w:t>
      </w:r>
      <w:r>
        <w:rPr>
          <w:rFonts w:hint="eastAsia"/>
        </w:rPr>
        <w:t>万元，</w:t>
      </w:r>
      <w:r>
        <w:rPr>
          <w:rFonts w:hint="eastAsia" w:ascii="仿宋_GB2312" w:hAnsi="宋体"/>
          <w:szCs w:val="32"/>
        </w:rPr>
        <w:t>占</w:t>
      </w:r>
      <w:r>
        <w:rPr>
          <w:rFonts w:hint="eastAsia"/>
        </w:rPr>
        <w:t>本年收入</w:t>
      </w:r>
      <w:r>
        <w:rPr>
          <w:rFonts w:hint="eastAsia" w:ascii="仿宋_GB2312" w:cs="仿宋_GB2312"/>
          <w:szCs w:val="32"/>
          <w:lang w:bidi="zh-HK"/>
        </w:rPr>
        <w:t>0.0</w:t>
      </w:r>
      <w:r>
        <w:rPr>
          <w:rFonts w:hint="eastAsia"/>
        </w:rPr>
        <w:t>%；其他收入</w:t>
      </w:r>
      <w:r>
        <w:rPr>
          <w:rFonts w:hint="eastAsia" w:ascii="仿宋_GB2312" w:cs="仿宋_GB2312"/>
          <w:szCs w:val="32"/>
          <w:lang w:bidi="zh-HK"/>
        </w:rPr>
        <w:t>0.00</w:t>
      </w:r>
      <w:r>
        <w:rPr>
          <w:rFonts w:hint="eastAsia"/>
        </w:rPr>
        <w:t>万元，占本年收入</w:t>
      </w:r>
      <w:r>
        <w:rPr>
          <w:rFonts w:hint="eastAsia" w:ascii="仿宋_GB2312" w:cs="仿宋_GB2312"/>
          <w:szCs w:val="32"/>
          <w:lang w:bidi="zh-HK"/>
        </w:rPr>
        <w:t>0.0</w:t>
      </w:r>
      <w:r>
        <w:rPr>
          <w:rFonts w:hint="eastAsia"/>
        </w:rPr>
        <w:t>%。</w:t>
      </w:r>
      <w:bookmarkEnd w:id="1"/>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rPr>
      </w:pPr>
      <w:r>
        <w:rPr>
          <w:rFonts w:hint="eastAsia" w:ascii="黑体" w:hAnsi="黑体" w:eastAsia="黑体" w:cs="黑体"/>
        </w:rPr>
        <w:t>三、支出决算情况说明</w:t>
      </w:r>
    </w:p>
    <w:p>
      <w:pPr>
        <w:keepNext w:val="0"/>
        <w:keepLines w:val="0"/>
        <w:pageBreakBefore w:val="0"/>
        <w:kinsoku/>
        <w:overflowPunct/>
        <w:autoSpaceDE/>
        <w:autoSpaceDN/>
        <w:bidi w:val="0"/>
        <w:spacing w:line="540" w:lineRule="exact"/>
        <w:ind w:left="0" w:leftChars="0" w:firstLine="840" w:firstLineChars="0"/>
        <w:jc w:val="left"/>
        <w:textAlignment w:val="auto"/>
        <w:rPr>
          <w:rFonts w:hint="eastAsia" w:ascii="仿宋_GB2312"/>
          <w:kern w:val="44"/>
          <w:szCs w:val="32"/>
        </w:rPr>
      </w:pPr>
      <w:r>
        <w:rPr>
          <w:rFonts w:hint="eastAsia"/>
        </w:rPr>
        <w:t>2023年度支出合计</w:t>
      </w:r>
      <w:r>
        <w:rPr>
          <w:rFonts w:hint="eastAsia" w:ascii="仿宋_GB2312" w:hAnsi="宋体"/>
          <w:szCs w:val="32"/>
        </w:rPr>
        <w:t>4056.43万元，与2022年度相比，支出合计增加1297.69万元，增长47.0%。其中：基本支出1467.06</w:t>
      </w:r>
      <w:r>
        <w:rPr>
          <w:rFonts w:hint="eastAsia" w:ascii="仿宋_GB2312"/>
          <w:kern w:val="44"/>
          <w:szCs w:val="32"/>
        </w:rPr>
        <w:t>万元，占本年支出</w:t>
      </w:r>
      <w:r>
        <w:rPr>
          <w:rFonts w:hint="eastAsia" w:ascii="仿宋_GB2312" w:cs="仿宋_GB2312"/>
          <w:szCs w:val="32"/>
          <w:lang w:bidi="zh-HK"/>
        </w:rPr>
        <w:t>36.2</w:t>
      </w:r>
      <w:r>
        <w:rPr>
          <w:rFonts w:hint="eastAsia" w:ascii="仿宋_GB2312"/>
          <w:kern w:val="44"/>
          <w:szCs w:val="32"/>
        </w:rPr>
        <w:t>%；项目支出</w:t>
      </w:r>
      <w:r>
        <w:rPr>
          <w:rFonts w:hint="eastAsia" w:ascii="仿宋_GB2312" w:cs="仿宋_GB2312"/>
          <w:szCs w:val="32"/>
          <w:lang w:bidi="zh-HK"/>
        </w:rPr>
        <w:t>2589.36</w:t>
      </w:r>
      <w:r>
        <w:rPr>
          <w:rFonts w:hint="eastAsia" w:ascii="仿宋_GB2312"/>
          <w:kern w:val="44"/>
          <w:szCs w:val="32"/>
        </w:rPr>
        <w:t>万元，占本年支出</w:t>
      </w:r>
      <w:r>
        <w:rPr>
          <w:rFonts w:hint="eastAsia" w:ascii="仿宋_GB2312" w:cs="仿宋_GB2312"/>
          <w:szCs w:val="32"/>
          <w:lang w:bidi="zh-HK"/>
        </w:rPr>
        <w:t>63.8</w:t>
      </w:r>
      <w:r>
        <w:rPr>
          <w:rFonts w:hint="eastAsia" w:ascii="仿宋_GB2312"/>
          <w:kern w:val="44"/>
          <w:szCs w:val="32"/>
        </w:rPr>
        <w:t>%；上缴上级支出</w:t>
      </w:r>
      <w:r>
        <w:rPr>
          <w:rFonts w:hint="eastAsia" w:ascii="仿宋_GB2312" w:cs="仿宋_GB2312"/>
          <w:szCs w:val="32"/>
          <w:lang w:bidi="zh-HK"/>
        </w:rPr>
        <w:t>0.00</w:t>
      </w:r>
      <w:r>
        <w:rPr>
          <w:rFonts w:hint="eastAsia" w:ascii="仿宋_GB2312"/>
          <w:kern w:val="44"/>
          <w:szCs w:val="32"/>
        </w:rPr>
        <w:t>万元，占本年支出</w:t>
      </w:r>
      <w:r>
        <w:rPr>
          <w:rFonts w:hint="eastAsia" w:ascii="仿宋_GB2312" w:cs="仿宋_GB2312"/>
          <w:szCs w:val="32"/>
          <w:lang w:bidi="zh-HK"/>
        </w:rPr>
        <w:t>0.0</w:t>
      </w:r>
      <w:r>
        <w:rPr>
          <w:rFonts w:hint="eastAsia" w:ascii="仿宋_GB2312"/>
          <w:kern w:val="44"/>
          <w:szCs w:val="32"/>
        </w:rPr>
        <w:t>%；经营支出</w:t>
      </w:r>
      <w:r>
        <w:rPr>
          <w:rFonts w:hint="eastAsia" w:ascii="仿宋_GB2312" w:cs="仿宋_GB2312"/>
          <w:szCs w:val="32"/>
          <w:lang w:bidi="zh-HK"/>
        </w:rPr>
        <w:t>0.00</w:t>
      </w:r>
      <w:r>
        <w:rPr>
          <w:rFonts w:hint="eastAsia" w:ascii="仿宋_GB2312"/>
          <w:kern w:val="44"/>
          <w:szCs w:val="32"/>
        </w:rPr>
        <w:t>万元，占本年支出</w:t>
      </w:r>
      <w:r>
        <w:rPr>
          <w:rFonts w:hint="eastAsia" w:ascii="仿宋_GB2312" w:cs="仿宋_GB2312"/>
          <w:szCs w:val="32"/>
          <w:lang w:bidi="zh-HK"/>
        </w:rPr>
        <w:t>0.0</w:t>
      </w:r>
      <w:r>
        <w:rPr>
          <w:rFonts w:hint="eastAsia" w:ascii="仿宋_GB2312"/>
          <w:kern w:val="44"/>
          <w:szCs w:val="32"/>
        </w:rPr>
        <w:t>%；对附属单位补助支出</w:t>
      </w:r>
      <w:r>
        <w:rPr>
          <w:rFonts w:hint="eastAsia" w:ascii="仿宋_GB2312" w:cs="仿宋_GB2312"/>
          <w:szCs w:val="32"/>
          <w:lang w:bidi="zh-HK"/>
        </w:rPr>
        <w:t>0.00</w:t>
      </w:r>
      <w:r>
        <w:rPr>
          <w:rFonts w:hint="eastAsia" w:ascii="仿宋_GB2312"/>
          <w:kern w:val="44"/>
          <w:szCs w:val="32"/>
        </w:rPr>
        <w:t>万元，占本年支出</w:t>
      </w:r>
      <w:r>
        <w:rPr>
          <w:rFonts w:hint="eastAsia" w:ascii="仿宋_GB2312" w:cs="仿宋_GB2312"/>
          <w:szCs w:val="32"/>
          <w:lang w:bidi="zh-HK"/>
        </w:rPr>
        <w:t>0.0</w:t>
      </w:r>
      <w:r>
        <w:rPr>
          <w:rFonts w:hint="eastAsia" w:ascii="仿宋_GB2312"/>
          <w:kern w:val="44"/>
          <w:szCs w:val="32"/>
        </w:rPr>
        <w:t>%。</w:t>
      </w:r>
    </w:p>
    <w:p>
      <w:pPr>
        <w:keepNext w:val="0"/>
        <w:keepLines w:val="0"/>
        <w:pageBreakBefore w:val="0"/>
        <w:kinsoku/>
        <w:overflowPunct/>
        <w:autoSpaceDE/>
        <w:autoSpaceDN/>
        <w:bidi w:val="0"/>
        <w:spacing w:line="540" w:lineRule="exact"/>
        <w:ind w:firstLine="640"/>
        <w:textAlignment w:val="auto"/>
        <w:rPr>
          <w:rFonts w:hint="default"/>
          <w:highlight w:val="none"/>
          <w:u w:val="none"/>
          <w:lang w:val="en-US" w:eastAsia="zh-CN"/>
        </w:rPr>
      </w:pPr>
      <w:r>
        <w:rPr>
          <w:rFonts w:hint="eastAsia"/>
          <w:highlight w:val="none"/>
          <w:u w:val="none"/>
          <w:lang w:val="en-US" w:eastAsia="zh-CN"/>
        </w:rPr>
        <w:t>本单位核算使用的预算支出类科目为“事业支出”，科目编号</w:t>
      </w:r>
      <w:r>
        <w:rPr>
          <w:rFonts w:hint="eastAsia"/>
          <w:b w:val="0"/>
          <w:bCs w:val="0"/>
          <w:highlight w:val="none"/>
          <w:u w:val="none"/>
          <w:lang w:val="en-US" w:eastAsia="zh-CN"/>
        </w:rPr>
        <w:t>为“</w:t>
      </w:r>
      <w:r>
        <w:rPr>
          <w:rFonts w:hint="eastAsia" w:ascii="仿宋_GB2312" w:hAnsi="宋体"/>
          <w:bCs/>
          <w:sz w:val="32"/>
          <w:szCs w:val="32"/>
          <w:highlight w:val="none"/>
          <w:u w:val="none"/>
          <w:lang w:val="en-US" w:eastAsia="zh-CN"/>
        </w:rPr>
        <w:t>7201”。</w:t>
      </w:r>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rPr>
      </w:pPr>
      <w:r>
        <w:rPr>
          <w:rFonts w:hint="eastAsia" w:ascii="黑体" w:hAnsi="黑体" w:eastAsia="黑体" w:cs="黑体"/>
        </w:rPr>
        <w:t>四、财政拨款收入支出决算总体情况说明</w:t>
      </w:r>
    </w:p>
    <w:p>
      <w:pPr>
        <w:keepNext w:val="0"/>
        <w:keepLines w:val="0"/>
        <w:pageBreakBefore w:val="0"/>
        <w:kinsoku/>
        <w:overflowPunct/>
        <w:autoSpaceDE/>
        <w:autoSpaceDN/>
        <w:bidi w:val="0"/>
        <w:spacing w:line="540" w:lineRule="exact"/>
        <w:ind w:firstLine="640" w:firstLineChars="200"/>
        <w:textAlignment w:val="auto"/>
        <w:rPr>
          <w:rFonts w:hint="default" w:ascii="仿宋_GB2312" w:hAnsi="宋体" w:eastAsia="仿宋_GB2312"/>
          <w:bCs/>
          <w:sz w:val="32"/>
          <w:szCs w:val="32"/>
          <w:highlight w:val="none"/>
          <w:u w:val="none"/>
          <w:lang w:val="en-US" w:eastAsia="zh"/>
        </w:rPr>
      </w:pPr>
      <w:r>
        <w:rPr>
          <w:rFonts w:hint="eastAsia" w:ascii="仿宋" w:hAnsi="仿宋" w:eastAsia="仿宋" w:cs="仿宋"/>
        </w:rPr>
        <w:t>2023年度财政拨款收、支总计均为4056.43万元。与2022年度相比，财政拨款收、支总计各</w:t>
      </w:r>
      <w:r>
        <w:rPr>
          <w:rFonts w:hint="eastAsia" w:ascii="仿宋" w:hAnsi="仿宋" w:eastAsia="仿宋" w:cs="仿宋"/>
          <w:szCs w:val="32"/>
        </w:rPr>
        <w:t>增加1297.69万元，增长47.0%</w:t>
      </w:r>
      <w:r>
        <w:rPr>
          <w:rFonts w:hint="eastAsia" w:ascii="仿宋" w:hAnsi="仿宋" w:eastAsia="仿宋" w:cs="仿宋"/>
        </w:rPr>
        <w:t>。</w:t>
      </w:r>
      <w:r>
        <w:rPr>
          <w:rFonts w:hint="eastAsia" w:ascii="仿宋_GB2312" w:hAnsi="宋体"/>
          <w:bCs/>
          <w:szCs w:val="32"/>
          <w:highlight w:val="none"/>
          <w:u w:val="none"/>
          <w:lang w:val="en-US" w:eastAsia="zh-CN"/>
        </w:rPr>
        <w:t>增长的主要原因是：</w:t>
      </w:r>
      <w:r>
        <w:rPr>
          <w:rFonts w:hint="eastAsia" w:ascii="仿宋_GB2312" w:hAnsi="宋体"/>
          <w:bCs/>
          <w:sz w:val="32"/>
          <w:szCs w:val="32"/>
          <w:highlight w:val="none"/>
          <w:u w:val="none"/>
          <w:lang w:val="en-US" w:eastAsia="zh-CN"/>
        </w:rPr>
        <w:t>2023年追加预算收支“现代物流业发展资金”2334.29万元，与</w:t>
      </w:r>
      <w:r>
        <w:rPr>
          <w:rFonts w:hint="eastAsia" w:ascii="仿宋_GB2312" w:hAnsi="宋体"/>
          <w:bCs/>
          <w:szCs w:val="32"/>
          <w:highlight w:val="none"/>
          <w:u w:val="none"/>
          <w:lang w:val="en-US" w:eastAsia="zh-CN"/>
        </w:rPr>
        <w:t>上</w:t>
      </w:r>
      <w:r>
        <w:rPr>
          <w:rFonts w:hint="eastAsia" w:ascii="仿宋_GB2312" w:hAnsi="宋体"/>
          <w:bCs/>
          <w:sz w:val="32"/>
          <w:szCs w:val="32"/>
          <w:highlight w:val="none"/>
          <w:u w:val="none"/>
          <w:lang w:val="en-US" w:eastAsia="zh-CN"/>
        </w:rPr>
        <w:t>年度“现代物流业发展资金”1000万元相比增加1334.29万元，因此2023年度</w:t>
      </w:r>
      <w:r>
        <w:rPr>
          <w:rFonts w:hint="eastAsia" w:ascii="仿宋_GB2312" w:hAnsi="宋体"/>
          <w:bCs/>
          <w:szCs w:val="32"/>
          <w:highlight w:val="none"/>
          <w:u w:val="none"/>
          <w:lang w:val="en-US" w:eastAsia="zh-CN"/>
        </w:rPr>
        <w:t>财政拨款</w:t>
      </w:r>
      <w:r>
        <w:rPr>
          <w:rFonts w:hint="eastAsia" w:ascii="仿宋_GB2312" w:hAnsi="宋体"/>
          <w:bCs/>
          <w:sz w:val="32"/>
          <w:szCs w:val="32"/>
          <w:highlight w:val="none"/>
          <w:u w:val="none"/>
          <w:lang w:val="en-US" w:eastAsia="zh-CN"/>
        </w:rPr>
        <w:t>收入、支出总计较</w:t>
      </w:r>
      <w:r>
        <w:rPr>
          <w:rFonts w:hint="eastAsia" w:ascii="仿宋_GB2312" w:hAnsi="宋体"/>
          <w:bCs/>
          <w:szCs w:val="32"/>
          <w:highlight w:val="none"/>
          <w:u w:val="none"/>
          <w:lang w:val="en-US" w:eastAsia="zh-CN"/>
        </w:rPr>
        <w:t>上</w:t>
      </w:r>
      <w:r>
        <w:rPr>
          <w:rFonts w:hint="eastAsia" w:ascii="仿宋_GB2312" w:hAnsi="宋体"/>
          <w:bCs/>
          <w:sz w:val="32"/>
          <w:szCs w:val="32"/>
          <w:highlight w:val="none"/>
          <w:u w:val="none"/>
          <w:lang w:val="en-US" w:eastAsia="zh-CN"/>
        </w:rPr>
        <w:t>年度增加。</w:t>
      </w:r>
      <w:r>
        <w:rPr>
          <w:rFonts w:hint="eastAsia" w:ascii="仿宋_GB2312" w:hAnsi="宋体"/>
          <w:bCs/>
          <w:sz w:val="32"/>
          <w:szCs w:val="32"/>
          <w:highlight w:val="none"/>
          <w:u w:val="none"/>
          <w:lang w:val="en-US" w:eastAsia="zh"/>
        </w:rPr>
        <w:t xml:space="preserve"> </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宋体" w:eastAsia="仿宋_GB2312"/>
          <w:bCs/>
          <w:sz w:val="32"/>
          <w:szCs w:val="32"/>
          <w:highlight w:val="none"/>
          <w:u w:val="none"/>
          <w:lang w:val="en-US" w:eastAsia="zh-CN"/>
        </w:rPr>
      </w:pPr>
      <w:r>
        <w:rPr>
          <w:rFonts w:hint="eastAsia"/>
        </w:rPr>
        <w:t>2023年度财政拨款收入中，一般公共预算财政拨款收入</w:t>
      </w:r>
      <w:r>
        <w:rPr>
          <w:rFonts w:hint="eastAsia" w:ascii="仿宋" w:hAnsi="仿宋" w:eastAsia="仿宋" w:cs="仿宋"/>
        </w:rPr>
        <w:t>4056.43</w:t>
      </w:r>
      <w:r>
        <w:rPr>
          <w:rFonts w:hint="eastAsia"/>
        </w:rPr>
        <w:t>万元，比2022年度决算数</w:t>
      </w:r>
      <w:r>
        <w:rPr>
          <w:rFonts w:hint="eastAsia" w:ascii="仿宋_GB2312" w:hAnsi="宋体"/>
          <w:szCs w:val="32"/>
        </w:rPr>
        <w:t>增加1297.69万元，增长47.0%</w:t>
      </w:r>
      <w:r>
        <w:rPr>
          <w:rFonts w:hint="eastAsia" w:ascii="仿宋_GB2312" w:hAnsi="宋体"/>
          <w:szCs w:val="32"/>
          <w:lang w:eastAsia="zh-CN"/>
        </w:rPr>
        <w:t>。</w:t>
      </w:r>
      <w:r>
        <w:rPr>
          <w:rFonts w:hint="eastAsia"/>
          <w:u w:val="none"/>
          <w:lang w:val="en-US" w:eastAsia="zh-CN"/>
        </w:rPr>
        <w:t>增长的主要原因是：</w:t>
      </w:r>
      <w:r>
        <w:rPr>
          <w:rFonts w:hint="eastAsia" w:ascii="仿宋_GB2312" w:hAnsi="宋体"/>
          <w:bCs/>
          <w:sz w:val="32"/>
          <w:szCs w:val="32"/>
          <w:highlight w:val="none"/>
          <w:u w:val="none"/>
          <w:lang w:val="en-US" w:eastAsia="zh-CN"/>
        </w:rPr>
        <w:t>2023年追加预算收入“现代物流业发展资金”2334.29万元，与上年度追加“现代物流业发展资金”1000万元相比增加1334.29万元，因此2023年度收入合计较上年增加</w:t>
      </w:r>
      <w:r>
        <w:rPr>
          <w:rFonts w:hint="eastAsia" w:ascii="仿宋_GB2312" w:hAnsi="宋体" w:eastAsia="仿宋_GB2312"/>
          <w:bCs/>
          <w:sz w:val="32"/>
          <w:szCs w:val="32"/>
          <w:highlight w:val="none"/>
          <w:u w:val="none"/>
          <w:lang w:val="en-US" w:eastAsia="zh-CN"/>
        </w:rPr>
        <w:t>。</w:t>
      </w:r>
    </w:p>
    <w:p>
      <w:pPr>
        <w:keepNext w:val="0"/>
        <w:keepLines w:val="0"/>
        <w:pageBreakBefore w:val="0"/>
        <w:kinsoku/>
        <w:overflowPunct/>
        <w:autoSpaceDE/>
        <w:autoSpaceDN/>
        <w:bidi w:val="0"/>
        <w:spacing w:line="540" w:lineRule="exact"/>
        <w:ind w:firstLine="640" w:firstLineChars="200"/>
        <w:textAlignment w:val="auto"/>
        <w:rPr>
          <w:rFonts w:hint="eastAsia" w:eastAsia="仿宋_GB2312"/>
          <w:lang w:eastAsia="zh-CN"/>
        </w:rPr>
      </w:pPr>
      <w:r>
        <w:rPr>
          <w:rFonts w:hint="eastAsia"/>
        </w:rPr>
        <w:t>政府性基金预算财政拨款收入</w:t>
      </w:r>
      <w:r>
        <w:rPr>
          <w:rFonts w:hint="eastAsia" w:ascii="仿宋" w:hAnsi="仿宋" w:eastAsia="仿宋" w:cs="仿宋"/>
        </w:rPr>
        <w:t>0.00</w:t>
      </w:r>
      <w:r>
        <w:rPr>
          <w:rFonts w:hint="eastAsia"/>
        </w:rPr>
        <w:t>万元，比2022年度决算数</w:t>
      </w:r>
      <w:r>
        <w:rPr>
          <w:rFonts w:hint="eastAsia" w:ascii="仿宋_GB2312" w:hAnsi="宋体"/>
          <w:szCs w:val="32"/>
        </w:rPr>
        <w:t>持平,主要原因是</w:t>
      </w:r>
      <w:r>
        <w:rPr>
          <w:rFonts w:hint="eastAsia"/>
          <w:lang w:eastAsia="zh-CN"/>
        </w:rPr>
        <w:t>：我单位无</w:t>
      </w:r>
      <w:r>
        <w:rPr>
          <w:rFonts w:hint="eastAsia"/>
        </w:rPr>
        <w:t>政府性基金预算财政拨款收入</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eastAsia="仿宋_GB2312" w:cs="仿宋_GB2312"/>
          <w:sz w:val="30"/>
          <w:szCs w:val="30"/>
          <w:lang w:eastAsia="zh-CN"/>
        </w:rPr>
      </w:pPr>
      <w:r>
        <w:rPr>
          <w:rFonts w:hint="eastAsia"/>
        </w:rPr>
        <w:t>国有资本经营预算财政拨款收入</w:t>
      </w:r>
      <w:r>
        <w:rPr>
          <w:rFonts w:hint="eastAsia" w:ascii="仿宋" w:hAnsi="仿宋" w:eastAsia="仿宋" w:cs="仿宋"/>
        </w:rPr>
        <w:t>0.00</w:t>
      </w:r>
      <w:r>
        <w:rPr>
          <w:rFonts w:hint="eastAsia"/>
        </w:rPr>
        <w:t>万元，比2022年度决算数</w:t>
      </w:r>
      <w:r>
        <w:rPr>
          <w:rFonts w:hint="eastAsia" w:ascii="仿宋_GB2312" w:hAnsi="宋体"/>
          <w:szCs w:val="32"/>
        </w:rPr>
        <w:t>持平,主要原因是</w:t>
      </w:r>
      <w:r>
        <w:rPr>
          <w:rFonts w:hint="eastAsia"/>
          <w:lang w:eastAsia="zh-CN"/>
        </w:rPr>
        <w:t>：我单位无</w:t>
      </w:r>
      <w:r>
        <w:rPr>
          <w:rFonts w:hint="eastAsia"/>
        </w:rPr>
        <w:t>国有资本经营预算财政拨款收入</w:t>
      </w:r>
      <w:r>
        <w:rPr>
          <w:rFonts w:hint="eastAsia"/>
          <w:lang w:eastAsia="zh-CN"/>
        </w:rPr>
        <w:t>。</w:t>
      </w:r>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rPr>
      </w:pPr>
      <w:r>
        <w:rPr>
          <w:rFonts w:hint="eastAsia" w:ascii="黑体" w:hAnsi="黑体" w:eastAsia="黑体" w:cs="黑体"/>
        </w:rPr>
        <w:t>五、一般公共预算财政拨款支出决算情况说明</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楷体_GB2312" w:hAnsi="楷体_GB2312" w:eastAsia="楷体_GB2312" w:cs="楷体_GB2312"/>
          <w:bCs/>
          <w:kern w:val="44"/>
          <w:szCs w:val="32"/>
        </w:rPr>
      </w:pPr>
      <w:r>
        <w:rPr>
          <w:rFonts w:hint="eastAsia" w:ascii="楷体_GB2312" w:hAnsi="楷体_GB2312" w:eastAsia="楷体_GB2312" w:cs="楷体_GB2312"/>
          <w:bCs/>
          <w:kern w:val="44"/>
          <w:szCs w:val="32"/>
        </w:rPr>
        <w:t>（一）一般公共预算财政拨款支出决算总体情况</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eastAsia="仿宋_GB2312"/>
          <w:bCs/>
          <w:kern w:val="44"/>
          <w:szCs w:val="32"/>
          <w:lang w:eastAsia="zh-CN"/>
        </w:rPr>
      </w:pPr>
      <w:r>
        <w:rPr>
          <w:rFonts w:hint="eastAsia" w:ascii="仿宋_GB2312"/>
          <w:bCs/>
          <w:kern w:val="44"/>
          <w:szCs w:val="32"/>
        </w:rPr>
        <w:t>2023年度</w:t>
      </w:r>
      <w:r>
        <w:rPr>
          <w:rFonts w:hint="eastAsia" w:ascii="仿宋_GB2312" w:hAnsi="仿宋_GB2312" w:cs="仿宋_GB2312"/>
          <w:bCs/>
          <w:kern w:val="44"/>
          <w:szCs w:val="32"/>
        </w:rPr>
        <w:t>一般公共预算财政拨</w:t>
      </w:r>
      <w:r>
        <w:rPr>
          <w:rFonts w:hint="eastAsia" w:ascii="仿宋_GB2312"/>
          <w:bCs/>
          <w:kern w:val="44"/>
          <w:szCs w:val="32"/>
        </w:rPr>
        <w:t>款支出</w:t>
      </w:r>
      <w:r>
        <w:rPr>
          <w:rFonts w:hint="eastAsia" w:ascii="仿宋" w:hAnsi="仿宋" w:eastAsia="仿宋" w:cs="仿宋"/>
        </w:rPr>
        <w:t>4056.43</w:t>
      </w:r>
      <w:r>
        <w:rPr>
          <w:rFonts w:hint="eastAsia" w:ascii="仿宋_GB2312"/>
          <w:bCs/>
          <w:kern w:val="44"/>
          <w:szCs w:val="32"/>
        </w:rPr>
        <w:t>万元，占本年支出合计的</w:t>
      </w:r>
      <w:r>
        <w:rPr>
          <w:rFonts w:hint="eastAsia" w:ascii="仿宋_GB2312" w:cs="仿宋_GB2312"/>
          <w:szCs w:val="32"/>
          <w:lang w:bidi="zh-HK"/>
        </w:rPr>
        <w:t>100.0</w:t>
      </w:r>
      <w:r>
        <w:rPr>
          <w:rFonts w:hint="eastAsia" w:ascii="仿宋_GB2312"/>
          <w:bCs/>
          <w:kern w:val="44"/>
          <w:szCs w:val="32"/>
        </w:rPr>
        <w:t>%。与2022年度相比，</w:t>
      </w:r>
      <w:r>
        <w:rPr>
          <w:rFonts w:hint="eastAsia" w:ascii="仿宋_GB2312" w:hAnsi="仿宋_GB2312" w:cs="仿宋_GB2312"/>
          <w:bCs/>
          <w:kern w:val="44"/>
          <w:szCs w:val="32"/>
        </w:rPr>
        <w:t>一般公共预算</w:t>
      </w:r>
      <w:r>
        <w:rPr>
          <w:rFonts w:hint="eastAsia" w:ascii="仿宋_GB2312"/>
          <w:bCs/>
          <w:kern w:val="44"/>
          <w:szCs w:val="32"/>
        </w:rPr>
        <w:t>财政拨款支出</w:t>
      </w:r>
      <w:r>
        <w:rPr>
          <w:rFonts w:hint="eastAsia" w:ascii="仿宋_GB2312" w:hAnsi="宋体"/>
          <w:szCs w:val="32"/>
        </w:rPr>
        <w:t>增加1297.69万元，增长47.0%,</w:t>
      </w:r>
      <w:r>
        <w:rPr>
          <w:rFonts w:hint="eastAsia" w:ascii="仿宋_GB2312" w:hAnsi="宋体"/>
          <w:szCs w:val="32"/>
          <w:lang w:eastAsia="zh-CN"/>
        </w:rPr>
        <w:t>增长的</w:t>
      </w:r>
      <w:r>
        <w:rPr>
          <w:rFonts w:hint="eastAsia" w:ascii="仿宋_GB2312" w:hAnsi="宋体"/>
          <w:szCs w:val="32"/>
        </w:rPr>
        <w:t>主要原因是</w:t>
      </w:r>
      <w:r>
        <w:rPr>
          <w:rFonts w:hint="eastAsia" w:ascii="仿宋_GB2312"/>
          <w:bCs/>
          <w:kern w:val="44"/>
          <w:szCs w:val="32"/>
          <w:lang w:eastAsia="zh-CN"/>
        </w:rPr>
        <w:t>：</w:t>
      </w:r>
      <w:r>
        <w:rPr>
          <w:rFonts w:hint="eastAsia" w:ascii="仿宋_GB2312" w:hAnsi="宋体"/>
          <w:bCs/>
          <w:sz w:val="32"/>
          <w:szCs w:val="32"/>
          <w:highlight w:val="none"/>
          <w:u w:val="none"/>
          <w:lang w:val="en-US" w:eastAsia="zh-CN"/>
        </w:rPr>
        <w:t>2023年追加</w:t>
      </w:r>
      <w:r>
        <w:rPr>
          <w:rFonts w:hint="eastAsia" w:ascii="仿宋_GB2312" w:hAnsi="宋体"/>
          <w:bCs/>
          <w:szCs w:val="32"/>
          <w:highlight w:val="none"/>
          <w:u w:val="none"/>
          <w:lang w:val="en-US" w:eastAsia="zh-CN"/>
        </w:rPr>
        <w:t>一般公共预算财政拨款</w:t>
      </w:r>
      <w:r>
        <w:rPr>
          <w:rFonts w:hint="eastAsia" w:ascii="仿宋_GB2312" w:hAnsi="宋体"/>
          <w:bCs/>
          <w:sz w:val="32"/>
          <w:szCs w:val="32"/>
          <w:highlight w:val="none"/>
          <w:u w:val="none"/>
          <w:lang w:val="en-US" w:eastAsia="zh-CN"/>
        </w:rPr>
        <w:t>支出“现代物流业发展资金”2334.29万元，与</w:t>
      </w:r>
      <w:r>
        <w:rPr>
          <w:rFonts w:hint="eastAsia" w:ascii="仿宋_GB2312" w:hAnsi="宋体"/>
          <w:bCs/>
          <w:szCs w:val="32"/>
          <w:highlight w:val="none"/>
          <w:u w:val="none"/>
          <w:lang w:val="en-US" w:eastAsia="zh-CN"/>
        </w:rPr>
        <w:t>上</w:t>
      </w:r>
      <w:r>
        <w:rPr>
          <w:rFonts w:hint="eastAsia" w:ascii="仿宋_GB2312" w:hAnsi="宋体"/>
          <w:bCs/>
          <w:sz w:val="32"/>
          <w:szCs w:val="32"/>
          <w:highlight w:val="none"/>
          <w:u w:val="none"/>
          <w:lang w:val="en-US" w:eastAsia="zh-CN"/>
        </w:rPr>
        <w:t>年度追加“现代物流业发展资金”1000万元相比增加1334.29万元，因此2023年度</w:t>
      </w:r>
      <w:r>
        <w:rPr>
          <w:rFonts w:hint="eastAsia" w:ascii="仿宋_GB2312" w:hAnsi="宋体"/>
          <w:bCs/>
          <w:szCs w:val="32"/>
          <w:highlight w:val="none"/>
          <w:u w:val="none"/>
          <w:lang w:val="en-US" w:eastAsia="zh-CN"/>
        </w:rPr>
        <w:t>一般公共预算财政拨款支出</w:t>
      </w:r>
      <w:r>
        <w:rPr>
          <w:rFonts w:hint="eastAsia" w:ascii="仿宋_GB2312" w:hAnsi="宋体"/>
          <w:bCs/>
          <w:sz w:val="32"/>
          <w:szCs w:val="32"/>
          <w:highlight w:val="none"/>
          <w:u w:val="none"/>
          <w:lang w:val="en-US" w:eastAsia="zh-CN"/>
        </w:rPr>
        <w:t>合计较</w:t>
      </w:r>
      <w:r>
        <w:rPr>
          <w:rFonts w:hint="eastAsia" w:ascii="仿宋_GB2312" w:hAnsi="宋体"/>
          <w:bCs/>
          <w:szCs w:val="32"/>
          <w:highlight w:val="none"/>
          <w:u w:val="none"/>
          <w:lang w:val="en-US" w:eastAsia="zh-CN"/>
        </w:rPr>
        <w:t>上</w:t>
      </w:r>
      <w:r>
        <w:rPr>
          <w:rFonts w:hint="eastAsia" w:ascii="仿宋_GB2312" w:hAnsi="宋体"/>
          <w:bCs/>
          <w:sz w:val="32"/>
          <w:szCs w:val="32"/>
          <w:highlight w:val="none"/>
          <w:u w:val="none"/>
          <w:lang w:val="en-US" w:eastAsia="zh-CN"/>
        </w:rPr>
        <w:t>年度增加</w:t>
      </w:r>
      <w:r>
        <w:rPr>
          <w:rFonts w:hint="eastAsia" w:ascii="仿宋_GB2312" w:hAnsi="宋体" w:eastAsia="仿宋_GB2312"/>
          <w:bCs/>
          <w:sz w:val="32"/>
          <w:szCs w:val="32"/>
          <w:highlight w:val="none"/>
          <w:u w:val="none"/>
          <w:lang w:val="en-US" w:eastAsia="zh-CN"/>
        </w:rPr>
        <w:t>。</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楷体_GB2312" w:hAnsi="楷体_GB2312" w:eastAsia="楷体_GB2312" w:cs="楷体_GB2312"/>
          <w:bCs/>
          <w:kern w:val="44"/>
          <w:szCs w:val="32"/>
        </w:rPr>
      </w:pPr>
      <w:r>
        <w:rPr>
          <w:rFonts w:hint="eastAsia" w:ascii="楷体_GB2312" w:hAnsi="楷体_GB2312" w:eastAsia="楷体_GB2312" w:cs="楷体_GB2312"/>
          <w:bCs/>
          <w:kern w:val="44"/>
          <w:szCs w:val="32"/>
        </w:rPr>
        <w:t>（二）一般公共预算财政拨款支出决算结构情况</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ascii="仿宋_GB2312"/>
          <w:bCs/>
          <w:kern w:val="44"/>
          <w:szCs w:val="32"/>
        </w:rPr>
      </w:pPr>
      <w:r>
        <w:rPr>
          <w:rFonts w:hint="eastAsia" w:ascii="仿宋_GB2312"/>
          <w:bCs/>
          <w:kern w:val="44"/>
          <w:szCs w:val="32"/>
        </w:rPr>
        <w:t>2023年度</w:t>
      </w:r>
      <w:r>
        <w:rPr>
          <w:rFonts w:hint="eastAsia" w:ascii="仿宋_GB2312" w:hAnsi="仿宋_GB2312" w:cs="仿宋_GB2312"/>
          <w:bCs/>
          <w:kern w:val="44"/>
          <w:szCs w:val="32"/>
        </w:rPr>
        <w:t>一般公共预算</w:t>
      </w:r>
      <w:r>
        <w:rPr>
          <w:rFonts w:hint="eastAsia" w:ascii="仿宋_GB2312"/>
          <w:bCs/>
          <w:kern w:val="44"/>
          <w:szCs w:val="32"/>
        </w:rPr>
        <w:t>财政拨款支出</w:t>
      </w:r>
      <w:r>
        <w:rPr>
          <w:rFonts w:hint="eastAsia" w:ascii="仿宋_GB2312" w:cs="仿宋_GB2312"/>
          <w:szCs w:val="32"/>
          <w:lang w:bidi="zh-HK"/>
        </w:rPr>
        <w:t>4056.43</w:t>
      </w:r>
      <w:r>
        <w:rPr>
          <w:rFonts w:hint="eastAsia" w:ascii="仿宋_GB2312"/>
          <w:bCs/>
          <w:kern w:val="44"/>
          <w:szCs w:val="32"/>
        </w:rPr>
        <w:t>万元，主要用于以下方面：</w:t>
      </w:r>
    </w:p>
    <w:p>
      <w:pPr>
        <w:keepNext w:val="0"/>
        <w:keepLines w:val="0"/>
        <w:pageBreakBefore w:val="0"/>
        <w:kinsoku/>
        <w:overflowPunct/>
        <w:autoSpaceDE/>
        <w:autoSpaceDN/>
        <w:bidi w:val="0"/>
        <w:spacing w:line="540" w:lineRule="exact"/>
        <w:ind w:firstLine="640" w:firstLineChars="200"/>
        <w:textAlignment w:val="auto"/>
        <w:rPr>
          <w:rFonts w:hint="default" w:ascii="仿宋_GB2312" w:hAnsi="宋体"/>
          <w:bCs/>
          <w:szCs w:val="32"/>
          <w:highlight w:val="none"/>
          <w:u w:val="none"/>
          <w:lang w:val="en-US" w:eastAsia="zh-CN"/>
        </w:rPr>
      </w:pPr>
      <w:r>
        <w:rPr>
          <w:rFonts w:hint="eastAsia" w:ascii="仿宋_GB2312" w:hAnsi="宋体"/>
          <w:bCs/>
          <w:szCs w:val="32"/>
          <w:highlight w:val="none"/>
          <w:u w:val="none"/>
          <w:lang w:val="en-US" w:eastAsia="zh-CN"/>
        </w:rPr>
        <w:t>社会保障和就业支出364.37万元，占8.98%，主要用于养老、年金等人员支出；</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宋体"/>
          <w:bCs/>
          <w:szCs w:val="32"/>
          <w:highlight w:val="none"/>
          <w:u w:val="none"/>
          <w:lang w:val="en-US" w:eastAsia="zh-CN"/>
        </w:rPr>
      </w:pPr>
      <w:r>
        <w:rPr>
          <w:rFonts w:hint="eastAsia" w:ascii="仿宋_GB2312" w:hAnsi="宋体"/>
          <w:bCs/>
          <w:szCs w:val="32"/>
          <w:highlight w:val="none"/>
          <w:u w:val="none"/>
          <w:lang w:val="en-US" w:eastAsia="zh-CN"/>
        </w:rPr>
        <w:t>卫生健康支出185.21万元，占4.57%，主要用于医疗保险等人员支出；</w:t>
      </w:r>
    </w:p>
    <w:p>
      <w:pPr>
        <w:keepNext w:val="0"/>
        <w:keepLines w:val="0"/>
        <w:pageBreakBefore w:val="0"/>
        <w:kinsoku/>
        <w:overflowPunct/>
        <w:autoSpaceDE/>
        <w:autoSpaceDN/>
        <w:bidi w:val="0"/>
        <w:spacing w:line="540" w:lineRule="exact"/>
        <w:ind w:firstLine="640" w:firstLineChars="200"/>
        <w:textAlignment w:val="auto"/>
        <w:rPr>
          <w:rFonts w:hint="default" w:ascii="仿宋_GB2312" w:hAnsi="宋体"/>
          <w:bCs/>
          <w:szCs w:val="32"/>
          <w:highlight w:val="none"/>
          <w:u w:val="none"/>
          <w:lang w:val="en-US" w:eastAsia="zh-CN"/>
        </w:rPr>
      </w:pPr>
      <w:r>
        <w:rPr>
          <w:rFonts w:hint="eastAsia" w:ascii="仿宋_GB2312" w:hAnsi="宋体"/>
          <w:bCs/>
          <w:szCs w:val="32"/>
          <w:highlight w:val="none"/>
          <w:u w:val="none"/>
          <w:lang w:val="en-US" w:eastAsia="zh-CN"/>
        </w:rPr>
        <w:t>交通运输支出3418.22万元，占84.27%，主要用</w:t>
      </w:r>
      <w:r>
        <w:rPr>
          <w:rFonts w:hint="eastAsia" w:ascii="仿宋_GB2312" w:hAnsi="宋体"/>
          <w:bCs/>
          <w:color w:val="auto"/>
          <w:szCs w:val="32"/>
          <w:highlight w:val="none"/>
          <w:u w:val="none"/>
          <w:lang w:val="en-US" w:eastAsia="zh-CN"/>
        </w:rPr>
        <w:t>于现代物流产业发展、日常业</w:t>
      </w:r>
      <w:r>
        <w:rPr>
          <w:rFonts w:hint="eastAsia" w:ascii="仿宋_GB2312" w:hAnsi="宋体"/>
          <w:bCs/>
          <w:szCs w:val="32"/>
          <w:highlight w:val="none"/>
          <w:u w:val="none"/>
          <w:lang w:val="en-US" w:eastAsia="zh-CN"/>
        </w:rPr>
        <w:t>务工作及人员和公用等基本支出；</w:t>
      </w:r>
    </w:p>
    <w:p>
      <w:pPr>
        <w:keepNext w:val="0"/>
        <w:keepLines w:val="0"/>
        <w:pageBreakBefore w:val="0"/>
        <w:kinsoku/>
        <w:overflowPunct/>
        <w:autoSpaceDE/>
        <w:autoSpaceDN/>
        <w:bidi w:val="0"/>
        <w:spacing w:line="540" w:lineRule="exact"/>
        <w:ind w:firstLine="640" w:firstLineChars="200"/>
        <w:textAlignment w:val="auto"/>
        <w:rPr>
          <w:rFonts w:hint="default" w:ascii="仿宋_GB2312" w:hAnsi="宋体"/>
          <w:bCs/>
          <w:szCs w:val="32"/>
          <w:highlight w:val="none"/>
          <w:u w:val="none"/>
          <w:lang w:val="en-US" w:eastAsia="zh-CN"/>
        </w:rPr>
      </w:pPr>
      <w:r>
        <w:rPr>
          <w:rFonts w:hint="eastAsia" w:ascii="仿宋_GB2312" w:hAnsi="宋体"/>
          <w:bCs/>
          <w:szCs w:val="32"/>
          <w:highlight w:val="none"/>
          <w:u w:val="none"/>
          <w:lang w:val="en-US" w:eastAsia="zh-CN"/>
        </w:rPr>
        <w:t>住房保障支出88.63万元，占2.18%，主要用于住房公积金等人员支出。</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楷体_GB2312" w:hAnsi="楷体_GB2312" w:eastAsia="楷体_GB2312" w:cs="楷体_GB2312"/>
          <w:bCs/>
          <w:kern w:val="44"/>
          <w:szCs w:val="32"/>
        </w:rPr>
      </w:pPr>
      <w:r>
        <w:rPr>
          <w:rFonts w:hint="eastAsia" w:ascii="楷体_GB2312" w:hAnsi="楷体_GB2312" w:eastAsia="楷体_GB2312" w:cs="楷体_GB2312"/>
          <w:bCs/>
          <w:kern w:val="44"/>
          <w:szCs w:val="32"/>
        </w:rPr>
        <w:t>（三）一般公共预算财政拨款支出决算具体情况</w:t>
      </w:r>
    </w:p>
    <w:p>
      <w:pPr>
        <w:keepNext w:val="0"/>
        <w:keepLines w:val="0"/>
        <w:pageBreakBefore w:val="0"/>
        <w:kinsoku/>
        <w:wordWrap w:val="0"/>
        <w:overflowPunct/>
        <w:topLinePunct/>
        <w:autoSpaceDE/>
        <w:autoSpaceDN/>
        <w:bidi w:val="0"/>
        <w:spacing w:line="540" w:lineRule="exact"/>
        <w:ind w:firstLine="658"/>
        <w:textAlignment w:val="auto"/>
        <w:rPr>
          <w:rFonts w:hint="eastAsia" w:ascii="仿宋_GB2312" w:cs="仿宋_GB2312"/>
          <w:szCs w:val="32"/>
          <w:lang w:bidi="zh-HK"/>
        </w:rPr>
      </w:pPr>
      <w:r>
        <w:rPr>
          <w:rFonts w:hint="eastAsia" w:ascii="仿宋_GB2312" w:cs="仿宋_GB2312"/>
          <w:szCs w:val="32"/>
          <w:lang w:bidi="zh-HK"/>
        </w:rPr>
        <w:t>2023年度一般公共预算财政拨款支出年初预算为1735.61万元，支出决算为4056.43万元，完成年初预算的233.7%.其中：</w:t>
      </w:r>
    </w:p>
    <w:p>
      <w:pPr>
        <w:keepNext w:val="0"/>
        <w:keepLines w:val="0"/>
        <w:pageBreakBefore w:val="0"/>
        <w:kinsoku/>
        <w:wordWrap w:val="0"/>
        <w:overflowPunct/>
        <w:topLinePunct/>
        <w:autoSpaceDE/>
        <w:autoSpaceDN/>
        <w:bidi w:val="0"/>
        <w:spacing w:line="540" w:lineRule="exact"/>
        <w:ind w:firstLine="658"/>
        <w:textAlignment w:val="auto"/>
        <w:rPr>
          <w:rFonts w:hint="eastAsia" w:ascii="仿宋_GB2312" w:hAnsi="宋体"/>
          <w:bCs/>
          <w:szCs w:val="32"/>
          <w:highlight w:val="none"/>
          <w:u w:val="none"/>
          <w:lang w:val="en-US" w:eastAsia="zh-CN"/>
        </w:rPr>
      </w:pPr>
      <w:r>
        <w:rPr>
          <w:rFonts w:hint="eastAsia" w:ascii="仿宋_GB2312" w:cs="仿宋_GB2312"/>
          <w:szCs w:val="32"/>
          <w:lang w:val="en-US" w:eastAsia="zh-CN" w:bidi="zh-HK"/>
        </w:rPr>
        <w:t>1.</w:t>
      </w:r>
      <w:r>
        <w:rPr>
          <w:rFonts w:hint="eastAsia" w:ascii="仿宋_GB2312" w:hAnsi="宋体"/>
          <w:bCs/>
          <w:szCs w:val="32"/>
          <w:highlight w:val="none"/>
          <w:u w:val="none"/>
          <w:lang w:val="en-US" w:eastAsia="zh-CN"/>
        </w:rPr>
        <w:t>社会保障和就业支出（类）行政事业单位养老支出（款）事业单位离退休（项）：2023年度支出决算数为239.36万元，年初预算数为234.50万元，完成年初预算的102.07%。支出决算数大于年初预算数的主要原因：2023年退休二人</w:t>
      </w:r>
      <w:r>
        <w:rPr>
          <w:rFonts w:hint="default" w:ascii="仿宋_GB2312" w:hAnsi="宋体"/>
          <w:bCs/>
          <w:szCs w:val="32"/>
          <w:highlight w:val="none"/>
          <w:u w:val="none"/>
          <w:lang w:val="en-US" w:eastAsia="zh-CN"/>
        </w:rPr>
        <w:t>，</w:t>
      </w:r>
      <w:r>
        <w:rPr>
          <w:rFonts w:hint="eastAsia" w:ascii="仿宋_GB2312" w:hAnsi="宋体"/>
          <w:bCs/>
          <w:szCs w:val="32"/>
          <w:highlight w:val="none"/>
          <w:u w:val="none"/>
          <w:lang w:val="en-US" w:eastAsia="zh-CN"/>
        </w:rPr>
        <w:t>此二人</w:t>
      </w:r>
      <w:r>
        <w:rPr>
          <w:rFonts w:hint="default" w:ascii="仿宋_GB2312" w:hAnsi="宋体"/>
          <w:bCs/>
          <w:szCs w:val="32"/>
          <w:highlight w:val="none"/>
          <w:u w:val="none"/>
          <w:lang w:val="en-US" w:eastAsia="zh-CN"/>
        </w:rPr>
        <w:t>工资</w:t>
      </w:r>
      <w:r>
        <w:rPr>
          <w:rFonts w:hint="eastAsia" w:ascii="仿宋_GB2312" w:hAnsi="宋体"/>
          <w:bCs/>
          <w:szCs w:val="32"/>
          <w:highlight w:val="none"/>
          <w:u w:val="none"/>
          <w:lang w:val="en-US" w:eastAsia="zh-CN"/>
        </w:rPr>
        <w:t>福利</w:t>
      </w:r>
      <w:r>
        <w:rPr>
          <w:rFonts w:hint="default" w:ascii="仿宋_GB2312" w:hAnsi="宋体"/>
          <w:bCs/>
          <w:szCs w:val="32"/>
          <w:highlight w:val="none"/>
          <w:u w:val="none"/>
          <w:lang w:val="en-US" w:eastAsia="zh-CN"/>
        </w:rPr>
        <w:t>支出从在</w:t>
      </w:r>
      <w:r>
        <w:rPr>
          <w:rFonts w:hint="eastAsia" w:ascii="仿宋_GB2312" w:hAnsi="宋体"/>
          <w:bCs/>
          <w:szCs w:val="32"/>
          <w:highlight w:val="none"/>
          <w:u w:val="none"/>
          <w:lang w:val="en-US" w:eastAsia="zh-CN"/>
        </w:rPr>
        <w:t>职</w:t>
      </w:r>
      <w:r>
        <w:rPr>
          <w:rFonts w:hint="default" w:ascii="仿宋_GB2312" w:hAnsi="宋体"/>
          <w:bCs/>
          <w:szCs w:val="32"/>
          <w:highlight w:val="none"/>
          <w:u w:val="none"/>
          <w:lang w:val="en-US" w:eastAsia="zh-CN"/>
        </w:rPr>
        <w:t>人员预算</w:t>
      </w:r>
      <w:r>
        <w:rPr>
          <w:rFonts w:hint="eastAsia" w:ascii="仿宋_GB2312" w:hAnsi="宋体"/>
          <w:bCs/>
          <w:szCs w:val="32"/>
          <w:highlight w:val="none"/>
          <w:u w:val="none"/>
          <w:lang w:val="en-US" w:eastAsia="zh-CN"/>
        </w:rPr>
        <w:t>调整至</w:t>
      </w:r>
      <w:r>
        <w:rPr>
          <w:rFonts w:hint="default" w:ascii="仿宋_GB2312" w:hAnsi="宋体"/>
          <w:bCs/>
          <w:szCs w:val="32"/>
          <w:highlight w:val="none"/>
          <w:u w:val="none"/>
          <w:lang w:val="en-US" w:eastAsia="zh-CN"/>
        </w:rPr>
        <w:t>退休人员预算</w:t>
      </w:r>
      <w:r>
        <w:rPr>
          <w:rFonts w:hint="eastAsia" w:ascii="仿宋_GB2312" w:hAnsi="宋体"/>
          <w:bCs/>
          <w:szCs w:val="32"/>
          <w:highlight w:val="none"/>
          <w:u w:val="none"/>
          <w:lang w:val="en-US" w:eastAsia="zh-CN"/>
        </w:rPr>
        <w:t>，因此</w:t>
      </w:r>
      <w:r>
        <w:rPr>
          <w:rFonts w:hint="eastAsia" w:ascii="仿宋_GB2312" w:hAnsi="宋体"/>
          <w:bCs/>
          <w:szCs w:val="32"/>
          <w:highlight w:val="none"/>
          <w:u w:val="none"/>
          <w:lang w:val="en-US" w:eastAsia="zh-CN"/>
        </w:rPr>
        <w:t>事业单位离退休（项）支出决算数大于年初预算数。年末时未使用完的资金已经被财政收回。</w:t>
      </w:r>
    </w:p>
    <w:p>
      <w:pPr>
        <w:pStyle w:val="2"/>
        <w:keepNext w:val="0"/>
        <w:keepLines w:val="0"/>
        <w:pageBreakBefore w:val="0"/>
        <w:numPr>
          <w:numId w:val="0"/>
        </w:numPr>
        <w:kinsoku/>
        <w:overflowPunct/>
        <w:autoSpaceDE/>
        <w:autoSpaceDN/>
        <w:bidi w:val="0"/>
        <w:spacing w:line="540" w:lineRule="exact"/>
        <w:ind w:firstLine="640" w:firstLineChars="200"/>
        <w:textAlignment w:val="auto"/>
        <w:rPr>
          <w:rFonts w:hint="eastAsia" w:ascii="仿宋_GB2312" w:hAnsi="宋体" w:eastAsia="仿宋_GB2312" w:cs="Times New Roman"/>
          <w:bCs/>
          <w:kern w:val="2"/>
          <w:sz w:val="32"/>
          <w:szCs w:val="32"/>
          <w:highlight w:val="none"/>
          <w:u w:val="none"/>
          <w:lang w:val="en-US" w:eastAsia="zh-CN" w:bidi="ar-SA"/>
        </w:rPr>
      </w:pPr>
      <w:r>
        <w:rPr>
          <w:rFonts w:hint="eastAsia" w:ascii="仿宋_GB2312" w:hAnsi="宋体" w:cs="Times New Roman"/>
          <w:bCs/>
          <w:kern w:val="2"/>
          <w:sz w:val="32"/>
          <w:szCs w:val="32"/>
          <w:highlight w:val="none"/>
          <w:u w:val="none"/>
          <w:lang w:val="en-US" w:eastAsia="zh-CN" w:bidi="ar-SA"/>
        </w:rPr>
        <w:t>2.</w:t>
      </w:r>
      <w:r>
        <w:rPr>
          <w:rFonts w:hint="eastAsia" w:ascii="仿宋_GB2312" w:hAnsi="宋体" w:eastAsia="仿宋_GB2312" w:cs="Times New Roman"/>
          <w:bCs/>
          <w:kern w:val="2"/>
          <w:sz w:val="32"/>
          <w:szCs w:val="32"/>
          <w:highlight w:val="none"/>
          <w:u w:val="none"/>
          <w:lang w:val="en-US" w:eastAsia="zh-CN" w:bidi="ar-SA"/>
        </w:rPr>
        <w:t>社会保障和就业支出（类）行政事业单位养老支出（款）机关事业单位基本养老保险缴费支出（项）：202</w:t>
      </w: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年度支出决算为</w:t>
      </w:r>
      <w:r>
        <w:rPr>
          <w:rFonts w:hint="eastAsia" w:ascii="仿宋_GB2312" w:hAnsi="宋体" w:cs="Times New Roman"/>
          <w:bCs/>
          <w:kern w:val="2"/>
          <w:sz w:val="32"/>
          <w:szCs w:val="32"/>
          <w:highlight w:val="none"/>
          <w:u w:val="none"/>
          <w:lang w:val="en-US" w:eastAsia="zh-CN" w:bidi="ar-SA"/>
        </w:rPr>
        <w:t>103.85</w:t>
      </w:r>
      <w:r>
        <w:rPr>
          <w:rFonts w:hint="eastAsia" w:ascii="仿宋_GB2312" w:hAnsi="宋体" w:eastAsia="仿宋_GB2312" w:cs="Times New Roman"/>
          <w:bCs/>
          <w:kern w:val="2"/>
          <w:sz w:val="32"/>
          <w:szCs w:val="32"/>
          <w:highlight w:val="none"/>
          <w:u w:val="none"/>
          <w:lang w:val="en-US" w:eastAsia="zh-CN" w:bidi="ar-SA"/>
        </w:rPr>
        <w:t>万元，年初预算为</w:t>
      </w:r>
      <w:r>
        <w:rPr>
          <w:rFonts w:hint="eastAsia" w:ascii="仿宋_GB2312" w:hAnsi="宋体" w:cs="Times New Roman"/>
          <w:bCs/>
          <w:kern w:val="2"/>
          <w:sz w:val="32"/>
          <w:szCs w:val="32"/>
          <w:highlight w:val="none"/>
          <w:u w:val="none"/>
          <w:lang w:val="en-US" w:eastAsia="zh-CN" w:bidi="ar-SA"/>
        </w:rPr>
        <w:t>90</w:t>
      </w:r>
      <w:r>
        <w:rPr>
          <w:rFonts w:hint="eastAsia" w:ascii="仿宋_GB2312" w:hAnsi="宋体" w:eastAsia="仿宋_GB2312" w:cs="Times New Roman"/>
          <w:bCs/>
          <w:kern w:val="2"/>
          <w:sz w:val="32"/>
          <w:szCs w:val="32"/>
          <w:highlight w:val="none"/>
          <w:u w:val="none"/>
          <w:lang w:val="en-US" w:eastAsia="zh-CN" w:bidi="ar-SA"/>
        </w:rPr>
        <w:t>万元，完成年初预算的</w:t>
      </w:r>
      <w:r>
        <w:rPr>
          <w:rFonts w:hint="eastAsia" w:ascii="仿宋_GB2312" w:hAnsi="宋体" w:cs="Times New Roman"/>
          <w:bCs/>
          <w:kern w:val="2"/>
          <w:sz w:val="32"/>
          <w:szCs w:val="32"/>
          <w:highlight w:val="none"/>
          <w:u w:val="none"/>
          <w:lang w:val="en-US" w:eastAsia="zh-CN" w:bidi="ar-SA"/>
        </w:rPr>
        <w:t>115.39</w:t>
      </w:r>
      <w:r>
        <w:rPr>
          <w:rFonts w:hint="eastAsia" w:ascii="仿宋_GB2312" w:hAnsi="宋体" w:eastAsia="仿宋_GB2312" w:cs="Times New Roman"/>
          <w:bCs/>
          <w:kern w:val="2"/>
          <w:sz w:val="32"/>
          <w:szCs w:val="32"/>
          <w:highlight w:val="none"/>
          <w:u w:val="none"/>
          <w:lang w:val="en-US" w:eastAsia="zh-CN" w:bidi="ar-SA"/>
        </w:rPr>
        <w:t>%</w:t>
      </w:r>
      <w:r>
        <w:rPr>
          <w:rFonts w:hint="eastAsia" w:ascii="仿宋_GB2312" w:hAnsi="宋体" w:cs="Times New Roman"/>
          <w:bCs/>
          <w:kern w:val="2"/>
          <w:sz w:val="32"/>
          <w:szCs w:val="32"/>
          <w:highlight w:val="none"/>
          <w:u w:val="none"/>
          <w:lang w:val="en-US" w:eastAsia="zh-CN" w:bidi="ar-SA"/>
        </w:rPr>
        <w:t>。</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大</w:t>
      </w:r>
      <w:r>
        <w:rPr>
          <w:rFonts w:hint="eastAsia" w:ascii="仿宋_GB2312" w:hAnsi="宋体" w:eastAsia="仿宋_GB2312" w:cs="Times New Roman"/>
          <w:bCs/>
          <w:kern w:val="2"/>
          <w:sz w:val="32"/>
          <w:szCs w:val="32"/>
          <w:highlight w:val="none"/>
          <w:u w:val="none"/>
          <w:lang w:val="en-US" w:eastAsia="zh-CN" w:bidi="ar-SA"/>
        </w:rPr>
        <w:t>于年初预算数的主要原因：2023年退休二</w:t>
      </w:r>
      <w:r>
        <w:rPr>
          <w:rFonts w:hint="eastAsia" w:eastAsia="仿宋" w:cs="Times New Roman"/>
          <w:color w:val="auto"/>
          <w:sz w:val="32"/>
          <w:szCs w:val="32"/>
          <w:lang w:val="en-US" w:eastAsia="zh-CN"/>
        </w:rPr>
        <w:t>人，由于年初预算中无职业年金预算，所以使用</w:t>
      </w:r>
      <w:r>
        <w:rPr>
          <w:rFonts w:hint="eastAsia" w:ascii="仿宋_GB2312" w:hAnsi="宋体" w:eastAsia="仿宋_GB2312" w:cs="Times New Roman"/>
          <w:bCs/>
          <w:kern w:val="2"/>
          <w:sz w:val="32"/>
          <w:szCs w:val="32"/>
          <w:highlight w:val="none"/>
          <w:u w:val="none"/>
          <w:lang w:val="en-US" w:eastAsia="zh-CN" w:bidi="ar-SA"/>
        </w:rPr>
        <w:t>基本养老保险缴费支出</w:t>
      </w:r>
      <w:r>
        <w:rPr>
          <w:rFonts w:hint="eastAsia" w:ascii="仿宋_GB2312" w:hAnsi="宋体" w:cs="Times New Roman"/>
          <w:bCs/>
          <w:kern w:val="2"/>
          <w:sz w:val="32"/>
          <w:szCs w:val="32"/>
          <w:highlight w:val="none"/>
          <w:u w:val="none"/>
          <w:lang w:val="en-US" w:eastAsia="zh-CN" w:bidi="ar-SA"/>
        </w:rPr>
        <w:t>垫支</w:t>
      </w:r>
      <w:r>
        <w:rPr>
          <w:rFonts w:hint="eastAsia" w:eastAsia="仿宋" w:cs="Times New Roman"/>
          <w:color w:val="auto"/>
          <w:sz w:val="32"/>
          <w:szCs w:val="32"/>
          <w:lang w:val="en-US" w:eastAsia="zh-CN"/>
        </w:rPr>
        <w:t>职业年金做实金额。因此在下半年人员经费结算时</w:t>
      </w:r>
      <w:r>
        <w:rPr>
          <w:rFonts w:hint="eastAsia" w:ascii="仿宋_GB2312" w:hAnsi="宋体" w:cs="Times New Roman"/>
          <w:bCs/>
          <w:kern w:val="2"/>
          <w:sz w:val="32"/>
          <w:szCs w:val="32"/>
          <w:highlight w:val="none"/>
          <w:u w:val="none"/>
          <w:lang w:val="en-US" w:eastAsia="zh-CN" w:bidi="ar-SA"/>
        </w:rPr>
        <w:t>追加了</w:t>
      </w:r>
      <w:r>
        <w:rPr>
          <w:rFonts w:hint="eastAsia" w:ascii="仿宋_GB2312" w:hAnsi="宋体" w:eastAsia="仿宋_GB2312" w:cs="Times New Roman"/>
          <w:bCs/>
          <w:kern w:val="2"/>
          <w:sz w:val="32"/>
          <w:szCs w:val="32"/>
          <w:highlight w:val="none"/>
          <w:u w:val="none"/>
          <w:lang w:val="en-US" w:eastAsia="zh-CN" w:bidi="ar-SA"/>
        </w:rPr>
        <w:t>基本养老保险缴费支出（项）</w:t>
      </w:r>
      <w:r>
        <w:rPr>
          <w:rFonts w:hint="eastAsia" w:ascii="仿宋_GB2312" w:hAnsi="宋体" w:cs="Times New Roman"/>
          <w:bCs/>
          <w:kern w:val="2"/>
          <w:sz w:val="32"/>
          <w:szCs w:val="32"/>
          <w:highlight w:val="none"/>
          <w:u w:val="none"/>
          <w:lang w:val="en-US" w:eastAsia="zh-CN" w:bidi="ar-SA"/>
        </w:rPr>
        <w:t>。</w:t>
      </w:r>
      <w:r>
        <w:rPr>
          <w:rFonts w:hint="eastAsia" w:ascii="仿宋_GB2312" w:hAnsi="宋体" w:cs="Times New Roman"/>
          <w:bCs/>
          <w:color w:val="auto"/>
          <w:kern w:val="2"/>
          <w:sz w:val="32"/>
          <w:szCs w:val="32"/>
          <w:highlight w:val="none"/>
          <w:u w:val="none"/>
          <w:lang w:val="en-US" w:eastAsia="zh-CN" w:bidi="ar-SA"/>
        </w:rPr>
        <w:t>年末时未使用完的追加资金已经被财政收回。</w:t>
      </w:r>
    </w:p>
    <w:p>
      <w:pPr>
        <w:pStyle w:val="2"/>
        <w:keepNext w:val="0"/>
        <w:keepLines w:val="0"/>
        <w:pageBreakBefore w:val="0"/>
        <w:numPr>
          <w:numId w:val="0"/>
        </w:numPr>
        <w:kinsoku/>
        <w:overflowPunct/>
        <w:autoSpaceDE/>
        <w:autoSpaceDN/>
        <w:bidi w:val="0"/>
        <w:spacing w:line="540" w:lineRule="exact"/>
        <w:ind w:firstLine="640" w:firstLineChars="200"/>
        <w:textAlignment w:val="auto"/>
        <w:rPr>
          <w:rFonts w:hint="eastAsia" w:ascii="仿宋_GB2312" w:hAnsi="宋体" w:eastAsia="仿宋_GB2312" w:cs="Times New Roman"/>
          <w:bCs/>
          <w:kern w:val="2"/>
          <w:sz w:val="32"/>
          <w:szCs w:val="32"/>
          <w:highlight w:val="none"/>
          <w:u w:val="none"/>
          <w:lang w:val="en-US" w:eastAsia="zh-CN" w:bidi="ar-SA"/>
        </w:rPr>
      </w:pP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社会保障和就业支出（类）行政事业单位养老支出（款）机关事业单位职业年金缴费支出（项）：202</w:t>
      </w: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年度支出决算为</w:t>
      </w:r>
      <w:r>
        <w:rPr>
          <w:rFonts w:hint="eastAsia" w:ascii="仿宋_GB2312" w:hAnsi="宋体" w:cs="Times New Roman"/>
          <w:bCs/>
          <w:kern w:val="2"/>
          <w:sz w:val="32"/>
          <w:szCs w:val="32"/>
          <w:highlight w:val="none"/>
          <w:u w:val="none"/>
          <w:lang w:val="en-US" w:eastAsia="zh-CN" w:bidi="ar-SA"/>
        </w:rPr>
        <w:t>21.16</w:t>
      </w:r>
      <w:r>
        <w:rPr>
          <w:rFonts w:hint="eastAsia" w:ascii="仿宋_GB2312" w:hAnsi="宋体" w:eastAsia="仿宋_GB2312" w:cs="Times New Roman"/>
          <w:bCs/>
          <w:kern w:val="2"/>
          <w:sz w:val="32"/>
          <w:szCs w:val="32"/>
          <w:highlight w:val="none"/>
          <w:u w:val="none"/>
          <w:lang w:val="en-US" w:eastAsia="zh-CN" w:bidi="ar-SA"/>
        </w:rPr>
        <w:t>万元，年初预算为</w:t>
      </w:r>
      <w:r>
        <w:rPr>
          <w:rFonts w:hint="eastAsia" w:ascii="仿宋_GB2312" w:hAnsi="宋体" w:cs="Times New Roman"/>
          <w:bCs/>
          <w:kern w:val="2"/>
          <w:sz w:val="32"/>
          <w:szCs w:val="32"/>
          <w:highlight w:val="none"/>
          <w:u w:val="none"/>
          <w:lang w:val="en-US" w:eastAsia="zh-CN" w:bidi="ar-SA"/>
        </w:rPr>
        <w:t>0。</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大</w:t>
      </w:r>
      <w:r>
        <w:rPr>
          <w:rFonts w:hint="eastAsia" w:ascii="仿宋_GB2312" w:hAnsi="宋体" w:eastAsia="仿宋_GB2312" w:cs="Times New Roman"/>
          <w:bCs/>
          <w:kern w:val="2"/>
          <w:sz w:val="32"/>
          <w:szCs w:val="32"/>
          <w:highlight w:val="none"/>
          <w:u w:val="none"/>
          <w:lang w:val="en-US" w:eastAsia="zh-CN" w:bidi="ar-SA"/>
        </w:rPr>
        <w:t>于年初预算数的主要原因：8月追加职业年金21.1</w:t>
      </w:r>
      <w:r>
        <w:rPr>
          <w:rFonts w:hint="eastAsia" w:ascii="仿宋_GB2312" w:hAnsi="宋体" w:cs="Times New Roman"/>
          <w:bCs/>
          <w:kern w:val="2"/>
          <w:sz w:val="32"/>
          <w:szCs w:val="32"/>
          <w:highlight w:val="none"/>
          <w:u w:val="none"/>
          <w:lang w:val="en-US" w:eastAsia="zh-CN" w:bidi="ar-SA"/>
        </w:rPr>
        <w:t>6</w:t>
      </w:r>
      <w:r>
        <w:rPr>
          <w:rFonts w:hint="eastAsia" w:ascii="仿宋_GB2312" w:hAnsi="宋体" w:eastAsia="仿宋_GB2312" w:cs="Times New Roman"/>
          <w:bCs/>
          <w:kern w:val="2"/>
          <w:sz w:val="32"/>
          <w:szCs w:val="32"/>
          <w:highlight w:val="none"/>
          <w:u w:val="none"/>
          <w:lang w:val="en-US" w:eastAsia="zh-CN" w:bidi="ar-SA"/>
        </w:rPr>
        <w:t>万元</w:t>
      </w:r>
      <w:r>
        <w:rPr>
          <w:rFonts w:hint="eastAsia" w:ascii="仿宋_GB2312" w:hAnsi="宋体" w:cs="Times New Roman"/>
          <w:bCs/>
          <w:kern w:val="2"/>
          <w:sz w:val="32"/>
          <w:szCs w:val="32"/>
          <w:highlight w:val="none"/>
          <w:u w:val="none"/>
          <w:lang w:val="en-US" w:eastAsia="zh-CN" w:bidi="ar-SA"/>
        </w:rPr>
        <w:t>用于结算职业年金个人账户利息，因此</w:t>
      </w:r>
      <w:r>
        <w:rPr>
          <w:rFonts w:hint="eastAsia" w:ascii="仿宋_GB2312" w:hAnsi="宋体" w:eastAsia="仿宋_GB2312" w:cs="Times New Roman"/>
          <w:bCs/>
          <w:kern w:val="2"/>
          <w:sz w:val="32"/>
          <w:szCs w:val="32"/>
          <w:highlight w:val="none"/>
          <w:u w:val="none"/>
          <w:lang w:val="en-US" w:eastAsia="zh-CN" w:bidi="ar-SA"/>
        </w:rPr>
        <w:t>机关事业单位职业年金缴费支出（项）</w:t>
      </w:r>
      <w:r>
        <w:rPr>
          <w:rFonts w:hint="eastAsia" w:ascii="仿宋_GB2312" w:hAnsi="宋体" w:cs="Times New Roman"/>
          <w:bCs/>
          <w:kern w:val="2"/>
          <w:sz w:val="32"/>
          <w:szCs w:val="32"/>
          <w:highlight w:val="none"/>
          <w:u w:val="none"/>
          <w:lang w:val="en-US" w:eastAsia="zh-CN" w:bidi="ar-SA"/>
        </w:rPr>
        <w:t xml:space="preserve"> </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大</w:t>
      </w:r>
      <w:r>
        <w:rPr>
          <w:rFonts w:hint="eastAsia" w:ascii="仿宋_GB2312" w:hAnsi="宋体" w:eastAsia="仿宋_GB2312" w:cs="Times New Roman"/>
          <w:bCs/>
          <w:kern w:val="2"/>
          <w:sz w:val="32"/>
          <w:szCs w:val="32"/>
          <w:highlight w:val="none"/>
          <w:u w:val="none"/>
          <w:lang w:val="en-US" w:eastAsia="zh-CN" w:bidi="ar-SA"/>
        </w:rPr>
        <w:t>于年初预算数</w:t>
      </w:r>
      <w:r>
        <w:rPr>
          <w:rFonts w:hint="eastAsia" w:ascii="仿宋_GB2312" w:hAnsi="宋体" w:cs="Times New Roman"/>
          <w:bCs/>
          <w:kern w:val="2"/>
          <w:sz w:val="32"/>
          <w:szCs w:val="32"/>
          <w:highlight w:val="none"/>
          <w:u w:val="none"/>
          <w:lang w:val="en-US" w:eastAsia="zh-CN" w:bidi="ar-SA"/>
        </w:rPr>
        <w:t>。</w:t>
      </w:r>
    </w:p>
    <w:p>
      <w:pPr>
        <w:pStyle w:val="2"/>
        <w:keepNext w:val="0"/>
        <w:keepLines w:val="0"/>
        <w:pageBreakBefore w:val="0"/>
        <w:numPr>
          <w:numId w:val="0"/>
        </w:numPr>
        <w:kinsoku/>
        <w:overflowPunct/>
        <w:autoSpaceDE/>
        <w:autoSpaceDN/>
        <w:bidi w:val="0"/>
        <w:spacing w:line="540" w:lineRule="exact"/>
        <w:ind w:firstLine="640" w:firstLineChars="200"/>
        <w:textAlignment w:val="auto"/>
        <w:rPr>
          <w:rFonts w:hint="eastAsia" w:ascii="仿宋_GB2312" w:hAnsi="宋体" w:eastAsia="仿宋_GB2312" w:cs="Times New Roman"/>
          <w:bCs/>
          <w:kern w:val="2"/>
          <w:sz w:val="32"/>
          <w:szCs w:val="32"/>
          <w:highlight w:val="none"/>
          <w:u w:val="none"/>
          <w:lang w:val="en-US" w:eastAsia="zh-CN" w:bidi="ar-SA"/>
        </w:rPr>
      </w:pPr>
      <w:r>
        <w:rPr>
          <w:rFonts w:hint="eastAsia" w:ascii="仿宋_GB2312" w:hAnsi="宋体" w:cs="Times New Roman"/>
          <w:bCs/>
          <w:kern w:val="2"/>
          <w:sz w:val="32"/>
          <w:szCs w:val="32"/>
          <w:highlight w:val="none"/>
          <w:u w:val="none"/>
          <w:lang w:val="en-US" w:eastAsia="zh-CN" w:bidi="ar-SA"/>
        </w:rPr>
        <w:t>4.</w:t>
      </w:r>
      <w:r>
        <w:rPr>
          <w:rFonts w:hint="eastAsia" w:ascii="仿宋_GB2312" w:hAnsi="宋体" w:eastAsia="仿宋_GB2312" w:cs="Times New Roman"/>
          <w:bCs/>
          <w:kern w:val="2"/>
          <w:sz w:val="32"/>
          <w:szCs w:val="32"/>
          <w:highlight w:val="none"/>
          <w:u w:val="none"/>
          <w:lang w:val="en-US" w:eastAsia="zh-CN" w:bidi="ar-SA"/>
        </w:rPr>
        <w:t>卫生健康支出</w:t>
      </w:r>
      <w:r>
        <w:rPr>
          <w:rFonts w:hint="eastAsia" w:ascii="仿宋_GB2312" w:hAnsi="宋体" w:cs="Times New Roman"/>
          <w:bCs/>
          <w:kern w:val="2"/>
          <w:sz w:val="32"/>
          <w:szCs w:val="32"/>
          <w:highlight w:val="none"/>
          <w:u w:val="none"/>
          <w:lang w:val="en-US" w:eastAsia="zh-CN" w:bidi="ar-SA"/>
        </w:rPr>
        <w:t>（类）行政事业单位医疗（款）事业单位医疗（项）：</w:t>
      </w:r>
      <w:r>
        <w:rPr>
          <w:rFonts w:hint="eastAsia" w:ascii="仿宋_GB2312" w:hAnsi="宋体" w:eastAsia="仿宋_GB2312" w:cs="Times New Roman"/>
          <w:bCs/>
          <w:kern w:val="2"/>
          <w:sz w:val="32"/>
          <w:szCs w:val="32"/>
          <w:highlight w:val="none"/>
          <w:u w:val="none"/>
          <w:lang w:val="en-US" w:eastAsia="zh-CN" w:bidi="ar-SA"/>
        </w:rPr>
        <w:t>202</w:t>
      </w: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年度支出决算为</w:t>
      </w:r>
      <w:r>
        <w:rPr>
          <w:rFonts w:hint="eastAsia" w:ascii="仿宋_GB2312" w:hAnsi="宋体" w:cs="Times New Roman"/>
          <w:bCs/>
          <w:kern w:val="2"/>
          <w:sz w:val="32"/>
          <w:szCs w:val="32"/>
          <w:highlight w:val="none"/>
          <w:u w:val="none"/>
          <w:lang w:val="en-US" w:eastAsia="zh-CN" w:bidi="ar-SA"/>
        </w:rPr>
        <w:t>59.54</w:t>
      </w:r>
      <w:r>
        <w:rPr>
          <w:rFonts w:hint="eastAsia" w:ascii="仿宋_GB2312" w:hAnsi="宋体" w:eastAsia="仿宋_GB2312" w:cs="Times New Roman"/>
          <w:bCs/>
          <w:kern w:val="2"/>
          <w:sz w:val="32"/>
          <w:szCs w:val="32"/>
          <w:highlight w:val="none"/>
          <w:u w:val="none"/>
          <w:lang w:val="en-US" w:eastAsia="zh-CN" w:bidi="ar-SA"/>
        </w:rPr>
        <w:t>万元，年初预算为</w:t>
      </w:r>
      <w:r>
        <w:rPr>
          <w:rFonts w:hint="eastAsia" w:ascii="仿宋_GB2312" w:hAnsi="宋体" w:cs="Times New Roman"/>
          <w:bCs/>
          <w:kern w:val="2"/>
          <w:sz w:val="32"/>
          <w:szCs w:val="32"/>
          <w:highlight w:val="none"/>
          <w:u w:val="none"/>
          <w:lang w:val="en-US" w:eastAsia="zh-CN" w:bidi="ar-SA"/>
        </w:rPr>
        <w:t>63.50</w:t>
      </w:r>
      <w:r>
        <w:rPr>
          <w:rFonts w:hint="eastAsia" w:ascii="仿宋_GB2312" w:hAnsi="宋体" w:eastAsia="仿宋_GB2312" w:cs="Times New Roman"/>
          <w:bCs/>
          <w:kern w:val="2"/>
          <w:sz w:val="32"/>
          <w:szCs w:val="32"/>
          <w:highlight w:val="none"/>
          <w:u w:val="none"/>
          <w:lang w:val="en-US" w:eastAsia="zh-CN" w:bidi="ar-SA"/>
        </w:rPr>
        <w:t>万元，完成年初预算的</w:t>
      </w:r>
      <w:r>
        <w:rPr>
          <w:rFonts w:hint="eastAsia" w:ascii="仿宋_GB2312" w:hAnsi="宋体" w:cs="Times New Roman"/>
          <w:bCs/>
          <w:kern w:val="2"/>
          <w:sz w:val="32"/>
          <w:szCs w:val="32"/>
          <w:highlight w:val="none"/>
          <w:u w:val="none"/>
          <w:lang w:val="en-US" w:eastAsia="zh-CN" w:bidi="ar-SA"/>
        </w:rPr>
        <w:t>93.76</w:t>
      </w:r>
      <w:r>
        <w:rPr>
          <w:rFonts w:hint="eastAsia" w:ascii="仿宋_GB2312" w:hAnsi="宋体" w:eastAsia="仿宋_GB2312" w:cs="Times New Roman"/>
          <w:bCs/>
          <w:kern w:val="2"/>
          <w:sz w:val="32"/>
          <w:szCs w:val="32"/>
          <w:highlight w:val="none"/>
          <w:u w:val="none"/>
          <w:lang w:val="en-US" w:eastAsia="zh-CN" w:bidi="ar-SA"/>
        </w:rPr>
        <w:t>%</w:t>
      </w:r>
      <w:r>
        <w:rPr>
          <w:rFonts w:hint="eastAsia" w:ascii="仿宋_GB2312" w:hAnsi="宋体" w:cs="Times New Roman"/>
          <w:bCs/>
          <w:kern w:val="2"/>
          <w:sz w:val="32"/>
          <w:szCs w:val="32"/>
          <w:highlight w:val="none"/>
          <w:u w:val="none"/>
          <w:lang w:val="en-US" w:eastAsia="zh-CN" w:bidi="ar-SA"/>
        </w:rPr>
        <w:t>。</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于年初预算数的主要原因：2023年</w:t>
      </w:r>
      <w:r>
        <w:rPr>
          <w:rFonts w:hint="eastAsia" w:eastAsia="仿宋" w:cs="Times New Roman"/>
          <w:color w:val="auto"/>
          <w:sz w:val="32"/>
          <w:szCs w:val="32"/>
          <w:lang w:val="en-US" w:eastAsia="zh-CN"/>
        </w:rPr>
        <w:t>退休二人，导致在职人员基本医疗保险支出减少，因此</w:t>
      </w:r>
      <w:r>
        <w:rPr>
          <w:rFonts w:hint="eastAsia" w:ascii="仿宋_GB2312" w:hAnsi="宋体" w:cs="Times New Roman"/>
          <w:bCs/>
          <w:kern w:val="2"/>
          <w:sz w:val="32"/>
          <w:szCs w:val="32"/>
          <w:highlight w:val="none"/>
          <w:u w:val="none"/>
          <w:lang w:val="en-US" w:eastAsia="zh-CN" w:bidi="ar-SA"/>
        </w:rPr>
        <w:t>事业单位医疗（项）</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w:t>
      </w:r>
      <w:r>
        <w:rPr>
          <w:rFonts w:hint="eastAsia" w:ascii="仿宋_GB2312" w:hAnsi="宋体" w:cs="Times New Roman"/>
          <w:bCs/>
          <w:kern w:val="2"/>
          <w:sz w:val="32"/>
          <w:szCs w:val="32"/>
          <w:highlight w:val="none"/>
          <w:u w:val="none"/>
          <w:lang w:val="en-US" w:eastAsia="zh-CN" w:bidi="ar-SA"/>
        </w:rPr>
        <w:t>。年末时未使用完的资金已经被财政收回。</w:t>
      </w:r>
    </w:p>
    <w:p>
      <w:pPr>
        <w:pStyle w:val="2"/>
        <w:keepNext w:val="0"/>
        <w:keepLines w:val="0"/>
        <w:pageBreakBefore w:val="0"/>
        <w:numPr>
          <w:numId w:val="0"/>
        </w:numPr>
        <w:kinsoku/>
        <w:overflowPunct/>
        <w:autoSpaceDE/>
        <w:autoSpaceDN/>
        <w:bidi w:val="0"/>
        <w:spacing w:line="540" w:lineRule="exact"/>
        <w:ind w:firstLine="640" w:firstLineChars="200"/>
        <w:textAlignment w:val="auto"/>
        <w:rPr>
          <w:rFonts w:hint="eastAsia" w:ascii="仿宋_GB2312" w:hAnsi="宋体" w:eastAsia="仿宋_GB2312" w:cs="Times New Roman"/>
          <w:bCs/>
          <w:kern w:val="2"/>
          <w:sz w:val="32"/>
          <w:szCs w:val="32"/>
          <w:highlight w:val="none"/>
          <w:u w:val="none"/>
          <w:lang w:val="en-US" w:eastAsia="zh-CN" w:bidi="ar-SA"/>
        </w:rPr>
      </w:pPr>
      <w:r>
        <w:rPr>
          <w:rFonts w:hint="eastAsia" w:ascii="仿宋_GB2312" w:hAnsi="宋体" w:cs="Times New Roman"/>
          <w:bCs/>
          <w:kern w:val="2"/>
          <w:sz w:val="32"/>
          <w:szCs w:val="32"/>
          <w:highlight w:val="none"/>
          <w:u w:val="none"/>
          <w:lang w:val="en-US" w:eastAsia="zh-CN" w:bidi="ar-SA"/>
        </w:rPr>
        <w:t>5.</w:t>
      </w:r>
      <w:r>
        <w:rPr>
          <w:rFonts w:hint="eastAsia" w:ascii="仿宋_GB2312" w:hAnsi="宋体" w:eastAsia="仿宋_GB2312" w:cs="Times New Roman"/>
          <w:bCs/>
          <w:kern w:val="2"/>
          <w:sz w:val="32"/>
          <w:szCs w:val="32"/>
          <w:highlight w:val="none"/>
          <w:u w:val="none"/>
          <w:lang w:val="en-US" w:eastAsia="zh-CN" w:bidi="ar-SA"/>
        </w:rPr>
        <w:t>卫生健康支出</w:t>
      </w:r>
      <w:r>
        <w:rPr>
          <w:rFonts w:hint="eastAsia" w:ascii="仿宋_GB2312" w:hAnsi="宋体" w:cs="Times New Roman"/>
          <w:bCs/>
          <w:kern w:val="2"/>
          <w:sz w:val="32"/>
          <w:szCs w:val="32"/>
          <w:highlight w:val="none"/>
          <w:u w:val="none"/>
          <w:lang w:val="en-US" w:eastAsia="zh-CN" w:bidi="ar-SA"/>
        </w:rPr>
        <w:t>（类）行政事业单位医疗（款）公务员医疗补助（项）：</w:t>
      </w:r>
      <w:r>
        <w:rPr>
          <w:rFonts w:hint="eastAsia" w:ascii="仿宋_GB2312" w:hAnsi="宋体" w:eastAsia="仿宋_GB2312" w:cs="Times New Roman"/>
          <w:bCs/>
          <w:kern w:val="2"/>
          <w:sz w:val="32"/>
          <w:szCs w:val="32"/>
          <w:highlight w:val="none"/>
          <w:u w:val="none"/>
          <w:lang w:val="en-US" w:eastAsia="zh-CN" w:bidi="ar-SA"/>
        </w:rPr>
        <w:t>202</w:t>
      </w: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年度支出决算为</w:t>
      </w:r>
      <w:r>
        <w:rPr>
          <w:rFonts w:hint="eastAsia" w:ascii="仿宋_GB2312" w:hAnsi="宋体" w:cs="Times New Roman"/>
          <w:bCs/>
          <w:kern w:val="2"/>
          <w:sz w:val="32"/>
          <w:szCs w:val="32"/>
          <w:highlight w:val="none"/>
          <w:u w:val="none"/>
          <w:lang w:val="en-US" w:eastAsia="zh-CN" w:bidi="ar-SA"/>
        </w:rPr>
        <w:t>125.67</w:t>
      </w:r>
      <w:r>
        <w:rPr>
          <w:rFonts w:hint="eastAsia" w:ascii="仿宋_GB2312" w:hAnsi="宋体" w:eastAsia="仿宋_GB2312" w:cs="Times New Roman"/>
          <w:bCs/>
          <w:kern w:val="2"/>
          <w:sz w:val="32"/>
          <w:szCs w:val="32"/>
          <w:highlight w:val="none"/>
          <w:u w:val="none"/>
          <w:lang w:val="en-US" w:eastAsia="zh-CN" w:bidi="ar-SA"/>
        </w:rPr>
        <w:t>万元，年初预算为</w:t>
      </w:r>
      <w:r>
        <w:rPr>
          <w:rFonts w:hint="eastAsia" w:ascii="仿宋_GB2312" w:hAnsi="宋体" w:cs="Times New Roman"/>
          <w:bCs/>
          <w:kern w:val="2"/>
          <w:sz w:val="32"/>
          <w:szCs w:val="32"/>
          <w:highlight w:val="none"/>
          <w:u w:val="none"/>
          <w:lang w:val="en-US" w:eastAsia="zh-CN" w:bidi="ar-SA"/>
        </w:rPr>
        <w:t>132.71</w:t>
      </w:r>
      <w:r>
        <w:rPr>
          <w:rFonts w:hint="eastAsia" w:ascii="仿宋_GB2312" w:hAnsi="宋体" w:eastAsia="仿宋_GB2312" w:cs="Times New Roman"/>
          <w:bCs/>
          <w:kern w:val="2"/>
          <w:sz w:val="32"/>
          <w:szCs w:val="32"/>
          <w:highlight w:val="none"/>
          <w:u w:val="none"/>
          <w:lang w:val="en-US" w:eastAsia="zh-CN" w:bidi="ar-SA"/>
        </w:rPr>
        <w:t>万元，完成年初预算的</w:t>
      </w:r>
      <w:r>
        <w:rPr>
          <w:rFonts w:hint="eastAsia" w:ascii="仿宋_GB2312" w:hAnsi="宋体" w:cs="Times New Roman"/>
          <w:bCs/>
          <w:kern w:val="2"/>
          <w:sz w:val="32"/>
          <w:szCs w:val="32"/>
          <w:highlight w:val="none"/>
          <w:u w:val="none"/>
          <w:lang w:val="en-US" w:eastAsia="zh-CN" w:bidi="ar-SA"/>
        </w:rPr>
        <w:t>94.69</w:t>
      </w:r>
      <w:r>
        <w:rPr>
          <w:rFonts w:hint="eastAsia" w:ascii="仿宋_GB2312" w:hAnsi="宋体" w:eastAsia="仿宋_GB2312" w:cs="Times New Roman"/>
          <w:bCs/>
          <w:kern w:val="2"/>
          <w:sz w:val="32"/>
          <w:szCs w:val="32"/>
          <w:highlight w:val="none"/>
          <w:u w:val="none"/>
          <w:lang w:val="en-US" w:eastAsia="zh-CN" w:bidi="ar-SA"/>
        </w:rPr>
        <w:t>%</w:t>
      </w:r>
      <w:r>
        <w:rPr>
          <w:rFonts w:hint="eastAsia" w:ascii="仿宋_GB2312" w:hAnsi="宋体" w:cs="Times New Roman"/>
          <w:bCs/>
          <w:kern w:val="2"/>
          <w:sz w:val="32"/>
          <w:szCs w:val="32"/>
          <w:highlight w:val="none"/>
          <w:u w:val="none"/>
          <w:lang w:val="en-US" w:eastAsia="zh-CN" w:bidi="ar-SA"/>
        </w:rPr>
        <w:t>。</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于年初预算数的主要原因：2023年</w:t>
      </w:r>
      <w:r>
        <w:rPr>
          <w:rFonts w:hint="eastAsia" w:eastAsia="仿宋" w:cs="Times New Roman"/>
          <w:color w:val="auto"/>
          <w:sz w:val="32"/>
          <w:szCs w:val="32"/>
          <w:lang w:val="en-US" w:eastAsia="zh-CN"/>
        </w:rPr>
        <w:t>退休二人，导致在职人员公务员医疗补助支出减少，因此</w:t>
      </w:r>
      <w:r>
        <w:rPr>
          <w:rFonts w:hint="eastAsia" w:ascii="仿宋_GB2312" w:hAnsi="宋体" w:cs="Times New Roman"/>
          <w:bCs/>
          <w:kern w:val="2"/>
          <w:sz w:val="32"/>
          <w:szCs w:val="32"/>
          <w:highlight w:val="none"/>
          <w:u w:val="none"/>
          <w:lang w:val="en-US" w:eastAsia="zh-CN" w:bidi="ar-SA"/>
        </w:rPr>
        <w:t>公务员医疗补助（项）</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w:t>
      </w:r>
      <w:r>
        <w:rPr>
          <w:rFonts w:hint="eastAsia" w:ascii="仿宋_GB2312" w:hAnsi="宋体" w:cs="Times New Roman"/>
          <w:bCs/>
          <w:kern w:val="2"/>
          <w:sz w:val="32"/>
          <w:szCs w:val="32"/>
          <w:highlight w:val="none"/>
          <w:u w:val="none"/>
          <w:lang w:val="en-US" w:eastAsia="zh-CN" w:bidi="ar-SA"/>
        </w:rPr>
        <w:t>。年末时未使用完的资金已经被财政收回。</w:t>
      </w:r>
    </w:p>
    <w:p>
      <w:pPr>
        <w:pStyle w:val="2"/>
        <w:keepNext w:val="0"/>
        <w:keepLines w:val="0"/>
        <w:pageBreakBefore w:val="0"/>
        <w:numPr>
          <w:numId w:val="0"/>
        </w:numPr>
        <w:kinsoku/>
        <w:overflowPunct/>
        <w:autoSpaceDE/>
        <w:autoSpaceDN/>
        <w:bidi w:val="0"/>
        <w:spacing w:line="540" w:lineRule="exact"/>
        <w:ind w:firstLine="640" w:firstLineChars="200"/>
        <w:textAlignment w:val="auto"/>
        <w:rPr>
          <w:rFonts w:hint="eastAsia" w:ascii="仿宋_GB2312" w:hAnsi="宋体" w:eastAsia="仿宋_GB2312" w:cs="Times New Roman"/>
          <w:bCs/>
          <w:kern w:val="2"/>
          <w:sz w:val="32"/>
          <w:szCs w:val="32"/>
          <w:highlight w:val="none"/>
          <w:u w:val="none"/>
          <w:lang w:val="en-US" w:eastAsia="zh-CN" w:bidi="ar-SA"/>
        </w:rPr>
      </w:pPr>
      <w:r>
        <w:rPr>
          <w:rFonts w:hint="eastAsia" w:ascii="仿宋_GB2312" w:hAnsi="宋体" w:cs="Times New Roman"/>
          <w:bCs/>
          <w:kern w:val="2"/>
          <w:sz w:val="32"/>
          <w:szCs w:val="32"/>
          <w:highlight w:val="none"/>
          <w:u w:val="none"/>
          <w:lang w:val="en-US" w:eastAsia="zh-CN" w:bidi="ar-SA"/>
        </w:rPr>
        <w:t>6.</w:t>
      </w:r>
      <w:r>
        <w:rPr>
          <w:rFonts w:hint="eastAsia" w:ascii="仿宋_GB2312" w:hAnsi="宋体" w:eastAsia="仿宋_GB2312" w:cs="Times New Roman"/>
          <w:bCs/>
          <w:kern w:val="2"/>
          <w:sz w:val="32"/>
          <w:szCs w:val="32"/>
          <w:highlight w:val="none"/>
          <w:u w:val="none"/>
          <w:lang w:val="en-US" w:eastAsia="zh-CN" w:bidi="ar-SA"/>
        </w:rPr>
        <w:t>交通运输支出</w:t>
      </w:r>
      <w:r>
        <w:rPr>
          <w:rFonts w:hint="eastAsia" w:ascii="仿宋_GB2312" w:hAnsi="宋体" w:cs="Times New Roman"/>
          <w:bCs/>
          <w:kern w:val="2"/>
          <w:sz w:val="32"/>
          <w:szCs w:val="32"/>
          <w:highlight w:val="none"/>
          <w:u w:val="none"/>
          <w:lang w:val="en-US" w:eastAsia="zh-CN" w:bidi="ar-SA"/>
        </w:rPr>
        <w:t>（类）公路水路运输（款）其他公路水路运输支出（项）：2023年度支出决算为1万元，年初预算为1万元，完成年初预算的100%。</w:t>
      </w:r>
    </w:p>
    <w:p>
      <w:pPr>
        <w:pStyle w:val="2"/>
        <w:keepNext w:val="0"/>
        <w:keepLines w:val="0"/>
        <w:pageBreakBefore w:val="0"/>
        <w:numPr>
          <w:ilvl w:val="0"/>
          <w:numId w:val="0"/>
        </w:numPr>
        <w:kinsoku/>
        <w:overflowPunct/>
        <w:autoSpaceDE/>
        <w:autoSpaceDN/>
        <w:bidi w:val="0"/>
        <w:spacing w:line="540" w:lineRule="exact"/>
        <w:ind w:firstLine="640" w:firstLineChars="200"/>
        <w:textAlignment w:val="auto"/>
        <w:rPr>
          <w:rFonts w:ascii="仿宋_GB2312" w:hAnsi="仿宋_GB2312" w:cs="仿宋_GB2312"/>
          <w:bCs/>
          <w:kern w:val="44"/>
          <w:szCs w:val="32"/>
        </w:rPr>
      </w:pPr>
      <w:r>
        <w:rPr>
          <w:rFonts w:hint="eastAsia" w:ascii="仿宋_GB2312" w:hAnsi="宋体" w:cs="Times New Roman"/>
          <w:bCs/>
          <w:kern w:val="2"/>
          <w:sz w:val="32"/>
          <w:szCs w:val="32"/>
          <w:highlight w:val="none"/>
          <w:u w:val="none"/>
          <w:lang w:val="en-US" w:eastAsia="zh-CN" w:bidi="ar-SA"/>
        </w:rPr>
        <w:t>7.</w:t>
      </w:r>
      <w:r>
        <w:rPr>
          <w:rFonts w:hint="eastAsia" w:ascii="仿宋_GB2312" w:hAnsi="宋体" w:eastAsia="仿宋_GB2312" w:cs="Times New Roman"/>
          <w:bCs/>
          <w:kern w:val="2"/>
          <w:sz w:val="32"/>
          <w:szCs w:val="32"/>
          <w:highlight w:val="none"/>
          <w:u w:val="none"/>
          <w:lang w:val="en-US" w:eastAsia="zh-CN" w:bidi="ar-SA"/>
        </w:rPr>
        <w:t>交通运输支出</w:t>
      </w:r>
      <w:r>
        <w:rPr>
          <w:rFonts w:hint="eastAsia" w:ascii="仿宋_GB2312" w:hAnsi="宋体" w:cs="Times New Roman"/>
          <w:bCs/>
          <w:kern w:val="2"/>
          <w:sz w:val="32"/>
          <w:szCs w:val="32"/>
          <w:highlight w:val="none"/>
          <w:u w:val="none"/>
          <w:lang w:val="en-US" w:eastAsia="zh-CN" w:bidi="ar-SA"/>
        </w:rPr>
        <w:t>（类）其他交通运输支出（款）其他交通运输支出（项）：2023年度支出决算为3417.22万元，年初预算为1120.46万元，完成年初预算的304.98%。</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大</w:t>
      </w:r>
      <w:r>
        <w:rPr>
          <w:rFonts w:hint="eastAsia" w:ascii="仿宋_GB2312" w:hAnsi="宋体" w:eastAsia="仿宋_GB2312" w:cs="Times New Roman"/>
          <w:bCs/>
          <w:kern w:val="2"/>
          <w:sz w:val="32"/>
          <w:szCs w:val="32"/>
          <w:highlight w:val="none"/>
          <w:u w:val="none"/>
          <w:lang w:val="en-US" w:eastAsia="zh-CN" w:bidi="ar-SA"/>
        </w:rPr>
        <w:t>于年初预算数的主要原因：</w:t>
      </w:r>
      <w:r>
        <w:rPr>
          <w:rFonts w:hint="eastAsia" w:ascii="仿宋_GB2312" w:hAnsi="宋体" w:cs="Times New Roman"/>
          <w:bCs/>
          <w:kern w:val="2"/>
          <w:sz w:val="32"/>
          <w:szCs w:val="32"/>
          <w:highlight w:val="none"/>
          <w:u w:val="none"/>
          <w:lang w:val="en-US" w:eastAsia="zh-CN" w:bidi="ar-SA"/>
        </w:rPr>
        <w:t>2023年底追加现代物流业发展资金2334.29万元，</w:t>
      </w:r>
      <w:r>
        <w:rPr>
          <w:rFonts w:hint="eastAsia" w:eastAsia="仿宋" w:cs="Times New Roman"/>
          <w:color w:val="auto"/>
          <w:sz w:val="32"/>
          <w:szCs w:val="32"/>
          <w:lang w:val="en-US" w:eastAsia="zh-CN"/>
        </w:rPr>
        <w:t>因此</w:t>
      </w:r>
      <w:r>
        <w:rPr>
          <w:rFonts w:hint="eastAsia" w:ascii="仿宋_GB2312" w:hAnsi="宋体" w:cs="Times New Roman"/>
          <w:bCs/>
          <w:kern w:val="2"/>
          <w:sz w:val="32"/>
          <w:szCs w:val="32"/>
          <w:highlight w:val="none"/>
          <w:u w:val="none"/>
          <w:lang w:val="en-US" w:eastAsia="zh-CN" w:bidi="ar-SA"/>
        </w:rPr>
        <w:t>其他交通运输支出（项）支出</w:t>
      </w:r>
      <w:r>
        <w:rPr>
          <w:rFonts w:hint="eastAsia" w:ascii="仿宋_GB2312" w:hAnsi="宋体" w:eastAsia="仿宋_GB2312" w:cs="Times New Roman"/>
          <w:bCs/>
          <w:kern w:val="2"/>
          <w:sz w:val="32"/>
          <w:szCs w:val="32"/>
          <w:highlight w:val="none"/>
          <w:u w:val="none"/>
          <w:lang w:val="en-US" w:eastAsia="zh-CN" w:bidi="ar-SA"/>
        </w:rPr>
        <w:t>决算数</w:t>
      </w:r>
      <w:r>
        <w:rPr>
          <w:rFonts w:hint="eastAsia" w:ascii="仿宋_GB2312" w:hAnsi="宋体" w:cs="Times New Roman"/>
          <w:bCs/>
          <w:kern w:val="2"/>
          <w:sz w:val="32"/>
          <w:szCs w:val="32"/>
          <w:highlight w:val="none"/>
          <w:u w:val="none"/>
          <w:lang w:val="en-US" w:eastAsia="zh-CN" w:bidi="ar-SA"/>
        </w:rPr>
        <w:t>大</w:t>
      </w:r>
      <w:r>
        <w:rPr>
          <w:rFonts w:hint="eastAsia" w:ascii="仿宋_GB2312" w:hAnsi="宋体" w:eastAsia="仿宋_GB2312" w:cs="Times New Roman"/>
          <w:bCs/>
          <w:kern w:val="2"/>
          <w:sz w:val="32"/>
          <w:szCs w:val="32"/>
          <w:highlight w:val="none"/>
          <w:u w:val="none"/>
          <w:lang w:val="en-US" w:eastAsia="zh-CN" w:bidi="ar-SA"/>
        </w:rPr>
        <w:t>于年初预算数</w:t>
      </w:r>
      <w:r>
        <w:rPr>
          <w:rFonts w:hint="eastAsia" w:ascii="仿宋_GB2312" w:hAnsi="宋体" w:cs="Times New Roman"/>
          <w:bCs/>
          <w:kern w:val="2"/>
          <w:sz w:val="32"/>
          <w:szCs w:val="32"/>
          <w:highlight w:val="none"/>
          <w:u w:val="none"/>
          <w:lang w:val="en-US" w:eastAsia="zh-CN" w:bidi="ar-SA"/>
        </w:rPr>
        <w:t>。</w:t>
      </w:r>
    </w:p>
    <w:p>
      <w:pPr>
        <w:pStyle w:val="2"/>
        <w:keepNext w:val="0"/>
        <w:keepLines w:val="0"/>
        <w:pageBreakBefore w:val="0"/>
        <w:numPr>
          <w:ilvl w:val="0"/>
          <w:numId w:val="0"/>
        </w:numPr>
        <w:kinsoku/>
        <w:overflowPunct/>
        <w:autoSpaceDE/>
        <w:autoSpaceDN/>
        <w:bidi w:val="0"/>
        <w:spacing w:line="540" w:lineRule="exact"/>
        <w:ind w:firstLine="640" w:firstLineChars="200"/>
        <w:textAlignment w:val="auto"/>
        <w:rPr>
          <w:rFonts w:ascii="仿宋_GB2312" w:hAnsi="仿宋_GB2312" w:cs="仿宋_GB2312"/>
          <w:bCs/>
          <w:kern w:val="44"/>
          <w:szCs w:val="32"/>
        </w:rPr>
      </w:pPr>
      <w:r>
        <w:rPr>
          <w:rFonts w:hint="eastAsia" w:ascii="仿宋_GB2312" w:hAnsi="宋体" w:cs="Times New Roman"/>
          <w:bCs/>
          <w:kern w:val="2"/>
          <w:sz w:val="32"/>
          <w:szCs w:val="32"/>
          <w:highlight w:val="none"/>
          <w:u w:val="none"/>
          <w:lang w:val="en-US" w:eastAsia="zh-CN" w:bidi="ar-SA"/>
        </w:rPr>
        <w:t>8.</w:t>
      </w:r>
      <w:r>
        <w:rPr>
          <w:rFonts w:hint="eastAsia" w:ascii="仿宋_GB2312" w:hAnsi="宋体" w:eastAsia="仿宋_GB2312" w:cs="Times New Roman"/>
          <w:bCs/>
          <w:color w:val="auto"/>
          <w:kern w:val="2"/>
          <w:sz w:val="32"/>
          <w:szCs w:val="32"/>
          <w:highlight w:val="none"/>
          <w:u w:val="none"/>
          <w:lang w:val="en-US" w:eastAsia="zh-CN" w:bidi="ar-SA"/>
        </w:rPr>
        <w:t>住房保</w:t>
      </w:r>
      <w:r>
        <w:rPr>
          <w:rFonts w:hint="eastAsia" w:ascii="仿宋_GB2312" w:hAnsi="宋体" w:eastAsia="仿宋_GB2312" w:cs="Times New Roman"/>
          <w:bCs/>
          <w:kern w:val="2"/>
          <w:sz w:val="32"/>
          <w:szCs w:val="32"/>
          <w:highlight w:val="none"/>
          <w:u w:val="none"/>
          <w:lang w:val="en-US" w:eastAsia="zh-CN" w:bidi="ar-SA"/>
        </w:rPr>
        <w:t>障支出</w:t>
      </w:r>
      <w:r>
        <w:rPr>
          <w:rFonts w:hint="eastAsia" w:ascii="仿宋_GB2312" w:hAnsi="宋体" w:cs="Times New Roman"/>
          <w:bCs/>
          <w:kern w:val="2"/>
          <w:sz w:val="32"/>
          <w:szCs w:val="32"/>
          <w:highlight w:val="none"/>
          <w:u w:val="none"/>
          <w:lang w:val="en-US" w:eastAsia="zh-CN" w:bidi="ar-SA"/>
        </w:rPr>
        <w:t>（类）住房改革支出（款）住房公积金（项）：</w:t>
      </w:r>
      <w:r>
        <w:rPr>
          <w:rFonts w:hint="eastAsia" w:ascii="仿宋_GB2312" w:hAnsi="宋体" w:eastAsia="仿宋_GB2312" w:cs="Times New Roman"/>
          <w:bCs/>
          <w:kern w:val="2"/>
          <w:sz w:val="32"/>
          <w:szCs w:val="32"/>
          <w:highlight w:val="none"/>
          <w:u w:val="none"/>
          <w:lang w:val="en-US" w:eastAsia="zh-CN" w:bidi="ar-SA"/>
        </w:rPr>
        <w:t>202</w:t>
      </w:r>
      <w:r>
        <w:rPr>
          <w:rFonts w:hint="eastAsia" w:ascii="仿宋_GB2312" w:hAnsi="宋体" w:cs="Times New Roman"/>
          <w:bCs/>
          <w:kern w:val="2"/>
          <w:sz w:val="32"/>
          <w:szCs w:val="32"/>
          <w:highlight w:val="none"/>
          <w:u w:val="none"/>
          <w:lang w:val="en-US" w:eastAsia="zh-CN" w:bidi="ar-SA"/>
        </w:rPr>
        <w:t>3</w:t>
      </w:r>
      <w:r>
        <w:rPr>
          <w:rFonts w:hint="eastAsia" w:ascii="仿宋_GB2312" w:hAnsi="宋体" w:eastAsia="仿宋_GB2312" w:cs="Times New Roman"/>
          <w:bCs/>
          <w:kern w:val="2"/>
          <w:sz w:val="32"/>
          <w:szCs w:val="32"/>
          <w:highlight w:val="none"/>
          <w:u w:val="none"/>
          <w:lang w:val="en-US" w:eastAsia="zh-CN" w:bidi="ar-SA"/>
        </w:rPr>
        <w:t>年度支出决算为</w:t>
      </w:r>
      <w:r>
        <w:rPr>
          <w:rFonts w:hint="eastAsia" w:ascii="仿宋_GB2312" w:hAnsi="宋体" w:cs="Times New Roman"/>
          <w:bCs/>
          <w:kern w:val="2"/>
          <w:sz w:val="32"/>
          <w:szCs w:val="32"/>
          <w:highlight w:val="none"/>
          <w:u w:val="none"/>
          <w:lang w:val="en-US" w:eastAsia="zh-CN" w:bidi="ar-SA"/>
        </w:rPr>
        <w:t>88.63</w:t>
      </w:r>
      <w:r>
        <w:rPr>
          <w:rFonts w:hint="eastAsia" w:ascii="仿宋_GB2312" w:hAnsi="宋体" w:eastAsia="仿宋_GB2312" w:cs="Times New Roman"/>
          <w:bCs/>
          <w:kern w:val="2"/>
          <w:sz w:val="32"/>
          <w:szCs w:val="32"/>
          <w:highlight w:val="none"/>
          <w:u w:val="none"/>
          <w:lang w:val="en-US" w:eastAsia="zh-CN" w:bidi="ar-SA"/>
        </w:rPr>
        <w:t>万元，年初预算为</w:t>
      </w:r>
      <w:r>
        <w:rPr>
          <w:rFonts w:hint="eastAsia" w:ascii="仿宋_GB2312" w:hAnsi="宋体" w:cs="Times New Roman"/>
          <w:bCs/>
          <w:kern w:val="2"/>
          <w:sz w:val="32"/>
          <w:szCs w:val="32"/>
          <w:highlight w:val="none"/>
          <w:u w:val="none"/>
          <w:lang w:val="en-US" w:eastAsia="zh-CN" w:bidi="ar-SA"/>
        </w:rPr>
        <w:t>93.44</w:t>
      </w:r>
      <w:r>
        <w:rPr>
          <w:rFonts w:hint="eastAsia" w:ascii="仿宋_GB2312" w:hAnsi="宋体" w:eastAsia="仿宋_GB2312" w:cs="Times New Roman"/>
          <w:bCs/>
          <w:kern w:val="2"/>
          <w:sz w:val="32"/>
          <w:szCs w:val="32"/>
          <w:highlight w:val="none"/>
          <w:u w:val="none"/>
          <w:lang w:val="en-US" w:eastAsia="zh-CN" w:bidi="ar-SA"/>
        </w:rPr>
        <w:t>万元，完成年初预算的</w:t>
      </w:r>
      <w:r>
        <w:rPr>
          <w:rFonts w:hint="eastAsia" w:ascii="仿宋_GB2312" w:hAnsi="宋体" w:cs="Times New Roman"/>
          <w:bCs/>
          <w:kern w:val="2"/>
          <w:sz w:val="32"/>
          <w:szCs w:val="32"/>
          <w:highlight w:val="none"/>
          <w:u w:val="none"/>
          <w:lang w:val="en-US" w:eastAsia="zh-CN" w:bidi="ar-SA"/>
        </w:rPr>
        <w:t>94.85</w:t>
      </w:r>
      <w:r>
        <w:rPr>
          <w:rFonts w:hint="eastAsia" w:ascii="仿宋_GB2312" w:hAnsi="宋体" w:eastAsia="仿宋_GB2312" w:cs="Times New Roman"/>
          <w:bCs/>
          <w:kern w:val="2"/>
          <w:sz w:val="32"/>
          <w:szCs w:val="32"/>
          <w:highlight w:val="none"/>
          <w:u w:val="none"/>
          <w:lang w:val="en-US" w:eastAsia="zh-CN" w:bidi="ar-SA"/>
        </w:rPr>
        <w:t>%</w:t>
      </w:r>
      <w:r>
        <w:rPr>
          <w:rFonts w:hint="eastAsia" w:ascii="仿宋_GB2312" w:hAnsi="宋体" w:cs="Times New Roman"/>
          <w:bCs/>
          <w:kern w:val="2"/>
          <w:sz w:val="32"/>
          <w:szCs w:val="32"/>
          <w:highlight w:val="none"/>
          <w:u w:val="none"/>
          <w:lang w:val="en-US" w:eastAsia="zh-CN" w:bidi="ar-SA"/>
        </w:rPr>
        <w:t>。</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于年初预算数的主要原因：2023年</w:t>
      </w:r>
      <w:r>
        <w:rPr>
          <w:rFonts w:hint="eastAsia" w:eastAsia="仿宋" w:cs="Times New Roman"/>
          <w:color w:val="auto"/>
          <w:sz w:val="32"/>
          <w:szCs w:val="32"/>
          <w:lang w:val="en-US" w:eastAsia="zh-CN"/>
        </w:rPr>
        <w:t>退休二人，导致在职人员住房公积金支出减少，因此</w:t>
      </w:r>
      <w:r>
        <w:rPr>
          <w:rFonts w:hint="eastAsia" w:ascii="仿宋_GB2312" w:hAnsi="宋体" w:cs="Times New Roman"/>
          <w:bCs/>
          <w:kern w:val="2"/>
          <w:sz w:val="32"/>
          <w:szCs w:val="32"/>
          <w:highlight w:val="none"/>
          <w:u w:val="none"/>
          <w:lang w:val="en-US" w:eastAsia="zh-CN" w:bidi="ar-SA"/>
        </w:rPr>
        <w:t>住房公积金（项）</w:t>
      </w:r>
      <w:r>
        <w:rPr>
          <w:rFonts w:hint="eastAsia" w:ascii="仿宋_GB2312" w:hAnsi="宋体" w:eastAsia="仿宋_GB2312" w:cs="Times New Roman"/>
          <w:bCs/>
          <w:kern w:val="2"/>
          <w:sz w:val="32"/>
          <w:szCs w:val="32"/>
          <w:highlight w:val="none"/>
          <w:u w:val="none"/>
          <w:lang w:val="en-US" w:eastAsia="zh-CN" w:bidi="ar-SA"/>
        </w:rPr>
        <w:t>支出决算数</w:t>
      </w:r>
      <w:r>
        <w:rPr>
          <w:rFonts w:hint="eastAsia" w:ascii="仿宋_GB2312" w:hAnsi="宋体" w:cs="Times New Roman"/>
          <w:bCs/>
          <w:kern w:val="2"/>
          <w:sz w:val="32"/>
          <w:szCs w:val="32"/>
          <w:highlight w:val="none"/>
          <w:u w:val="none"/>
          <w:lang w:val="en-US" w:eastAsia="zh-CN" w:bidi="ar-SA"/>
        </w:rPr>
        <w:t>小</w:t>
      </w:r>
      <w:r>
        <w:rPr>
          <w:rFonts w:hint="eastAsia" w:ascii="仿宋_GB2312" w:hAnsi="宋体" w:eastAsia="仿宋_GB2312" w:cs="Times New Roman"/>
          <w:bCs/>
          <w:kern w:val="2"/>
          <w:sz w:val="32"/>
          <w:szCs w:val="32"/>
          <w:highlight w:val="none"/>
          <w:u w:val="none"/>
          <w:lang w:val="en-US" w:eastAsia="zh-CN" w:bidi="ar-SA"/>
        </w:rPr>
        <w:t>于年初预算数</w:t>
      </w:r>
      <w:r>
        <w:rPr>
          <w:rFonts w:hint="eastAsia" w:ascii="仿宋_GB2312" w:hAnsi="宋体" w:cs="Times New Roman"/>
          <w:bCs/>
          <w:kern w:val="2"/>
          <w:sz w:val="32"/>
          <w:szCs w:val="32"/>
          <w:highlight w:val="none"/>
          <w:u w:val="none"/>
          <w:lang w:val="en-US" w:eastAsia="zh-CN" w:bidi="ar-SA"/>
        </w:rPr>
        <w:t>。年末时未使用完的资金已经被财政收回。</w:t>
      </w:r>
    </w:p>
    <w:p>
      <w:pPr>
        <w:keepNext w:val="0"/>
        <w:keepLines w:val="0"/>
        <w:pageBreakBefore w:val="0"/>
        <w:kinsoku/>
        <w:overflowPunct/>
        <w:autoSpaceDE/>
        <w:autoSpaceDN/>
        <w:bidi w:val="0"/>
        <w:spacing w:line="540" w:lineRule="exact"/>
        <w:ind w:firstLine="640" w:firstLineChars="200"/>
        <w:textAlignment w:val="auto"/>
        <w:rPr>
          <w:rFonts w:hint="eastAsia"/>
        </w:rPr>
      </w:pPr>
      <w:r>
        <w:rPr>
          <w:rFonts w:hint="eastAsia" w:ascii="黑体" w:hAnsi="黑体" w:eastAsia="黑体" w:cs="黑体"/>
        </w:rPr>
        <w:t>六、一般公共预算财政拨款基本支出决算情况说明</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rPr>
      </w:pPr>
      <w:r>
        <w:rPr>
          <w:rFonts w:hint="eastAsia" w:ascii="仿宋_GB2312" w:hAnsi="仿宋_GB2312" w:cs="仿宋_GB2312"/>
        </w:rPr>
        <w:t>2023年度一般公共预算财政拨款基本支出</w:t>
      </w:r>
      <w:r>
        <w:rPr>
          <w:rFonts w:hint="eastAsia" w:ascii="仿宋_GB2312" w:cs="仿宋_GB2312"/>
          <w:szCs w:val="32"/>
          <w:lang w:bidi="zh-HK"/>
        </w:rPr>
        <w:t>1467.06</w:t>
      </w:r>
      <w:r>
        <w:rPr>
          <w:rFonts w:hint="eastAsia" w:ascii="仿宋_GB2312" w:hAnsi="仿宋_GB2312" w:cs="仿宋_GB2312"/>
        </w:rPr>
        <w:t>万元，其中：</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eastAsia="仿宋_GB2312" w:cs="仿宋_GB2312"/>
          <w:highlight w:val="none"/>
          <w:u w:val="none"/>
          <w:lang w:val="en-US" w:eastAsia="zh-CN"/>
        </w:rPr>
      </w:pPr>
      <w:r>
        <w:rPr>
          <w:rFonts w:hint="eastAsia" w:ascii="仿宋_GB2312" w:hAnsi="仿宋_GB2312" w:cs="仿宋_GB2312"/>
          <w:lang w:val="en-US" w:eastAsia="zh-CN"/>
        </w:rPr>
        <w:t>1.</w:t>
      </w:r>
      <w:r>
        <w:rPr>
          <w:rFonts w:hint="eastAsia" w:ascii="仿宋_GB2312" w:hAnsi="仿宋_GB2312" w:cs="仿宋_GB2312"/>
        </w:rPr>
        <w:t>人员经费</w:t>
      </w:r>
      <w:r>
        <w:rPr>
          <w:rFonts w:hint="eastAsia" w:ascii="仿宋_GB2312" w:cs="仿宋_GB2312"/>
          <w:szCs w:val="32"/>
          <w:lang w:bidi="zh-HK"/>
        </w:rPr>
        <w:t>1333.71</w:t>
      </w:r>
      <w:r>
        <w:rPr>
          <w:rFonts w:hint="eastAsia" w:ascii="仿宋_GB2312" w:hAnsi="仿宋_GB2312" w:cs="仿宋_GB2312"/>
        </w:rPr>
        <w:t>万元，主要包括：</w:t>
      </w:r>
      <w:r>
        <w:rPr>
          <w:rFonts w:hint="eastAsia" w:ascii="仿宋_GB2312" w:hAnsi="仿宋_GB2312" w:eastAsia="仿宋_GB2312" w:cs="仿宋_GB2312"/>
          <w:highlight w:val="none"/>
          <w:u w:val="none"/>
          <w:lang w:val="en-US" w:eastAsia="zh-CN"/>
        </w:rPr>
        <w:t>基本工资、津贴补贴、奖金、绩效工资、机关事业单位基本养老保险缴费、职业年金缴费、职工基本医疗保险缴费、公务员医疗补助缴费、其他社会保障缴费、住房公积金、其他工资福利支出、离休费、退休费、医疗费补助</w:t>
      </w:r>
      <w:r>
        <w:rPr>
          <w:rFonts w:hint="eastAsia" w:ascii="仿宋_GB2312" w:hAnsi="仿宋_GB2312" w:cs="仿宋_GB2312"/>
          <w:highlight w:val="none"/>
          <w:u w:val="none"/>
          <w:lang w:val="en-US" w:eastAsia="zh-CN"/>
        </w:rPr>
        <w:t>、</w:t>
      </w:r>
      <w:r>
        <w:rPr>
          <w:rFonts w:hint="eastAsia" w:ascii="仿宋_GB2312" w:hAnsi="仿宋_GB2312" w:eastAsia="仿宋_GB2312" w:cs="仿宋_GB2312"/>
          <w:highlight w:val="none"/>
          <w:u w:val="none"/>
          <w:lang w:val="en-US" w:eastAsia="zh-CN"/>
        </w:rPr>
        <w:t>奖励金、其他对个人和家庭的补助。</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eastAsia="仿宋_GB2312" w:cs="仿宋_GB2312"/>
          <w:b/>
          <w:bCs/>
          <w:highlight w:val="yellow"/>
          <w:u w:val="none"/>
          <w:lang w:val="en-US" w:eastAsia="zh-CN"/>
        </w:rPr>
      </w:pPr>
      <w:r>
        <w:rPr>
          <w:rFonts w:hint="eastAsia" w:ascii="仿宋_GB2312" w:hAnsi="仿宋_GB2312" w:cs="仿宋_GB2312"/>
          <w:lang w:val="en-US" w:eastAsia="zh-CN"/>
        </w:rPr>
        <w:t>2.</w:t>
      </w:r>
      <w:r>
        <w:rPr>
          <w:rFonts w:hint="eastAsia" w:ascii="仿宋_GB2312" w:hAnsi="仿宋_GB2312" w:cs="仿宋_GB2312"/>
        </w:rPr>
        <w:t>公用经费</w:t>
      </w:r>
      <w:bookmarkStart w:id="3" w:name="_Hlk174351372"/>
      <w:r>
        <w:rPr>
          <w:rFonts w:hint="eastAsia" w:ascii="仿宋_GB2312" w:cs="仿宋_GB2312"/>
          <w:szCs w:val="32"/>
          <w:lang w:bidi="zh-HK"/>
        </w:rPr>
        <w:t>133.35</w:t>
      </w:r>
      <w:bookmarkEnd w:id="3"/>
      <w:r>
        <w:rPr>
          <w:rFonts w:hint="eastAsia" w:ascii="仿宋_GB2312" w:hAnsi="仿宋_GB2312" w:cs="仿宋_GB2312"/>
        </w:rPr>
        <w:t>万元，主要包括：</w:t>
      </w:r>
      <w:r>
        <w:rPr>
          <w:rFonts w:hint="eastAsia" w:ascii="仿宋_GB2312" w:hAnsi="仿宋_GB2312" w:eastAsia="仿宋_GB2312" w:cs="仿宋_GB2312"/>
          <w:highlight w:val="none"/>
          <w:u w:val="none"/>
          <w:lang w:val="en-US" w:eastAsia="zh-CN"/>
        </w:rPr>
        <w:t>办公费、印刷费、水费、电费、邮电费、物业管理费、差旅费、维修(护)费、会议费、培训费、公务接待费、劳务费、委托业务费、工会经费、福利费、其他交通费用、其他商品和服务支出。</w:t>
      </w:r>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szCs w:val="32"/>
        </w:rPr>
      </w:pPr>
      <w:r>
        <w:rPr>
          <w:rFonts w:hint="eastAsia" w:ascii="黑体" w:hAnsi="黑体" w:eastAsia="黑体" w:cs="黑体"/>
        </w:rPr>
        <w:t xml:space="preserve">七、政府性基金预算财政拨款收入支出决算情况说明 </w:t>
      </w:r>
    </w:p>
    <w:p>
      <w:pPr>
        <w:keepNext w:val="0"/>
        <w:keepLines w:val="0"/>
        <w:pageBreakBefore w:val="0"/>
        <w:numPr>
          <w:ilvl w:val="0"/>
          <w:numId w:val="0"/>
        </w:numPr>
        <w:kinsoku/>
        <w:overflowPunct/>
        <w:autoSpaceDE/>
        <w:autoSpaceDN/>
        <w:bidi w:val="0"/>
        <w:spacing w:line="540" w:lineRule="exact"/>
        <w:ind w:firstLine="640" w:firstLineChars="200"/>
        <w:textAlignment w:val="auto"/>
        <w:rPr>
          <w:b/>
          <w:bCs/>
        </w:rPr>
      </w:pPr>
      <w:r>
        <w:rPr>
          <w:rFonts w:hint="eastAsia" w:ascii="仿宋_GB2312" w:cs="仿宋_GB2312"/>
          <w:szCs w:val="32"/>
          <w:lang w:bidi="zh-HK"/>
        </w:rPr>
        <w:t>本部门2023年度无政府性基金预算财政拨款支出。</w:t>
      </w:r>
    </w:p>
    <w:p>
      <w:pPr>
        <w:keepNext w:val="0"/>
        <w:keepLines w:val="0"/>
        <w:pageBreakBefore w:val="0"/>
        <w:kinsoku/>
        <w:overflowPunct/>
        <w:autoSpaceDE/>
        <w:autoSpaceDN/>
        <w:bidi w:val="0"/>
        <w:spacing w:line="540" w:lineRule="exact"/>
        <w:ind w:left="640" w:leftChars="200"/>
        <w:textAlignment w:val="auto"/>
        <w:rPr>
          <w:rFonts w:hint="eastAsia" w:ascii="黑体" w:hAnsi="黑体" w:eastAsia="黑体" w:cs="黑体"/>
        </w:rPr>
      </w:pPr>
      <w:r>
        <w:rPr>
          <w:rFonts w:hint="eastAsia" w:ascii="黑体" w:hAnsi="黑体" w:eastAsia="黑体" w:cs="黑体"/>
        </w:rPr>
        <w:t>八、国有资本经营预算财政拨款支出决算情况说明</w:t>
      </w:r>
    </w:p>
    <w:p>
      <w:pPr>
        <w:keepNext w:val="0"/>
        <w:keepLines w:val="0"/>
        <w:pageBreakBefore w:val="0"/>
        <w:widowControl/>
        <w:kinsoku/>
        <w:wordWrap w:val="0"/>
        <w:overflowPunct/>
        <w:autoSpaceDE/>
        <w:autoSpaceDN/>
        <w:bidi w:val="0"/>
        <w:spacing w:line="540" w:lineRule="exact"/>
        <w:ind w:firstLine="640" w:firstLineChars="200"/>
        <w:jc w:val="left"/>
        <w:textAlignment w:val="auto"/>
        <w:rPr>
          <w:rFonts w:ascii="仿宋_GB2312" w:cs="仿宋_GB2312"/>
          <w:szCs w:val="32"/>
          <w:lang w:bidi="zh-HK"/>
        </w:rPr>
      </w:pPr>
      <w:r>
        <w:rPr>
          <w:rFonts w:hint="eastAsia" w:ascii="仿宋_GB2312" w:cs="仿宋_GB2312"/>
          <w:szCs w:val="32"/>
          <w:lang w:bidi="zh-HK"/>
        </w:rPr>
        <w:t xml:space="preserve"> 本部门2023年度无国有资本经营预算财政拨款支出。</w:t>
      </w:r>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rPr>
      </w:pPr>
      <w:r>
        <w:rPr>
          <w:rFonts w:hint="eastAsia" w:ascii="黑体" w:hAnsi="黑体" w:eastAsia="黑体" w:cs="黑体"/>
        </w:rPr>
        <w:t xml:space="preserve">九、财政拨款“三公”经费支出决算情况说明 </w:t>
      </w:r>
    </w:p>
    <w:p>
      <w:pPr>
        <w:keepNext w:val="0"/>
        <w:keepLines w:val="0"/>
        <w:pageBreakBefore w:val="0"/>
        <w:kinsoku/>
        <w:overflowPunct/>
        <w:autoSpaceDE/>
        <w:autoSpaceDN/>
        <w:bidi w:val="0"/>
        <w:spacing w:line="540" w:lineRule="exact"/>
        <w:ind w:left="640" w:leftChars="200"/>
        <w:textAlignment w:val="auto"/>
        <w:rPr>
          <w:rFonts w:hint="eastAsia" w:ascii="楷体_GB2312" w:hAnsi="楷体_GB2312" w:eastAsia="楷体_GB2312" w:cs="楷体_GB2312"/>
        </w:rPr>
      </w:pPr>
      <w:r>
        <w:rPr>
          <w:rFonts w:hint="eastAsia" w:ascii="楷体_GB2312" w:hAnsi="楷体_GB2312" w:eastAsia="楷体_GB2312" w:cs="楷体_GB2312"/>
        </w:rPr>
        <w:t>（一）“三公”经费财政拨款支出决算总体情况说明</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lang w:eastAsia="zh-CN"/>
        </w:rPr>
      </w:pPr>
      <w:r>
        <w:rPr>
          <w:rFonts w:hint="eastAsia" w:ascii="仿宋_GB2312" w:hAnsi="仿宋_GB2312" w:cs="仿宋_GB2312"/>
          <w:lang w:eastAsia="zh-CN"/>
        </w:rPr>
        <w:t>2023年度“三公”经费财政拨款支出全年预算为0.72万元，支出决算为0.72万元，完成全年预算的100.0%。</w:t>
      </w:r>
      <w:bookmarkStart w:id="4" w:name="_Hlk174352069"/>
      <w:r>
        <w:rPr>
          <w:rFonts w:hint="eastAsia" w:ascii="仿宋_GB2312" w:hAnsi="仿宋_GB2312" w:cs="仿宋_GB2312"/>
          <w:lang w:eastAsia="zh-CN"/>
        </w:rPr>
        <w:t>较上年减少0.70万元，降低49.3%。</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lang w:val="en-US" w:eastAsia="zh-CN"/>
        </w:rPr>
      </w:pPr>
      <w:r>
        <w:rPr>
          <w:rFonts w:hint="eastAsia" w:ascii="仿宋_GB2312" w:hAnsi="仿宋_GB2312" w:cs="仿宋_GB2312"/>
          <w:lang w:val="en-US" w:eastAsia="zh-CN"/>
        </w:rPr>
        <w:t>决算数与上年度相比减少的主要原因是：我单位严格落实过紧日子的要求，在保证单位正常运转的前提下，压减包括“三公”经费在内的一般性支出，从日常点滴做起，严控机关运行成本。因此</w:t>
      </w:r>
      <w:r>
        <w:rPr>
          <w:rFonts w:hint="eastAsia" w:ascii="仿宋_GB2312" w:hAnsi="仿宋_GB2312" w:cs="仿宋_GB2312"/>
          <w:lang w:eastAsia="zh-CN"/>
        </w:rPr>
        <w:t>“三公”经费</w:t>
      </w:r>
      <w:r>
        <w:rPr>
          <w:rFonts w:hint="eastAsia" w:ascii="仿宋_GB2312" w:hAnsi="仿宋_GB2312" w:cs="仿宋_GB2312"/>
          <w:lang w:val="en-US" w:eastAsia="zh-CN"/>
        </w:rPr>
        <w:t>较上年下降。</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lang w:eastAsia="zh-CN"/>
        </w:rPr>
      </w:pPr>
      <w:r>
        <w:rPr>
          <w:rFonts w:hint="eastAsia" w:ascii="仿宋_GB2312" w:hAnsi="仿宋_GB2312" w:cs="仿宋_GB2312"/>
          <w:lang w:val="en-US" w:eastAsia="zh-CN"/>
        </w:rPr>
        <w:t>决算数与预算数持平的主要原因是：我单位严格按照预算管理规定，坚持无预算不开支的原则，从严开支“三公”经费，因此预决算数持平。</w:t>
      </w:r>
      <w:bookmarkEnd w:id="4"/>
    </w:p>
    <w:p>
      <w:pPr>
        <w:keepNext w:val="0"/>
        <w:keepLines w:val="0"/>
        <w:pageBreakBefore w:val="0"/>
        <w:kinsoku/>
        <w:overflowPunct/>
        <w:autoSpaceDE/>
        <w:autoSpaceDN/>
        <w:bidi w:val="0"/>
        <w:spacing w:line="540" w:lineRule="exact"/>
        <w:ind w:left="640" w:leftChars="200"/>
        <w:textAlignment w:val="auto"/>
        <w:rPr>
          <w:rFonts w:hint="eastAsia" w:ascii="楷体_GB2312" w:hAnsi="楷体_GB2312" w:eastAsia="楷体_GB2312" w:cs="楷体_GB2312"/>
        </w:rPr>
      </w:pPr>
      <w:r>
        <w:rPr>
          <w:rFonts w:hint="eastAsia" w:ascii="楷体_GB2312" w:hAnsi="楷体_GB2312" w:eastAsia="楷体_GB2312" w:cs="楷体_GB2312"/>
        </w:rPr>
        <w:t>（二）“三公”经费财政拨款支出决算具体情况说明</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cs="仿宋_GB2312"/>
          <w:szCs w:val="32"/>
          <w:lang w:bidi="zh-HK"/>
        </w:rPr>
      </w:pPr>
      <w:r>
        <w:rPr>
          <w:rFonts w:hint="eastAsia" w:ascii="仿宋_GB2312" w:cs="仿宋_GB2312"/>
          <w:szCs w:val="32"/>
          <w:lang w:bidi="zh-HK"/>
        </w:rPr>
        <w:t>1.因公出国(境)费全年预算为</w:t>
      </w:r>
      <w:bookmarkStart w:id="5" w:name="_Hlk174352111"/>
      <w:r>
        <w:rPr>
          <w:rFonts w:hint="eastAsia" w:ascii="仿宋_GB2312" w:cs="仿宋_GB2312"/>
          <w:szCs w:val="32"/>
          <w:lang w:bidi="zh-HK"/>
        </w:rPr>
        <w:t>0.00</w:t>
      </w:r>
      <w:bookmarkEnd w:id="5"/>
      <w:r>
        <w:rPr>
          <w:rFonts w:hint="eastAsia" w:ascii="仿宋_GB2312" w:cs="仿宋_GB2312"/>
          <w:szCs w:val="32"/>
          <w:lang w:bidi="zh-HK"/>
        </w:rPr>
        <w:t>万元，支出决算为</w:t>
      </w:r>
      <w:bookmarkStart w:id="6" w:name="_Hlk174352120"/>
      <w:r>
        <w:rPr>
          <w:rFonts w:hint="eastAsia" w:ascii="仿宋_GB2312" w:cs="仿宋_GB2312"/>
          <w:szCs w:val="32"/>
          <w:lang w:bidi="zh-HK"/>
        </w:rPr>
        <w:t>0.00</w:t>
      </w:r>
      <w:bookmarkEnd w:id="6"/>
      <w:r>
        <w:rPr>
          <w:rFonts w:hint="eastAsia" w:ascii="仿宋_GB2312" w:cs="仿宋_GB2312"/>
          <w:szCs w:val="32"/>
          <w:lang w:bidi="zh-HK"/>
        </w:rPr>
        <w:t>万元，完成全年预算的0.00%</w:t>
      </w:r>
      <w:r>
        <w:rPr>
          <w:rFonts w:hint="eastAsia" w:ascii="仿宋_GB2312" w:cs="仿宋_GB2312"/>
          <w:szCs w:val="32"/>
          <w:lang w:eastAsia="zh-CN" w:bidi="zh-HK"/>
        </w:rPr>
        <w:t>，并</w:t>
      </w:r>
      <w:r>
        <w:rPr>
          <w:rFonts w:hint="eastAsia" w:ascii="仿宋_GB2312" w:cs="仿宋_GB2312"/>
          <w:szCs w:val="32"/>
          <w:lang w:bidi="zh-HK"/>
        </w:rPr>
        <w:t>较上年持平。</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cs="仿宋_GB2312"/>
          <w:szCs w:val="32"/>
          <w:lang w:bidi="zh-HK"/>
        </w:rPr>
      </w:pPr>
      <w:r>
        <w:rPr>
          <w:rFonts w:hint="eastAsia" w:ascii="仿宋_GB2312" w:cs="仿宋_GB2312"/>
          <w:szCs w:val="32"/>
          <w:lang w:val="en-US" w:eastAsia="zh-CN" w:bidi="zh-HK"/>
        </w:rPr>
        <w:t>决算数与上年数和预算数持平</w:t>
      </w:r>
      <w:r>
        <w:rPr>
          <w:rFonts w:hint="eastAsia" w:ascii="仿宋_GB2312" w:cs="仿宋_GB2312"/>
          <w:szCs w:val="32"/>
          <w:lang w:bidi="zh-HK"/>
        </w:rPr>
        <w:t>的主要原因</w:t>
      </w:r>
      <w:r>
        <w:rPr>
          <w:rFonts w:hint="eastAsia" w:ascii="仿宋_GB2312" w:cs="仿宋_GB2312"/>
          <w:szCs w:val="32"/>
          <w:lang w:eastAsia="zh-CN" w:bidi="zh-HK"/>
        </w:rPr>
        <w:t>是</w:t>
      </w:r>
      <w:r>
        <w:rPr>
          <w:rFonts w:hint="eastAsia" w:ascii="仿宋_GB2312" w:cs="仿宋_GB2312"/>
          <w:szCs w:val="32"/>
          <w:lang w:bidi="zh-HK"/>
        </w:rPr>
        <w:t>：</w:t>
      </w:r>
      <w:r>
        <w:rPr>
          <w:rFonts w:hint="eastAsia" w:ascii="仿宋_GB2312" w:cs="仿宋_GB2312"/>
          <w:szCs w:val="32"/>
          <w:lang w:eastAsia="zh-CN" w:bidi="zh-HK"/>
        </w:rPr>
        <w:t>我单位</w:t>
      </w:r>
      <w:r>
        <w:rPr>
          <w:rFonts w:hint="eastAsia" w:ascii="仿宋_GB2312" w:cs="仿宋_GB2312"/>
          <w:szCs w:val="32"/>
          <w:lang w:val="en-US" w:eastAsia="zh-CN" w:bidi="zh-HK"/>
        </w:rPr>
        <w:t>2023年未安排</w:t>
      </w:r>
      <w:r>
        <w:rPr>
          <w:rFonts w:hint="eastAsia" w:ascii="仿宋_GB2312" w:cs="仿宋_GB2312"/>
          <w:szCs w:val="32"/>
          <w:lang w:bidi="zh-HK"/>
        </w:rPr>
        <w:t>因公出国(境)费</w:t>
      </w:r>
      <w:r>
        <w:rPr>
          <w:rFonts w:hint="eastAsia" w:ascii="仿宋_GB2312" w:cs="仿宋_GB2312"/>
          <w:szCs w:val="32"/>
          <w:lang w:eastAsia="zh-CN" w:bidi="zh-HK"/>
        </w:rPr>
        <w:t>，也无相关支出，因此决算数与上年数和全年预算数持平</w:t>
      </w:r>
      <w:r>
        <w:rPr>
          <w:rFonts w:hint="eastAsia" w:ascii="仿宋_GB2312" w:cs="仿宋_GB2312"/>
          <w:szCs w:val="32"/>
          <w:lang w:bidi="zh-HK"/>
        </w:rPr>
        <w:t>。</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cs="仿宋_GB2312"/>
          <w:szCs w:val="32"/>
          <w:lang w:bidi="zh-HK"/>
        </w:rPr>
      </w:pPr>
      <w:r>
        <w:rPr>
          <w:rFonts w:hint="eastAsia" w:ascii="仿宋_GB2312" w:cs="仿宋_GB2312"/>
          <w:szCs w:val="32"/>
          <w:lang w:bidi="zh-HK"/>
        </w:rPr>
        <w:t>全年支出涉及出国（境）团组0个，累计0人次。</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lang w:eastAsia="zh-CN"/>
        </w:rPr>
      </w:pPr>
      <w:r>
        <w:rPr>
          <w:rFonts w:hint="eastAsia" w:ascii="仿宋_GB2312"/>
          <w:color w:val="000000"/>
          <w:szCs w:val="32"/>
        </w:rPr>
        <w:t>2.公务用车购置及运行费</w:t>
      </w:r>
      <w:r>
        <w:rPr>
          <w:rFonts w:hint="eastAsia" w:ascii="仿宋_GB2312" w:hAnsi="仿宋_GB2312" w:cs="仿宋_GB2312"/>
        </w:rPr>
        <w:t>全年</w:t>
      </w:r>
      <w:r>
        <w:rPr>
          <w:rFonts w:hint="eastAsia" w:ascii="仿宋_GB2312"/>
          <w:color w:val="000000"/>
          <w:szCs w:val="32"/>
        </w:rPr>
        <w:t>预算为</w:t>
      </w:r>
      <w:r>
        <w:rPr>
          <w:rFonts w:hint="eastAsia" w:ascii="仿宋_GB2312" w:cs="仿宋_GB2312"/>
          <w:szCs w:val="32"/>
          <w:lang w:bidi="zh-HK"/>
        </w:rPr>
        <w:t>0.00</w:t>
      </w:r>
      <w:r>
        <w:rPr>
          <w:rFonts w:hint="eastAsia" w:ascii="仿宋_GB2312"/>
          <w:color w:val="000000"/>
          <w:szCs w:val="32"/>
        </w:rPr>
        <w:t>万元，支出决算为</w:t>
      </w:r>
      <w:r>
        <w:rPr>
          <w:rFonts w:hint="eastAsia" w:ascii="仿宋_GB2312" w:cs="仿宋_GB2312"/>
          <w:szCs w:val="32"/>
          <w:lang w:bidi="zh-HK"/>
        </w:rPr>
        <w:t>0.00</w:t>
      </w:r>
      <w:r>
        <w:rPr>
          <w:rFonts w:hint="eastAsia" w:ascii="仿宋_GB2312"/>
          <w:color w:val="000000"/>
          <w:szCs w:val="32"/>
        </w:rPr>
        <w:t>万元，完成</w:t>
      </w:r>
      <w:r>
        <w:rPr>
          <w:rFonts w:hint="eastAsia" w:ascii="仿宋_GB2312" w:hAnsi="仿宋_GB2312" w:cs="仿宋_GB2312"/>
        </w:rPr>
        <w:t>全年</w:t>
      </w:r>
      <w:r>
        <w:rPr>
          <w:rFonts w:hint="eastAsia" w:ascii="仿宋_GB2312"/>
          <w:color w:val="000000"/>
          <w:szCs w:val="32"/>
        </w:rPr>
        <w:t>预算的</w:t>
      </w:r>
      <w:r>
        <w:rPr>
          <w:rFonts w:hint="eastAsia" w:ascii="仿宋_GB2312" w:cs="仿宋_GB2312"/>
          <w:szCs w:val="32"/>
          <w:lang w:bidi="zh-HK"/>
        </w:rPr>
        <w:t>0.00</w:t>
      </w:r>
      <w:r>
        <w:rPr>
          <w:rFonts w:hint="eastAsia" w:ascii="仿宋_GB2312"/>
          <w:color w:val="000000"/>
          <w:szCs w:val="32"/>
        </w:rPr>
        <w:t>%</w:t>
      </w:r>
      <w:r>
        <w:rPr>
          <w:rFonts w:hint="eastAsia" w:ascii="仿宋_GB2312"/>
          <w:color w:val="000000"/>
          <w:szCs w:val="32"/>
          <w:lang w:eastAsia="zh-CN"/>
        </w:rPr>
        <w:t>，并</w:t>
      </w:r>
      <w:r>
        <w:rPr>
          <w:rFonts w:hint="eastAsia" w:ascii="仿宋_GB2312" w:hAnsi="仿宋_GB2312" w:cs="仿宋_GB2312"/>
        </w:rPr>
        <w:t>较上年持平</w:t>
      </w:r>
      <w:r>
        <w:rPr>
          <w:rFonts w:hint="eastAsia" w:ascii="仿宋_GB2312" w:hAnsi="仿宋_GB2312" w:cs="仿宋_GB2312"/>
          <w:lang w:eastAsia="zh-CN"/>
        </w:rPr>
        <w:t>。</w:t>
      </w:r>
    </w:p>
    <w:p>
      <w:pPr>
        <w:keepNext w:val="0"/>
        <w:keepLines w:val="0"/>
        <w:pageBreakBefore w:val="0"/>
        <w:kinsoku/>
        <w:overflowPunct/>
        <w:autoSpaceDE/>
        <w:autoSpaceDN/>
        <w:bidi w:val="0"/>
        <w:spacing w:line="540" w:lineRule="exact"/>
        <w:ind w:firstLine="640" w:firstLineChars="200"/>
        <w:textAlignment w:val="auto"/>
        <w:rPr>
          <w:rFonts w:hint="eastAsia"/>
        </w:rPr>
      </w:pPr>
      <w:r>
        <w:rPr>
          <w:rFonts w:hint="eastAsia" w:ascii="仿宋_GB2312" w:hAnsi="仿宋_GB2312" w:cs="仿宋_GB2312"/>
          <w:lang w:eastAsia="zh-CN"/>
        </w:rPr>
        <w:t>决算数与上年数和全年预算数持平的</w:t>
      </w:r>
      <w:r>
        <w:rPr>
          <w:rFonts w:hint="eastAsia" w:ascii="仿宋_GB2312" w:hAnsi="仿宋_GB2312" w:cs="仿宋_GB2312"/>
        </w:rPr>
        <w:t>主要原因</w:t>
      </w:r>
      <w:r>
        <w:rPr>
          <w:rFonts w:hint="eastAsia" w:ascii="仿宋_GB2312" w:hAnsi="仿宋_GB2312" w:cs="仿宋_GB2312"/>
          <w:lang w:eastAsia="zh-CN"/>
        </w:rPr>
        <w:t>是</w:t>
      </w:r>
      <w:r>
        <w:rPr>
          <w:rFonts w:hint="eastAsia" w:ascii="仿宋_GB2312" w:hAnsi="仿宋_GB2312" w:cs="仿宋_GB2312"/>
        </w:rPr>
        <w:t>：</w:t>
      </w:r>
      <w:r>
        <w:rPr>
          <w:rFonts w:hint="eastAsia" w:ascii="仿宋_GB2312" w:hAnsi="宋体"/>
          <w:szCs w:val="32"/>
          <w:lang w:eastAsia="zh-CN"/>
        </w:rPr>
        <w:t>我单位</w:t>
      </w:r>
      <w:r>
        <w:rPr>
          <w:rFonts w:hint="eastAsia" w:ascii="仿宋_GB2312" w:hAnsi="宋体"/>
          <w:szCs w:val="32"/>
          <w:lang w:val="en-US" w:eastAsia="zh-CN"/>
        </w:rPr>
        <w:t>2023年未安排</w:t>
      </w:r>
      <w:r>
        <w:rPr>
          <w:rFonts w:hint="eastAsia" w:ascii="仿宋_GB2312"/>
          <w:color w:val="000000"/>
          <w:szCs w:val="32"/>
        </w:rPr>
        <w:t>公务用车购置及运行费</w:t>
      </w:r>
      <w:r>
        <w:rPr>
          <w:rFonts w:hint="eastAsia" w:ascii="仿宋_GB2312"/>
          <w:color w:val="000000"/>
          <w:szCs w:val="32"/>
          <w:lang w:eastAsia="zh-CN"/>
        </w:rPr>
        <w:t>，也无相关支出，因此决算数与</w:t>
      </w:r>
      <w:r>
        <w:rPr>
          <w:rFonts w:hint="eastAsia" w:ascii="仿宋_GB2312" w:hAnsi="仿宋_GB2312" w:cs="仿宋_GB2312"/>
          <w:lang w:eastAsia="zh-CN"/>
        </w:rPr>
        <w:t>上年数和全年预算数持平</w:t>
      </w:r>
      <w:r>
        <w:rPr>
          <w:rFonts w:hint="eastAsia"/>
        </w:rPr>
        <w:t>。</w:t>
      </w:r>
      <w:r>
        <w:rPr>
          <w:rFonts w:hint="eastAsia" w:ascii="仿宋_GB2312"/>
          <w:color w:val="000000"/>
          <w:szCs w:val="32"/>
        </w:rPr>
        <w:t>其中：</w:t>
      </w:r>
    </w:p>
    <w:p>
      <w:pPr>
        <w:keepNext w:val="0"/>
        <w:keepLines w:val="0"/>
        <w:pageBreakBefore w:val="0"/>
        <w:kinsoku/>
        <w:overflowPunct/>
        <w:autoSpaceDE/>
        <w:autoSpaceDN/>
        <w:bidi w:val="0"/>
        <w:spacing w:line="540" w:lineRule="exact"/>
        <w:ind w:firstLine="640" w:firstLineChars="200"/>
        <w:textAlignment w:val="auto"/>
        <w:rPr>
          <w:rFonts w:hint="eastAsia" w:ascii="仿宋_GB2312"/>
          <w:color w:val="000000"/>
          <w:szCs w:val="32"/>
        </w:rPr>
      </w:pPr>
      <w:r>
        <w:rPr>
          <w:rFonts w:hint="eastAsia" w:ascii="仿宋_GB2312"/>
          <w:color w:val="000000"/>
          <w:szCs w:val="32"/>
        </w:rPr>
        <w:t>(1)公务用车购置费支出</w:t>
      </w:r>
      <w:bookmarkStart w:id="7" w:name="_Hlk174352831"/>
      <w:r>
        <w:rPr>
          <w:rFonts w:hint="eastAsia" w:ascii="仿宋_GB2312" w:cs="仿宋_GB2312"/>
          <w:szCs w:val="32"/>
          <w:lang w:bidi="zh-HK"/>
        </w:rPr>
        <w:t>0.00</w:t>
      </w:r>
      <w:bookmarkEnd w:id="7"/>
      <w:r>
        <w:rPr>
          <w:rFonts w:hint="eastAsia" w:ascii="仿宋_GB2312"/>
          <w:color w:val="000000"/>
          <w:szCs w:val="32"/>
        </w:rPr>
        <w:t>万元</w:t>
      </w:r>
      <w:bookmarkStart w:id="8" w:name="_Hlk174352842"/>
      <w:bookmarkEnd w:id="8"/>
      <w:r>
        <w:rPr>
          <w:rFonts w:hint="eastAsia" w:ascii="仿宋_GB2312"/>
          <w:color w:val="000000"/>
          <w:szCs w:val="32"/>
        </w:rPr>
        <w:t>。本年度购置(更新)公务用车</w:t>
      </w:r>
      <w:bookmarkStart w:id="9" w:name="_Hlk174352867"/>
      <w:r>
        <w:rPr>
          <w:rFonts w:hint="eastAsia" w:ascii="仿宋_GB2312" w:cs="仿宋_GB2312"/>
          <w:szCs w:val="32"/>
          <w:lang w:bidi="zh-HK"/>
        </w:rPr>
        <w:t>0</w:t>
      </w:r>
      <w:bookmarkEnd w:id="9"/>
      <w:r>
        <w:rPr>
          <w:rFonts w:hint="eastAsia" w:ascii="仿宋_GB2312"/>
          <w:color w:val="000000"/>
          <w:szCs w:val="32"/>
        </w:rPr>
        <w:t>辆。</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color w:val="000000"/>
          <w:szCs w:val="32"/>
        </w:rPr>
      </w:pPr>
      <w:r>
        <w:rPr>
          <w:rFonts w:hint="eastAsia" w:ascii="仿宋_GB2312"/>
          <w:color w:val="000000"/>
          <w:szCs w:val="32"/>
        </w:rPr>
        <w:t>(2)公务用车运行费支出</w:t>
      </w:r>
      <w:bookmarkStart w:id="10" w:name="_Hlk174352879"/>
      <w:r>
        <w:rPr>
          <w:rFonts w:hint="eastAsia" w:ascii="仿宋_GB2312" w:cs="仿宋_GB2312"/>
          <w:szCs w:val="32"/>
          <w:lang w:bidi="zh-HK"/>
        </w:rPr>
        <w:t>0.00</w:t>
      </w:r>
      <w:bookmarkEnd w:id="10"/>
      <w:r>
        <w:rPr>
          <w:rFonts w:hint="eastAsia" w:ascii="仿宋_GB2312"/>
          <w:color w:val="000000"/>
          <w:szCs w:val="32"/>
        </w:rPr>
        <w:t>万元</w:t>
      </w:r>
      <w:bookmarkStart w:id="11" w:name="_Hlk174352897"/>
      <w:bookmarkEnd w:id="11"/>
      <w:r>
        <w:rPr>
          <w:rFonts w:hint="eastAsia" w:ascii="仿宋_GB2312"/>
          <w:color w:val="000000"/>
          <w:szCs w:val="32"/>
          <w:lang w:eastAsia="zh-CN"/>
        </w:rPr>
        <w:t>，</w:t>
      </w:r>
      <w:r>
        <w:rPr>
          <w:rFonts w:hint="eastAsia" w:ascii="仿宋_GB2312"/>
          <w:color w:val="000000"/>
          <w:szCs w:val="32"/>
        </w:rPr>
        <w:t>截至2023年12月31日，开支财政拨款的公务用车保有量为</w:t>
      </w:r>
      <w:bookmarkStart w:id="12" w:name="_Hlk174352937"/>
      <w:r>
        <w:rPr>
          <w:rFonts w:hint="eastAsia" w:ascii="仿宋_GB2312" w:cs="仿宋_GB2312"/>
          <w:szCs w:val="32"/>
          <w:lang w:bidi="zh-HK"/>
        </w:rPr>
        <w:t>0</w:t>
      </w:r>
      <w:bookmarkEnd w:id="12"/>
      <w:r>
        <w:rPr>
          <w:rFonts w:hint="eastAsia" w:ascii="仿宋_GB2312"/>
          <w:color w:val="000000"/>
          <w:szCs w:val="32"/>
        </w:rPr>
        <w:t>辆。</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宋体"/>
          <w:szCs w:val="32"/>
        </w:rPr>
      </w:pPr>
      <w:r>
        <w:rPr>
          <w:rFonts w:hint="eastAsia" w:ascii="仿宋_GB2312"/>
          <w:color w:val="000000"/>
          <w:szCs w:val="32"/>
        </w:rPr>
        <w:t>3.公务接待费</w:t>
      </w:r>
      <w:r>
        <w:rPr>
          <w:rFonts w:hint="eastAsia" w:ascii="仿宋_GB2312" w:hAnsi="仿宋_GB2312" w:cs="仿宋_GB2312"/>
        </w:rPr>
        <w:t>全年</w:t>
      </w:r>
      <w:r>
        <w:rPr>
          <w:rFonts w:hint="eastAsia" w:ascii="仿宋_GB2312"/>
          <w:color w:val="000000"/>
          <w:szCs w:val="32"/>
        </w:rPr>
        <w:t>预算为</w:t>
      </w:r>
      <w:bookmarkStart w:id="13" w:name="_Hlk174352948"/>
      <w:r>
        <w:rPr>
          <w:rFonts w:hint="eastAsia" w:ascii="仿宋_GB2312" w:cs="仿宋_GB2312"/>
          <w:szCs w:val="32"/>
          <w:lang w:bidi="zh-HK"/>
        </w:rPr>
        <w:t>0.72</w:t>
      </w:r>
      <w:bookmarkEnd w:id="13"/>
      <w:r>
        <w:rPr>
          <w:rFonts w:hint="eastAsia" w:ascii="仿宋_GB2312"/>
          <w:color w:val="000000"/>
          <w:szCs w:val="32"/>
        </w:rPr>
        <w:t>万元，支出决算为</w:t>
      </w:r>
      <w:bookmarkStart w:id="14" w:name="_Hlk174352957"/>
      <w:r>
        <w:rPr>
          <w:rFonts w:hint="eastAsia" w:ascii="仿宋_GB2312" w:cs="仿宋_GB2312"/>
          <w:szCs w:val="32"/>
          <w:lang w:bidi="zh-HK"/>
        </w:rPr>
        <w:t>0.72</w:t>
      </w:r>
      <w:bookmarkEnd w:id="14"/>
      <w:r>
        <w:rPr>
          <w:rFonts w:hint="eastAsia" w:ascii="仿宋_GB2312"/>
          <w:color w:val="auto"/>
          <w:szCs w:val="32"/>
        </w:rPr>
        <w:t>万元，完成</w:t>
      </w:r>
      <w:r>
        <w:rPr>
          <w:rFonts w:hint="eastAsia" w:ascii="仿宋_GB2312" w:hAnsi="仿宋_GB2312" w:cs="仿宋_GB2312"/>
          <w:color w:val="auto"/>
        </w:rPr>
        <w:t>全年</w:t>
      </w:r>
      <w:r>
        <w:rPr>
          <w:rFonts w:hint="eastAsia" w:ascii="仿宋_GB2312"/>
          <w:color w:val="auto"/>
          <w:szCs w:val="32"/>
        </w:rPr>
        <w:t>预算的</w:t>
      </w:r>
      <w:bookmarkStart w:id="15" w:name="_Hlk174352968"/>
      <w:r>
        <w:rPr>
          <w:rFonts w:hint="eastAsia" w:ascii="仿宋_GB2312" w:cs="仿宋_GB2312"/>
          <w:color w:val="auto"/>
          <w:szCs w:val="32"/>
          <w:lang w:bidi="zh-HK"/>
        </w:rPr>
        <w:t>100.0</w:t>
      </w:r>
      <w:bookmarkEnd w:id="15"/>
      <w:r>
        <w:rPr>
          <w:rFonts w:hint="eastAsia" w:ascii="仿宋_GB2312"/>
          <w:color w:val="auto"/>
          <w:szCs w:val="32"/>
        </w:rPr>
        <w:t>%</w:t>
      </w:r>
      <w:r>
        <w:rPr>
          <w:rFonts w:hint="eastAsia" w:ascii="仿宋_GB2312" w:cs="仿宋_GB2312"/>
          <w:color w:val="auto"/>
          <w:szCs w:val="32"/>
          <w:lang w:bidi="zh-HK"/>
        </w:rPr>
        <w:t>。</w:t>
      </w:r>
      <w:r>
        <w:rPr>
          <w:rFonts w:hint="eastAsia" w:ascii="仿宋_GB2312" w:hAnsi="宋体"/>
          <w:color w:val="auto"/>
          <w:szCs w:val="32"/>
        </w:rPr>
        <w:t>公务</w:t>
      </w:r>
      <w:r>
        <w:rPr>
          <w:rFonts w:hint="eastAsia" w:ascii="仿宋_GB2312" w:hAnsi="宋体"/>
          <w:szCs w:val="32"/>
        </w:rPr>
        <w:t>接待费比上年减少0.70万元，降低49.3%。</w:t>
      </w:r>
    </w:p>
    <w:p>
      <w:pPr>
        <w:keepNext w:val="0"/>
        <w:keepLines w:val="0"/>
        <w:pageBreakBefore w:val="0"/>
        <w:kinsoku/>
        <w:overflowPunct/>
        <w:autoSpaceDE/>
        <w:autoSpaceDN/>
        <w:bidi w:val="0"/>
        <w:spacing w:line="540" w:lineRule="exact"/>
        <w:ind w:firstLine="640" w:firstLineChars="200"/>
        <w:textAlignment w:val="auto"/>
        <w:rPr>
          <w:rFonts w:hint="eastAsia" w:ascii="仿宋_GB2312"/>
          <w:color w:val="000000"/>
          <w:szCs w:val="32"/>
        </w:rPr>
      </w:pPr>
      <w:r>
        <w:rPr>
          <w:rFonts w:hint="eastAsia" w:ascii="仿宋_GB2312"/>
          <w:color w:val="000000"/>
          <w:szCs w:val="32"/>
          <w:lang w:val="en-US" w:eastAsia="zh-CN"/>
        </w:rPr>
        <w:t>决算数与上年度相比减少的主要原因是：我单位严格落实过紧日子的要求，在保证单位正常运转的前提下，压减包括“三公”经费在内的一般性支出，从日常点滴做起，严控机关运行成本。因此公务</w:t>
      </w:r>
      <w:r>
        <w:rPr>
          <w:rFonts w:hint="eastAsia" w:ascii="仿宋_GB2312"/>
          <w:color w:val="000000"/>
          <w:szCs w:val="32"/>
          <w:lang w:eastAsia="zh-CN"/>
        </w:rPr>
        <w:t>接待费决算数</w:t>
      </w:r>
      <w:r>
        <w:rPr>
          <w:rFonts w:hint="eastAsia" w:ascii="仿宋_GB2312"/>
          <w:color w:val="000000"/>
          <w:szCs w:val="32"/>
          <w:lang w:val="en-US" w:eastAsia="zh-CN"/>
        </w:rPr>
        <w:t>较上年下降。</w:t>
      </w:r>
    </w:p>
    <w:p>
      <w:pPr>
        <w:keepNext w:val="0"/>
        <w:keepLines w:val="0"/>
        <w:pageBreakBefore w:val="0"/>
        <w:kinsoku/>
        <w:overflowPunct/>
        <w:autoSpaceDE/>
        <w:autoSpaceDN/>
        <w:bidi w:val="0"/>
        <w:spacing w:line="540" w:lineRule="exact"/>
        <w:ind w:firstLine="640" w:firstLineChars="200"/>
        <w:textAlignment w:val="auto"/>
        <w:rPr>
          <w:rFonts w:hint="eastAsia" w:ascii="仿宋_GB2312"/>
          <w:color w:val="000000"/>
          <w:szCs w:val="32"/>
          <w:lang w:val="en-US" w:eastAsia="zh-CN"/>
        </w:rPr>
      </w:pPr>
      <w:r>
        <w:rPr>
          <w:rFonts w:hint="eastAsia" w:ascii="仿宋_GB2312"/>
          <w:color w:val="000000"/>
          <w:szCs w:val="32"/>
          <w:lang w:eastAsia="zh-CN"/>
        </w:rPr>
        <w:t>决算数与全年预算数持平</w:t>
      </w:r>
      <w:r>
        <w:rPr>
          <w:rFonts w:hint="eastAsia" w:ascii="仿宋_GB2312"/>
          <w:color w:val="000000"/>
          <w:szCs w:val="32"/>
        </w:rPr>
        <w:t>的主要原因是</w:t>
      </w:r>
      <w:r>
        <w:rPr>
          <w:rFonts w:hint="eastAsia" w:ascii="仿宋_GB2312"/>
          <w:color w:val="000000"/>
          <w:szCs w:val="32"/>
          <w:lang w:eastAsia="zh-CN"/>
        </w:rPr>
        <w:t>：</w:t>
      </w:r>
      <w:r>
        <w:rPr>
          <w:rFonts w:hint="eastAsia" w:ascii="仿宋_GB2312"/>
          <w:color w:val="000000"/>
          <w:szCs w:val="32"/>
          <w:lang w:val="en-US" w:eastAsia="zh-CN"/>
        </w:rPr>
        <w:t>我单位严格按照预算管理规定，坚持无预算不开支的原则，从严开支“三公”经费，因此公务</w:t>
      </w:r>
      <w:r>
        <w:rPr>
          <w:rFonts w:hint="eastAsia" w:ascii="仿宋_GB2312"/>
          <w:color w:val="000000"/>
          <w:szCs w:val="32"/>
          <w:lang w:eastAsia="zh-CN"/>
        </w:rPr>
        <w:t>接待费</w:t>
      </w:r>
      <w:r>
        <w:rPr>
          <w:rFonts w:hint="eastAsia" w:ascii="仿宋_GB2312"/>
          <w:color w:val="000000"/>
          <w:szCs w:val="32"/>
          <w:lang w:val="en-US" w:eastAsia="zh-CN"/>
        </w:rPr>
        <w:t>预决算数持平。</w:t>
      </w:r>
      <w:r>
        <w:rPr>
          <w:rFonts w:hint="eastAsia" w:ascii="仿宋_GB2312"/>
          <w:color w:val="000000"/>
          <w:szCs w:val="32"/>
        </w:rPr>
        <w:t>其中：</w:t>
      </w:r>
      <w:r>
        <w:rPr>
          <w:rFonts w:hint="eastAsia" w:ascii="仿宋_GB2312"/>
          <w:color w:val="000000"/>
          <w:szCs w:val="32"/>
          <w:lang w:val="en-US" w:eastAsia="zh-CN"/>
        </w:rPr>
        <w:t>国内公务接待支出0.72万元，接待对象主要是与我单位有业务往来的单位和企业，主要是开展调研、学习等相关工作。2023年共接待国内来访团组8个，52人次（不包括陪同人员）。</w:t>
      </w:r>
    </w:p>
    <w:p>
      <w:pPr>
        <w:keepNext w:val="0"/>
        <w:keepLines w:val="0"/>
        <w:pageBreakBefore w:val="0"/>
        <w:kinsoku/>
        <w:overflowPunct/>
        <w:autoSpaceDE/>
        <w:autoSpaceDN/>
        <w:bidi w:val="0"/>
        <w:spacing w:line="540" w:lineRule="exact"/>
        <w:ind w:left="640" w:leftChars="200"/>
        <w:textAlignment w:val="auto"/>
        <w:rPr>
          <w:rFonts w:hint="eastAsia" w:ascii="黑体" w:hAnsi="黑体" w:eastAsia="黑体" w:cs="黑体"/>
        </w:rPr>
      </w:pPr>
      <w:r>
        <w:rPr>
          <w:rFonts w:hint="eastAsia" w:ascii="黑体" w:hAnsi="黑体" w:eastAsia="黑体" w:cs="黑体"/>
        </w:rPr>
        <w:t>十、机关运行经费支出说明</w:t>
      </w:r>
    </w:p>
    <w:p>
      <w:pPr>
        <w:pStyle w:val="14"/>
        <w:keepNext w:val="0"/>
        <w:keepLines w:val="0"/>
        <w:pageBreakBefore w:val="0"/>
        <w:kinsoku/>
        <w:overflowPunct/>
        <w:autoSpaceDE/>
        <w:autoSpaceDN/>
        <w:bidi w:val="0"/>
        <w:spacing w:line="540" w:lineRule="exact"/>
        <w:textAlignment w:val="auto"/>
        <w:rPr>
          <w:rFonts w:hint="eastAsia" w:ascii="仿宋_GB2312" w:hAnsi="仿宋_GB2312" w:eastAsia="仿宋_GB2312" w:cs="仿宋_GB2312"/>
          <w:szCs w:val="32"/>
          <w:highlight w:val="none"/>
        </w:rPr>
      </w:pPr>
      <w:r>
        <w:rPr>
          <w:rFonts w:hint="eastAsia" w:ascii="仿宋_GB2312" w:hAnsi="仿宋_GB2312" w:eastAsia="仿宋_GB2312" w:cs="仿宋_GB2312"/>
          <w:szCs w:val="32"/>
          <w:highlight w:val="none"/>
          <w:lang w:val="en-US" w:eastAsia="zh-CN"/>
        </w:rPr>
        <w:t>本部门为公益一类单位，不属于机关运行经费统计范畴</w:t>
      </w:r>
      <w:r>
        <w:rPr>
          <w:rFonts w:hint="eastAsia" w:ascii="仿宋_GB2312" w:hAnsi="仿宋_GB2312" w:eastAsia="仿宋_GB2312" w:cs="仿宋_GB2312"/>
          <w:szCs w:val="32"/>
          <w:highlight w:val="none"/>
        </w:rPr>
        <w:t>。</w:t>
      </w:r>
    </w:p>
    <w:p>
      <w:pPr>
        <w:keepNext w:val="0"/>
        <w:keepLines w:val="0"/>
        <w:pageBreakBefore w:val="0"/>
        <w:numPr>
          <w:ilvl w:val="0"/>
          <w:numId w:val="2"/>
        </w:numPr>
        <w:kinsoku/>
        <w:overflowPunct/>
        <w:autoSpaceDE/>
        <w:autoSpaceDN/>
        <w:bidi w:val="0"/>
        <w:spacing w:line="540" w:lineRule="exact"/>
        <w:ind w:left="640" w:leftChars="200"/>
        <w:textAlignment w:val="auto"/>
        <w:rPr>
          <w:rFonts w:hint="eastAsia" w:ascii="黑体" w:hAnsi="黑体" w:eastAsia="黑体" w:cs="黑体"/>
        </w:rPr>
      </w:pPr>
      <w:r>
        <w:rPr>
          <w:rFonts w:hint="eastAsia" w:ascii="黑体" w:hAnsi="黑体" w:eastAsia="黑体" w:cs="黑体"/>
        </w:rPr>
        <w:t>政府采购支出说明</w:t>
      </w:r>
    </w:p>
    <w:p>
      <w:pPr>
        <w:keepNext w:val="0"/>
        <w:keepLines w:val="0"/>
        <w:pageBreakBefore w:val="0"/>
        <w:kinsoku/>
        <w:overflowPunct/>
        <w:autoSpaceDE/>
        <w:autoSpaceDN/>
        <w:bidi w:val="0"/>
        <w:spacing w:line="540" w:lineRule="exact"/>
        <w:ind w:firstLine="640" w:firstLineChars="200"/>
        <w:textAlignment w:val="auto"/>
        <w:rPr>
          <w:rFonts w:hint="eastAsia" w:eastAsia="仿宋_GB2312"/>
          <w:highlight w:val="yellow"/>
          <w:lang w:eastAsia="zh-CN"/>
        </w:rPr>
      </w:pPr>
      <w:r>
        <w:rPr>
          <w:rFonts w:hint="eastAsia" w:ascii="仿宋_GB2312" w:hAnsi="仿宋_GB2312" w:cs="仿宋_GB2312"/>
          <w:szCs w:val="32"/>
        </w:rPr>
        <w:t xml:space="preserve">本部门 2023年度政府采购支出总额 </w:t>
      </w:r>
      <w:r>
        <w:rPr>
          <w:rFonts w:hint="eastAsia" w:ascii="仿宋_GB2312" w:cs="仿宋_GB2312"/>
          <w:szCs w:val="32"/>
          <w:lang w:val="en-US" w:eastAsia="zh-CN" w:bidi="zh-HK"/>
        </w:rPr>
        <w:t>20.15</w:t>
      </w:r>
      <w:r>
        <w:rPr>
          <w:rFonts w:hint="eastAsia" w:ascii="仿宋_GB2312" w:hAnsi="仿宋_GB2312" w:cs="仿宋_GB2312"/>
          <w:szCs w:val="32"/>
        </w:rPr>
        <w:t xml:space="preserve"> 万元，其中：政府采购货物支出 </w:t>
      </w:r>
      <w:r>
        <w:rPr>
          <w:rFonts w:hint="eastAsia" w:ascii="仿宋_GB2312" w:cs="仿宋_GB2312"/>
          <w:szCs w:val="32"/>
          <w:lang w:val="en-US" w:eastAsia="zh-CN" w:bidi="zh-HK"/>
        </w:rPr>
        <w:t>20.15</w:t>
      </w:r>
      <w:r>
        <w:rPr>
          <w:rFonts w:hint="eastAsia" w:ascii="仿宋_GB2312" w:hAnsi="仿宋_GB2312" w:cs="仿宋_GB2312"/>
          <w:szCs w:val="32"/>
        </w:rPr>
        <w:t xml:space="preserve"> 万元、政府采购工程支出 </w:t>
      </w:r>
      <w:r>
        <w:rPr>
          <w:rFonts w:hint="eastAsia" w:ascii="仿宋_GB2312" w:cs="仿宋_GB2312"/>
          <w:szCs w:val="32"/>
          <w:lang w:bidi="zh-HK"/>
        </w:rPr>
        <w:t>0.00</w:t>
      </w:r>
      <w:r>
        <w:rPr>
          <w:rFonts w:hint="eastAsia" w:ascii="仿宋_GB2312" w:hAnsi="仿宋_GB2312" w:cs="仿宋_GB2312"/>
          <w:szCs w:val="32"/>
        </w:rPr>
        <w:t xml:space="preserve">万元、政府采购服务支出 </w:t>
      </w:r>
      <w:r>
        <w:rPr>
          <w:rFonts w:hint="eastAsia" w:ascii="仿宋_GB2312" w:cs="仿宋_GB2312"/>
          <w:szCs w:val="32"/>
          <w:lang w:bidi="zh-HK"/>
        </w:rPr>
        <w:t>0.00</w:t>
      </w:r>
      <w:r>
        <w:rPr>
          <w:rFonts w:hint="eastAsia" w:ascii="仿宋_GB2312" w:hAnsi="仿宋_GB2312" w:cs="仿宋_GB2312"/>
          <w:szCs w:val="32"/>
        </w:rPr>
        <w:t xml:space="preserve"> 万元。授予中小企业合同金额</w:t>
      </w:r>
      <w:r>
        <w:rPr>
          <w:rFonts w:hint="eastAsia" w:ascii="仿宋_GB2312" w:cs="仿宋_GB2312"/>
          <w:szCs w:val="32"/>
          <w:lang w:val="en-US" w:eastAsia="zh-CN" w:bidi="zh-HK"/>
        </w:rPr>
        <w:t>20.15</w:t>
      </w:r>
      <w:r>
        <w:rPr>
          <w:rFonts w:hint="eastAsia" w:ascii="仿宋_GB2312" w:hAnsi="仿宋_GB2312" w:cs="仿宋_GB2312"/>
          <w:szCs w:val="32"/>
        </w:rPr>
        <w:t>万元，占政府采购支出总额的</w:t>
      </w:r>
      <w:r>
        <w:rPr>
          <w:rFonts w:hint="eastAsia" w:ascii="仿宋_GB2312" w:cs="仿宋_GB2312"/>
          <w:szCs w:val="32"/>
          <w:lang w:val="en-US" w:eastAsia="zh-CN" w:bidi="zh-HK"/>
        </w:rPr>
        <w:t>100</w:t>
      </w:r>
      <w:r>
        <w:rPr>
          <w:rFonts w:hint="eastAsia" w:ascii="仿宋_GB2312" w:hAnsi="仿宋_GB2312" w:cs="仿宋_GB2312"/>
          <w:szCs w:val="32"/>
        </w:rPr>
        <w:t>%，其中：授予小微企业合同金额</w:t>
      </w:r>
      <w:r>
        <w:rPr>
          <w:rFonts w:hint="eastAsia" w:ascii="仿宋_GB2312" w:cs="仿宋_GB2312"/>
          <w:szCs w:val="32"/>
          <w:lang w:val="en-US" w:eastAsia="zh-CN" w:bidi="zh-HK"/>
        </w:rPr>
        <w:t>20.15</w:t>
      </w:r>
      <w:r>
        <w:rPr>
          <w:rFonts w:hint="eastAsia" w:ascii="仿宋_GB2312" w:hAnsi="仿宋_GB2312" w:cs="仿宋_GB2312"/>
          <w:szCs w:val="32"/>
        </w:rPr>
        <w:t>万元，占授予中小企业合同金额的</w:t>
      </w:r>
      <w:r>
        <w:rPr>
          <w:rFonts w:hint="eastAsia" w:ascii="仿宋_GB2312" w:cs="仿宋_GB2312"/>
          <w:szCs w:val="32"/>
          <w:lang w:val="en-US" w:eastAsia="zh-CN" w:bidi="zh-HK"/>
        </w:rPr>
        <w:t>100</w:t>
      </w:r>
      <w:r>
        <w:rPr>
          <w:rFonts w:hint="eastAsia" w:ascii="仿宋_GB2312" w:hAnsi="仿宋_GB2312" w:cs="仿宋_GB2312"/>
          <w:szCs w:val="32"/>
        </w:rPr>
        <w:t>%</w:t>
      </w:r>
      <w:r>
        <w:rPr>
          <w:rFonts w:hint="eastAsia" w:ascii="仿宋_GB2312" w:hAnsi="仿宋_GB2312" w:cs="仿宋_GB2312"/>
          <w:szCs w:val="32"/>
          <w:lang w:eastAsia="zh-CN"/>
        </w:rPr>
        <w:t>。</w:t>
      </w:r>
      <w:r>
        <w:rPr>
          <w:rFonts w:hint="eastAsia" w:ascii="仿宋_GB2312" w:hAnsi="仿宋_GB2312" w:cs="仿宋_GB2312"/>
          <w:szCs w:val="32"/>
        </w:rPr>
        <w:t>货物采购授予中小企业合同金额占货物支出金额的</w:t>
      </w:r>
      <w:r>
        <w:rPr>
          <w:rFonts w:hint="eastAsia" w:ascii="仿宋_GB2312" w:hAnsi="仿宋_GB2312" w:cs="仿宋_GB2312"/>
          <w:szCs w:val="32"/>
          <w:lang w:val="en-US" w:eastAsia="zh-CN"/>
        </w:rPr>
        <w:t>100</w:t>
      </w:r>
      <w:r>
        <w:rPr>
          <w:rFonts w:hint="eastAsia" w:ascii="仿宋_GB2312" w:hAnsi="仿宋_GB2312" w:cs="仿宋_GB2312"/>
          <w:szCs w:val="32"/>
        </w:rPr>
        <w:t>%，工程采购授予中小企业合同金额占工程支出金额的</w:t>
      </w:r>
      <w:r>
        <w:rPr>
          <w:rFonts w:hint="eastAsia" w:ascii="仿宋_GB2312" w:hAnsi="仿宋_GB2312" w:cs="仿宋_GB2312"/>
          <w:szCs w:val="32"/>
          <w:lang w:val="en-US" w:eastAsia="zh-CN"/>
        </w:rPr>
        <w:t>0</w:t>
      </w:r>
      <w:r>
        <w:rPr>
          <w:rFonts w:hint="eastAsia" w:ascii="仿宋_GB2312" w:hAnsi="仿宋_GB2312" w:cs="仿宋_GB2312"/>
          <w:szCs w:val="32"/>
        </w:rPr>
        <w:t>%，服务采购授予中小企业合同金额占服务支出金额的</w:t>
      </w:r>
      <w:r>
        <w:rPr>
          <w:rFonts w:hint="eastAsia" w:ascii="仿宋_GB2312" w:hAnsi="仿宋_GB2312" w:cs="仿宋_GB2312"/>
          <w:szCs w:val="32"/>
          <w:lang w:val="en-US" w:eastAsia="zh-CN"/>
        </w:rPr>
        <w:t>0</w:t>
      </w:r>
      <w:r>
        <w:rPr>
          <w:rFonts w:hint="eastAsia" w:ascii="仿宋_GB2312" w:hAnsi="仿宋_GB2312" w:cs="仿宋_GB2312"/>
          <w:szCs w:val="32"/>
        </w:rPr>
        <w:t>%。</w:t>
      </w:r>
    </w:p>
    <w:p>
      <w:pPr>
        <w:keepNext w:val="0"/>
        <w:keepLines w:val="0"/>
        <w:pageBreakBefore w:val="0"/>
        <w:kinsoku/>
        <w:overflowPunct/>
        <w:autoSpaceDE/>
        <w:autoSpaceDN/>
        <w:bidi w:val="0"/>
        <w:spacing w:line="540" w:lineRule="exact"/>
        <w:ind w:left="640" w:leftChars="200"/>
        <w:textAlignment w:val="auto"/>
        <w:rPr>
          <w:rFonts w:hint="eastAsia" w:ascii="黑体" w:hAnsi="黑体" w:eastAsia="黑体" w:cs="黑体"/>
        </w:rPr>
      </w:pPr>
      <w:r>
        <w:rPr>
          <w:rFonts w:hint="eastAsia" w:ascii="黑体" w:hAnsi="黑体" w:eastAsia="黑体" w:cs="黑体"/>
        </w:rPr>
        <w:t>十二、国有资产占用情况说明</w:t>
      </w:r>
    </w:p>
    <w:p>
      <w:pPr>
        <w:keepNext w:val="0"/>
        <w:keepLines w:val="0"/>
        <w:pageBreakBefore w:val="0"/>
        <w:kinsoku/>
        <w:overflowPunct/>
        <w:autoSpaceDE/>
        <w:autoSpaceDN/>
        <w:bidi w:val="0"/>
        <w:spacing w:line="540" w:lineRule="exact"/>
        <w:ind w:firstLine="640" w:firstLineChars="200"/>
        <w:textAlignment w:val="auto"/>
        <w:rPr>
          <w:rFonts w:hint="eastAsia"/>
        </w:rPr>
      </w:pPr>
      <w:r>
        <w:rPr>
          <w:rFonts w:hint="eastAsia" w:ascii="仿宋_GB2312" w:hAnsi="仿宋_GB2312" w:cs="仿宋_GB2312"/>
          <w:szCs w:val="32"/>
        </w:rPr>
        <w:t>截至2023年 12月31日，宜昌市物流业发展中心共有车辆 6 辆，其中，副省级及以上领导干部用车 0 辆、主要负责人用车0 辆、机要通信用车0 辆、应急保障用车 0 辆、执法执勤用车0 辆、特种专业技术用车 0辆、离退休干部服务用车 0辆、其他用车6 辆</w:t>
      </w:r>
      <w:r>
        <w:rPr>
          <w:rFonts w:hint="eastAsia" w:ascii="仿宋_GB2312" w:hAnsi="仿宋_GB2312" w:cs="仿宋_GB2312"/>
          <w:szCs w:val="32"/>
          <w:lang w:eastAsia="zh-CN"/>
        </w:rPr>
        <w:t>，其他用车主要用于日常办公。</w:t>
      </w:r>
      <w:r>
        <w:rPr>
          <w:rFonts w:hint="eastAsia"/>
        </w:rPr>
        <w:t xml:space="preserve">单位价值 100 万元以上设备 </w:t>
      </w:r>
      <w:r>
        <w:rPr>
          <w:rFonts w:hint="eastAsia" w:ascii="仿宋_GB2312" w:cs="仿宋_GB2312"/>
          <w:szCs w:val="32"/>
          <w:lang w:bidi="zh-HK"/>
        </w:rPr>
        <w:t>0</w:t>
      </w:r>
      <w:r>
        <w:rPr>
          <w:rFonts w:hint="eastAsia"/>
        </w:rPr>
        <w:t xml:space="preserve"> 台（套）。</w:t>
      </w:r>
    </w:p>
    <w:p>
      <w:pPr>
        <w:keepNext w:val="0"/>
        <w:keepLines w:val="0"/>
        <w:pageBreakBefore w:val="0"/>
        <w:kinsoku/>
        <w:overflowPunct/>
        <w:autoSpaceDE/>
        <w:autoSpaceDN/>
        <w:bidi w:val="0"/>
        <w:spacing w:line="540" w:lineRule="exact"/>
        <w:ind w:firstLine="640" w:firstLineChars="200"/>
        <w:textAlignment w:val="auto"/>
        <w:rPr>
          <w:rFonts w:hint="eastAsia" w:ascii="黑体" w:hAnsi="黑体" w:eastAsia="黑体" w:cs="黑体"/>
        </w:rPr>
      </w:pPr>
      <w:r>
        <w:rPr>
          <w:rFonts w:hint="eastAsia" w:ascii="黑体" w:hAnsi="黑体" w:eastAsia="黑体" w:cs="黑体"/>
        </w:rPr>
        <w:t>十三、预算绩效情况说明</w:t>
      </w:r>
    </w:p>
    <w:p>
      <w:pPr>
        <w:keepNext w:val="0"/>
        <w:keepLines w:val="0"/>
        <w:pageBreakBefore w:val="0"/>
        <w:kinsoku/>
        <w:overflowPunct/>
        <w:autoSpaceDE/>
        <w:autoSpaceDN/>
        <w:bidi w:val="0"/>
        <w:spacing w:line="540" w:lineRule="exact"/>
        <w:ind w:firstLine="640" w:firstLineChars="200"/>
        <w:textAlignment w:val="auto"/>
        <w:rPr>
          <w:rFonts w:hint="eastAsia" w:ascii="楷体_GB2312" w:hAnsi="楷体_GB2312" w:eastAsia="楷体_GB2312" w:cs="楷体_GB2312"/>
        </w:rPr>
      </w:pPr>
      <w:r>
        <w:rPr>
          <w:rFonts w:hint="eastAsia" w:ascii="楷体_GB2312" w:hAnsi="楷体_GB2312" w:eastAsia="楷体_GB2312" w:cs="楷体_GB2312"/>
        </w:rPr>
        <w:t>(一)预算绩效管理工作开展情况</w:t>
      </w:r>
    </w:p>
    <w:p>
      <w:pPr>
        <w:keepNext w:val="0"/>
        <w:keepLines w:val="0"/>
        <w:pageBreakBefore w:val="0"/>
        <w:kinsoku/>
        <w:overflowPunct/>
        <w:autoSpaceDE/>
        <w:autoSpaceDN/>
        <w:bidi w:val="0"/>
        <w:spacing w:line="540" w:lineRule="exact"/>
        <w:ind w:firstLine="640" w:firstLineChars="200"/>
        <w:textAlignment w:val="auto"/>
        <w:rPr>
          <w:rFonts w:hint="eastAsia"/>
          <w:highlight w:val="none"/>
          <w:u w:val="none"/>
          <w:lang w:val="en-US" w:eastAsia="zh-CN"/>
        </w:rPr>
      </w:pPr>
      <w:r>
        <w:rPr>
          <w:rFonts w:hint="eastAsia"/>
          <w:highlight w:val="none"/>
          <w:u w:val="none"/>
          <w:lang w:val="en-US" w:eastAsia="zh-CN"/>
        </w:rPr>
        <w:t>根据预算绩效管理要求，我单位组织开展部门整体支出绩效自评，评价预算资金为</w:t>
      </w:r>
      <w:r>
        <w:rPr>
          <w:rFonts w:hint="eastAsia" w:ascii="仿宋_GB2312" w:hAnsi="宋体"/>
          <w:bCs/>
          <w:sz w:val="32"/>
          <w:szCs w:val="32"/>
          <w:highlight w:val="none"/>
          <w:u w:val="none"/>
          <w:lang w:val="en-US" w:eastAsia="zh"/>
        </w:rPr>
        <w:t>4056.43</w:t>
      </w:r>
      <w:r>
        <w:rPr>
          <w:rFonts w:hint="eastAsia" w:ascii="仿宋_GB2312" w:hAnsi="宋体"/>
          <w:bCs/>
          <w:sz w:val="32"/>
          <w:szCs w:val="32"/>
          <w:highlight w:val="none"/>
          <w:u w:val="none"/>
          <w:lang w:val="en-US" w:eastAsia="zh-CN"/>
        </w:rPr>
        <w:t>万元，占</w:t>
      </w:r>
      <w:r>
        <w:rPr>
          <w:rFonts w:hint="eastAsia" w:ascii="仿宋_GB2312" w:hAnsi="仿宋" w:eastAsia="仿宋_GB2312" w:cs="仿宋"/>
          <w:szCs w:val="32"/>
          <w:u w:val="none"/>
        </w:rPr>
        <w:t>一般公共预算项目支出</w:t>
      </w:r>
      <w:r>
        <w:rPr>
          <w:rFonts w:hint="eastAsia" w:ascii="仿宋_GB2312" w:hAnsi="宋体"/>
          <w:bCs/>
          <w:sz w:val="32"/>
          <w:szCs w:val="32"/>
          <w:highlight w:val="none"/>
          <w:u w:val="none"/>
          <w:lang w:val="en-US" w:eastAsia="zh-CN"/>
        </w:rPr>
        <w:t>总额</w:t>
      </w:r>
      <w:r>
        <w:rPr>
          <w:rFonts w:hint="eastAsia" w:ascii="仿宋_GB2312" w:hAnsi="宋体"/>
          <w:bCs/>
          <w:sz w:val="32"/>
          <w:szCs w:val="32"/>
          <w:highlight w:val="none"/>
          <w:u w:val="none"/>
          <w:lang w:val="en-US" w:eastAsia="zh"/>
        </w:rPr>
        <w:t>4056.43</w:t>
      </w:r>
      <w:r>
        <w:rPr>
          <w:rFonts w:hint="eastAsia" w:ascii="仿宋_GB2312" w:hAnsi="宋体"/>
          <w:bCs/>
          <w:sz w:val="32"/>
          <w:szCs w:val="32"/>
          <w:highlight w:val="none"/>
          <w:u w:val="none"/>
          <w:lang w:val="en-US" w:eastAsia="zh-CN"/>
        </w:rPr>
        <w:t>万元的100%</w:t>
      </w:r>
      <w:r>
        <w:rPr>
          <w:rFonts w:hint="eastAsia"/>
          <w:highlight w:val="none"/>
          <w:u w:val="none"/>
          <w:lang w:val="en-US" w:eastAsia="zh-CN"/>
        </w:rPr>
        <w:t>。从自评情况来看，我单位</w:t>
      </w:r>
      <w:r>
        <w:rPr>
          <w:rFonts w:hint="eastAsia" w:ascii="仿宋_GB2312" w:hAnsi="宋体"/>
          <w:bCs/>
          <w:sz w:val="32"/>
          <w:szCs w:val="32"/>
          <w:highlight w:val="none"/>
          <w:u w:val="none"/>
          <w:lang w:val="en-US" w:eastAsia="zh-CN"/>
        </w:rPr>
        <w:t>202</w:t>
      </w:r>
      <w:r>
        <w:rPr>
          <w:rFonts w:hint="eastAsia" w:ascii="仿宋_GB2312" w:hAnsi="宋体"/>
          <w:bCs/>
          <w:sz w:val="32"/>
          <w:szCs w:val="32"/>
          <w:highlight w:val="none"/>
          <w:u w:val="none"/>
          <w:lang w:val="en-US" w:eastAsia="zh"/>
        </w:rPr>
        <w:t>3</w:t>
      </w:r>
      <w:r>
        <w:rPr>
          <w:rFonts w:hint="eastAsia"/>
          <w:highlight w:val="none"/>
          <w:u w:val="none"/>
          <w:lang w:val="en-US" w:eastAsia="zh-CN"/>
        </w:rPr>
        <w:t>年部门预算编报及时，执行情况较好，严控“三公”、会议等重点支出，政府采购程序较规范，内控制度较完整，账务处理准确及时。综合自评情况如下：</w:t>
      </w:r>
    </w:p>
    <w:p>
      <w:pPr>
        <w:keepNext w:val="0"/>
        <w:keepLines w:val="0"/>
        <w:pageBreakBefore w:val="0"/>
        <w:numPr>
          <w:numId w:val="0"/>
        </w:numPr>
        <w:kinsoku/>
        <w:overflowPunct/>
        <w:autoSpaceDE/>
        <w:autoSpaceDN/>
        <w:bidi w:val="0"/>
        <w:spacing w:line="540" w:lineRule="exact"/>
        <w:ind w:firstLine="640" w:firstLineChars="200"/>
        <w:textAlignment w:val="auto"/>
        <w:rPr>
          <w:rFonts w:hint="eastAsia" w:ascii="楷体_GB2312" w:hAnsi="楷体" w:eastAsia="楷体_GB2312" w:cs="楷体_GB2312"/>
          <w:sz w:val="32"/>
          <w:szCs w:val="32"/>
          <w:lang w:eastAsia="zh-CN"/>
        </w:rPr>
      </w:pPr>
      <w:r>
        <w:rPr>
          <w:rFonts w:hint="eastAsia" w:ascii="楷体_GB2312" w:hAnsi="楷体" w:eastAsia="楷体_GB2312" w:cs="楷体_GB2312"/>
          <w:sz w:val="32"/>
          <w:szCs w:val="32"/>
          <w:lang w:val="en-US" w:eastAsia="zh-CN"/>
        </w:rPr>
        <w:t>1.</w:t>
      </w:r>
      <w:r>
        <w:rPr>
          <w:rFonts w:hint="eastAsia" w:ascii="楷体_GB2312" w:hAnsi="楷体" w:eastAsia="楷体_GB2312" w:cs="楷体_GB2312"/>
          <w:sz w:val="32"/>
          <w:szCs w:val="32"/>
        </w:rPr>
        <w:t>整体绩效自评得分</w:t>
      </w:r>
    </w:p>
    <w:p>
      <w:pPr>
        <w:pStyle w:val="2"/>
        <w:keepNext w:val="0"/>
        <w:keepLines w:val="0"/>
        <w:pageBreakBefore w:val="0"/>
        <w:kinsoku/>
        <w:overflowPunct/>
        <w:autoSpaceDE/>
        <w:autoSpaceDN/>
        <w:bidi w:val="0"/>
        <w:spacing w:line="540" w:lineRule="exact"/>
        <w:textAlignment w:val="auto"/>
        <w:rPr>
          <w:rFonts w:hint="eastAsia" w:ascii="Times New Roman" w:hAnsi="Times New Roman" w:eastAsia="仿宋_GB2312" w:cs="Times New Roman"/>
          <w:kern w:val="2"/>
          <w:sz w:val="32"/>
          <w:szCs w:val="22"/>
          <w:highlight w:val="none"/>
          <w:u w:val="none"/>
          <w:lang w:val="en-US" w:eastAsia="zh-CN" w:bidi="ar-SA"/>
        </w:rPr>
      </w:pPr>
      <w:r>
        <w:rPr>
          <w:rFonts w:hint="eastAsia" w:ascii="Times New Roman" w:hAnsi="Times New Roman" w:eastAsia="仿宋_GB2312" w:cs="Times New Roman"/>
          <w:kern w:val="2"/>
          <w:sz w:val="32"/>
          <w:szCs w:val="22"/>
          <w:highlight w:val="none"/>
          <w:u w:val="none"/>
          <w:lang w:val="en-US" w:eastAsia="zh-CN" w:bidi="ar-SA"/>
        </w:rPr>
        <w:t>我单位组织开展了部门整体支出绩效评价，整体绩效评价自评综合得分为</w:t>
      </w:r>
      <w:r>
        <w:rPr>
          <w:rFonts w:hint="eastAsia" w:ascii="Times New Roman" w:hAnsi="Times New Roman" w:eastAsia="仿宋_GB2312" w:cs="Times New Roman"/>
          <w:kern w:val="2"/>
          <w:sz w:val="32"/>
          <w:szCs w:val="22"/>
          <w:highlight w:val="none"/>
          <w:u w:val="none"/>
          <w:lang w:val="en-US" w:eastAsia="zh" w:bidi="ar-SA"/>
        </w:rPr>
        <w:t>96</w:t>
      </w:r>
      <w:r>
        <w:rPr>
          <w:rFonts w:hint="eastAsia" w:ascii="Times New Roman" w:hAnsi="Times New Roman" w:eastAsia="仿宋_GB2312" w:cs="Times New Roman"/>
          <w:kern w:val="2"/>
          <w:sz w:val="32"/>
          <w:szCs w:val="22"/>
          <w:highlight w:val="none"/>
          <w:u w:val="none"/>
          <w:lang w:val="en-US" w:eastAsia="zh-CN" w:bidi="ar-SA"/>
        </w:rPr>
        <w:t xml:space="preserve">分。整体绩效评价自评表见第六部分附件。 </w:t>
      </w:r>
    </w:p>
    <w:p>
      <w:pPr>
        <w:pStyle w:val="2"/>
        <w:keepNext w:val="0"/>
        <w:keepLines w:val="0"/>
        <w:pageBreakBefore w:val="0"/>
        <w:kinsoku/>
        <w:overflowPunct/>
        <w:autoSpaceDE/>
        <w:autoSpaceDN/>
        <w:bidi w:val="0"/>
        <w:spacing w:line="540" w:lineRule="exact"/>
        <w:textAlignment w:val="auto"/>
        <w:rPr>
          <w:rFonts w:hint="eastAsia" w:ascii="楷体_GB2312" w:hAnsi="楷体" w:eastAsia="楷体_GB2312" w:cs="楷体_GB2312"/>
          <w:sz w:val="32"/>
          <w:szCs w:val="32"/>
          <w:lang w:eastAsia="zh-CN"/>
        </w:rPr>
      </w:pPr>
      <w:r>
        <w:rPr>
          <w:rFonts w:hint="eastAsia" w:ascii="仿宋_GB2312" w:hAnsi="仿宋" w:cs="仿宋"/>
          <w:kern w:val="2"/>
          <w:sz w:val="32"/>
          <w:szCs w:val="32"/>
          <w:highlight w:val="none"/>
          <w:u w:val="none"/>
          <w:lang w:val="en-US" w:eastAsia="zh-CN" w:bidi="ar-SA"/>
        </w:rPr>
        <w:t>2.</w:t>
      </w:r>
      <w:r>
        <w:rPr>
          <w:rFonts w:hint="eastAsia" w:ascii="楷体_GB2312" w:hAnsi="楷体" w:eastAsia="楷体_GB2312" w:cs="楷体_GB2312"/>
          <w:kern w:val="2"/>
          <w:sz w:val="32"/>
          <w:szCs w:val="32"/>
          <w:lang w:val="en-US" w:eastAsia="zh-CN" w:bidi="ar-SA"/>
        </w:rPr>
        <w:t>在的问题和原因</w:t>
      </w:r>
    </w:p>
    <w:p>
      <w:pPr>
        <w:keepNext w:val="0"/>
        <w:keepLines w:val="0"/>
        <w:pageBreakBefore w:val="0"/>
        <w:widowControl/>
        <w:suppressLineNumbers w:val="0"/>
        <w:kinsoku/>
        <w:overflowPunct/>
        <w:autoSpaceDE/>
        <w:autoSpaceDN/>
        <w:bidi w:val="0"/>
        <w:spacing w:line="540" w:lineRule="exact"/>
        <w:ind w:firstLine="640" w:firstLineChars="200"/>
        <w:jc w:val="left"/>
        <w:textAlignment w:val="auto"/>
        <w:rPr>
          <w:rFonts w:hint="eastAsia" w:ascii="仿宋_GB2312" w:hAnsi="仿宋" w:cs="仿宋"/>
          <w:kern w:val="2"/>
          <w:sz w:val="32"/>
          <w:szCs w:val="32"/>
          <w:highlight w:val="none"/>
          <w:u w:val="none"/>
          <w:lang w:val="en-US" w:eastAsia="zh-CN" w:bidi="ar-SA"/>
        </w:rPr>
      </w:pPr>
      <w:r>
        <w:rPr>
          <w:rFonts w:hint="eastAsia" w:ascii="仿宋_GB2312" w:hAnsi="仿宋" w:cs="仿宋"/>
          <w:kern w:val="2"/>
          <w:sz w:val="32"/>
          <w:szCs w:val="32"/>
          <w:highlight w:val="none"/>
          <w:u w:val="none"/>
          <w:lang w:val="en-US" w:eastAsia="zh-CN" w:bidi="ar-SA"/>
        </w:rPr>
        <w:t>问题（1）：2023项目预算中编制上年执行率低于70%的项目（物流统计经费上年执行率为63.63%）。</w:t>
      </w:r>
      <w:r>
        <w:rPr>
          <w:rFonts w:hint="eastAsia" w:ascii="仿宋_GB2312" w:hAnsi="仿宋" w:eastAsia="仿宋_GB2312" w:cs="仿宋"/>
          <w:kern w:val="2"/>
          <w:sz w:val="32"/>
          <w:szCs w:val="32"/>
          <w:highlight w:val="none"/>
          <w:u w:val="none"/>
          <w:lang w:val="en-US" w:eastAsia="zh-CN" w:bidi="ar-SA"/>
        </w:rPr>
        <w:t>主要原因是</w:t>
      </w:r>
      <w:r>
        <w:rPr>
          <w:rFonts w:hint="eastAsia" w:ascii="仿宋_GB2312" w:hAnsi="仿宋" w:cs="仿宋"/>
          <w:kern w:val="2"/>
          <w:sz w:val="32"/>
          <w:szCs w:val="32"/>
          <w:highlight w:val="none"/>
          <w:u w:val="none"/>
          <w:lang w:val="en-US" w:eastAsia="zh-CN" w:bidi="ar-SA"/>
        </w:rPr>
        <w:t xml:space="preserve">：2022年物流统计经费需对上年度统计工作进行绩效考评后才能发放。受发放方式的影响，该项目当年执行进度较缓慢。但由于工作需要，因此2023年继续编制该项目；   </w:t>
      </w:r>
    </w:p>
    <w:p>
      <w:pPr>
        <w:keepNext w:val="0"/>
        <w:keepLines w:val="0"/>
        <w:pageBreakBefore w:val="0"/>
        <w:widowControl/>
        <w:suppressLineNumbers w:val="0"/>
        <w:kinsoku/>
        <w:overflowPunct/>
        <w:autoSpaceDE/>
        <w:autoSpaceDN/>
        <w:bidi w:val="0"/>
        <w:spacing w:line="540" w:lineRule="exact"/>
        <w:ind w:firstLine="640" w:firstLineChars="200"/>
        <w:jc w:val="left"/>
        <w:textAlignment w:val="auto"/>
        <w:rPr>
          <w:rFonts w:hint="eastAsia" w:ascii="仿宋_GB2312" w:hAnsi="仿宋" w:cs="仿宋"/>
          <w:color w:val="auto"/>
          <w:kern w:val="2"/>
          <w:sz w:val="32"/>
          <w:szCs w:val="32"/>
          <w:highlight w:val="none"/>
          <w:u w:val="none"/>
          <w:lang w:val="en-US" w:eastAsia="zh-CN" w:bidi="ar-SA"/>
        </w:rPr>
      </w:pPr>
      <w:r>
        <w:rPr>
          <w:rFonts w:hint="eastAsia" w:ascii="仿宋_GB2312" w:hAnsi="仿宋" w:eastAsia="仿宋_GB2312" w:cs="仿宋"/>
          <w:kern w:val="2"/>
          <w:sz w:val="32"/>
          <w:szCs w:val="32"/>
          <w:highlight w:val="none"/>
          <w:u w:val="none"/>
          <w:lang w:val="en-US" w:eastAsia="zh-CN" w:bidi="ar-SA"/>
        </w:rPr>
        <w:t>问题（2）：</w:t>
      </w:r>
      <w:r>
        <w:rPr>
          <w:rFonts w:hint="eastAsia" w:ascii="仿宋_GB2312" w:hAnsi="仿宋" w:cs="仿宋"/>
          <w:kern w:val="2"/>
          <w:sz w:val="32"/>
          <w:szCs w:val="32"/>
          <w:highlight w:val="none"/>
          <w:u w:val="none"/>
          <w:lang w:val="en-US" w:eastAsia="zh-CN" w:bidi="ar-SA"/>
        </w:rPr>
        <w:t>2023年预算项目“物流基础数据资料采集服务”经费执行率为0。</w:t>
      </w:r>
      <w:r>
        <w:rPr>
          <w:rFonts w:hint="eastAsia" w:ascii="仿宋_GB2312" w:hAnsi="仿宋" w:eastAsia="仿宋_GB2312" w:cs="仿宋"/>
          <w:kern w:val="2"/>
          <w:sz w:val="32"/>
          <w:szCs w:val="32"/>
          <w:highlight w:val="none"/>
          <w:u w:val="none"/>
          <w:lang w:val="en-US" w:eastAsia="zh-CN" w:bidi="ar-SA"/>
        </w:rPr>
        <w:t>主要原因是</w:t>
      </w:r>
      <w:r>
        <w:rPr>
          <w:rFonts w:hint="eastAsia" w:ascii="仿宋_GB2312" w:hAnsi="仿宋" w:eastAsia="仿宋_GB2312" w:cs="仿宋"/>
          <w:color w:val="auto"/>
          <w:kern w:val="2"/>
          <w:sz w:val="32"/>
          <w:szCs w:val="32"/>
          <w:highlight w:val="none"/>
          <w:u w:val="none"/>
          <w:lang w:val="en-US" w:eastAsia="zh-CN" w:bidi="ar-SA"/>
        </w:rPr>
        <w:t>：</w:t>
      </w:r>
      <w:r>
        <w:rPr>
          <w:rFonts w:hint="eastAsia" w:ascii="仿宋_GB2312" w:hAnsi="仿宋" w:cs="仿宋"/>
          <w:color w:val="auto"/>
          <w:kern w:val="2"/>
          <w:sz w:val="32"/>
          <w:szCs w:val="32"/>
          <w:highlight w:val="none"/>
          <w:u w:val="none"/>
          <w:lang w:val="en-US" w:eastAsia="zh-CN" w:bidi="ar-SA"/>
        </w:rPr>
        <w:t>2023年原定的数据提供方被收购，而合并后的新公司又以价格偏低为由不愿与我单位继续合作，导致该项目无法执行，因此执行率为0。</w:t>
      </w:r>
    </w:p>
    <w:p>
      <w:pPr>
        <w:pStyle w:val="2"/>
        <w:keepNext w:val="0"/>
        <w:keepLines w:val="0"/>
        <w:pageBreakBefore w:val="0"/>
        <w:kinsoku/>
        <w:overflowPunct/>
        <w:autoSpaceDE/>
        <w:autoSpaceDN/>
        <w:bidi w:val="0"/>
        <w:spacing w:line="540" w:lineRule="exact"/>
        <w:textAlignment w:val="auto"/>
        <w:rPr>
          <w:rFonts w:hint="eastAsia" w:ascii="楷体_GB2312" w:hAnsi="楷体" w:eastAsia="楷体_GB2312" w:cs="楷体_GB2312"/>
          <w:kern w:val="2"/>
          <w:sz w:val="32"/>
          <w:szCs w:val="32"/>
          <w:lang w:val="en-US" w:eastAsia="zh-CN" w:bidi="ar-SA"/>
        </w:rPr>
      </w:pPr>
      <w:r>
        <w:rPr>
          <w:rFonts w:hint="eastAsia" w:ascii="楷体_GB2312" w:hAnsi="楷体" w:eastAsia="楷体_GB2312" w:cs="楷体_GB2312"/>
          <w:kern w:val="2"/>
          <w:sz w:val="32"/>
          <w:szCs w:val="32"/>
          <w:lang w:val="en-US" w:eastAsia="zh-CN" w:bidi="ar-SA"/>
        </w:rPr>
        <w:t>3.下一步拟改进措施</w:t>
      </w:r>
    </w:p>
    <w:p>
      <w:pPr>
        <w:pStyle w:val="2"/>
        <w:keepNext w:val="0"/>
        <w:keepLines w:val="0"/>
        <w:pageBreakBefore w:val="0"/>
        <w:widowControl w:val="0"/>
        <w:kinsoku/>
        <w:wordWrap/>
        <w:overflowPunct/>
        <w:topLinePunct w:val="0"/>
        <w:autoSpaceDE/>
        <w:autoSpaceDN/>
        <w:bidi w:val="0"/>
        <w:adjustRightInd/>
        <w:spacing w:line="540" w:lineRule="exact"/>
        <w:textAlignment w:val="auto"/>
        <w:rPr>
          <w:rFonts w:hint="eastAsia" w:ascii="仿宋_GB2312" w:hAnsi="仿宋" w:eastAsia="仿宋_GB2312" w:cs="仿宋"/>
          <w:kern w:val="2"/>
          <w:sz w:val="32"/>
          <w:szCs w:val="32"/>
          <w:highlight w:val="none"/>
          <w:u w:val="none"/>
          <w:lang w:val="en-US" w:eastAsia="zh-CN" w:bidi="ar-SA"/>
        </w:rPr>
      </w:pPr>
      <w:r>
        <w:rPr>
          <w:rFonts w:hint="eastAsia" w:ascii="仿宋_GB2312" w:hAnsi="仿宋" w:eastAsia="仿宋_GB2312" w:cs="仿宋"/>
          <w:kern w:val="2"/>
          <w:sz w:val="32"/>
          <w:szCs w:val="32"/>
          <w:highlight w:val="none"/>
          <w:u w:val="none"/>
          <w:lang w:val="en-US" w:eastAsia="zh-CN" w:bidi="ar-SA"/>
        </w:rPr>
        <w:t>（1）</w:t>
      </w:r>
      <w:r>
        <w:rPr>
          <w:rFonts w:hint="default" w:ascii="仿宋_GB2312" w:hAnsi="仿宋" w:eastAsia="仿宋_GB2312" w:cs="仿宋"/>
          <w:kern w:val="2"/>
          <w:sz w:val="32"/>
          <w:szCs w:val="32"/>
          <w:highlight w:val="none"/>
          <w:u w:val="none"/>
          <w:lang w:val="en-US" w:eastAsia="zh-CN" w:bidi="ar-SA"/>
        </w:rPr>
        <w:t>进一步强化预算</w:t>
      </w:r>
      <w:r>
        <w:rPr>
          <w:rFonts w:hint="eastAsia" w:ascii="仿宋_GB2312" w:hAnsi="仿宋" w:eastAsia="仿宋_GB2312" w:cs="仿宋"/>
          <w:kern w:val="2"/>
          <w:sz w:val="32"/>
          <w:szCs w:val="32"/>
          <w:highlight w:val="none"/>
          <w:u w:val="none"/>
          <w:lang w:val="en-US" w:eastAsia="zh-CN" w:bidi="ar-SA"/>
        </w:rPr>
        <w:t>执行</w:t>
      </w:r>
      <w:r>
        <w:rPr>
          <w:rFonts w:hint="default" w:ascii="仿宋_GB2312" w:hAnsi="仿宋" w:eastAsia="仿宋_GB2312" w:cs="仿宋"/>
          <w:kern w:val="2"/>
          <w:sz w:val="32"/>
          <w:szCs w:val="32"/>
          <w:highlight w:val="none"/>
          <w:u w:val="none"/>
          <w:lang w:val="en-US" w:eastAsia="zh-CN" w:bidi="ar-SA"/>
        </w:rPr>
        <w:t>意识</w:t>
      </w:r>
      <w:r>
        <w:rPr>
          <w:rFonts w:hint="eastAsia" w:ascii="仿宋_GB2312" w:hAnsi="仿宋" w:eastAsia="仿宋_GB2312" w:cs="仿宋"/>
          <w:kern w:val="2"/>
          <w:sz w:val="32"/>
          <w:szCs w:val="32"/>
          <w:highlight w:val="none"/>
          <w:u w:val="none"/>
          <w:lang w:val="en-US" w:eastAsia="zh-CN" w:bidi="ar-SA"/>
        </w:rPr>
        <w:t xml:space="preserve">，高度重视预算执行工作重要性，合理安排工作，抓好推进落实，提高预算执行率。 </w:t>
      </w:r>
    </w:p>
    <w:p>
      <w:pPr>
        <w:pStyle w:val="2"/>
        <w:keepNext w:val="0"/>
        <w:keepLines w:val="0"/>
        <w:pageBreakBefore w:val="0"/>
        <w:widowControl w:val="0"/>
        <w:kinsoku/>
        <w:wordWrap/>
        <w:overflowPunct/>
        <w:topLinePunct w:val="0"/>
        <w:autoSpaceDE/>
        <w:autoSpaceDN/>
        <w:bidi w:val="0"/>
        <w:adjustRightInd/>
        <w:spacing w:line="540" w:lineRule="exact"/>
        <w:textAlignment w:val="auto"/>
        <w:rPr>
          <w:rFonts w:hint="default" w:ascii="仿宋_GB2312" w:hAnsi="仿宋" w:eastAsia="仿宋_GB2312" w:cs="仿宋"/>
          <w:kern w:val="2"/>
          <w:sz w:val="32"/>
          <w:szCs w:val="32"/>
          <w:highlight w:val="none"/>
          <w:u w:val="none"/>
          <w:lang w:val="en-US" w:eastAsia="zh-CN" w:bidi="ar-SA"/>
        </w:rPr>
      </w:pPr>
      <w:r>
        <w:rPr>
          <w:rFonts w:hint="eastAsia" w:ascii="仿宋_GB2312" w:hAnsi="仿宋" w:eastAsia="仿宋_GB2312" w:cs="仿宋"/>
          <w:kern w:val="2"/>
          <w:sz w:val="32"/>
          <w:szCs w:val="32"/>
          <w:highlight w:val="none"/>
          <w:u w:val="none"/>
          <w:lang w:val="en-US" w:eastAsia="zh-CN" w:bidi="ar-SA"/>
        </w:rPr>
        <w:t>（2）加强项目资金管理，积极推进工作进度，做到资金支付与时间同步，确保项目资金执行率达到考核要求。</w:t>
      </w:r>
    </w:p>
    <w:p>
      <w:pPr>
        <w:keepNext w:val="0"/>
        <w:keepLines w:val="0"/>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仿宋_GB2312" w:hAnsi="仿宋" w:eastAsia="仿宋_GB2312" w:cs="仿宋"/>
          <w:kern w:val="2"/>
          <w:sz w:val="32"/>
          <w:szCs w:val="32"/>
          <w:highlight w:val="none"/>
          <w:u w:val="none"/>
          <w:lang w:val="en-US" w:eastAsia="zh-CN" w:bidi="ar-SA"/>
        </w:rPr>
      </w:pPr>
      <w:r>
        <w:rPr>
          <w:rFonts w:hint="eastAsia" w:ascii="仿宋_GB2312" w:hAnsi="仿宋" w:eastAsia="仿宋_GB2312" w:cs="仿宋"/>
          <w:kern w:val="2"/>
          <w:sz w:val="32"/>
          <w:szCs w:val="32"/>
          <w:highlight w:val="none"/>
          <w:u w:val="none"/>
          <w:lang w:val="en-US" w:eastAsia="zh-CN" w:bidi="ar-SA"/>
        </w:rPr>
        <w:t>4</w:t>
      </w:r>
      <w:r>
        <w:rPr>
          <w:rFonts w:hint="eastAsia" w:ascii="仿宋_GB2312" w:hAnsi="仿宋" w:cs="仿宋"/>
          <w:kern w:val="2"/>
          <w:sz w:val="32"/>
          <w:szCs w:val="32"/>
          <w:highlight w:val="none"/>
          <w:u w:val="none"/>
          <w:lang w:val="en-US" w:eastAsia="zh-CN" w:bidi="ar-SA"/>
        </w:rPr>
        <w:t>.</w:t>
      </w:r>
      <w:r>
        <w:rPr>
          <w:rFonts w:hint="eastAsia" w:ascii="仿宋_GB2312" w:hAnsi="仿宋" w:eastAsia="仿宋_GB2312" w:cs="仿宋"/>
          <w:kern w:val="2"/>
          <w:sz w:val="32"/>
          <w:szCs w:val="32"/>
          <w:highlight w:val="none"/>
          <w:u w:val="none"/>
          <w:lang w:val="en-US" w:eastAsia="zh-CN" w:bidi="ar-SA"/>
        </w:rPr>
        <w:t>下年预算安排应用情况</w:t>
      </w:r>
    </w:p>
    <w:p>
      <w:pPr>
        <w:keepNext w:val="0"/>
        <w:keepLines w:val="0"/>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仿宋_GB2312" w:hAnsi="仿宋" w:eastAsia="仿宋_GB2312" w:cs="仿宋"/>
          <w:kern w:val="2"/>
          <w:sz w:val="32"/>
          <w:szCs w:val="32"/>
          <w:highlight w:val="none"/>
          <w:u w:val="none"/>
          <w:lang w:val="en-US" w:eastAsia="zh-CN" w:bidi="ar-SA"/>
        </w:rPr>
      </w:pPr>
      <w:r>
        <w:rPr>
          <w:rFonts w:hint="eastAsia" w:ascii="仿宋_GB2312" w:hAnsi="仿宋" w:eastAsia="仿宋_GB2312" w:cs="仿宋"/>
          <w:kern w:val="2"/>
          <w:sz w:val="32"/>
          <w:szCs w:val="32"/>
          <w:highlight w:val="none"/>
          <w:u w:val="none"/>
          <w:lang w:val="en-US" w:eastAsia="zh-CN" w:bidi="ar-SA"/>
        </w:rPr>
        <w:t>（1）</w:t>
      </w:r>
      <w:r>
        <w:rPr>
          <w:rFonts w:hint="default" w:ascii="仿宋_GB2312" w:hAnsi="仿宋" w:eastAsia="仿宋_GB2312" w:cs="仿宋"/>
          <w:kern w:val="2"/>
          <w:sz w:val="32"/>
          <w:szCs w:val="32"/>
          <w:highlight w:val="none"/>
          <w:u w:val="none"/>
          <w:lang w:val="en-US" w:eastAsia="zh-CN" w:bidi="ar-SA"/>
        </w:rPr>
        <w:t>强化预算意识</w:t>
      </w:r>
      <w:r>
        <w:rPr>
          <w:rFonts w:hint="eastAsia" w:ascii="仿宋_GB2312" w:hAnsi="仿宋" w:eastAsia="仿宋_GB2312" w:cs="仿宋"/>
          <w:kern w:val="2"/>
          <w:sz w:val="32"/>
          <w:szCs w:val="32"/>
          <w:highlight w:val="none"/>
          <w:u w:val="none"/>
          <w:lang w:val="en-US" w:eastAsia="zh-CN" w:bidi="ar-SA"/>
        </w:rPr>
        <w:t>，提升预算执行效率</w:t>
      </w:r>
      <w:r>
        <w:rPr>
          <w:rFonts w:hint="default" w:ascii="仿宋_GB2312" w:hAnsi="仿宋" w:eastAsia="仿宋_GB2312" w:cs="仿宋"/>
          <w:kern w:val="2"/>
          <w:sz w:val="32"/>
          <w:szCs w:val="32"/>
          <w:highlight w:val="none"/>
          <w:u w:val="none"/>
          <w:lang w:val="en-US" w:eastAsia="zh-CN" w:bidi="ar-SA"/>
        </w:rPr>
        <w:t>。</w:t>
      </w:r>
      <w:r>
        <w:rPr>
          <w:rFonts w:hint="eastAsia" w:ascii="仿宋_GB2312" w:hAnsi="仿宋" w:eastAsia="仿宋_GB2312" w:cs="仿宋"/>
          <w:kern w:val="2"/>
          <w:sz w:val="32"/>
          <w:szCs w:val="32"/>
          <w:highlight w:val="none"/>
          <w:u w:val="none"/>
          <w:lang w:val="en-US" w:eastAsia="zh-CN" w:bidi="ar-SA"/>
        </w:rPr>
        <w:t>各责任科室要进一步强化预算意识，正确认识预算管理要义，根据年度工作任务合理编制预算，预算批复后更要根据工作任务合理安排支出进度。以年度预算执行率达到100%为目标，以各项财务制度为准绳，以预算绩效考核各项指标为基准，共同完成好单位年度整体预算执行工作。</w:t>
      </w:r>
    </w:p>
    <w:p>
      <w:pPr>
        <w:keepNext w:val="0"/>
        <w:keepLines w:val="0"/>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仿宋_GB2312" w:hAnsi="仿宋_GB2312" w:cs="仿宋_GB2312"/>
          <w:szCs w:val="32"/>
          <w:lang w:val="en-US" w:eastAsia="zh-CN"/>
        </w:rPr>
      </w:pPr>
      <w:r>
        <w:rPr>
          <w:rFonts w:hint="eastAsia" w:ascii="仿宋_GB2312" w:hAnsi="仿宋" w:eastAsia="仿宋_GB2312" w:cs="仿宋"/>
          <w:kern w:val="2"/>
          <w:sz w:val="32"/>
          <w:szCs w:val="32"/>
          <w:highlight w:val="none"/>
          <w:u w:val="none"/>
          <w:lang w:val="en-US" w:eastAsia="zh-CN" w:bidi="ar-SA"/>
        </w:rPr>
        <w:t>（2）严格财政支出管理，强化预算约束。严格执行批复预算，坚持先有预算后有支出，严禁无预算超预算扩大范围支出。坚决落实过“紧日子”要求，认真贯彻厉行节约反对浪费相关精神，坚持精打细算勤俭节约，严控“三公”经费、会议费、培训费等重点支出，严格支出范围及标准。加强公务活动事前预算审核，严格报销流程审核，对于报销凭</w:t>
      </w:r>
      <w:r>
        <w:rPr>
          <w:rFonts w:hint="eastAsia" w:ascii="仿宋_GB2312" w:hAnsi="仿宋_GB2312" w:cs="仿宋_GB2312"/>
          <w:szCs w:val="32"/>
          <w:lang w:val="en-US" w:eastAsia="zh-CN"/>
        </w:rPr>
        <w:t>证不齐全、不规范的不予结算。加强政府采购管理，按照年度预算安排认真组织实施政府采购，并严格落实政府采购的公告、合同签订、备案、公示、验收等环节的相关要求。</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szCs w:val="32"/>
          <w:lang w:val="en-US" w:eastAsia="zh-CN"/>
        </w:rPr>
      </w:pPr>
      <w:r>
        <w:rPr>
          <w:rFonts w:hint="eastAsia" w:ascii="仿宋_GB2312" w:hAnsi="仿宋_GB2312" w:cs="仿宋_GB2312"/>
          <w:szCs w:val="32"/>
          <w:lang w:val="en-US" w:eastAsia="zh-CN"/>
        </w:rPr>
        <w:t>（3）加强日常风险防范。各项收支严格执行财经法规及制度，杜绝不规范支出行为，减少不规范事项发生，对日常报销中存在的问题，整理归集后，定期下发相关工作提示，从源头防范风险。</w:t>
      </w:r>
    </w:p>
    <w:p>
      <w:pPr>
        <w:keepNext w:val="0"/>
        <w:keepLines w:val="0"/>
        <w:pageBreakBefore w:val="0"/>
        <w:kinsoku/>
        <w:overflowPunct/>
        <w:autoSpaceDE/>
        <w:autoSpaceDN/>
        <w:bidi w:val="0"/>
        <w:spacing w:line="540" w:lineRule="exact"/>
        <w:ind w:firstLine="640" w:firstLineChars="200"/>
        <w:textAlignment w:val="auto"/>
        <w:rPr>
          <w:rFonts w:hint="eastAsia" w:ascii="CESI楷体-GB18030" w:hAnsi="CESI楷体-GB18030" w:eastAsia="CESI楷体-GB18030" w:cs="CESI楷体-GB18030"/>
          <w:szCs w:val="32"/>
        </w:rPr>
      </w:pPr>
      <w:r>
        <w:rPr>
          <w:rFonts w:hint="eastAsia" w:ascii="CESI楷体-GB18030" w:hAnsi="CESI楷体-GB18030" w:eastAsia="CESI楷体-GB18030" w:cs="CESI楷体-GB18030"/>
          <w:szCs w:val="32"/>
        </w:rPr>
        <w:t>（二）部门决算中项目绩效自评结果</w:t>
      </w:r>
    </w:p>
    <w:p>
      <w:pPr>
        <w:keepNext w:val="0"/>
        <w:keepLines w:val="0"/>
        <w:pageBreakBefore w:val="0"/>
        <w:kinsoku/>
        <w:overflowPunct/>
        <w:autoSpaceDE/>
        <w:autoSpaceDN/>
        <w:bidi w:val="0"/>
        <w:spacing w:line="540" w:lineRule="exact"/>
        <w:ind w:firstLine="640" w:firstLineChars="200"/>
        <w:textAlignment w:val="auto"/>
        <w:rPr>
          <w:rFonts w:hint="eastAsia" w:ascii="仿宋_GB2312" w:hAnsi="仿宋_GB2312" w:cs="仿宋_GB2312"/>
          <w:szCs w:val="32"/>
          <w:lang w:val="en-US" w:eastAsia="zh-CN"/>
        </w:rPr>
      </w:pPr>
      <w:r>
        <w:rPr>
          <w:rFonts w:hint="eastAsia" w:ascii="仿宋_GB2312" w:hAnsi="仿宋_GB2312" w:cs="仿宋_GB2312"/>
          <w:szCs w:val="32"/>
          <w:lang w:eastAsia="zh-CN"/>
        </w:rPr>
        <w:t>本部门</w:t>
      </w:r>
      <w:r>
        <w:rPr>
          <w:rFonts w:hint="eastAsia" w:ascii="仿宋_GB2312" w:hAnsi="仿宋_GB2312" w:cs="仿宋_GB2312"/>
          <w:szCs w:val="32"/>
          <w:lang w:val="en-US" w:eastAsia="zh-CN"/>
        </w:rPr>
        <w:t>2023年无特定目标类</w:t>
      </w:r>
      <w:r>
        <w:rPr>
          <w:rFonts w:hint="eastAsia" w:ascii="仿宋_GB2312" w:hAnsi="仿宋_GB2312" w:cs="仿宋_GB2312"/>
          <w:szCs w:val="32"/>
        </w:rPr>
        <w:t>项目</w:t>
      </w:r>
      <w:r>
        <w:rPr>
          <w:rFonts w:hint="eastAsia" w:ascii="仿宋_GB2312" w:hAnsi="仿宋_GB2312" w:cs="仿宋_GB2312"/>
          <w:szCs w:val="32"/>
          <w:lang w:eastAsia="zh-CN"/>
        </w:rPr>
        <w:t>，</w:t>
      </w:r>
      <w:r>
        <w:rPr>
          <w:rFonts w:hint="eastAsia" w:ascii="仿宋_GB2312" w:hAnsi="仿宋_GB2312" w:cs="仿宋_GB2312"/>
          <w:szCs w:val="32"/>
          <w:lang w:val="en-US" w:eastAsia="zh-CN"/>
        </w:rPr>
        <w:t>因此未开展项目绩效自评。</w:t>
      </w:r>
    </w:p>
    <w:p>
      <w:pPr>
        <w:keepNext w:val="0"/>
        <w:keepLines w:val="0"/>
        <w:pageBreakBefore w:val="0"/>
        <w:kinsoku/>
        <w:overflowPunct/>
        <w:autoSpaceDE/>
        <w:autoSpaceDN/>
        <w:bidi w:val="0"/>
        <w:spacing w:line="540" w:lineRule="exact"/>
        <w:ind w:firstLine="640" w:firstLineChars="200"/>
        <w:textAlignment w:val="auto"/>
        <w:rPr>
          <w:rFonts w:hint="eastAsia" w:ascii="CESI楷体-GB18030" w:hAnsi="CESI楷体-GB18030" w:eastAsia="CESI楷体-GB18030" w:cs="CESI楷体-GB18030"/>
          <w:szCs w:val="32"/>
        </w:rPr>
      </w:pPr>
      <w:r>
        <w:rPr>
          <w:rFonts w:hint="eastAsia" w:ascii="CESI楷体-GB18030" w:hAnsi="CESI楷体-GB18030" w:eastAsia="CESI楷体-GB18030" w:cs="CESI楷体-GB18030"/>
          <w:szCs w:val="32"/>
        </w:rPr>
        <w:t>（三）绩效评价结果应用情况</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 w:eastAsia="仿宋_GB2312" w:cs="仿宋"/>
          <w:kern w:val="2"/>
          <w:sz w:val="32"/>
          <w:szCs w:val="32"/>
          <w:highlight w:val="none"/>
          <w:u w:val="none"/>
          <w:lang w:val="en-US" w:eastAsia="zh-CN" w:bidi="ar-SA"/>
        </w:rPr>
      </w:pPr>
      <w:r>
        <w:rPr>
          <w:rFonts w:hint="eastAsia" w:ascii="仿宋_GB2312" w:hAnsi="仿宋_GB2312" w:cs="仿宋_GB2312"/>
          <w:szCs w:val="32"/>
          <w:lang w:val="en-US" w:eastAsia="zh-CN"/>
        </w:rPr>
        <w:t>1.部门决算公开时已经应用的情况。一是进一步强化</w:t>
      </w:r>
      <w:r>
        <w:rPr>
          <w:rFonts w:hint="default" w:ascii="仿宋_GB2312" w:hAnsi="仿宋_GB2312" w:cs="仿宋_GB2312"/>
          <w:szCs w:val="32"/>
          <w:lang w:val="en-US" w:eastAsia="zh-CN"/>
        </w:rPr>
        <w:t>预算意识。牢固树立预算意识，切实强化预算约束，做到无预算不开支，经费支出严格落实“先预算，后支出”的原则，</w:t>
      </w:r>
      <w:r>
        <w:rPr>
          <w:rFonts w:hint="default" w:ascii="仿宋_GB2312" w:hAnsi="仿宋" w:eastAsia="仿宋_GB2312" w:cs="仿宋"/>
          <w:kern w:val="2"/>
          <w:sz w:val="32"/>
          <w:szCs w:val="32"/>
          <w:highlight w:val="none"/>
          <w:u w:val="none"/>
          <w:lang w:val="en-US" w:eastAsia="zh-CN" w:bidi="ar-SA"/>
        </w:rPr>
        <w:t>不超预算安排和报销经费开支</w:t>
      </w:r>
      <w:r>
        <w:rPr>
          <w:rFonts w:hint="eastAsia" w:ascii="仿宋_GB2312" w:hAnsi="仿宋" w:eastAsia="仿宋_GB2312" w:cs="仿宋"/>
          <w:kern w:val="2"/>
          <w:sz w:val="32"/>
          <w:szCs w:val="32"/>
          <w:highlight w:val="none"/>
          <w:u w:val="none"/>
          <w:lang w:val="en-US" w:eastAsia="zh-CN" w:bidi="ar-SA"/>
        </w:rPr>
        <w:t>；二是进一步落实</w:t>
      </w:r>
      <w:r>
        <w:rPr>
          <w:rFonts w:hint="default" w:ascii="仿宋_GB2312" w:hAnsi="仿宋" w:eastAsia="仿宋_GB2312" w:cs="仿宋"/>
          <w:kern w:val="2"/>
          <w:sz w:val="32"/>
          <w:szCs w:val="32"/>
          <w:highlight w:val="none"/>
          <w:u w:val="none"/>
          <w:lang w:val="en-US" w:eastAsia="zh-CN" w:bidi="ar-SA"/>
        </w:rPr>
        <w:t>反馈督促。继续落实推进绩效运行跟踪监控机制，财务科将经批复的年初预算细化后下发各科室，并定期向各科室反馈预算执行情况，及时做好工作提醒，促进相关工作落实，进一步强化了预算约束力。</w:t>
      </w:r>
    </w:p>
    <w:p>
      <w:pPr>
        <w:pStyle w:val="3"/>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 w:eastAsia="仿宋_GB2312" w:cs="仿宋"/>
          <w:kern w:val="2"/>
          <w:sz w:val="32"/>
          <w:szCs w:val="32"/>
          <w:highlight w:val="none"/>
          <w:u w:val="none"/>
          <w:lang w:val="en-US" w:eastAsia="zh-CN" w:bidi="ar-SA"/>
        </w:rPr>
        <w:t>2.</w:t>
      </w:r>
      <w:bookmarkStart w:id="16" w:name="_GoBack"/>
      <w:bookmarkEnd w:id="16"/>
      <w:r>
        <w:rPr>
          <w:rFonts w:hint="eastAsia" w:ascii="仿宋_GB2312" w:hAnsi="仿宋_GB2312" w:eastAsia="仿宋_GB2312" w:cs="仿宋_GB2312"/>
          <w:kern w:val="2"/>
          <w:sz w:val="32"/>
          <w:szCs w:val="32"/>
          <w:lang w:val="en-US" w:eastAsia="zh-CN" w:bidi="ar-SA"/>
        </w:rPr>
        <w:t>部门绩效评价结果拟应用情况。一是进一步做好预算编制工作、切实提高预算编制的合理性、准确性；二是增强全员预算执行意识，做到“齐抓共管”，确保预算得到有效执行；三是加强项目规划、进一步完善项目分配和管理办法。</w:t>
      </w:r>
    </w:p>
    <w:p>
      <w:pPr>
        <w:keepNext w:val="0"/>
        <w:keepLines w:val="0"/>
        <w:pageBreakBefore w:val="0"/>
        <w:kinsoku/>
        <w:overflowPunct/>
        <w:autoSpaceDE/>
        <w:autoSpaceDN/>
        <w:bidi w:val="0"/>
        <w:spacing w:line="540" w:lineRule="exact"/>
        <w:ind w:firstLine="640"/>
        <w:jc w:val="center"/>
        <w:textAlignment w:val="auto"/>
        <w:rPr>
          <w:rFonts w:hint="eastAsia" w:ascii="黑体" w:hAnsi="黑体" w:eastAsia="黑体" w:cs="黑体"/>
          <w:szCs w:val="32"/>
          <w:lang w:val="en-US" w:eastAsia="zh-CN"/>
        </w:rPr>
      </w:pPr>
      <w:r>
        <w:rPr>
          <w:rFonts w:hint="eastAsia" w:ascii="黑体" w:hAnsi="黑体" w:eastAsia="黑体" w:cs="黑体"/>
          <w:szCs w:val="32"/>
          <w:lang w:val="en-US" w:eastAsia="zh-CN"/>
        </w:rPr>
        <w:t>第四部分 其他需要说明的情况</w:t>
      </w:r>
    </w:p>
    <w:p>
      <w:pPr>
        <w:keepNext w:val="0"/>
        <w:keepLines w:val="0"/>
        <w:pageBreakBefore w:val="0"/>
        <w:kinsoku/>
        <w:overflowPunct/>
        <w:autoSpaceDE/>
        <w:autoSpaceDN/>
        <w:bidi w:val="0"/>
        <w:spacing w:line="540" w:lineRule="exact"/>
        <w:ind w:firstLine="640"/>
        <w:textAlignment w:val="auto"/>
        <w:rPr>
          <w:rFonts w:hint="default" w:ascii="仿宋_GB2312" w:hAnsi="仿宋" w:cs="仿宋"/>
          <w:szCs w:val="32"/>
          <w:highlight w:val="yellow"/>
          <w:lang w:val="en-US" w:eastAsia="zh-CN"/>
        </w:rPr>
      </w:pPr>
      <w:r>
        <w:rPr>
          <w:rFonts w:hint="eastAsia" w:ascii="仿宋_GB2312" w:hAnsi="仿宋" w:cs="仿宋"/>
          <w:szCs w:val="32"/>
          <w:lang w:val="en-US" w:eastAsia="zh-CN"/>
        </w:rPr>
        <w:t>本部门无需其他需要说明的情况</w:t>
      </w:r>
      <w:r>
        <w:rPr>
          <w:rFonts w:hint="eastAsia" w:ascii="仿宋_GB2312" w:hAnsi="仿宋" w:cs="仿宋"/>
          <w:szCs w:val="32"/>
          <w:highlight w:val="none"/>
          <w:lang w:val="en-US" w:eastAsia="zh-CN"/>
        </w:rPr>
        <w:t>。</w:t>
      </w:r>
    </w:p>
    <w:p>
      <w:pPr>
        <w:keepNext w:val="0"/>
        <w:keepLines w:val="0"/>
        <w:pageBreakBefore w:val="0"/>
        <w:kinsoku/>
        <w:overflowPunct/>
        <w:autoSpaceDE/>
        <w:autoSpaceDN/>
        <w:bidi w:val="0"/>
        <w:spacing w:line="540" w:lineRule="exact"/>
        <w:ind w:firstLine="640"/>
        <w:jc w:val="center"/>
        <w:textAlignment w:val="auto"/>
        <w:rPr>
          <w:rFonts w:hint="eastAsia" w:ascii="黑体" w:hAnsi="黑体" w:eastAsia="黑体" w:cs="黑体"/>
          <w:szCs w:val="32"/>
        </w:rPr>
      </w:pPr>
      <w:r>
        <w:rPr>
          <w:rFonts w:hint="eastAsia" w:ascii="黑体" w:hAnsi="黑体" w:eastAsia="黑体" w:cs="黑体"/>
          <w:szCs w:val="32"/>
        </w:rPr>
        <w:t>第五部分  名词解释</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bCs/>
          <w:kern w:val="44"/>
          <w:szCs w:val="32"/>
        </w:rPr>
        <w:t>(一)一般公共预算财政拨款收入：</w:t>
      </w:r>
      <w:r>
        <w:rPr>
          <w:rFonts w:ascii="仿宋_GB2312"/>
          <w:bCs/>
          <w:kern w:val="44"/>
          <w:szCs w:val="32"/>
        </w:rPr>
        <w:t>指</w:t>
      </w:r>
      <w:r>
        <w:rPr>
          <w:rFonts w:hint="eastAsia" w:ascii="仿宋_GB2312"/>
          <w:bCs/>
          <w:kern w:val="44"/>
          <w:szCs w:val="32"/>
        </w:rPr>
        <w:t>省级</w:t>
      </w:r>
      <w:r>
        <w:rPr>
          <w:rFonts w:ascii="仿宋_GB2312"/>
          <w:bCs/>
          <w:kern w:val="44"/>
          <w:szCs w:val="32"/>
        </w:rPr>
        <w:t>财政</w:t>
      </w:r>
      <w:r>
        <w:rPr>
          <w:rFonts w:hint="eastAsia" w:ascii="仿宋_GB2312"/>
          <w:bCs/>
          <w:kern w:val="44"/>
          <w:szCs w:val="32"/>
        </w:rPr>
        <w:t>一般公共预算</w:t>
      </w:r>
      <w:r>
        <w:rPr>
          <w:rFonts w:ascii="仿宋_GB2312"/>
          <w:bCs/>
          <w:kern w:val="44"/>
          <w:szCs w:val="32"/>
        </w:rPr>
        <w:t>当年拨付的</w:t>
      </w:r>
      <w:r>
        <w:rPr>
          <w:rFonts w:hint="eastAsia" w:ascii="仿宋_GB2312"/>
          <w:bCs/>
          <w:kern w:val="44"/>
          <w:szCs w:val="32"/>
        </w:rPr>
        <w:t>资金。</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bCs/>
          <w:kern w:val="44"/>
          <w:szCs w:val="32"/>
        </w:rPr>
        <w:t>(二)政府性基金预算财政拨款收入：</w:t>
      </w:r>
      <w:r>
        <w:rPr>
          <w:rFonts w:ascii="仿宋_GB2312"/>
          <w:bCs/>
          <w:kern w:val="44"/>
          <w:szCs w:val="32"/>
        </w:rPr>
        <w:t>指</w:t>
      </w:r>
      <w:r>
        <w:rPr>
          <w:rFonts w:hint="eastAsia" w:ascii="仿宋_GB2312"/>
          <w:bCs/>
          <w:kern w:val="44"/>
          <w:szCs w:val="32"/>
        </w:rPr>
        <w:t>省级</w:t>
      </w:r>
      <w:r>
        <w:rPr>
          <w:rFonts w:ascii="仿宋_GB2312"/>
          <w:bCs/>
          <w:kern w:val="44"/>
          <w:szCs w:val="32"/>
        </w:rPr>
        <w:t>财政</w:t>
      </w:r>
      <w:r>
        <w:rPr>
          <w:rFonts w:hint="eastAsia" w:ascii="仿宋_GB2312"/>
          <w:bCs/>
          <w:kern w:val="44"/>
          <w:szCs w:val="32"/>
        </w:rPr>
        <w:t>政府性基金预算</w:t>
      </w:r>
      <w:r>
        <w:rPr>
          <w:rFonts w:ascii="仿宋_GB2312"/>
          <w:bCs/>
          <w:kern w:val="44"/>
          <w:szCs w:val="32"/>
        </w:rPr>
        <w:t>当年拨付的</w:t>
      </w:r>
      <w:r>
        <w:rPr>
          <w:rFonts w:hint="eastAsia" w:ascii="仿宋_GB2312"/>
          <w:bCs/>
          <w:kern w:val="44"/>
          <w:szCs w:val="32"/>
        </w:rPr>
        <w:t>资金。</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bCs/>
          <w:kern w:val="44"/>
          <w:szCs w:val="32"/>
        </w:rPr>
        <w:t>(三)国有资本经营预算财政拨款收入：指省级财政国有资本经营预算当年拨付的资金。</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highlight w:val="yellow"/>
        </w:rPr>
      </w:pPr>
      <w:r>
        <w:rPr>
          <w:rFonts w:hint="eastAsia" w:ascii="仿宋_GB2312"/>
          <w:bCs/>
          <w:kern w:val="44"/>
          <w:szCs w:val="32"/>
        </w:rPr>
        <w:t>(四)上级补助收入：指从</w:t>
      </w:r>
      <w:r>
        <w:rPr>
          <w:rFonts w:hint="eastAsia" w:ascii="仿宋_GB2312" w:hAnsi="宋体"/>
          <w:szCs w:val="32"/>
        </w:rPr>
        <w:t>事业单位</w:t>
      </w:r>
      <w:r>
        <w:rPr>
          <w:rFonts w:hint="eastAsia" w:ascii="仿宋_GB2312"/>
          <w:bCs/>
          <w:kern w:val="44"/>
          <w:szCs w:val="32"/>
        </w:rPr>
        <w:t>主管部门和上级单位取得的非财政补助收入。</w:t>
      </w:r>
    </w:p>
    <w:p>
      <w:pPr>
        <w:keepNext w:val="0"/>
        <w:keepLines w:val="0"/>
        <w:pageBreakBefore w:val="0"/>
        <w:kinsoku/>
        <w:overflowPunct/>
        <w:autoSpaceDE/>
        <w:autoSpaceDN/>
        <w:bidi w:val="0"/>
        <w:snapToGrid w:val="0"/>
        <w:spacing w:line="540" w:lineRule="exact"/>
        <w:ind w:firstLine="640" w:firstLineChars="200"/>
        <w:textAlignment w:val="auto"/>
        <w:rPr>
          <w:rFonts w:hint="eastAsia" w:ascii="仿宋_GB2312"/>
          <w:bCs/>
          <w:kern w:val="44"/>
          <w:szCs w:val="32"/>
          <w:highlight w:val="yellow"/>
        </w:rPr>
      </w:pPr>
      <w:r>
        <w:rPr>
          <w:rFonts w:hint="eastAsia" w:ascii="仿宋_GB2312"/>
          <w:bCs/>
          <w:kern w:val="44"/>
          <w:szCs w:val="32"/>
        </w:rPr>
        <w:t>(五)事业收入：指事业单位开展专业业务活动及其辅助活动取得的收入。</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highlight w:val="yellow"/>
        </w:rPr>
      </w:pPr>
      <w:r>
        <w:rPr>
          <w:rFonts w:hint="eastAsia" w:ascii="仿宋_GB2312"/>
          <w:bCs/>
          <w:kern w:val="44"/>
          <w:szCs w:val="32"/>
        </w:rPr>
        <w:t>(六)经营收入：指事业单位在专业业务活动及其辅助活动之外开展非独立核算经营活动取得的收入。</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hAnsi="宋体"/>
          <w:szCs w:val="32"/>
          <w:highlight w:val="yellow"/>
        </w:rPr>
      </w:pPr>
      <w:r>
        <w:rPr>
          <w:rFonts w:hint="eastAsia" w:ascii="仿宋_GB2312"/>
          <w:bCs/>
          <w:kern w:val="44"/>
          <w:szCs w:val="32"/>
        </w:rPr>
        <w:t>(七)其他收入：指</w:t>
      </w:r>
      <w:r>
        <w:rPr>
          <w:rFonts w:hint="eastAsia" w:ascii="仿宋_GB2312" w:hAnsi="宋体"/>
          <w:szCs w:val="32"/>
        </w:rPr>
        <w:t>单位取得的除上述“一般公共预算财政拨款收入”、“政府性基金</w:t>
      </w:r>
      <w:r>
        <w:rPr>
          <w:rFonts w:hint="eastAsia" w:ascii="仿宋_GB2312"/>
          <w:spacing w:val="6"/>
          <w:szCs w:val="32"/>
        </w:rPr>
        <w:t>预算</w:t>
      </w:r>
      <w:r>
        <w:rPr>
          <w:rFonts w:hint="eastAsia" w:ascii="仿宋_GB2312"/>
          <w:bCs/>
          <w:kern w:val="44"/>
          <w:szCs w:val="32"/>
        </w:rPr>
        <w:t>财政拨款收入</w:t>
      </w:r>
      <w:r>
        <w:rPr>
          <w:rFonts w:hint="eastAsia" w:ascii="仿宋_GB2312" w:hAnsi="宋体"/>
          <w:szCs w:val="32"/>
        </w:rPr>
        <w:t>”、“</w:t>
      </w:r>
      <w:r>
        <w:rPr>
          <w:rFonts w:hint="eastAsia" w:ascii="仿宋_GB2312"/>
          <w:bCs/>
          <w:kern w:val="44"/>
          <w:szCs w:val="32"/>
        </w:rPr>
        <w:t>国有资本经营预算财政拨款收入</w:t>
      </w:r>
      <w:r>
        <w:rPr>
          <w:rFonts w:hint="eastAsia" w:ascii="仿宋_GB2312" w:hAnsi="宋体"/>
          <w:szCs w:val="32"/>
        </w:rPr>
        <w:t>”、“</w:t>
      </w:r>
      <w:r>
        <w:rPr>
          <w:rFonts w:hint="eastAsia" w:ascii="仿宋_GB2312"/>
          <w:bCs/>
          <w:kern w:val="44"/>
          <w:szCs w:val="32"/>
        </w:rPr>
        <w:t>上级补助收入</w:t>
      </w:r>
      <w:r>
        <w:rPr>
          <w:rFonts w:hint="eastAsia" w:ascii="仿宋_GB2312" w:hAnsi="宋体"/>
          <w:szCs w:val="32"/>
        </w:rPr>
        <w:t>”、“事业收入”、“经营收入”等收入以外的各项收入。（该</w:t>
      </w:r>
      <w:r>
        <w:rPr>
          <w:rFonts w:hint="eastAsia" w:ascii="仿宋" w:hAnsi="仿宋" w:eastAsia="仿宋" w:cs="仿宋"/>
          <w:szCs w:val="32"/>
        </w:rPr>
        <w:t>项名词解释中“上述……等收入”请依据部门收入的实际情况进行解释</w:t>
      </w:r>
      <w:r>
        <w:rPr>
          <w:rFonts w:hint="eastAsia" w:ascii="仿宋_GB2312" w:hAnsi="宋体"/>
          <w:szCs w:val="32"/>
        </w:rPr>
        <w:t>）</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hAnsi="仿宋_GB2312"/>
          <w:color w:val="000000"/>
        </w:rPr>
      </w:pPr>
      <w:r>
        <w:rPr>
          <w:rFonts w:hint="eastAsia" w:ascii="仿宋_GB2312"/>
          <w:bCs/>
          <w:kern w:val="44"/>
          <w:szCs w:val="32"/>
        </w:rPr>
        <w:t>(八)使用非财政拨款结余和专用结余：</w:t>
      </w:r>
      <w:r>
        <w:rPr>
          <w:rFonts w:ascii="仿宋_GB2312" w:hAnsi="仿宋_GB2312"/>
          <w:color w:val="000000"/>
        </w:rPr>
        <w:t>指事业单位</w:t>
      </w:r>
      <w:r>
        <w:rPr>
          <w:rFonts w:hint="eastAsia" w:ascii="仿宋_GB2312" w:hAnsi="仿宋_GB2312"/>
          <w:color w:val="000000"/>
        </w:rPr>
        <w:t>按照预算管理要求使用非财政拨款结余弥补收支差额的金额，以及使用专用结余安排支出的金额。</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highlight w:val="yellow"/>
        </w:rPr>
      </w:pPr>
      <w:r>
        <w:rPr>
          <w:rFonts w:hint="eastAsia" w:ascii="仿宋_GB2312"/>
          <w:bCs/>
          <w:kern w:val="44"/>
          <w:szCs w:val="32"/>
        </w:rPr>
        <w:t>(九)年初结转和结余：</w:t>
      </w:r>
      <w:r>
        <w:rPr>
          <w:rFonts w:ascii="仿宋_GB2312" w:hAnsi="仿宋_GB2312"/>
          <w:color w:val="000000"/>
        </w:rPr>
        <w:t>指</w:t>
      </w:r>
      <w:r>
        <w:rPr>
          <w:rFonts w:hint="eastAsia" w:ascii="仿宋_GB2312" w:hAnsi="仿宋_GB2312"/>
          <w:color w:val="000000"/>
        </w:rPr>
        <w:t>单位</w:t>
      </w:r>
      <w:r>
        <w:rPr>
          <w:rFonts w:ascii="仿宋_GB2312" w:hAnsi="仿宋_GB2312"/>
          <w:color w:val="000000"/>
        </w:rPr>
        <w:t>以前年度</w:t>
      </w:r>
      <w:r>
        <w:rPr>
          <w:rFonts w:hint="eastAsia" w:ascii="仿宋_GB2312" w:hAnsi="仿宋_GB2312"/>
          <w:color w:val="000000"/>
        </w:rPr>
        <w:t>尚未完成</w:t>
      </w:r>
      <w:r>
        <w:rPr>
          <w:rFonts w:ascii="仿宋_GB2312" w:hAnsi="仿宋_GB2312"/>
          <w:color w:val="000000"/>
        </w:rPr>
        <w:t>、结转到本年仍按原规定用途继续使用的资金</w:t>
      </w:r>
      <w:r>
        <w:rPr>
          <w:rFonts w:hint="eastAsia" w:ascii="仿宋_GB2312" w:hAnsi="仿宋_GB2312"/>
          <w:color w:val="000000"/>
        </w:rPr>
        <w:t>，或项目已完成等产生的结余资金</w:t>
      </w:r>
      <w:r>
        <w:rPr>
          <w:rFonts w:ascii="仿宋_GB2312" w:hAnsi="仿宋_GB2312"/>
          <w:color w:val="000000"/>
        </w:rPr>
        <w:t>。</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bCs/>
          <w:kern w:val="44"/>
          <w:szCs w:val="32"/>
        </w:rPr>
        <w:t>(十)结余分配：指事业单位按照会计制度规定缴纳的企业所得税、提取的专用结余以及转入非财政拨款结余的金额等。</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szCs w:val="32"/>
        </w:rPr>
      </w:pPr>
      <w:r>
        <w:rPr>
          <w:rFonts w:hint="eastAsia" w:ascii="仿宋_GB2312"/>
          <w:bCs/>
          <w:kern w:val="44"/>
          <w:szCs w:val="32"/>
        </w:rPr>
        <w:t>(十</w:t>
      </w:r>
      <w:r>
        <w:rPr>
          <w:rFonts w:hint="eastAsia" w:ascii="仿宋_GB2312"/>
          <w:bCs/>
          <w:kern w:val="44"/>
          <w:szCs w:val="32"/>
          <w:lang w:val="en-US" w:eastAsia="zh-CN"/>
        </w:rPr>
        <w:t>一</w:t>
      </w:r>
      <w:r>
        <w:rPr>
          <w:rFonts w:hint="eastAsia" w:ascii="仿宋_GB2312"/>
          <w:bCs/>
          <w:kern w:val="44"/>
          <w:szCs w:val="32"/>
        </w:rPr>
        <w:t>)年末结转和结余：指单位按有关规定结转到下年或以后年度继续使用的资金，或项目已完成等产生的结余资金。</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bCs/>
          <w:kern w:val="44"/>
          <w:szCs w:val="32"/>
        </w:rPr>
        <w:t>(十</w:t>
      </w:r>
      <w:r>
        <w:rPr>
          <w:rFonts w:hint="eastAsia" w:ascii="仿宋_GB2312"/>
          <w:bCs/>
          <w:kern w:val="44"/>
          <w:szCs w:val="32"/>
          <w:lang w:val="en-US" w:eastAsia="zh-CN"/>
        </w:rPr>
        <w:t>二</w:t>
      </w:r>
      <w:r>
        <w:rPr>
          <w:rFonts w:hint="eastAsia" w:ascii="仿宋_GB2312"/>
          <w:bCs/>
          <w:kern w:val="44"/>
          <w:szCs w:val="32"/>
        </w:rPr>
        <w:t>)基本支出：指为保障机构正常运转、完成日常工作任务而发生的</w:t>
      </w:r>
      <w:r>
        <w:rPr>
          <w:rFonts w:ascii="仿宋_GB2312"/>
          <w:bCs/>
          <w:kern w:val="44"/>
          <w:szCs w:val="32"/>
        </w:rPr>
        <w:t>人员支出和公用支出</w:t>
      </w:r>
      <w:r>
        <w:rPr>
          <w:rFonts w:hint="eastAsia" w:ascii="仿宋_GB2312"/>
          <w:bCs/>
          <w:kern w:val="44"/>
          <w:szCs w:val="32"/>
        </w:rPr>
        <w:t>。</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hAnsi="仿宋_GB2312"/>
          <w:color w:val="000000"/>
        </w:rPr>
      </w:pPr>
      <w:r>
        <w:rPr>
          <w:rFonts w:hint="eastAsia" w:ascii="仿宋_GB2312" w:hAnsi="仿宋_GB2312"/>
          <w:color w:val="000000"/>
        </w:rPr>
        <w:t>(十</w:t>
      </w:r>
      <w:r>
        <w:rPr>
          <w:rFonts w:hint="eastAsia" w:ascii="仿宋_GB2312" w:hAnsi="仿宋_GB2312"/>
          <w:color w:val="000000"/>
          <w:lang w:val="en-US" w:eastAsia="zh-CN"/>
        </w:rPr>
        <w:t>三</w:t>
      </w:r>
      <w:r>
        <w:rPr>
          <w:rFonts w:hint="eastAsia" w:ascii="仿宋_GB2312" w:hAnsi="仿宋_GB2312"/>
          <w:color w:val="000000"/>
        </w:rPr>
        <w:t>)项目支出：指在基本支出之外为完成特定行政任务或事业发展目标所发生的支出。</w:t>
      </w:r>
    </w:p>
    <w:p>
      <w:pPr>
        <w:keepNext w:val="0"/>
        <w:keepLines w:val="0"/>
        <w:pageBreakBefore w:val="0"/>
        <w:kinsoku/>
        <w:overflowPunct/>
        <w:autoSpaceDE/>
        <w:autoSpaceDN/>
        <w:bidi w:val="0"/>
        <w:adjustRightInd w:val="0"/>
        <w:snapToGrid w:val="0"/>
        <w:spacing w:line="540" w:lineRule="exact"/>
        <w:ind w:firstLine="640" w:firstLineChars="200"/>
        <w:textAlignment w:val="auto"/>
        <w:rPr>
          <w:rFonts w:hint="eastAsia" w:ascii="仿宋_GB2312"/>
          <w:bCs/>
          <w:kern w:val="44"/>
          <w:szCs w:val="32"/>
        </w:rPr>
      </w:pPr>
      <w:r>
        <w:rPr>
          <w:rFonts w:hint="eastAsia" w:ascii="仿宋_GB2312"/>
          <w:szCs w:val="32"/>
        </w:rPr>
        <w:t>(十</w:t>
      </w:r>
      <w:r>
        <w:rPr>
          <w:rFonts w:hint="eastAsia" w:ascii="仿宋_GB2312"/>
          <w:szCs w:val="32"/>
          <w:lang w:val="en-US" w:eastAsia="zh-CN"/>
        </w:rPr>
        <w:t>四</w:t>
      </w:r>
      <w:r>
        <w:rPr>
          <w:rFonts w:hint="eastAsia" w:ascii="仿宋_GB2312"/>
          <w:szCs w:val="32"/>
        </w:rPr>
        <w:t>)</w:t>
      </w:r>
      <w:r>
        <w:rPr>
          <w:rFonts w:hint="eastAsia" w:ascii="仿宋_GB2312"/>
          <w:bCs/>
          <w:kern w:val="44"/>
          <w:szCs w:val="32"/>
        </w:rPr>
        <w:t>经营支出：指事业单位在专业活动及辅助活动之外开展非独立核算经营活动发生的支出。</w:t>
      </w:r>
    </w:p>
    <w:p>
      <w:pPr>
        <w:keepNext w:val="0"/>
        <w:keepLines w:val="0"/>
        <w:pageBreakBefore w:val="0"/>
        <w:kinsoku/>
        <w:overflowPunct/>
        <w:autoSpaceDE/>
        <w:autoSpaceDN/>
        <w:bidi w:val="0"/>
        <w:snapToGrid w:val="0"/>
        <w:spacing w:line="540" w:lineRule="exact"/>
        <w:ind w:firstLine="640" w:firstLineChars="200"/>
        <w:textAlignment w:val="auto"/>
        <w:rPr>
          <w:rFonts w:hint="eastAsia" w:ascii="仿宋_GB2312"/>
          <w:szCs w:val="32"/>
        </w:rPr>
      </w:pPr>
      <w:r>
        <w:rPr>
          <w:rFonts w:hint="eastAsia" w:ascii="仿宋_GB2312"/>
          <w:szCs w:val="32"/>
        </w:rPr>
        <w:t>(十</w:t>
      </w:r>
      <w:r>
        <w:rPr>
          <w:rFonts w:hint="eastAsia" w:ascii="仿宋_GB2312"/>
          <w:szCs w:val="32"/>
          <w:lang w:val="en-US" w:eastAsia="zh-CN"/>
        </w:rPr>
        <w:t>五</w:t>
      </w:r>
      <w:r>
        <w:rPr>
          <w:rFonts w:hint="eastAsia" w:ascii="仿宋_GB2312"/>
          <w:szCs w:val="32"/>
        </w:rPr>
        <w:t>)“三公”经费：纳入省级财政预决算管理的“三公”经费，是指省直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燃料费、维修费、过桥过路费、保险费、安全奖励费用等支出；公务接待费反映单位按规定开支的各类公务接待(含外宾接待)费用。</w:t>
      </w:r>
    </w:p>
    <w:p>
      <w:pPr>
        <w:keepNext w:val="0"/>
        <w:keepLines w:val="0"/>
        <w:pageBreakBefore w:val="0"/>
        <w:kinsoku/>
        <w:overflowPunct/>
        <w:autoSpaceDE/>
        <w:autoSpaceDN/>
        <w:bidi w:val="0"/>
        <w:snapToGrid w:val="0"/>
        <w:spacing w:line="540" w:lineRule="exact"/>
        <w:ind w:firstLine="640" w:firstLineChars="200"/>
        <w:textAlignment w:val="auto"/>
        <w:rPr>
          <w:rFonts w:hint="eastAsia" w:ascii="仿宋_GB2312"/>
          <w:szCs w:val="32"/>
          <w:highlight w:val="yellow"/>
        </w:rPr>
      </w:pPr>
      <w:r>
        <w:rPr>
          <w:rFonts w:hint="eastAsia" w:ascii="仿宋_GB2312"/>
          <w:szCs w:val="32"/>
        </w:rPr>
        <w:t>(十</w:t>
      </w:r>
      <w:r>
        <w:rPr>
          <w:rFonts w:hint="eastAsia" w:ascii="仿宋_GB2312"/>
          <w:szCs w:val="32"/>
          <w:lang w:val="en-US" w:eastAsia="zh-CN"/>
        </w:rPr>
        <w:t>六</w:t>
      </w:r>
      <w:r>
        <w:rPr>
          <w:rFonts w:hint="eastAsia" w:ascii="仿宋_GB2312"/>
          <w:szCs w:val="32"/>
        </w:rPr>
        <w:t>)机关运行经费：指为保障行政单位（包括参照公务员法管理的事业单位）运行用于购买货物和服务的各项资金，</w:t>
      </w:r>
      <w:r>
        <w:rPr>
          <w:rFonts w:ascii="仿宋_GB2312"/>
          <w:szCs w:val="32"/>
        </w:rPr>
        <w:t>包括办公</w:t>
      </w:r>
      <w:r>
        <w:rPr>
          <w:rFonts w:hint="eastAsia" w:ascii="仿宋_GB2312"/>
          <w:szCs w:val="32"/>
        </w:rPr>
        <w:t>费、</w:t>
      </w:r>
      <w:r>
        <w:rPr>
          <w:rFonts w:ascii="仿宋_GB2312"/>
          <w:szCs w:val="32"/>
        </w:rPr>
        <w:t>印刷费、邮电费、差旅费、会议费、福利费、日常维修费、专用材料及一般设备购置费、办公用房水电费、</w:t>
      </w:r>
      <w:r>
        <w:rPr>
          <w:rFonts w:hint="eastAsia" w:ascii="仿宋_GB2312"/>
          <w:szCs w:val="32"/>
        </w:rPr>
        <w:t>办公用房取暖费、</w:t>
      </w:r>
      <w:r>
        <w:rPr>
          <w:rFonts w:ascii="仿宋_GB2312"/>
          <w:szCs w:val="32"/>
        </w:rPr>
        <w:t>办公用房物业管理费、公务用车运行维护费以及其他费用。</w:t>
      </w:r>
    </w:p>
    <w:p>
      <w:pPr>
        <w:pStyle w:val="14"/>
        <w:jc w:val="center"/>
        <w:rPr>
          <w:rFonts w:hint="eastAsia" w:ascii="黑体" w:hAnsi="黑体" w:eastAsia="黑体" w:cs="黑体"/>
          <w:szCs w:val="32"/>
        </w:rPr>
      </w:pPr>
      <w:r>
        <w:rPr>
          <w:rFonts w:hint="eastAsia" w:ascii="黑体" w:hAnsi="黑体" w:eastAsia="黑体" w:cs="黑体"/>
          <w:szCs w:val="32"/>
        </w:rPr>
        <w:t>第六部分  附件</w:t>
      </w:r>
    </w:p>
    <w:p>
      <w:pPr>
        <w:rPr>
          <w:rFonts w:hint="eastAsia"/>
        </w:rPr>
      </w:pPr>
      <w:r>
        <w:rPr>
          <w:rFonts w:hint="eastAsia" w:ascii="黑体" w:hAnsi="黑体" w:eastAsia="黑体" w:cs="黑体"/>
          <w:szCs w:val="32"/>
        </w:rPr>
        <w:t xml:space="preserve">    </w:t>
      </w:r>
      <w:r>
        <w:rPr>
          <w:rFonts w:hint="eastAsia" w:ascii="黑体" w:hAnsi="黑体" w:eastAsia="黑体" w:cs="黑体"/>
        </w:rPr>
        <w:t>一、2023年度宜昌市物流业发展中心整体绩效评价自评表</w:t>
      </w:r>
      <w:r>
        <w:rPr>
          <w:rFonts w:hint="eastAsia"/>
        </w:rPr>
        <w:t xml:space="preserve">   </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6"/>
        <w:gridCol w:w="816"/>
        <w:gridCol w:w="799"/>
        <w:gridCol w:w="792"/>
        <w:gridCol w:w="608"/>
        <w:gridCol w:w="545"/>
        <w:gridCol w:w="2759"/>
        <w:gridCol w:w="998"/>
        <w:gridCol w:w="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5000" w:type="pct"/>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i w:val="0"/>
                <w:color w:val="000000"/>
                <w:sz w:val="36"/>
                <w:szCs w:val="36"/>
                <w:u w:val="none"/>
              </w:rPr>
            </w:pPr>
            <w:r>
              <w:rPr>
                <w:rFonts w:hint="eastAsia" w:ascii="宋体" w:hAnsi="宋体" w:eastAsia="宋体" w:cs="宋体"/>
                <w:b/>
                <w:i w:val="0"/>
                <w:color w:val="000000"/>
                <w:kern w:val="0"/>
                <w:sz w:val="36"/>
                <w:szCs w:val="36"/>
                <w:u w:val="none"/>
                <w:lang w:val="en-US" w:eastAsia="zh-CN" w:bidi="ar"/>
              </w:rPr>
              <w:t>2023年度市级部门预算整体绩效自评表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652" w:type="pct"/>
            <w:gridSpan w:val="4"/>
            <w:tcBorders>
              <w:top w:val="nil"/>
              <w:left w:val="nil"/>
              <w:bottom w:val="single" w:color="000000" w:sz="8"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填报单位（盖章）：</w:t>
            </w:r>
          </w:p>
        </w:tc>
        <w:tc>
          <w:tcPr>
            <w:tcW w:w="361" w:type="pct"/>
            <w:tcBorders>
              <w:top w:val="nil"/>
              <w:left w:val="nil"/>
              <w:bottom w:val="nil"/>
              <w:right w:val="nil"/>
            </w:tcBorders>
            <w:shd w:val="clear" w:color="auto" w:fill="auto"/>
            <w:noWrap/>
            <w:vAlign w:val="center"/>
          </w:tcPr>
          <w:p>
            <w:pPr>
              <w:jc w:val="center"/>
              <w:rPr>
                <w:rFonts w:hint="eastAsia" w:ascii="宋体" w:hAnsi="宋体" w:eastAsia="宋体" w:cs="宋体"/>
                <w:b/>
                <w:i w:val="0"/>
                <w:color w:val="000000"/>
                <w:sz w:val="36"/>
                <w:szCs w:val="36"/>
                <w:u w:val="none"/>
              </w:rPr>
            </w:pPr>
          </w:p>
        </w:tc>
        <w:tc>
          <w:tcPr>
            <w:tcW w:w="326" w:type="pct"/>
            <w:tcBorders>
              <w:top w:val="nil"/>
              <w:left w:val="nil"/>
              <w:bottom w:val="nil"/>
              <w:right w:val="nil"/>
            </w:tcBorders>
            <w:shd w:val="clear" w:color="auto" w:fill="auto"/>
            <w:noWrap/>
            <w:vAlign w:val="center"/>
          </w:tcPr>
          <w:p>
            <w:pPr>
              <w:jc w:val="center"/>
              <w:rPr>
                <w:rFonts w:hint="eastAsia" w:ascii="宋体" w:hAnsi="宋体" w:eastAsia="宋体" w:cs="宋体"/>
                <w:b/>
                <w:i w:val="0"/>
                <w:color w:val="000000"/>
                <w:sz w:val="36"/>
                <w:szCs w:val="36"/>
                <w:u w:val="none"/>
              </w:rPr>
            </w:pPr>
          </w:p>
        </w:tc>
        <w:tc>
          <w:tcPr>
            <w:tcW w:w="1548" w:type="pct"/>
            <w:tcBorders>
              <w:top w:val="nil"/>
              <w:left w:val="nil"/>
              <w:bottom w:val="nil"/>
              <w:right w:val="nil"/>
            </w:tcBorders>
            <w:shd w:val="clear" w:color="auto" w:fill="auto"/>
            <w:noWrap/>
            <w:vAlign w:val="center"/>
          </w:tcPr>
          <w:p>
            <w:pPr>
              <w:jc w:val="center"/>
              <w:rPr>
                <w:rFonts w:hint="eastAsia" w:ascii="宋体" w:hAnsi="宋体" w:eastAsia="宋体" w:cs="宋体"/>
                <w:b/>
                <w:i w:val="0"/>
                <w:color w:val="000000"/>
                <w:sz w:val="36"/>
                <w:szCs w:val="36"/>
                <w:u w:val="none"/>
              </w:rPr>
            </w:pPr>
          </w:p>
        </w:tc>
        <w:tc>
          <w:tcPr>
            <w:tcW w:w="576" w:type="pct"/>
            <w:tcBorders>
              <w:top w:val="nil"/>
              <w:left w:val="nil"/>
              <w:bottom w:val="nil"/>
              <w:right w:val="nil"/>
            </w:tcBorders>
            <w:shd w:val="clear" w:color="auto" w:fill="auto"/>
            <w:noWrap/>
            <w:vAlign w:val="center"/>
          </w:tcPr>
          <w:p>
            <w:pPr>
              <w:jc w:val="both"/>
              <w:rPr>
                <w:rFonts w:hint="eastAsia" w:ascii="宋体" w:hAnsi="宋体" w:eastAsia="宋体" w:cs="宋体"/>
                <w:i w:val="0"/>
                <w:color w:val="000000"/>
                <w:sz w:val="24"/>
                <w:szCs w:val="24"/>
                <w:u w:val="none"/>
              </w:rPr>
            </w:pPr>
          </w:p>
        </w:tc>
        <w:tc>
          <w:tcPr>
            <w:tcW w:w="535" w:type="pct"/>
            <w:tcBorders>
              <w:top w:val="nil"/>
              <w:left w:val="nil"/>
              <w:bottom w:val="nil"/>
              <w:right w:val="nil"/>
            </w:tcBorders>
            <w:shd w:val="clear" w:color="auto" w:fill="auto"/>
            <w:noWrap/>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33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一级指标</w:t>
            </w:r>
          </w:p>
        </w:tc>
        <w:tc>
          <w:tcPr>
            <w:tcW w:w="467"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二级指标</w:t>
            </w:r>
          </w:p>
        </w:tc>
        <w:tc>
          <w:tcPr>
            <w:tcW w:w="475"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三级指标内容</w:t>
            </w:r>
          </w:p>
        </w:tc>
        <w:tc>
          <w:tcPr>
            <w:tcW w:w="370"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指标值</w:t>
            </w:r>
          </w:p>
        </w:tc>
        <w:tc>
          <w:tcPr>
            <w:tcW w:w="36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分值</w:t>
            </w:r>
          </w:p>
        </w:tc>
        <w:tc>
          <w:tcPr>
            <w:tcW w:w="326" w:type="pct"/>
            <w:tcBorders>
              <w:top w:val="single" w:color="000000" w:sz="8" w:space="0"/>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自评得分</w:t>
            </w:r>
          </w:p>
        </w:tc>
        <w:tc>
          <w:tcPr>
            <w:tcW w:w="1548"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评分标准</w:t>
            </w:r>
          </w:p>
        </w:tc>
        <w:tc>
          <w:tcPr>
            <w:tcW w:w="576"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扣分原因</w:t>
            </w:r>
          </w:p>
        </w:tc>
        <w:tc>
          <w:tcPr>
            <w:tcW w:w="535"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预算管理</w:t>
            </w:r>
          </w:p>
        </w:tc>
        <w:tc>
          <w:tcPr>
            <w:tcW w:w="467" w:type="pct"/>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人员经费预算</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人员经费使用</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合法合规</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b/>
                <w:i w:val="0"/>
                <w:color w:val="000000"/>
                <w:sz w:val="15"/>
                <w:szCs w:val="15"/>
                <w:u w:val="none"/>
              </w:rPr>
            </w:pPr>
            <w:r>
              <w:rPr>
                <w:rFonts w:hint="eastAsia" w:ascii="方正仿宋_GBK" w:hAnsi="方正仿宋_GBK" w:eastAsia="方正仿宋_GBK" w:cs="方正仿宋_GBK"/>
                <w:b/>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当年人员经费支出无挤占、挪用公用经费、项目经费及以前年度结转结余资金的问题得6分，否则不得分。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single" w:color="000000" w:sz="8" w:space="0"/>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公用经费预算</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公用经费预算执行</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70%(含）-100%</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当年公用经费实际支出数占全年预算数的90%(含）-100%，得6分；80%(含）-90%，得4分；70%(含）-80%，得2分；小于70%，不得分。（公用经费实际支出数剔除因人员、车辆增减、市级以上大型临时活动、办公场所变更等导致的增减）</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nil"/>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“三公”经费预算执行</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不超过</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当年财政拨款三公经费（含公用经费与项目经费）预算执行不超过当年三公经费预算数得3分；当年财政拨款三公经费预算不超过上年三公经费预算数得3分，有一项超过扣3分，扣完为止。财政拨款三公经费执行总额超过上年预算数的此项不得分。（三公经费实际支出数执行剔除因人员、车辆增减、市级以上大型临时活动导致的增减）</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nil"/>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公用经费预算使用合规性</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合法合规</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公用经费预算支出符合政府收支分类科目、《宜昌市级商品和服务支出科目使用范围（试行）》及部门预算编制口径相关要求中“商品和服务支出”款级科目相关规定，一项不符合扣2分，扣完为止。</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nil"/>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一般性支出预算编制</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不超过</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一般性支出预算数总额（含公用和项目支出）不超过上年预算数得4分。（一般性支出实际支出数剔除因人员、车辆增减、市级以上大型临时活动、办公场所变更等导致的增减；同时综合考量“30299其他商品服务支出”科目细化变动因素）</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项目经费预算</w:t>
            </w: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项目经费预算编报科学性</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统筹、整合、规范</w:t>
            </w:r>
          </w:p>
        </w:tc>
        <w:tc>
          <w:tcPr>
            <w:tcW w:w="361"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vMerge w:val="restar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1548" w:type="pct"/>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项目经费预算编制体现统筹、整合，无重复编报相同性质的预算项目；预算编制口径中规定了统一名称的项目按照规范名称编制项目；项目经费预算中无上年预算执行率70%以下和相同性质的项目，或编制了上年执行率70%以下项目但预算数大幅压减，得6分。（预算单位项目经费预算按项目个数进行评价，1个项目不符合扣2分，扣完为止）</w:t>
            </w:r>
          </w:p>
        </w:tc>
        <w:tc>
          <w:tcPr>
            <w:tcW w:w="576"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both"/>
              <w:textAlignment w:val="top"/>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2022年物流统计经费12.40万，执行率为63.63%，低于70%。但2023年仍编制物流统计经费,此处扣2分。</w:t>
            </w:r>
          </w:p>
        </w:tc>
        <w:tc>
          <w:tcPr>
            <w:tcW w:w="53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both"/>
              <w:textAlignment w:val="top"/>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1、进一步提高预算编制水平和执行力度；2、积极推进相关工作进度，确保项目资金执行率达到考核要求。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576" w:type="pct"/>
            <w:vMerge w:val="continue"/>
            <w:tcBorders>
              <w:top w:val="nil"/>
              <w:left w:val="nil"/>
              <w:bottom w:val="single" w:color="000000" w:sz="8" w:space="0"/>
              <w:right w:val="single" w:color="000000" w:sz="8"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资金使用率</w:t>
            </w:r>
          </w:p>
        </w:tc>
        <w:tc>
          <w:tcPr>
            <w:tcW w:w="370"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80%（含）-100%</w:t>
            </w:r>
          </w:p>
        </w:tc>
        <w:tc>
          <w:tcPr>
            <w:tcW w:w="361"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单个项目当年预算实际支出数占预算数的80%（含）-100%，得6分。（项目预算包括市级预算及以前年度上级转移支付预算，不包括2022年上级转移支付预算。预算单位项目经费预算支出按项目个数进行评价，1个项目不符合扣2分，扣完为止）</w:t>
            </w:r>
          </w:p>
        </w:tc>
        <w:tc>
          <w:tcPr>
            <w:tcW w:w="576" w:type="pct"/>
            <w:tcBorders>
              <w:top w:val="nil"/>
              <w:left w:val="nil"/>
              <w:bottom w:val="single" w:color="000000" w:sz="8" w:space="0"/>
              <w:right w:val="single" w:color="000000" w:sz="8"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top"/>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“物流基础数据资料采集服务”经费8万元，执行率为0，扣2分</w:t>
            </w:r>
          </w:p>
        </w:tc>
        <w:tc>
          <w:tcPr>
            <w:tcW w:w="535" w:type="pct"/>
            <w:tcBorders>
              <w:top w:val="nil"/>
              <w:left w:val="nil"/>
              <w:bottom w:val="single" w:color="000000" w:sz="8" w:space="0"/>
              <w:right w:val="single" w:color="000000" w:sz="8"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top"/>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 xml:space="preserve">    进一步提高认识，加强项目资金管理 ，积极推进工作进度，确保项目资金执行率达到考核要求。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使用合规性</w:t>
            </w:r>
          </w:p>
        </w:tc>
        <w:tc>
          <w:tcPr>
            <w:tcW w:w="370"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合规</w:t>
            </w:r>
          </w:p>
        </w:tc>
        <w:tc>
          <w:tcPr>
            <w:tcW w:w="361" w:type="pct"/>
            <w:tcBorders>
              <w:top w:val="nil"/>
              <w:left w:val="nil"/>
              <w:bottom w:val="single" w:color="000000" w:sz="8" w:space="0"/>
              <w:right w:val="single" w:color="000000"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项目经费预算列支内容符合年初预算申报内容，得6分。（项目预算包括市级预算及以前年度上级转移支付预算，不包括2022年上级转移支付预算。预算单位项目经费预算支出按项目个数进行评价，1个项目不符合扣2分，扣完为止）</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资金支付进度</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40%、60%、90%</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合同约定的按照合同约定进度执行，违约一次扣2分，扣完为止；没有合同约定的按照项目总支出金额与项目总预算对比，6月底达到40%及以上，计2分；9月底达到60%及以上，计2分；12月底达到90%及以上，计2分。（项目预算包括市级预算及以前年度上级转移支付预算，不包括2022年上级转移支付预算。计算支付进度时在实事求是的前提下，因政府采购、合同约定或其他不可控因素导致未支付的资金可不计算在总额内）</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信息公开</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预决算信息公开</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及时、准确、规范</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按规定内容及时公开当年预决算信息得2分；公开的内容准确、规范得2分；无监督检查问题得2分，有一项问题扣1分，最高扣2分。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结转结余</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当年结转结余资金占当年预算比率</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≤5%</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当年市级预算结转结余资金与当年预算比率≤5%（含）得6分，在5%-10%之间得3分，否则不得分。（市级预算资金不包含上年结转结余资金和上级转移支付预算资金，包含本年市级调整预算资金。计算结转结余资金时在实事求是的前提下，因政府采购、合同约定或其他不可控因素导致当年形成的结转结余资金可不计算在总额内）</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财务管理</w:t>
            </w:r>
          </w:p>
        </w:tc>
        <w:tc>
          <w:tcPr>
            <w:tcW w:w="467"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发现问题整改</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纪检监察、审计、财政监督问题整改</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及时、到位</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6</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2022-2023年纪检监察、审计、财政监督整改及时、到位得</w:t>
            </w:r>
            <w:r>
              <w:rPr>
                <w:rStyle w:val="18"/>
                <w:sz w:val="15"/>
                <w:szCs w:val="15"/>
                <w:lang w:val="en-US" w:eastAsia="zh-CN" w:bidi="ar"/>
              </w:rPr>
              <w:t>6分，有1项问题没有整改扣2分，扣完为止。</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绩效管理</w:t>
            </w:r>
          </w:p>
        </w:tc>
        <w:tc>
          <w:tcPr>
            <w:tcW w:w="467"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绩效目标完成</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绩效目标完成率</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90%</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单位项目绩效目标</w:t>
            </w:r>
            <w:r>
              <w:rPr>
                <w:rStyle w:val="18"/>
                <w:sz w:val="15"/>
                <w:szCs w:val="15"/>
                <w:lang w:val="en-US" w:eastAsia="zh-CN" w:bidi="ar"/>
              </w:rPr>
              <w:t>90%及以上完成得3分，80%及以上完成得2分，70%及以上完成得1分。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67"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绩效监控工作</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绩效监控工作完成情况</w:t>
            </w: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及时、规范、准确</w:t>
            </w:r>
          </w:p>
        </w:tc>
        <w:tc>
          <w:tcPr>
            <w:tcW w:w="361"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326" w:type="pc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预算单位</w:t>
            </w:r>
            <w:r>
              <w:rPr>
                <w:rStyle w:val="18"/>
                <w:sz w:val="15"/>
                <w:szCs w:val="15"/>
                <w:lang w:val="en-US" w:eastAsia="zh-CN" w:bidi="ar"/>
              </w:rPr>
              <w:t>2023年至少开展2次预算绩效监控工作得2分；能够规范、准确的反映预算执行和绩效目标完成情况得2分。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政府采购预算管理</w:t>
            </w:r>
          </w:p>
        </w:tc>
        <w:tc>
          <w:tcPr>
            <w:tcW w:w="467"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采购组织</w:t>
            </w: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信息公开</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≥30日</w:t>
            </w:r>
          </w:p>
        </w:tc>
        <w:tc>
          <w:tcPr>
            <w:tcW w:w="361"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vMerge w:val="restar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1.随部门预算公开同步在“中国湖北政府采购网”上集中公开本年度政府采购意向信息。未集中公开的项目意向公开时间原则上不得晚于采购活动开始前30日。</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2.在“中国湖北政府采购网”上公开政府采购项目预算金额、采购公告、采购文件、采购结果、采购合同等政府采购全过程信息。</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有1项不符合扣1分，扣完为止。</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采购合同管理</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规范、及时</w:t>
            </w:r>
          </w:p>
        </w:tc>
        <w:tc>
          <w:tcPr>
            <w:tcW w:w="361"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vMerge w:val="restar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1.自成交通知书发出之日起30日内签订政府采购合同。</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2.签订合同后2个工作日内在湖北省政府采购网进行合同公示。</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3.签订合同后7个工作日内在政府采购备案系统网上备案。</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有1项不符合扣1分，扣完为止。</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履约验收及资金支付</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规范、及时</w:t>
            </w:r>
          </w:p>
        </w:tc>
        <w:tc>
          <w:tcPr>
            <w:tcW w:w="361"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w:t>
            </w:r>
          </w:p>
        </w:tc>
        <w:tc>
          <w:tcPr>
            <w:tcW w:w="326" w:type="pct"/>
            <w:vMerge w:val="restar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w:t>
            </w: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1.政府采购合同签订后,预付款比例一般不低于合同金额的30%。</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2.履约验收方案明确、具体、客观、可量化。政府采购合同履行完毕，收到供应商验收申请后7个工作日内组织履约验收。</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3.满足合同约定支付条件的，自收到发票后5个工作日内完成资金支付。</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4.资金节约率=（预算金额-合同金额）/预算金额，资金节约率≥3%。</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有1项不符合扣1分，扣完为止。</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政府采购内部控制</w:t>
            </w: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政府采购内部控制</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规范、完善</w:t>
            </w:r>
          </w:p>
        </w:tc>
        <w:tc>
          <w:tcPr>
            <w:tcW w:w="361" w:type="pct"/>
            <w:vMerge w:val="restar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vMerge w:val="restar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1.政府采购内部控制体系科学规范且运行完善。</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2.不存在《湖北省政府采购负面清单》所列的禁止性事项。政府采购项目不收取投标保证、履约保证金、采购文件工本费，政府采购货物和服务项目不收取质量保证金。</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有1项不符合扣1分，扣完为止。</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落实政府采购政策功能</w:t>
            </w: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落实政府采购政策功能</w:t>
            </w:r>
          </w:p>
        </w:tc>
        <w:tc>
          <w:tcPr>
            <w:tcW w:w="370"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≥50%</w:t>
            </w:r>
          </w:p>
        </w:tc>
        <w:tc>
          <w:tcPr>
            <w:tcW w:w="361"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vMerge w:val="restart"/>
            <w:tcBorders>
              <w:top w:val="nil"/>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政府采购限额标准以上，200万元以下的货物和服务采购项目、400万元以下的工程采购项目，适宜由中小企业提供的，原则上全部面向中小企业采购；超过200万元的货物和服务采购项目、超过400万元的工程采购项目，适宜由中小企业提供的，预留该部分采购项目预算总额的50%以上专门面向中小企业采购，其中预留给小微企业的比例不低于60%。2023年度在“中国湖北政府采购网”公开预留项目执行情况。</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2.预算单位通过“832平台”采购脱贫地区农副产品不低于年度采购农副产品总额的15%。</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61"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有一项不符合扣1分，扣完为止。</w:t>
            </w: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338" w:type="pct"/>
            <w:vMerge w:val="restart"/>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资产管理</w:t>
            </w:r>
          </w:p>
        </w:tc>
        <w:tc>
          <w:tcPr>
            <w:tcW w:w="467"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资产配置</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资产配置标准</w:t>
            </w:r>
          </w:p>
        </w:tc>
        <w:tc>
          <w:tcPr>
            <w:tcW w:w="370"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符合</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资产配置符合相关标准，得2分；超标准配置资产每类扣1分，扣完为止。</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资产使用</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资产账实相符</w:t>
            </w:r>
          </w:p>
        </w:tc>
        <w:tc>
          <w:tcPr>
            <w:tcW w:w="370"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相符</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资产定期清查得1分，账实相符得1分。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固定资产、无形资产闲置比率</w:t>
            </w:r>
          </w:p>
        </w:tc>
        <w:tc>
          <w:tcPr>
            <w:tcW w:w="370"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0%</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固定资产、无形资产（面积或数量）闲置比率达到0%计2分，每高10个百分点扣1分，扣完为止。</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资产出租出借程序</w:t>
            </w:r>
          </w:p>
        </w:tc>
        <w:tc>
          <w:tcPr>
            <w:tcW w:w="370"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合规</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资产出租出借符合财政部门相关规定，得1分；资产出租出借手续齐全，得1分。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资产处置</w:t>
            </w:r>
          </w:p>
        </w:tc>
        <w:tc>
          <w:tcPr>
            <w:tcW w:w="475"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资产处置程序</w:t>
            </w:r>
          </w:p>
        </w:tc>
        <w:tc>
          <w:tcPr>
            <w:tcW w:w="370"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合规</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资产处置符合财政部门相关规定，得1分；资产处置手续齐全，得1分。</w:t>
            </w: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资产报告</w:t>
            </w:r>
          </w:p>
        </w:tc>
        <w:tc>
          <w:tcPr>
            <w:tcW w:w="475" w:type="pct"/>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内容及质量</w:t>
            </w:r>
          </w:p>
        </w:tc>
        <w:tc>
          <w:tcPr>
            <w:tcW w:w="370" w:type="pct"/>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内容齐全</w:t>
            </w:r>
          </w:p>
        </w:tc>
        <w:tc>
          <w:tcPr>
            <w:tcW w:w="361" w:type="pct"/>
            <w:vMerge w:val="restar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326" w:type="pct"/>
            <w:vMerge w:val="restar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2</w:t>
            </w:r>
          </w:p>
        </w:tc>
        <w:tc>
          <w:tcPr>
            <w:tcW w:w="1548" w:type="pct"/>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left"/>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年度行政事业性国有资产报告内容齐全（资产报表、填报说明、分析报告）得1分，差一项不得分；分析报告（包含单位基本情况、资产情况分析、资产管理工作情况及成效、存在的问题及下一步计划、其他需要报告的事项等）质量水平较高得1分。</w:t>
            </w:r>
          </w:p>
        </w:tc>
        <w:tc>
          <w:tcPr>
            <w:tcW w:w="576"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restar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38" w:type="pct"/>
            <w:vMerge w:val="continue"/>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46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475" w:type="pct"/>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370" w:type="pc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质量较高</w:t>
            </w:r>
          </w:p>
        </w:tc>
        <w:tc>
          <w:tcPr>
            <w:tcW w:w="361"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326" w:type="pct"/>
            <w:vMerge w:val="continue"/>
            <w:tcBorders>
              <w:top w:val="nil"/>
              <w:left w:val="nil"/>
              <w:bottom w:val="single" w:color="000000" w:sz="8" w:space="0"/>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jc w:val="center"/>
              <w:rPr>
                <w:rFonts w:hint="eastAsia" w:ascii="方正仿宋_GBK" w:hAnsi="方正仿宋_GBK" w:eastAsia="方正仿宋_GBK" w:cs="方正仿宋_GBK"/>
                <w:i w:val="0"/>
                <w:color w:val="000000"/>
                <w:sz w:val="15"/>
                <w:szCs w:val="15"/>
                <w:u w:val="none"/>
              </w:rPr>
            </w:pPr>
          </w:p>
        </w:tc>
        <w:tc>
          <w:tcPr>
            <w:tcW w:w="1548" w:type="pct"/>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160" w:lineRule="exact"/>
              <w:jc w:val="left"/>
              <w:rPr>
                <w:rFonts w:hint="eastAsia" w:ascii="方正仿宋_GBK" w:hAnsi="方正仿宋_GBK" w:eastAsia="方正仿宋_GBK" w:cs="方正仿宋_GBK"/>
                <w:i w:val="0"/>
                <w:color w:val="000000"/>
                <w:sz w:val="15"/>
                <w:szCs w:val="15"/>
                <w:u w:val="none"/>
              </w:rPr>
            </w:pPr>
          </w:p>
        </w:tc>
        <w:tc>
          <w:tcPr>
            <w:tcW w:w="576"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vMerge w:val="continue"/>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652" w:type="pct"/>
            <w:gridSpan w:val="4"/>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自评总分</w:t>
            </w:r>
          </w:p>
        </w:tc>
        <w:tc>
          <w:tcPr>
            <w:tcW w:w="361"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100</w:t>
            </w:r>
          </w:p>
        </w:tc>
        <w:tc>
          <w:tcPr>
            <w:tcW w:w="326" w:type="pct"/>
            <w:tcBorders>
              <w:top w:val="nil"/>
              <w:left w:val="nil"/>
              <w:bottom w:val="single" w:color="000000" w:sz="8" w:space="0"/>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jc w:val="center"/>
              <w:textAlignment w:val="center"/>
              <w:rPr>
                <w:rFonts w:hint="eastAsia" w:ascii="方正仿宋_GBK" w:hAnsi="方正仿宋_GBK" w:eastAsia="方正仿宋_GBK" w:cs="方正仿宋_GBK"/>
                <w:i w:val="0"/>
                <w:color w:val="000000"/>
                <w:sz w:val="15"/>
                <w:szCs w:val="15"/>
                <w:u w:val="none"/>
              </w:rPr>
            </w:pPr>
            <w:r>
              <w:rPr>
                <w:rFonts w:hint="eastAsia" w:ascii="方正仿宋_GBK" w:hAnsi="方正仿宋_GBK" w:eastAsia="方正仿宋_GBK" w:cs="方正仿宋_GBK"/>
                <w:i w:val="0"/>
                <w:color w:val="000000"/>
                <w:kern w:val="0"/>
                <w:sz w:val="15"/>
                <w:szCs w:val="15"/>
                <w:u w:val="none"/>
                <w:lang w:val="en-US" w:eastAsia="zh-CN" w:bidi="ar"/>
              </w:rPr>
              <w:t>96</w:t>
            </w:r>
          </w:p>
        </w:tc>
        <w:tc>
          <w:tcPr>
            <w:tcW w:w="1548" w:type="pct"/>
            <w:tcBorders>
              <w:top w:val="nil"/>
              <w:left w:val="single" w:color="000000" w:sz="8" w:space="0"/>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76" w:type="pct"/>
            <w:tcBorders>
              <w:top w:val="nil"/>
              <w:left w:val="nil"/>
              <w:bottom w:val="single" w:color="000000" w:sz="8" w:space="0"/>
              <w:right w:val="single" w:color="000000" w:sz="8" w:space="0"/>
            </w:tcBorders>
            <w:shd w:val="clear" w:color="auto" w:fill="auto"/>
            <w:noWrap/>
            <w:vAlign w:val="top"/>
          </w:tcPr>
          <w:p>
            <w:pPr>
              <w:keepNext w:val="0"/>
              <w:keepLines w:val="0"/>
              <w:pageBreakBefore w:val="0"/>
              <w:widowControl/>
              <w:kinsoku/>
              <w:wordWrap/>
              <w:overflowPunct/>
              <w:topLinePunct w:val="0"/>
              <w:autoSpaceDE/>
              <w:autoSpaceDN/>
              <w:bidi w:val="0"/>
              <w:adjustRightInd/>
              <w:snapToGrid/>
              <w:spacing w:line="160" w:lineRule="exact"/>
              <w:jc w:val="both"/>
              <w:rPr>
                <w:rFonts w:hint="eastAsia" w:ascii="方正仿宋_GBK" w:hAnsi="方正仿宋_GBK" w:eastAsia="方正仿宋_GBK" w:cs="方正仿宋_GBK"/>
                <w:i w:val="0"/>
                <w:color w:val="000000"/>
                <w:sz w:val="15"/>
                <w:szCs w:val="15"/>
                <w:u w:val="none"/>
              </w:rPr>
            </w:pPr>
          </w:p>
        </w:tc>
        <w:tc>
          <w:tcPr>
            <w:tcW w:w="535" w:type="pct"/>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160" w:lineRule="exact"/>
              <w:rPr>
                <w:rFonts w:hint="eastAsia" w:ascii="宋体" w:hAnsi="宋体" w:eastAsia="宋体" w:cs="宋体"/>
                <w:i w:val="0"/>
                <w:color w:val="000000"/>
                <w:sz w:val="15"/>
                <w:szCs w:val="15"/>
                <w:u w:val="none"/>
              </w:rPr>
            </w:pPr>
          </w:p>
        </w:tc>
      </w:tr>
    </w:tbl>
    <w:p/>
    <w:sectPr>
      <w:footerReference r:id="rId3" w:type="default"/>
      <w:pgSz w:w="11906" w:h="16838"/>
      <w:pgMar w:top="2098" w:right="1531" w:bottom="2098" w:left="1531" w:header="851" w:footer="992" w:gutter="0"/>
      <w:paperSrc/>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decorative"/>
    <w:pitch w:val="default"/>
    <w:sig w:usb0="00000001" w:usb1="080E0000" w:usb2="00000000" w:usb3="00000000" w:csb0="00040000" w:csb1="00000000"/>
  </w:font>
  <w:font w:name="仿宋">
    <w:altName w:val="方正仿宋_GBK"/>
    <w:panose1 w:val="02010609060101010101"/>
    <w:charset w:val="86"/>
    <w:family w:val="decorative"/>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decorative"/>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CESI楷体-GB18030">
    <w:panose1 w:val="02000500000000000000"/>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E245B"/>
    <w:multiLevelType w:val="multilevel"/>
    <w:tmpl w:val="D7EE245B"/>
    <w:lvl w:ilvl="0" w:tentative="0">
      <w:start w:val="1"/>
      <w:numFmt w:val="none"/>
      <w:lvlText w:val="一、"/>
      <w:lvlJc w:val="left"/>
      <w:pPr>
        <w:ind w:left="1360" w:hanging="720"/>
      </w:pPr>
      <w:rPr>
        <w:rFonts w:hint="default"/>
      </w:rPr>
    </w:lvl>
    <w:lvl w:ilvl="1" w:tentative="0">
      <w:start w:val="1"/>
      <w:numFmt w:val="lowerLetter"/>
      <w:lvlText w:val="%2)"/>
      <w:lvlJc w:val="left"/>
      <w:pPr>
        <w:ind w:left="1520" w:hanging="440"/>
      </w:pPr>
    </w:lvl>
    <w:lvl w:ilvl="2" w:tentative="0">
      <w:start w:val="1"/>
      <w:numFmt w:val="lowerRoman"/>
      <w:lvlText w:val="%3."/>
      <w:lvlJc w:val="right"/>
      <w:pPr>
        <w:ind w:left="1960" w:hanging="440"/>
      </w:pPr>
    </w:lvl>
    <w:lvl w:ilvl="3" w:tentative="0">
      <w:start w:val="1"/>
      <w:numFmt w:val="decimal"/>
      <w:lvlText w:val="%4."/>
      <w:lvlJc w:val="left"/>
      <w:pPr>
        <w:ind w:left="2400" w:hanging="440"/>
      </w:pPr>
    </w:lvl>
    <w:lvl w:ilvl="4" w:tentative="0">
      <w:start w:val="1"/>
      <w:numFmt w:val="lowerLetter"/>
      <w:lvlText w:val="%5)"/>
      <w:lvlJc w:val="left"/>
      <w:pPr>
        <w:ind w:left="2840" w:hanging="440"/>
      </w:pPr>
    </w:lvl>
    <w:lvl w:ilvl="5" w:tentative="0">
      <w:start w:val="1"/>
      <w:numFmt w:val="lowerRoman"/>
      <w:lvlText w:val="%6."/>
      <w:lvlJc w:val="right"/>
      <w:pPr>
        <w:ind w:left="3280" w:hanging="440"/>
      </w:pPr>
    </w:lvl>
    <w:lvl w:ilvl="6" w:tentative="0">
      <w:start w:val="1"/>
      <w:numFmt w:val="decimal"/>
      <w:lvlText w:val="%7."/>
      <w:lvlJc w:val="left"/>
      <w:pPr>
        <w:ind w:left="3720" w:hanging="440"/>
      </w:pPr>
    </w:lvl>
    <w:lvl w:ilvl="7" w:tentative="0">
      <w:start w:val="1"/>
      <w:numFmt w:val="lowerLetter"/>
      <w:lvlText w:val="%8)"/>
      <w:lvlJc w:val="left"/>
      <w:pPr>
        <w:ind w:left="4160" w:hanging="440"/>
      </w:pPr>
    </w:lvl>
    <w:lvl w:ilvl="8" w:tentative="0">
      <w:start w:val="1"/>
      <w:numFmt w:val="lowerRoman"/>
      <w:lvlText w:val="%9."/>
      <w:lvlJc w:val="right"/>
      <w:pPr>
        <w:ind w:left="4600" w:hanging="440"/>
      </w:pPr>
    </w:lvl>
  </w:abstractNum>
  <w:abstractNum w:abstractNumId="1">
    <w:nsid w:val="EFEF1ED6"/>
    <w:multiLevelType w:val="singleLevel"/>
    <w:tmpl w:val="EFEF1ED6"/>
    <w:lvl w:ilvl="0" w:tentative="0">
      <w:start w:val="1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218"/>
  <w:displayHorizontalDrawingGridEvery w:val="1"/>
  <w:displayVerticalDrawingGridEvery w:val="2"/>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OGNiYTI5MTc5YjIyNjY4ZTQ4NDFiNDUwODllMzExZDcifQ=="/>
    <w:docVar w:name="KSO_WPS_MARK_KEY" w:val="40f596c6-edd8-4f4f-9b6a-449670080ea5"/>
  </w:docVars>
  <w:rsids>
    <w:rsidRoot w:val="00000000"/>
    <w:rsid w:val="1F6F842B"/>
    <w:rsid w:val="1FBCAE13"/>
    <w:rsid w:val="27B5E9FC"/>
    <w:rsid w:val="2EDFA830"/>
    <w:rsid w:val="2FBF5B23"/>
    <w:rsid w:val="3ACB5BD9"/>
    <w:rsid w:val="3FFB0DF5"/>
    <w:rsid w:val="49BD2061"/>
    <w:rsid w:val="572DA7EE"/>
    <w:rsid w:val="57CF80E7"/>
    <w:rsid w:val="5BBFBB31"/>
    <w:rsid w:val="5BFF3789"/>
    <w:rsid w:val="5F76610B"/>
    <w:rsid w:val="62DBBEC9"/>
    <w:rsid w:val="67F374E5"/>
    <w:rsid w:val="6BDF6EB3"/>
    <w:rsid w:val="6BF32A17"/>
    <w:rsid w:val="6BF602B0"/>
    <w:rsid w:val="6FBF7BC0"/>
    <w:rsid w:val="739FB862"/>
    <w:rsid w:val="76BBF982"/>
    <w:rsid w:val="77157E14"/>
    <w:rsid w:val="77FB0147"/>
    <w:rsid w:val="7977D866"/>
    <w:rsid w:val="7AF4E968"/>
    <w:rsid w:val="7AFF6320"/>
    <w:rsid w:val="7BDFAE7D"/>
    <w:rsid w:val="7BFB1359"/>
    <w:rsid w:val="7BFE03DC"/>
    <w:rsid w:val="7D7C7F2C"/>
    <w:rsid w:val="7F1E1C59"/>
    <w:rsid w:val="7FEFE647"/>
    <w:rsid w:val="7FF72907"/>
    <w:rsid w:val="7FFA7AE4"/>
    <w:rsid w:val="7FFFF1D6"/>
    <w:rsid w:val="8A4E1A5D"/>
    <w:rsid w:val="95AF553D"/>
    <w:rsid w:val="ADFF6476"/>
    <w:rsid w:val="B3B7DEA5"/>
    <w:rsid w:val="B77CB418"/>
    <w:rsid w:val="B89A9172"/>
    <w:rsid w:val="BD1D0FB2"/>
    <w:rsid w:val="BDF56CEE"/>
    <w:rsid w:val="BEBED9F4"/>
    <w:rsid w:val="BFDF0A26"/>
    <w:rsid w:val="C3DD6510"/>
    <w:rsid w:val="D3FD6D2A"/>
    <w:rsid w:val="D9FD5ED6"/>
    <w:rsid w:val="DE5D0115"/>
    <w:rsid w:val="DF2F7861"/>
    <w:rsid w:val="DFFDC726"/>
    <w:rsid w:val="DFFE85A6"/>
    <w:rsid w:val="EBB622F7"/>
    <w:rsid w:val="ED7B4436"/>
    <w:rsid w:val="F5FB2BD7"/>
    <w:rsid w:val="F79FECC2"/>
    <w:rsid w:val="F8BF25A0"/>
    <w:rsid w:val="F9FF0AB5"/>
    <w:rsid w:val="FCFBD2B0"/>
    <w:rsid w:val="FDBF5F61"/>
    <w:rsid w:val="FDFE3A65"/>
    <w:rsid w:val="FE3830D3"/>
    <w:rsid w:val="FE7F9743"/>
    <w:rsid w:val="FEBF275E"/>
    <w:rsid w:val="FF3F4057"/>
    <w:rsid w:val="FF9EED98"/>
    <w:rsid w:val="FFCD3C23"/>
    <w:rsid w:val="FFE62D96"/>
    <w:rsid w:val="FFEFEFD0"/>
    <w:rsid w:val="FFFA7FBE"/>
    <w:rsid w:val="FFFCDAA4"/>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2"/>
      <w:lang w:val="en-US" w:eastAsia="zh-CN" w:bidi="ar-SA"/>
    </w:rPr>
  </w:style>
  <w:style w:type="character" w:default="1" w:styleId="6">
    <w:name w:val="Default Paragraph Font"/>
    <w:semiHidden/>
    <w:qForma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2">
    <w:name w:val="标准正文"/>
    <w:basedOn w:val="1"/>
    <w:qFormat/>
    <w:uiPriority w:val="0"/>
    <w:pPr>
      <w:snapToGrid w:val="0"/>
      <w:spacing w:line="360" w:lineRule="auto"/>
      <w:ind w:firstLine="600" w:firstLineChars="200"/>
    </w:pPr>
    <w:rPr>
      <w:rFonts w:ascii="Arial" w:hAnsi="Arial" w:cs="Arial"/>
      <w:sz w:val="24"/>
      <w:szCs w:val="20"/>
    </w:rPr>
  </w:style>
  <w:style w:type="paragraph" w:styleId="3">
    <w:name w:val="Normal (Web)"/>
    <w:basedOn w:val="1"/>
    <w:unhideWhenUsed/>
    <w:qFormat/>
    <w:uiPriority w:val="99"/>
    <w:pPr>
      <w:widowControl/>
      <w:jc w:val="left"/>
    </w:pPr>
    <w:rPr>
      <w:rFonts w:ascii="宋体" w:hAnsi="宋体" w:eastAsia="宋体" w:cs="宋体"/>
      <w:kern w:val="0"/>
      <w:sz w:val="24"/>
      <w:szCs w:val="24"/>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
    <w:name w:val="Strong"/>
    <w:basedOn w:val="6"/>
    <w:qFormat/>
    <w:uiPriority w:val="22"/>
    <w:rPr>
      <w:b/>
      <w:bCs/>
    </w:rPr>
  </w:style>
  <w:style w:type="character" w:customStyle="1" w:styleId="8">
    <w:name w:val="默认段落字体1"/>
    <w:semiHidden/>
    <w:qFormat/>
    <w:uiPriority w:val="0"/>
  </w:style>
  <w:style w:type="table" w:customStyle="1" w:styleId="9">
    <w:name w:val="普通表格1"/>
    <w:semiHidden/>
    <w:qFormat/>
    <w:uiPriority w:val="0"/>
    <w:tblPr>
      <w:tblCellMar>
        <w:top w:w="0" w:type="dxa"/>
        <w:left w:w="108" w:type="dxa"/>
        <w:bottom w:w="0" w:type="dxa"/>
        <w:right w:w="108" w:type="dxa"/>
      </w:tblCellMar>
    </w:tblPr>
  </w:style>
  <w:style w:type="paragraph" w:customStyle="1" w:styleId="10">
    <w:name w:val="页脚1"/>
    <w:basedOn w:val="1"/>
    <w:qFormat/>
    <w:uiPriority w:val="0"/>
    <w:pPr>
      <w:tabs>
        <w:tab w:val="center" w:pos="4153"/>
        <w:tab w:val="right" w:pos="8306"/>
      </w:tabs>
      <w:snapToGrid w:val="0"/>
      <w:jc w:val="left"/>
    </w:pPr>
    <w:rPr>
      <w:sz w:val="18"/>
    </w:rPr>
  </w:style>
  <w:style w:type="paragraph" w:customStyle="1" w:styleId="11">
    <w:name w:val="页眉1"/>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脚注文本1"/>
    <w:basedOn w:val="1"/>
    <w:next w:val="1"/>
    <w:qFormat/>
    <w:uiPriority w:val="0"/>
    <w:pPr>
      <w:snapToGrid w:val="0"/>
      <w:jc w:val="left"/>
    </w:pPr>
    <w:rPr>
      <w:sz w:val="32"/>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正文缩进 + 首行缩进:  2 字符"/>
    <w:basedOn w:val="1"/>
    <w:qFormat/>
    <w:uiPriority w:val="0"/>
    <w:pPr>
      <w:spacing w:line="560" w:lineRule="exact"/>
      <w:ind w:firstLine="640"/>
    </w:pPr>
    <w:rPr>
      <w:rFonts w:ascii="仿宋" w:hAnsi="仿宋" w:eastAsia="仿宋" w:cs="宋体"/>
      <w:sz w:val="32"/>
      <w:szCs w:val="20"/>
    </w:rPr>
  </w:style>
  <w:style w:type="paragraph" w:customStyle="1" w:styleId="15">
    <w:name w:val="样式1"/>
    <w:basedOn w:val="1"/>
    <w:qFormat/>
    <w:uiPriority w:val="0"/>
  </w:style>
  <w:style w:type="character" w:customStyle="1" w:styleId="16">
    <w:name w:val="font31"/>
    <w:basedOn w:val="6"/>
    <w:qFormat/>
    <w:uiPriority w:val="0"/>
    <w:rPr>
      <w:rFonts w:hint="default" w:ascii="Times New Roman" w:hAnsi="Times New Roman" w:cs="Times New Roman"/>
      <w:color w:val="000000"/>
      <w:sz w:val="22"/>
      <w:szCs w:val="22"/>
      <w:u w:val="none"/>
    </w:rPr>
  </w:style>
  <w:style w:type="character" w:customStyle="1" w:styleId="17">
    <w:name w:val="font41"/>
    <w:basedOn w:val="6"/>
    <w:qFormat/>
    <w:uiPriority w:val="0"/>
    <w:rPr>
      <w:rFonts w:hint="eastAsia" w:ascii="宋体" w:hAnsi="宋体" w:eastAsia="宋体" w:cs="宋体"/>
      <w:color w:val="000000"/>
      <w:sz w:val="24"/>
      <w:szCs w:val="24"/>
      <w:u w:val="none"/>
    </w:rPr>
  </w:style>
  <w:style w:type="character" w:customStyle="1" w:styleId="18">
    <w:name w:val="font01"/>
    <w:basedOn w:val="6"/>
    <w:qFormat/>
    <w:uiPriority w:val="0"/>
    <w:rPr>
      <w:rFonts w:hint="eastAsia" w:ascii="方正仿宋_GBK" w:hAnsi="方正仿宋_GBK" w:eastAsia="方正仿宋_GBK" w:cs="方正仿宋_GBK"/>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24</Pages>
  <Words>14385</Words>
  <Characters>18001</Characters>
  <Lines>110</Lines>
  <Paragraphs>31</Paragraphs>
  <TotalTime>34</TotalTime>
  <ScaleCrop>false</ScaleCrop>
  <LinksUpToDate>false</LinksUpToDate>
  <CharactersWithSpaces>18268</CharactersWithSpaces>
  <Application>WPS Office_11.8.2.10599_F1E327BC-269C-435d-A152-05C5408002CA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Administrator</dc:creator>
  <cp:lastModifiedBy>greatwall</cp:lastModifiedBy>
  <cp:lastPrinted>2024-08-08T09:26:00Z</cp:lastPrinted>
  <dcterms:modified xsi:type="dcterms:W3CDTF">2024-09-11T08:45:46Z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2052-11.8.2.10599</vt:lpwstr>
  </property>
  <property fmtid="{D5CDD505-2E9C-101B-9397-08002B2CF9AE}" pid="3" name="ICV">
    <vt:lpwstr>584416916D894806ADDAF586C19F35E1_13</vt:lpwstr>
  </property>
</Properties>
</file>