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0" w:leftChars="0" w:firstLine="0" w:firstLineChars="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jc w:val="both"/>
        <w:rPr>
          <w:rFonts w:hint="eastAsia" w:ascii="宋体" w:hAnsi="宋体" w:eastAsia="宋体" w:cs="宋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sz w:val="36"/>
          <w:szCs w:val="36"/>
          <w:lang w:val="en-US" w:eastAsia="zh-CN"/>
        </w:rPr>
      </w:pPr>
      <w:bookmarkStart w:id="0" w:name="_GoBack"/>
      <w:r>
        <w:rPr>
          <w:rFonts w:hint="eastAsia" w:ascii="方正仿宋_GBK" w:hAnsi="方正仿宋_GBK" w:eastAsia="方正仿宋_GBK" w:cs="方正仿宋_GBK"/>
          <w:b/>
          <w:bCs/>
          <w:sz w:val="36"/>
          <w:szCs w:val="36"/>
          <w:lang w:val="en-US" w:eastAsia="zh-CN"/>
        </w:rPr>
        <w:t>2025年度宜昌市高价值专利培育中心建设项目    申报指南</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方正仿宋_GBK" w:hAnsi="方正仿宋_GBK" w:eastAsia="方正仿宋_GBK" w:cs="方正仿宋_GBK"/>
          <w:b w:val="0"/>
          <w:bCs w:val="0"/>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为做好2025年度宜昌市高价值专利培育中心建设项目工作，根据《湖北省高价值专利培育中心建设和管理工作指引）》及相关工作要求，制定本申报指南。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一、申报主体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宜昌市内注册的具有独立法人资格的企业、高校、科研机构、新型研发机构等创新主体。鼓励前述主体与产业链上下游企业、产学研合作单位、知识产权服务机构联合申报。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重点支持宜昌市战略性新兴产业、未来产业、“51020”产业体系有关创新主体。优先支持科技领军企业、专精特新企业、高新技术企业、科创“新物种”企业、国家知识产权示范和优势企业。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原则上不支持处于省、市级高价值专利培育中心建设周期内的创新主体申报本年度项目。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二、申报条件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创新主体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1.有稳定的研发经费和知识产权经费投入。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2.具有较强的研发实力，正常开展研发、生产和经营活动。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3.具有较好的创新基础，拥有一定数量的与申报产业技术领域相关的有效发明专利。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4.具备较强的专利成果产出、国内外专利布局能力。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5.有健全的知识产权管理制度和稳定的知识产权工作团队，知识产权专（兼）职人员不少于3人。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6.同等条件下，优先支持下列主体申报：拥有国家级、省部级认定的各类创新平台；正在承担相关国家或省部级重大科技攻关项目；获得国家知识产权优势示范企业认定、国家知识产权试点示范高校认定；通过省级专利导航项目验收；获得中国专利奖、湖北专利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（二）参与联合申报的知识产权服务机构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1.具备良好的高价值专利培育服务能力，拥有与申报条件领域相关的专利代理人和专利信息检索分析人员不少于3人，拥有副高级以上知识产权师的优先。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2.具有良好的经营状况，符合信用管理相关规定。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三、建设任务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本年度项目实施周期为3年，项目承担单位需在项目实施期内完成以下任务：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建立健全高价值专利培育工作体系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组建高价值专利培育工作团队，明确人员和责任分工。制定培育中心建设方案，形成流程化、规范化的管理制度。保障经费、人员等资源投入，面向经营管理、技术研发、市场营销等人员开展知识产权培训，培养专业化培育工作人员。促进产学研服深度融合，优化科研与知识产权团队协同，推动创新资源共用、合作利益共享。</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建立完善研发项目全过程专利培育形成机制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eastAsia" w:ascii="方正仿宋_GBK" w:hAnsi="方正仿宋_GBK" w:eastAsia="方正仿宋_GBK" w:cs="方正仿宋_GBK"/>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 xml:space="preserve"> 将知识产权管理嵌入研发项目立项、研发、结题、转化全过程，强化技术点挖掘与专利布局。突出专利培育产业化导向，建立专利申请前置评审、专利质量管控和专利全生命周期管控制度，建立从技术研发源头到专利授权、驳回、撤回、终止的专利流程档案。</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提升专利信息分析应用能力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eastAsia" w:ascii="方正仿宋_GBK" w:hAnsi="方正仿宋_GBK" w:eastAsia="方正仿宋_GBK" w:cs="方正仿宋_GBK"/>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充分利用专利信息，深度开展专利技术检索分析，分析技术发展路线，指导技术研发及发明专利布局。收集专利和市场竞争信息，开展商业化技术需求分析及相关领域竞争态势分析，掌握创新热点。开展专利挖掘，运用专利导航等工具为技术发展方向提供指导，突破一批关键核心技术。</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加大高价值专利产出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eastAsia" w:ascii="方正仿宋_GBK" w:hAnsi="方正仿宋_GBK" w:eastAsia="方正仿宋_GBK" w:cs="方正仿宋_GBK"/>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在重点产业、关键技术等领域形成一批创造质量高、保护效果好、运用效益优、核心竞争力强的高价值发明专利，实现发明专利专利授权和PCT国际专利申请质的有效提升和量的合理增长。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（五）发挥示范带动作用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充分发挥培育中心示范引领、辐射带动功能，联合产业链上游企业及相关科研机构、知识产权服务机构，组建行业协会或其他创新转化联合体，探索构建专利池。共同推进产业关键技术的专利创造、运用和保护，提升产业整体竞争力。鼓励有条件的创新主体积极参与国家及行业技术标准制定和修订。积极申报中国专利奖、湖北专利奖和开展专利产品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四、建设目标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（一）完成绩效目标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项目建设周期内，申报主体发明专利拥有量增长30%（含本数，下同）以上且新增纳入高价值发明专利拥有量统计范围的专利30件（1件PCT国际专利申请进入国家阶段视为2件发明专利授权）以上，同时新达到下列目标1项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1.获得中国专利奖。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2.获得湖北专利奖。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3.在高价值专利大赛中获奖。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4.专利技术纳入国家或行业标准。</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5.产品被认定为专利密集型产品。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6.实施相关行业（技术领域）专利导航分析或专利竞争态势分析和利用。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（二）完善工作机制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1.建立工作团队，专（兼）职人数不少于3人。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2.健全管理制度，形成一套质量较好的培育工作管理制度文本，并做好贯彻执行。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加强工作成果推介交流。在项目承担单位相关工作成果实体展示场所设置高价值专利培育中心建设工作成效展示专区，用好“专利墙”等展示方式，对项目实施情况和本单位技术、专利、产品、专家、团队、奖励等工作成果进行全方位图文展示介绍，有条件的单位可通过多媒体形式进行更加直观的展示。同时形成“一册一图”，即形成一本高质量的高价值专利培育中心建设工作成效总结手册和一张重点工作成果速览图，对项目开展情况进行全面归纳梳理，突出项目对单位研发、经营、专利工作机制和当地产业发展的促进支撑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五、组织实施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（一）专家评审。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市知识产权保护和服务中心组织专家评审，专家按评审标准进行投票，按票数从高到低择优纳入项目库。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（二）项目立项。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根据专家评审意见，经市局党组会审定后予以公示，公示后启动项目实施工作，原则上3年完成。项目启动之初与项目承担单位签订《项目任务书》，给予40%的项目资金，当年年度目标完成后拨付余下项目资金。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（三）项目验收。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项目完成后，市知识产权保护和服务中心组织开展验收，项目承担单位应提交项目实施工作总结、项目成果应用实施成效证明、相关政策性文件及其他必要材料。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六、相关要求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项目承担单位应为项目实施提供必要条件，保证配套资金投入到位。项目验收不通过，给予项目承担单位3月时间整改。对整改后仍未能通过验收，宜昌市知识产权保护和服务中心终止项目，并收回项目建设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二）项目承担单位以弄虚作假、虚假冒领等手段骗取项目资金或挤占、挪用项目资金的，一经查实即全额收回项目建设资金，并列入失信名单，予以公告，3年内不再受理其财政资金扶持申请；涉嫌犯罪的，移交司法机关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Segoe Print"/>
    <w:panose1 w:val="00000000000000000000"/>
    <w:charset w:val="00"/>
    <w:family w:val="auto"/>
    <w:pitch w:val="default"/>
    <w:sig w:usb0="00000000" w:usb1="00000000" w:usb2="00000000" w:usb3="00000000" w:csb0="0000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A2EAA"/>
    <w:multiLevelType w:val="singleLevel"/>
    <w:tmpl w:val="BCAA2EAA"/>
    <w:lvl w:ilvl="0" w:tentative="0">
      <w:start w:val="1"/>
      <w:numFmt w:val="chineseCounting"/>
      <w:suff w:val="nothing"/>
      <w:lvlText w:val="（%1）"/>
      <w:lvlJc w:val="left"/>
      <w:rPr>
        <w:rFonts w:hint="eastAsia"/>
      </w:rPr>
    </w:lvl>
  </w:abstractNum>
  <w:abstractNum w:abstractNumId="1">
    <w:nsid w:val="00860AD1"/>
    <w:multiLevelType w:val="singleLevel"/>
    <w:tmpl w:val="00860AD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414C4"/>
    <w:rsid w:val="6BA41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 w:hAnsi="Courier New" w:eastAsia="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2025-05-12T08:28:00Z</dcterms:created>
  <dc:creator>龚雪</dc:creator>
  <cp:lastModifiedBy>龚雪</cp:lastModifiedBy>
  <dcterms:modified xsi:type="dcterms:W3CDTF">2025-05-12T08:28:47Z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8B7D9F39DEB24166BCB71DD3A0488F33</vt:lpwstr>
  </property>
</Properties>
</file>