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83" w:name="_GoBack"/>
      <w:bookmarkEnd w:id="83"/>
      <w:bookmarkStart w:id="0" w:name="bookmark1"/>
      <w:bookmarkEnd w:id="0"/>
      <w:bookmarkStart w:id="1" w:name="_Toc16256721"/>
      <w:bookmarkStart w:id="2" w:name="_Toc13040011"/>
      <w:bookmarkStart w:id="3" w:name="_Toc198194199"/>
      <w:bookmarkStart w:id="4" w:name="_Toc110866540"/>
      <w:bookmarkStart w:id="5" w:name="_Toc471925979"/>
      <w:bookmarkStart w:id="6" w:name="_Toc101862924"/>
      <w:bookmarkStart w:id="7" w:name="_Toc21530176"/>
      <w:bookmarkStart w:id="8" w:name="_Toc82587943"/>
      <w:bookmarkStart w:id="9" w:name="_Toc24027377"/>
      <w:bookmarkStart w:id="10" w:name="_Toc26883115"/>
      <w:bookmarkStart w:id="11" w:name="_Toc529446718"/>
      <w:bookmarkStart w:id="12" w:name="_Toc516140325"/>
      <w:bookmarkStart w:id="13" w:name="_Toc24027378"/>
      <w:bookmarkStart w:id="14" w:name="_Toc26883116"/>
      <w:bookmarkStart w:id="15" w:name="_Toc21530177"/>
      <w:bookmarkStart w:id="16" w:name="_Toc16256722"/>
      <w:bookmarkStart w:id="17" w:name="_Toc13040012"/>
      <w:bookmarkStart w:id="18" w:name="_Toc529446719"/>
      <w:bookmarkStart w:id="19" w:name="_Toc529446722"/>
      <w:bookmarkStart w:id="20" w:name="_Toc524013163"/>
      <w:bookmarkStart w:id="21" w:name="_Toc40261099"/>
      <w:bookmarkStart w:id="22" w:name="_Toc50974833"/>
      <w:bookmarkStart w:id="23" w:name="_Toc45894153"/>
      <w:bookmarkStart w:id="24" w:name="_Toc38031394"/>
      <w:bookmarkStart w:id="25" w:name="_Toc60988602"/>
      <w:bookmarkStart w:id="26" w:name="_Toc43888023"/>
      <w:bookmarkStart w:id="27" w:name="_Toc37337029"/>
      <w:bookmarkStart w:id="28" w:name="_Toc910703"/>
      <w:bookmarkStart w:id="29" w:name="_Toc37162054"/>
      <w:bookmarkStart w:id="30" w:name="_Toc43889223"/>
      <w:bookmarkStart w:id="31" w:name="_Toc44657754"/>
      <w:bookmarkStart w:id="32" w:name="_Toc36806112"/>
      <w:bookmarkStart w:id="33" w:name="_Toc44514965"/>
      <w:bookmarkStart w:id="34" w:name="_Toc45287602"/>
      <w:bookmarkStart w:id="35" w:name="_Toc45890231"/>
      <w:r>
        <w:rPr>
          <w:rFonts w:hint="eastAsia" w:ascii="方正小标宋简体" w:eastAsia="方正小标宋简体"/>
          <w:sz w:val="44"/>
          <w:szCs w:val="44"/>
        </w:rPr>
        <w:t>水环境质量篇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bookmarkEnd w:id="12"/>
    <w:bookmarkEnd w:id="13"/>
    <w:bookmarkEnd w:id="14"/>
    <w:bookmarkEnd w:id="15"/>
    <w:bookmarkEnd w:id="16"/>
    <w:bookmarkEnd w:id="17"/>
    <w:bookmarkEnd w:id="18"/>
    <w:p>
      <w:pPr>
        <w:spacing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36" w:name="_Toc101862925"/>
      <w:bookmarkStart w:id="37" w:name="_Toc82587944"/>
      <w:bookmarkStart w:id="38" w:name="_Toc110866541"/>
      <w:bookmarkStart w:id="39" w:name="_Toc113969597"/>
      <w:bookmarkStart w:id="40" w:name="_Toc147935283"/>
      <w:bookmarkStart w:id="41" w:name="_Toc198194200"/>
      <w:bookmarkStart w:id="42" w:name="_Toc137548067"/>
      <w:bookmarkStart w:id="43" w:name="_Toc82587947"/>
      <w:bookmarkStart w:id="44" w:name="_Toc101862927"/>
      <w:bookmarkStart w:id="45" w:name="_Toc110866543"/>
      <w:r>
        <w:rPr>
          <w:rFonts w:hint="eastAsia" w:ascii="黑体" w:eastAsia="黑体"/>
          <w:sz w:val="32"/>
          <w:szCs w:val="32"/>
        </w:rPr>
        <w:t>一、</w:t>
      </w:r>
      <w:r>
        <w:rPr>
          <w:rFonts w:ascii="黑体" w:eastAsia="黑体"/>
          <w:sz w:val="32"/>
          <w:szCs w:val="32"/>
        </w:rPr>
        <w:t>4月</w:t>
      </w:r>
      <w:r>
        <w:rPr>
          <w:rFonts w:hint="eastAsia" w:ascii="黑体" w:eastAsia="黑体"/>
          <w:sz w:val="32"/>
          <w:szCs w:val="32"/>
        </w:rPr>
        <w:t>水环境质量概况</w:t>
      </w:r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月地表水水质监测结果，宜昌市24条河流水质总体为“优”，符合Ⅰ～Ⅲ类的断面</w:t>
      </w:r>
      <w:r>
        <w:rPr>
          <w:rFonts w:ascii="仿宋_GB2312" w:hAnsi="仿宋_GB2312" w:eastAsia="仿宋_GB2312" w:cs="仿宋_GB2312"/>
          <w:sz w:val="32"/>
          <w:szCs w:val="32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个，占全部断面的</w:t>
      </w:r>
      <w:r>
        <w:rPr>
          <w:rFonts w:ascii="仿宋_GB2312" w:hAnsi="仿宋_GB2312" w:eastAsia="仿宋_GB2312" w:cs="仿宋_GB2312"/>
          <w:sz w:val="32"/>
          <w:szCs w:val="32"/>
        </w:rPr>
        <w:t>96</w:t>
      </w:r>
      <w:r>
        <w:rPr>
          <w:rFonts w:hint="eastAsia" w:ascii="仿宋_GB2312" w:hAnsi="仿宋_GB2312" w:eastAsia="仿宋_GB2312" w:cs="仿宋_GB2312"/>
          <w:sz w:val="32"/>
          <w:szCs w:val="32"/>
        </w:rPr>
        <w:t>%。河流水质达到水环境功能区规划</w:t>
      </w:r>
      <w:r>
        <w:rPr>
          <w:rFonts w:ascii="仿宋_GB2312" w:hAnsi="仿宋_GB2312" w:eastAsia="仿宋_GB2312" w:cs="仿宋_GB2312"/>
          <w:sz w:val="32"/>
          <w:szCs w:val="32"/>
        </w:rPr>
        <w:t>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要求的断面</w:t>
      </w:r>
      <w:r>
        <w:rPr>
          <w:rFonts w:ascii="仿宋_GB2312" w:hAnsi="仿宋_GB2312" w:eastAsia="仿宋_GB2312" w:cs="仿宋_GB2312"/>
          <w:sz w:val="32"/>
          <w:szCs w:val="32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个，达标比例为</w:t>
      </w:r>
      <w:r>
        <w:rPr>
          <w:rFonts w:ascii="仿宋_GB2312" w:hAnsi="仿宋_GB2312" w:eastAsia="仿宋_GB2312" w:cs="仿宋_GB2312"/>
          <w:sz w:val="32"/>
          <w:szCs w:val="32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个超标断面分别为运河铁路桥下断面，运河万寿桥断面，香溪河长沙坝断面；其中运河铁路桥下、万寿桥断面超标是由于受上游施工影响。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地表水国控、省控断面水质情况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宜昌市纳入国家考核1</w:t>
      </w:r>
      <w:r>
        <w:rPr>
          <w:rFonts w:ascii="仿宋_GB2312" w:hAnsi="宋体" w:eastAsia="仿宋_GB2312" w:cs="宋体"/>
          <w:sz w:val="32"/>
          <w:szCs w:val="32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个断面水质优良率为</w:t>
      </w:r>
      <w:r>
        <w:rPr>
          <w:rFonts w:ascii="仿宋_GB2312" w:hAnsi="宋体" w:eastAsia="仿宋_GB2312" w:cs="宋体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达标率为93.8%</w:t>
      </w:r>
      <w:r>
        <w:rPr>
          <w:rFonts w:hint="eastAsia" w:eastAsia="仿宋_GB2312"/>
          <w:sz w:val="32"/>
          <w:szCs w:val="32"/>
        </w:rPr>
        <w:t>，超标断面为</w:t>
      </w:r>
      <w:r>
        <w:rPr>
          <w:rFonts w:hint="eastAsia" w:ascii="仿宋_GB2312" w:hAnsi="仿宋_GB2312" w:eastAsia="仿宋_GB2312" w:cs="仿宋_GB2312"/>
          <w:sz w:val="32"/>
          <w:szCs w:val="32"/>
        </w:rPr>
        <w:t>香溪河长沙坝断面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34个省控断面水质优良率为100%，达标率为97.1%</w:t>
      </w:r>
      <w:r>
        <w:rPr>
          <w:rFonts w:hint="eastAsia" w:eastAsia="仿宋_GB2312"/>
          <w:sz w:val="32"/>
          <w:szCs w:val="32"/>
        </w:rPr>
        <w:t>，超标断面为</w:t>
      </w:r>
      <w:r>
        <w:rPr>
          <w:rFonts w:hint="eastAsia" w:ascii="仿宋_GB2312" w:hAnsi="仿宋_GB2312" w:eastAsia="仿宋_GB2312" w:cs="仿宋_GB2312"/>
          <w:sz w:val="32"/>
          <w:szCs w:val="32"/>
        </w:rPr>
        <w:t>香溪河长沙坝断面</w:t>
      </w:r>
      <w:r>
        <w:rPr>
          <w:rFonts w:hint="eastAsia" w:ascii="仿宋_GB2312" w:hAnsi="宋体" w:eastAsia="仿宋_GB2312" w:cs="宋体"/>
          <w:sz w:val="32"/>
          <w:szCs w:val="32"/>
        </w:rPr>
        <w:t>。监测结果详见附表</w:t>
      </w:r>
      <w:r>
        <w:rPr>
          <w:rFonts w:ascii="仿宋_GB2312" w:hAnsi="宋体" w:eastAsia="仿宋_GB2312" w:cs="宋体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spacing w:line="600" w:lineRule="exact"/>
        <w:ind w:firstLine="643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（二）部分断面水质1-</w:t>
      </w:r>
      <w:r>
        <w:rPr>
          <w:rFonts w:ascii="楷体_GB2312" w:eastAsia="楷体_GB2312"/>
          <w:b/>
          <w:sz w:val="32"/>
          <w:szCs w:val="32"/>
        </w:rPr>
        <w:t>4</w:t>
      </w:r>
      <w:r>
        <w:rPr>
          <w:rFonts w:hint="eastAsia" w:ascii="楷体_GB2312" w:eastAsia="楷体_GB2312"/>
          <w:b/>
          <w:sz w:val="32"/>
          <w:szCs w:val="32"/>
        </w:rPr>
        <w:t>月累计同比变化情况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24条河流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个断面中，有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条河流</w:t>
      </w:r>
      <w:r>
        <w:rPr>
          <w:rFonts w:ascii="仿宋_GB2312" w:eastAsia="仿宋_GB2312"/>
          <w:sz w:val="32"/>
          <w:szCs w:val="32"/>
        </w:rPr>
        <w:t>的5</w:t>
      </w:r>
      <w:r>
        <w:rPr>
          <w:rFonts w:hint="eastAsia" w:ascii="仿宋_GB2312" w:eastAsia="仿宋_GB2312"/>
          <w:sz w:val="32"/>
          <w:szCs w:val="32"/>
        </w:rPr>
        <w:t>个断面</w:t>
      </w:r>
      <w:r>
        <w:rPr>
          <w:rFonts w:ascii="仿宋_GB2312" w:eastAsia="仿宋_GB2312"/>
          <w:sz w:val="32"/>
          <w:szCs w:val="32"/>
        </w:rPr>
        <w:t>水质</w:t>
      </w:r>
      <w:r>
        <w:rPr>
          <w:rFonts w:hint="eastAsia" w:ascii="仿宋_GB2312" w:eastAsia="仿宋_GB2312"/>
          <w:sz w:val="32"/>
          <w:szCs w:val="32"/>
        </w:rPr>
        <w:t>同比有所好转，分别为长江枝城洋溪村（右）、善溪冲福善场村委会、玛瑙河新河口、柏临河灵宝村、茅坪河万家坝。有1条河流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个断面水质同比明显下降，为运河铁路桥下、运河万寿桥。其他断面均保持稳定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sz w:val="32"/>
          <w:szCs w:val="32"/>
        </w:rPr>
      </w:pPr>
      <w:bookmarkStart w:id="46" w:name="_Toc198194201"/>
      <w:bookmarkStart w:id="47" w:name="_Toc147935284"/>
      <w:bookmarkStart w:id="48" w:name="_Toc137548069"/>
      <w:bookmarkStart w:id="49" w:name="_Toc113969599"/>
      <w:bookmarkStart w:id="50" w:name="_Toc187654829"/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月城区饮用水源地水质现状</w:t>
      </w:r>
      <w:bookmarkEnd w:id="46"/>
      <w:bookmarkEnd w:id="47"/>
      <w:bookmarkEnd w:id="48"/>
      <w:bookmarkEnd w:id="49"/>
      <w:bookmarkEnd w:id="50"/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月，对城区4个饮用水源地水质进行手工监测，城区水源地取水量合计</w:t>
      </w:r>
      <w:r>
        <w:rPr>
          <w:rFonts w:ascii="仿宋_GB2312" w:eastAsia="仿宋_GB2312"/>
          <w:sz w:val="32"/>
          <w:szCs w:val="32"/>
        </w:rPr>
        <w:t>1049.2179</w:t>
      </w:r>
      <w:r>
        <w:rPr>
          <w:rFonts w:hint="eastAsia" w:ascii="仿宋_GB2312" w:eastAsia="仿宋_GB2312"/>
          <w:sz w:val="32"/>
          <w:szCs w:val="32"/>
        </w:rPr>
        <w:t>万吨，水源地水质均达到或优于《地表水环境质量标准》（GB3838-2002）Ⅲ类标准，水源地水质达标比例和水量达标比例均为100%。监测结果详见附表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sz w:val="32"/>
          <w:szCs w:val="32"/>
        </w:rPr>
      </w:pPr>
      <w:bookmarkStart w:id="51" w:name="_Toc198194202"/>
      <w:r>
        <w:rPr>
          <w:rFonts w:hint="eastAsia" w:ascii="黑体" w:hAnsi="黑体" w:eastAsia="黑体"/>
          <w:sz w:val="32"/>
          <w:szCs w:val="32"/>
        </w:rPr>
        <w:t>三、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43"/>
      <w:bookmarkEnd w:id="44"/>
      <w:bookmarkEnd w:id="45"/>
      <w:bookmarkStart w:id="52" w:name="_Toc110866544"/>
      <w:r>
        <w:rPr>
          <w:rFonts w:ascii="黑体" w:hAnsi="黑体" w:eastAsia="黑体"/>
          <w:sz w:val="32"/>
          <w:szCs w:val="32"/>
        </w:rPr>
        <w:t>4月</w:t>
      </w:r>
      <w:r>
        <w:rPr>
          <w:rFonts w:hint="eastAsia" w:ascii="黑体" w:hAnsi="黑体" w:eastAsia="黑体"/>
          <w:sz w:val="32"/>
          <w:szCs w:val="32"/>
        </w:rPr>
        <w:t>水质自动站监测情况</w:t>
      </w:r>
      <w:bookmarkEnd w:id="51"/>
      <w:bookmarkEnd w:id="52"/>
    </w:p>
    <w:p>
      <w:pPr>
        <w:tabs>
          <w:tab w:val="left" w:pos="692"/>
        </w:tabs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53" w:name="_Hlk36557277"/>
      <w:bookmarkStart w:id="54" w:name="_Toc26883119"/>
      <w:bookmarkStart w:id="55" w:name="_Toc27143811"/>
      <w:bookmarkStart w:id="56" w:name="_Toc27143829"/>
      <w:bookmarkStart w:id="57" w:name="_Toc29461477"/>
      <w:bookmarkStart w:id="58" w:name="_Toc43888024"/>
      <w:bookmarkStart w:id="59" w:name="_Toc19527526"/>
      <w:bookmarkStart w:id="60" w:name="_Toc27143893"/>
      <w:bookmarkStart w:id="61" w:name="_Toc43889224"/>
      <w:bookmarkStart w:id="62" w:name="_Toc40261100"/>
      <w:bookmarkStart w:id="63" w:name="_Toc44514966"/>
      <w:bookmarkStart w:id="64" w:name="_Toc38031395"/>
      <w:bookmarkStart w:id="65" w:name="_Toc45890232"/>
      <w:bookmarkStart w:id="66" w:name="_Toc487200541"/>
      <w:bookmarkStart w:id="67" w:name="_Toc44657755"/>
      <w:bookmarkStart w:id="68" w:name="_Toc18930284"/>
      <w:bookmarkStart w:id="69" w:name="_Toc45287603"/>
      <w:bookmarkStart w:id="70" w:name="_Toc16256727"/>
      <w:bookmarkStart w:id="71" w:name="_Toc497806304"/>
      <w:bookmarkStart w:id="72" w:name="_Toc13669071"/>
      <w:bookmarkStart w:id="73" w:name="_Toc11071119"/>
      <w:bookmarkStart w:id="74" w:name="_Toc18930309"/>
      <w:bookmarkStart w:id="75" w:name="_Toc21530180"/>
      <w:bookmarkStart w:id="76" w:name="_Toc24027381"/>
      <w:bookmarkStart w:id="77" w:name="_Toc53476345"/>
      <w:bookmarkStart w:id="78" w:name="_Toc60988603"/>
      <w:bookmarkStart w:id="79" w:name="_Toc45894154"/>
      <w:bookmarkStart w:id="80" w:name="_Toc56083032"/>
      <w:bookmarkStart w:id="81" w:name="_Toc50974834"/>
      <w:bookmarkStart w:id="82" w:name="_Toc48654559"/>
      <w:r>
        <w:rPr>
          <w:rFonts w:hint="eastAsia" w:ascii="仿宋_GB2312" w:eastAsia="仿宋_GB2312"/>
          <w:sz w:val="32"/>
          <w:szCs w:val="32"/>
        </w:rPr>
        <w:t>2025年4月考核宜昌市国控9个、长江经济带6个和省控九畹溪河口共计16个水质自动监测站监测情况如下：</w:t>
      </w:r>
      <w:r>
        <w:rPr>
          <w:rFonts w:ascii="仿宋_GB2312" w:eastAsia="仿宋_GB2312"/>
          <w:sz w:val="32"/>
          <w:szCs w:val="32"/>
        </w:rPr>
        <w:t>14个站点月均值达标，水质现状为优（</w:t>
      </w:r>
      <w:r>
        <w:rPr>
          <w:rFonts w:hint="eastAsia" w:ascii="仿宋_GB2312" w:eastAsia="仿宋_GB2312"/>
          <w:sz w:val="32"/>
          <w:szCs w:val="32"/>
        </w:rPr>
        <w:t>Ⅰ类或</w:t>
      </w:r>
      <w:r>
        <w:rPr>
          <w:rFonts w:ascii="仿宋_GB2312" w:eastAsia="仿宋_GB2312"/>
          <w:sz w:val="32"/>
          <w:szCs w:val="32"/>
        </w:rPr>
        <w:t>Ⅱ类）；其余两个站点中，长沙坝因总磷（0.106 mg/L）超标导致水质为Ⅲ类，月均值未达标，水质现状为良好；土门大桥因高锰酸盐指数（4.7 mg/L）和总磷（0.129 mg/L）较高，水质为Ⅲ类，但月均值达标，水质现状为良好。</w:t>
      </w:r>
      <w:r>
        <w:rPr>
          <w:rFonts w:hint="eastAsia" w:ascii="仿宋_GB2312" w:eastAsia="仿宋_GB2312"/>
          <w:sz w:val="32"/>
          <w:szCs w:val="32"/>
        </w:rPr>
        <w:t>有10个站点水质日均值达标率为100.0%；还有6个站点铁路大桥（小桂林）、两河口（草埠湖水厂）、荆州河口、长沙坝、土门大桥和马勒坡水质日均值达标率为46.7%-90.0%，其中荆州河口日均值达标率最差（46.7%）。具体监测情况详见附表9。</w:t>
      </w:r>
    </w:p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p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7  </w:t>
      </w: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4月</w:t>
      </w:r>
      <w:r>
        <w:rPr>
          <w:rFonts w:hint="eastAsia" w:ascii="黑体" w:hAnsi="黑体" w:eastAsia="黑体"/>
          <w:sz w:val="30"/>
          <w:szCs w:val="30"/>
        </w:rPr>
        <w:t>宜昌市主要河流断面水质监测类别</w:t>
      </w:r>
    </w:p>
    <w:tbl>
      <w:tblPr>
        <w:tblStyle w:val="1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033"/>
        <w:gridCol w:w="729"/>
        <w:gridCol w:w="1578"/>
        <w:gridCol w:w="935"/>
        <w:gridCol w:w="811"/>
        <w:gridCol w:w="520"/>
        <w:gridCol w:w="718"/>
        <w:gridCol w:w="819"/>
        <w:gridCol w:w="983"/>
        <w:gridCol w:w="1214"/>
        <w:gridCol w:w="3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名称</w:t>
            </w:r>
          </w:p>
        </w:tc>
        <w:tc>
          <w:tcPr>
            <w:tcW w:w="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6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断面名称</w:t>
            </w:r>
          </w:p>
        </w:tc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区域</w:t>
            </w:r>
          </w:p>
        </w:tc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断面性质</w:t>
            </w:r>
          </w:p>
        </w:tc>
        <w:tc>
          <w:tcPr>
            <w:tcW w:w="2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水质规划类别</w:t>
            </w: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水质监测类别</w:t>
            </w:r>
          </w:p>
        </w:tc>
        <w:tc>
          <w:tcPr>
            <w:tcW w:w="7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3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6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上月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本月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Cs w:val="21"/>
              </w:rPr>
              <w:t>1-</w:t>
            </w:r>
            <w:r>
              <w:rPr>
                <w:rFonts w:ascii="黑体" w:hAnsi="黑体" w:eastAsia="黑体" w:cs="黑体"/>
                <w:spacing w:val="-20"/>
                <w:kern w:val="0"/>
                <w:szCs w:val="21"/>
              </w:rPr>
              <w:t>4</w:t>
            </w:r>
            <w:r>
              <w:rPr>
                <w:rFonts w:hint="eastAsia" w:ascii="黑体" w:hAnsi="黑体" w:eastAsia="黑体" w:cs="黑体"/>
                <w:spacing w:val="-20"/>
                <w:kern w:val="0"/>
                <w:szCs w:val="21"/>
              </w:rPr>
              <w:t>月累计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7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银杏沱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坝前木鱼岛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南津关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胜利四路路口长江公安码头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枝城洋溪村（右）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云池（白洋）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荆州砖瓦厂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长江公路大桥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清江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隔河岩坝上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24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朱津滩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宜都清江大桥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渔洋河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马勒坡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2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白家渡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石板村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运河铁路桥下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明显下降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五日生化需氧量（0</w:t>
            </w:r>
            <w:r>
              <w:rPr>
                <w:rFonts w:eastAsia="仿宋_GB2312"/>
                <w:kern w:val="0"/>
                <w:szCs w:val="21"/>
              </w:rPr>
              <w:t>.13</w:t>
            </w:r>
            <w:r>
              <w:rPr>
                <w:rFonts w:hint="eastAsia" w:eastAsia="仿宋_GB2312"/>
                <w:kern w:val="0"/>
                <w:szCs w:val="21"/>
              </w:rPr>
              <w:t>）、氨氮（0</w:t>
            </w:r>
            <w:r>
              <w:rPr>
                <w:rFonts w:eastAsia="仿宋_GB2312"/>
                <w:kern w:val="0"/>
                <w:szCs w:val="21"/>
              </w:rPr>
              <w:t>.59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万寿桥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pacing w:val="-10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明显下降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氨氮（</w:t>
            </w:r>
            <w:r>
              <w:rPr>
                <w:rFonts w:eastAsia="仿宋_GB2312"/>
                <w:kern w:val="0"/>
                <w:szCs w:val="21"/>
              </w:rPr>
              <w:t>0.61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42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香溪河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泗湘溪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长沙坝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总磷（0</w:t>
            </w:r>
            <w:r>
              <w:rPr>
                <w:rFonts w:eastAsia="仿宋_GB2312"/>
                <w:kern w:val="0"/>
                <w:szCs w:val="21"/>
              </w:rPr>
              <w:t>.06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黄柏河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东支（天府庙）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2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石碑滩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雾渡河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汤渡河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黄柏河大桥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黄柏河一桥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善溪冲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（善溪冲小桥）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善溪大冲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玛瑙河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(原安福寺)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2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新河口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（小桂林）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群利一队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远安县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漳河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育溪大桥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沮漳河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（草埠湖水厂）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2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河溶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荆州河口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2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巩河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巩河水库首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桥边河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红旗村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五龙河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红光二桥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紫阳河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紫阳河入江口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柏临河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土门大桥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灵宝村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猫子咀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</w:t>
            </w:r>
            <w:r>
              <w:rPr>
                <w:rFonts w:hint="eastAsia" w:eastAsia="仿宋_GB2312"/>
                <w:kern w:val="0"/>
                <w:szCs w:val="21"/>
              </w:rPr>
              <w:t>岗</w:t>
            </w:r>
            <w:r>
              <w:rPr>
                <w:rFonts w:eastAsia="仿宋_GB2312"/>
                <w:kern w:val="0"/>
                <w:szCs w:val="21"/>
              </w:rPr>
              <w:t>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17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下牢溪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（三界水文站）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茅坪河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万家坝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叱溪河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野桑坪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九畹溪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槐树坪电站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青干河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牌楼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太平溪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蝉潭水电站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童庄河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文化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天池河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纸坊头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before="120" w:beforeLines="50" w:after="120" w:afterLines="50" w:line="560" w:lineRule="exact"/>
        <w:rPr>
          <w:rFonts w:hint="eastAsia" w:ascii="黑体" w:hAnsi="黑体" w:eastAsia="黑体"/>
          <w:sz w:val="30"/>
          <w:szCs w:val="30"/>
        </w:rPr>
        <w:sectPr>
          <w:footerReference r:id="rId4" w:type="default"/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>
      <w:pPr>
        <w:spacing w:before="156" w:beforeLines="50" w:after="156" w:afterLines="50" w:line="560" w:lineRule="exact"/>
        <w:ind w:firstLine="1200" w:firstLineChars="4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8   </w:t>
      </w: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4</w:t>
      </w:r>
      <w:r>
        <w:rPr>
          <w:rFonts w:hint="eastAsia" w:ascii="黑体" w:hAnsi="黑体" w:eastAsia="黑体"/>
          <w:sz w:val="30"/>
          <w:szCs w:val="30"/>
        </w:rPr>
        <w:t>月宜昌市城区饮用水源地水质类别</w:t>
      </w:r>
    </w:p>
    <w:tbl>
      <w:tblPr>
        <w:tblStyle w:val="17"/>
        <w:tblW w:w="4999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284"/>
        <w:gridCol w:w="1197"/>
        <w:gridCol w:w="1197"/>
        <w:gridCol w:w="1883"/>
        <w:gridCol w:w="1455"/>
        <w:gridCol w:w="145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饮用水源地名称</w:t>
            </w:r>
          </w:p>
        </w:tc>
        <w:tc>
          <w:tcPr>
            <w:tcW w:w="6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规划类别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水质类别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水质现状</w:t>
            </w: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6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  <w:tc>
          <w:tcPr>
            <w:tcW w:w="6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官庄水库</w:t>
            </w:r>
          </w:p>
        </w:tc>
        <w:tc>
          <w:tcPr>
            <w:tcW w:w="6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941.7129</w:t>
            </w:r>
          </w:p>
        </w:tc>
        <w:tc>
          <w:tcPr>
            <w:tcW w:w="681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  <w:tc>
          <w:tcPr>
            <w:tcW w:w="681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窑湾水厂水源地</w:t>
            </w:r>
          </w:p>
        </w:tc>
        <w:tc>
          <w:tcPr>
            <w:tcW w:w="6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681" w:type="pct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681" w:type="pct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楠木溪水库</w:t>
            </w:r>
          </w:p>
        </w:tc>
        <w:tc>
          <w:tcPr>
            <w:tcW w:w="6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3.1</w:t>
            </w:r>
          </w:p>
        </w:tc>
        <w:tc>
          <w:tcPr>
            <w:tcW w:w="681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681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善溪冲水库</w:t>
            </w:r>
          </w:p>
        </w:tc>
        <w:tc>
          <w:tcPr>
            <w:tcW w:w="6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104.405</w:t>
            </w:r>
          </w:p>
        </w:tc>
        <w:tc>
          <w:tcPr>
            <w:tcW w:w="681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681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 w:line="560" w:lineRule="exact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/>
          <w:kern w:val="0"/>
          <w:szCs w:val="21"/>
        </w:rPr>
        <w:t>备注：窑湾水厂水源地为备用水源地。</w:t>
      </w:r>
    </w:p>
    <w:p>
      <w:pPr>
        <w:widowControl/>
        <w:jc w:val="left"/>
        <w:rPr>
          <w:rFonts w:ascii="仿宋_GB2312" w:eastAsia="仿宋_GB2312" w:cs="仿宋_GB231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</w:rPr>
        <w:br w:type="page"/>
      </w:r>
    </w:p>
    <w:p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9    </w:t>
      </w:r>
      <w:r>
        <w:rPr>
          <w:rFonts w:hint="eastAsia" w:ascii="黑体" w:hAnsi="黑体" w:eastAsia="黑体"/>
          <w:sz w:val="30"/>
          <w:szCs w:val="30"/>
        </w:rPr>
        <w:t>2025年4月宜昌市水质自动站监测情况</w:t>
      </w:r>
    </w:p>
    <w:tbl>
      <w:tblPr>
        <w:tblStyle w:val="1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01"/>
        <w:gridCol w:w="846"/>
        <w:gridCol w:w="685"/>
        <w:gridCol w:w="1157"/>
        <w:gridCol w:w="1056"/>
        <w:gridCol w:w="1266"/>
        <w:gridCol w:w="629"/>
        <w:gridCol w:w="610"/>
        <w:gridCol w:w="542"/>
        <w:gridCol w:w="1455"/>
        <w:gridCol w:w="921"/>
        <w:gridCol w:w="1661"/>
        <w:gridCol w:w="1233"/>
        <w:gridCol w:w="1443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14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99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20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244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24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24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446" w:type="pct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198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419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6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219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198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6" w:type="pct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" w:type="pct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86" w:type="pct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00" w:type="pct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99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201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244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247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247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98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83.3%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5.7-5.8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8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(0.06-1.24)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0.106-0.224</w:t>
            </w:r>
          </w:p>
        </w:tc>
        <w:tc>
          <w:tcPr>
            <w:tcW w:w="40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247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247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98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5.0-5.7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下雨，面源污染，水体流动性差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8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高锰酸盐指数(0.075-0.125)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4.3-4.5</w:t>
            </w:r>
          </w:p>
        </w:tc>
        <w:tc>
          <w:tcPr>
            <w:tcW w:w="40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8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(0.44-0.88)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0.72-0.94</w:t>
            </w:r>
          </w:p>
        </w:tc>
        <w:tc>
          <w:tcPr>
            <w:tcW w:w="40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8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(0.05-0.46)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0.105-0.146</w:t>
            </w:r>
          </w:p>
        </w:tc>
        <w:tc>
          <w:tcPr>
            <w:tcW w:w="40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247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247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98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46.7%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3.4-5.9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下雨、面源污染、回水区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8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高锰酸盐指数(0.025)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4.1</w:t>
            </w:r>
          </w:p>
        </w:tc>
        <w:tc>
          <w:tcPr>
            <w:tcW w:w="40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总磷（0.06）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56.7%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(0.03-1.04)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0.103-0.204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面源和点源污染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244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7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247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247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226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198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73.3%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3.2-4.7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下雨，面源污染；水量太小，流动性较弱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8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高锰酸盐指数(0.22-0.23)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7.3-7.4</w:t>
            </w:r>
          </w:p>
        </w:tc>
        <w:tc>
          <w:tcPr>
            <w:tcW w:w="40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8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(0.43-0.52)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1.43-1.52</w:t>
            </w:r>
          </w:p>
        </w:tc>
        <w:tc>
          <w:tcPr>
            <w:tcW w:w="40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8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(0.055-1.11)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0.211-0.422</w:t>
            </w:r>
          </w:p>
        </w:tc>
        <w:tc>
          <w:tcPr>
            <w:tcW w:w="400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100.0%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7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渔洋河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247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247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26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98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90.0%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5.5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下雨，面源污染；渔洋河净流量较小，水体自净能力减弱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6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8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(0.26-0.52)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0.126-0.152</w:t>
            </w: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395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河口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226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备注：1</w:t>
      </w:r>
      <w:r>
        <w:rPr>
          <w:rFonts w:ascii="仿宋_GB2312" w:eastAsia="仿宋_GB2312" w:cs="仿宋_GB2312"/>
        </w:rPr>
        <w:t>.数据源于省网水质自动监测数据，评价结果仅供参考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实际评价结果以国家网水质</w:t>
      </w:r>
      <w:r>
        <w:rPr>
          <w:rFonts w:hint="eastAsia" w:ascii="仿宋_GB2312" w:eastAsia="仿宋_GB2312" w:cs="仿宋_GB2312"/>
        </w:rPr>
        <w:t>平台公布</w:t>
      </w:r>
      <w:r>
        <w:rPr>
          <w:rFonts w:ascii="仿宋_GB2312" w:eastAsia="仿宋_GB2312" w:cs="仿宋_GB2312"/>
        </w:rPr>
        <w:t>为准。</w:t>
      </w:r>
    </w:p>
    <w:p>
      <w:pPr>
        <w:widowControl/>
        <w:jc w:val="left"/>
      </w:pPr>
      <w:r>
        <w:rPr>
          <w:rFonts w:hint="eastAsia" w:ascii="仿宋_GB2312" w:eastAsia="仿宋_GB2312" w:cs="仿宋_GB2312"/>
        </w:rPr>
        <w:t xml:space="preserve">        </w:t>
      </w:r>
    </w:p>
    <w:p>
      <w:pPr>
        <w:widowControl/>
        <w:jc w:val="left"/>
        <w:rPr>
          <w:rFonts w:ascii="仿宋_GB2312" w:eastAsia="仿宋_GB2312" w:cs="仿宋_GB231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jRiNjIyYzdlMzhjM2Y3MzQzZjc1NmM1NTBhOTcifQ=="/>
    <w:docVar w:name="KSO_WPS_MARK_KEY" w:val="7ce1fe46-c357-455a-8986-0db70c74e628"/>
  </w:docVars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2307"/>
    <w:rsid w:val="000246FF"/>
    <w:rsid w:val="00025709"/>
    <w:rsid w:val="00026A90"/>
    <w:rsid w:val="0002718F"/>
    <w:rsid w:val="000271C4"/>
    <w:rsid w:val="00027B43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3964"/>
    <w:rsid w:val="000644C7"/>
    <w:rsid w:val="000649BE"/>
    <w:rsid w:val="00065E43"/>
    <w:rsid w:val="00065F6E"/>
    <w:rsid w:val="00066166"/>
    <w:rsid w:val="00066A33"/>
    <w:rsid w:val="00067A17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C45"/>
    <w:rsid w:val="001244F9"/>
    <w:rsid w:val="0012480E"/>
    <w:rsid w:val="00125968"/>
    <w:rsid w:val="00126328"/>
    <w:rsid w:val="00126A22"/>
    <w:rsid w:val="00130F8C"/>
    <w:rsid w:val="0013241D"/>
    <w:rsid w:val="00132688"/>
    <w:rsid w:val="00132752"/>
    <w:rsid w:val="0013392D"/>
    <w:rsid w:val="00133995"/>
    <w:rsid w:val="00134287"/>
    <w:rsid w:val="0013495B"/>
    <w:rsid w:val="001351B3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7083"/>
    <w:rsid w:val="001879A9"/>
    <w:rsid w:val="001912D9"/>
    <w:rsid w:val="00191B77"/>
    <w:rsid w:val="00193448"/>
    <w:rsid w:val="00194EFE"/>
    <w:rsid w:val="00195962"/>
    <w:rsid w:val="00195B7F"/>
    <w:rsid w:val="00195CF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3FDE"/>
    <w:rsid w:val="001C58EE"/>
    <w:rsid w:val="001C5C38"/>
    <w:rsid w:val="001C73DA"/>
    <w:rsid w:val="001C7894"/>
    <w:rsid w:val="001D0DA3"/>
    <w:rsid w:val="001D1FCB"/>
    <w:rsid w:val="001D2385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2167"/>
    <w:rsid w:val="002F261D"/>
    <w:rsid w:val="002F3484"/>
    <w:rsid w:val="002F37F3"/>
    <w:rsid w:val="002F4063"/>
    <w:rsid w:val="002F423E"/>
    <w:rsid w:val="002F439B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B0991"/>
    <w:rsid w:val="003B1E19"/>
    <w:rsid w:val="003B2132"/>
    <w:rsid w:val="003B4102"/>
    <w:rsid w:val="003B44E9"/>
    <w:rsid w:val="003B5074"/>
    <w:rsid w:val="003B6695"/>
    <w:rsid w:val="003B6E5C"/>
    <w:rsid w:val="003B6F14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6BE3"/>
    <w:rsid w:val="004772A5"/>
    <w:rsid w:val="00477D6F"/>
    <w:rsid w:val="00480379"/>
    <w:rsid w:val="00482A28"/>
    <w:rsid w:val="00482B3B"/>
    <w:rsid w:val="00482B6A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B92"/>
    <w:rsid w:val="005857B2"/>
    <w:rsid w:val="00585B52"/>
    <w:rsid w:val="00587894"/>
    <w:rsid w:val="00592047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7DB"/>
    <w:rsid w:val="006838BF"/>
    <w:rsid w:val="00683DC9"/>
    <w:rsid w:val="006869EC"/>
    <w:rsid w:val="00691AE2"/>
    <w:rsid w:val="00693B56"/>
    <w:rsid w:val="00693E66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9D4"/>
    <w:rsid w:val="006B5BF7"/>
    <w:rsid w:val="006B6E38"/>
    <w:rsid w:val="006B7540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9CF"/>
    <w:rsid w:val="00736263"/>
    <w:rsid w:val="00736CEF"/>
    <w:rsid w:val="00736DB5"/>
    <w:rsid w:val="0073770D"/>
    <w:rsid w:val="007424E7"/>
    <w:rsid w:val="007439C7"/>
    <w:rsid w:val="00743F34"/>
    <w:rsid w:val="00744859"/>
    <w:rsid w:val="00745A76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ED1"/>
    <w:rsid w:val="00867D54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E0086"/>
    <w:rsid w:val="008E06CD"/>
    <w:rsid w:val="008E1156"/>
    <w:rsid w:val="008E153C"/>
    <w:rsid w:val="008E23C1"/>
    <w:rsid w:val="008E3C38"/>
    <w:rsid w:val="008E4494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F3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3B98"/>
    <w:rsid w:val="00A26D13"/>
    <w:rsid w:val="00A27538"/>
    <w:rsid w:val="00A27FEF"/>
    <w:rsid w:val="00A309B6"/>
    <w:rsid w:val="00A339A2"/>
    <w:rsid w:val="00A341AC"/>
    <w:rsid w:val="00A350B1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40"/>
    <w:rsid w:val="00B0095F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743"/>
    <w:rsid w:val="00B120B3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CB7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613"/>
    <w:rsid w:val="00BD6CF1"/>
    <w:rsid w:val="00BD75C3"/>
    <w:rsid w:val="00BD76B1"/>
    <w:rsid w:val="00BE026B"/>
    <w:rsid w:val="00BE05C9"/>
    <w:rsid w:val="00BE178C"/>
    <w:rsid w:val="00BE221A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53C"/>
    <w:rsid w:val="00D719FD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A4E"/>
    <w:rsid w:val="00D958D8"/>
    <w:rsid w:val="00D970B6"/>
    <w:rsid w:val="00D9739B"/>
    <w:rsid w:val="00D97521"/>
    <w:rsid w:val="00DA00B6"/>
    <w:rsid w:val="00DA1EAF"/>
    <w:rsid w:val="00DA2956"/>
    <w:rsid w:val="00DA2DD8"/>
    <w:rsid w:val="00DA2EBF"/>
    <w:rsid w:val="00DA3883"/>
    <w:rsid w:val="00DA4EFE"/>
    <w:rsid w:val="00DA558D"/>
    <w:rsid w:val="00DA5D15"/>
    <w:rsid w:val="00DA5F12"/>
    <w:rsid w:val="00DA7E9B"/>
    <w:rsid w:val="00DB06D4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705C"/>
    <w:rsid w:val="00DC7231"/>
    <w:rsid w:val="00DC7DF5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C1B"/>
    <w:rsid w:val="00DE4B20"/>
    <w:rsid w:val="00DF0894"/>
    <w:rsid w:val="00DF1F48"/>
    <w:rsid w:val="00DF48D9"/>
    <w:rsid w:val="00DF6560"/>
    <w:rsid w:val="00DF6B96"/>
    <w:rsid w:val="00DF78E9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47981329"/>
    <w:rsid w:val="52B21E47"/>
    <w:rsid w:val="5C90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18</Pages>
  <Words>6372</Words>
  <Characters>8220</Characters>
  <Lines>80</Lines>
  <Paragraphs>22</Paragraphs>
  <TotalTime>1</TotalTime>
  <ScaleCrop>false</ScaleCrop>
  <LinksUpToDate>false</LinksUpToDate>
  <CharactersWithSpaces>8286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Administrator</cp:lastModifiedBy>
  <cp:lastPrinted>2025-04-10T06:40:00Z</cp:lastPrinted>
  <dcterms:modified xsi:type="dcterms:W3CDTF">2025-05-28T09:50:25Z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5A4B0ED6AEB44B619A905418C3EB4B47</vt:lpwstr>
  </property>
</Properties>
</file>