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420" w:firstLineChars="0"/>
        <w:jc w:val="left"/>
        <w:rPr>
          <w:rFonts w:hint="eastAsia" w:ascii="黑体" w:hAnsi="黑体" w:eastAsia="黑体" w:cs="Times New Roman"/>
          <w:color w:val="000000"/>
          <w:kern w:val="0"/>
          <w:sz w:val="32"/>
          <w:szCs w:val="32"/>
          <w:lang w:bidi="ar"/>
        </w:rPr>
      </w:pPr>
      <w:bookmarkStart w:id="286" w:name="_GoBack"/>
      <w:bookmarkEnd w:id="286"/>
      <w:bookmarkStart w:id="0" w:name="_Hlk172810719"/>
    </w:p>
    <w:p>
      <w:pPr>
        <w:widowControl/>
        <w:ind w:firstLine="1040"/>
        <w:jc w:val="left"/>
        <w:rPr>
          <w:rFonts w:cs="Times New Roman"/>
          <w:color w:val="000000"/>
          <w:kern w:val="0"/>
          <w:sz w:val="52"/>
          <w:szCs w:val="52"/>
          <w:lang w:bidi="ar"/>
        </w:rPr>
      </w:pPr>
    </w:p>
    <w:p>
      <w:pPr>
        <w:widowControl/>
        <w:ind w:firstLine="1040"/>
        <w:jc w:val="left"/>
        <w:rPr>
          <w:rFonts w:cs="Times New Roman"/>
          <w:color w:val="000000"/>
          <w:kern w:val="0"/>
          <w:sz w:val="52"/>
          <w:szCs w:val="52"/>
          <w:lang w:bidi="ar"/>
        </w:rPr>
      </w:pPr>
    </w:p>
    <w:p>
      <w:pPr>
        <w:widowControl/>
        <w:spacing w:line="480" w:lineRule="auto"/>
        <w:ind w:firstLine="1040"/>
        <w:jc w:val="left"/>
        <w:rPr>
          <w:rFonts w:cs="Times New Roman"/>
          <w:color w:val="000000"/>
          <w:kern w:val="0"/>
          <w:sz w:val="52"/>
          <w:szCs w:val="52"/>
          <w:lang w:bidi="ar"/>
        </w:rPr>
      </w:pPr>
    </w:p>
    <w:p>
      <w:pPr>
        <w:adjustRightInd w:val="0"/>
        <w:snapToGrid w:val="0"/>
        <w:ind w:firstLine="0" w:firstLineChars="0"/>
        <w:jc w:val="center"/>
        <w:rPr>
          <w:rFonts w:eastAsia="黑体" w:cs="Times New Roman"/>
          <w:bCs/>
          <w:sz w:val="48"/>
          <w:szCs w:val="48"/>
          <w:lang w:eastAsia="zh-Hans"/>
        </w:rPr>
      </w:pPr>
      <w:bookmarkStart w:id="1" w:name="_Toc28715"/>
      <w:bookmarkStart w:id="2" w:name="_Toc5621"/>
      <w:r>
        <w:rPr>
          <w:rFonts w:hint="eastAsia" w:eastAsia="黑体" w:cs="Times New Roman"/>
          <w:bCs/>
          <w:sz w:val="48"/>
          <w:szCs w:val="48"/>
        </w:rPr>
        <w:t>公共汽电车</w:t>
      </w:r>
      <w:r>
        <w:rPr>
          <w:rFonts w:hint="eastAsia" w:eastAsia="黑体" w:cs="Times New Roman"/>
          <w:bCs/>
          <w:sz w:val="48"/>
          <w:szCs w:val="48"/>
          <w:lang w:eastAsia="zh-Hans"/>
        </w:rPr>
        <w:t>出行</w:t>
      </w:r>
      <w:bookmarkEnd w:id="1"/>
      <w:r>
        <w:rPr>
          <w:rFonts w:hint="eastAsia" w:eastAsia="黑体" w:cs="Times New Roman"/>
          <w:bCs/>
          <w:sz w:val="48"/>
          <w:szCs w:val="48"/>
          <w:lang w:eastAsia="zh-Hans"/>
        </w:rPr>
        <w:t>碳普惠方法学</w:t>
      </w:r>
      <w:bookmarkEnd w:id="2"/>
    </w:p>
    <w:p>
      <w:pPr>
        <w:widowControl/>
        <w:spacing w:before="156" w:beforeLines="50" w:after="156" w:afterLines="50" w:line="480" w:lineRule="auto"/>
        <w:ind w:firstLine="0" w:firstLineChars="0"/>
        <w:jc w:val="center"/>
        <w:rPr>
          <w:rFonts w:cs="Times New Roman"/>
          <w:color w:val="000000"/>
          <w:kern w:val="0"/>
          <w:sz w:val="48"/>
          <w:szCs w:val="48"/>
          <w:lang w:bidi="ar"/>
        </w:rPr>
      </w:pPr>
    </w:p>
    <w:p>
      <w:pPr>
        <w:widowControl/>
        <w:ind w:firstLine="0" w:firstLineChars="0"/>
        <w:jc w:val="center"/>
        <w:rPr>
          <w:rFonts w:cs="Times New Roman"/>
          <w:color w:val="000000"/>
          <w:kern w:val="0"/>
          <w:sz w:val="36"/>
          <w:szCs w:val="36"/>
          <w:lang w:bidi="ar"/>
        </w:rPr>
      </w:pPr>
    </w:p>
    <w:p>
      <w:pPr>
        <w:widowControl/>
        <w:ind w:firstLine="0" w:firstLineChars="0"/>
        <w:jc w:val="center"/>
        <w:rPr>
          <w:rFonts w:cs="Times New Roman"/>
          <w:color w:val="000000"/>
          <w:kern w:val="0"/>
          <w:sz w:val="36"/>
          <w:szCs w:val="36"/>
          <w:lang w:bidi="ar"/>
        </w:rPr>
      </w:pPr>
    </w:p>
    <w:p>
      <w:pPr>
        <w:widowControl/>
        <w:ind w:firstLine="0" w:firstLineChars="0"/>
        <w:jc w:val="center"/>
        <w:rPr>
          <w:rFonts w:cs="Times New Roman"/>
          <w:color w:val="000000"/>
          <w:kern w:val="0"/>
          <w:sz w:val="36"/>
          <w:szCs w:val="36"/>
          <w:lang w:bidi="ar"/>
        </w:rPr>
      </w:pPr>
    </w:p>
    <w:p>
      <w:pPr>
        <w:widowControl/>
        <w:ind w:firstLine="0" w:firstLineChars="0"/>
        <w:jc w:val="center"/>
        <w:rPr>
          <w:rFonts w:cs="Times New Roman"/>
          <w:color w:val="000000"/>
          <w:kern w:val="0"/>
          <w:sz w:val="36"/>
          <w:szCs w:val="36"/>
          <w:lang w:bidi="ar"/>
        </w:rPr>
      </w:pPr>
    </w:p>
    <w:p>
      <w:pPr>
        <w:widowControl/>
        <w:ind w:firstLine="0" w:firstLineChars="0"/>
        <w:jc w:val="center"/>
        <w:rPr>
          <w:rFonts w:cs="Times New Roman"/>
          <w:color w:val="000000"/>
          <w:kern w:val="0"/>
          <w:sz w:val="36"/>
          <w:szCs w:val="36"/>
          <w:lang w:bidi="ar"/>
        </w:rPr>
      </w:pPr>
    </w:p>
    <w:p>
      <w:pPr>
        <w:pStyle w:val="52"/>
        <w:spacing w:before="0" w:beforeLines="0" w:after="0" w:afterLines="0" w:line="240" w:lineRule="auto"/>
        <w:rPr>
          <w:rFonts w:hint="eastAsia" w:ascii="楷体" w:hAnsi="楷体" w:eastAsia="楷体" w:cs="楷体"/>
          <w:sz w:val="32"/>
          <w:szCs w:val="32"/>
        </w:rPr>
      </w:pPr>
    </w:p>
    <w:p>
      <w:pPr>
        <w:pStyle w:val="52"/>
        <w:spacing w:before="0" w:beforeLines="0" w:after="0" w:afterLines="0" w:line="240" w:lineRule="auto"/>
        <w:rPr>
          <w:rFonts w:hint="eastAsia" w:ascii="楷体" w:hAnsi="楷体" w:eastAsia="楷体" w:cs="楷体"/>
          <w:sz w:val="32"/>
          <w:szCs w:val="32"/>
        </w:rPr>
      </w:pPr>
    </w:p>
    <w:p>
      <w:pPr>
        <w:pStyle w:val="52"/>
        <w:spacing w:before="0" w:beforeLines="0" w:after="0" w:afterLines="0" w:line="240" w:lineRule="auto"/>
        <w:rPr>
          <w:rFonts w:eastAsia="楷体"/>
          <w:sz w:val="32"/>
          <w:szCs w:val="32"/>
        </w:rPr>
      </w:pPr>
    </w:p>
    <w:p>
      <w:pPr>
        <w:pStyle w:val="52"/>
        <w:spacing w:before="0" w:beforeLines="0" w:after="0" w:afterLines="0" w:line="240" w:lineRule="auto"/>
        <w:rPr>
          <w:rFonts w:eastAsia="楷体"/>
          <w:sz w:val="32"/>
          <w:szCs w:val="32"/>
        </w:rPr>
      </w:pPr>
    </w:p>
    <w:p>
      <w:pPr>
        <w:pStyle w:val="52"/>
        <w:spacing w:before="0" w:beforeLines="0" w:after="0" w:afterLines="0" w:line="240" w:lineRule="auto"/>
        <w:rPr>
          <w:rFonts w:eastAsia="楷体"/>
          <w:sz w:val="32"/>
          <w:szCs w:val="32"/>
        </w:rPr>
      </w:pPr>
    </w:p>
    <w:p>
      <w:pPr>
        <w:pStyle w:val="52"/>
        <w:spacing w:before="0" w:beforeLines="0" w:after="0" w:afterLines="0" w:line="240" w:lineRule="auto"/>
        <w:rPr>
          <w:rFonts w:eastAsia="楷体"/>
          <w:sz w:val="32"/>
          <w:szCs w:val="32"/>
        </w:rPr>
      </w:pPr>
    </w:p>
    <w:p>
      <w:pPr>
        <w:pStyle w:val="52"/>
        <w:spacing w:before="0" w:beforeLines="0" w:after="0" w:afterLines="0" w:line="240" w:lineRule="auto"/>
        <w:rPr>
          <w:sz w:val="30"/>
          <w:szCs w:val="30"/>
          <w:lang w:eastAsia="zh-Hans"/>
        </w:rPr>
      </w:pPr>
      <w:r>
        <w:rPr>
          <w:sz w:val="30"/>
          <w:szCs w:val="30"/>
          <w:lang w:eastAsia="zh-Hans"/>
        </w:rPr>
        <w:t>202</w:t>
      </w:r>
      <w:r>
        <w:rPr>
          <w:rFonts w:hint="eastAsia"/>
          <w:sz w:val="30"/>
          <w:szCs w:val="30"/>
        </w:rPr>
        <w:t>5</w:t>
      </w:r>
      <w:r>
        <w:rPr>
          <w:sz w:val="30"/>
          <w:szCs w:val="30"/>
          <w:lang w:eastAsia="zh-Hans"/>
        </w:rPr>
        <w:t>年</w:t>
      </w:r>
      <w:r>
        <w:rPr>
          <w:rFonts w:hint="eastAsia"/>
          <w:sz w:val="30"/>
          <w:szCs w:val="30"/>
        </w:rPr>
        <w:t>11</w:t>
      </w:r>
      <w:r>
        <w:rPr>
          <w:sz w:val="30"/>
          <w:szCs w:val="30"/>
          <w:lang w:eastAsia="zh-Hans"/>
        </w:rPr>
        <w:t>月</w:t>
      </w:r>
    </w:p>
    <w:p>
      <w:pPr>
        <w:pStyle w:val="52"/>
        <w:spacing w:before="0" w:beforeLines="0" w:after="0" w:afterLines="0" w:line="240" w:lineRule="auto"/>
        <w:rPr>
          <w:rFonts w:eastAsia="宋体"/>
          <w:sz w:val="32"/>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6" w:h="16838"/>
          <w:pgMar w:top="1440" w:right="1800" w:bottom="1440" w:left="1800" w:header="851" w:footer="1020" w:gutter="0"/>
          <w:cols w:space="425" w:num="1"/>
          <w:docGrid w:type="lines" w:linePitch="312" w:charSpace="0"/>
        </w:sectPr>
      </w:pPr>
    </w:p>
    <w:sdt>
      <w:sdtPr>
        <w:rPr>
          <w:lang w:val="zh-CN"/>
        </w:rPr>
        <w:id w:val="-1"/>
        <w:docPartObj>
          <w:docPartGallery w:val="Table of Contents"/>
          <w:docPartUnique/>
        </w:docPartObj>
      </w:sdtPr>
      <w:sdtEndPr>
        <w:rPr>
          <w:rFonts w:eastAsia="黑体" w:cs="Times New Roman"/>
          <w:b/>
          <w:bCs/>
          <w:lang w:val="zh-CN"/>
        </w:rPr>
      </w:sdtEndPr>
      <w:sdtContent>
        <w:p>
          <w:pPr>
            <w:ind w:firstLine="0" w:firstLineChars="0"/>
            <w:jc w:val="center"/>
            <w:rPr>
              <w:sz w:val="28"/>
              <w:szCs w:val="28"/>
            </w:rPr>
          </w:pPr>
          <w:bookmarkStart w:id="3" w:name="_Toc22416"/>
          <w:bookmarkStart w:id="4" w:name="_Toc28233"/>
          <w:bookmarkStart w:id="5" w:name="_Toc1378"/>
          <w:r>
            <w:rPr>
              <w:rFonts w:eastAsia="黑体" w:cs="Times New Roman"/>
              <w:sz w:val="32"/>
              <w:szCs w:val="32"/>
            </w:rPr>
            <w:t>目  录</w:t>
          </w:r>
        </w:p>
        <w:p>
          <w:pPr>
            <w:pStyle w:val="19"/>
            <w:tabs>
              <w:tab w:val="right" w:leader="dot" w:pos="8296"/>
            </w:tabs>
            <w:ind w:firstLine="0" w:firstLineChars="0"/>
            <w:rPr>
              <w:rFonts w:hint="eastAsia" w:asciiTheme="minorHAnsi" w:hAnsiTheme="minorHAnsi" w:eastAsiaTheme="minorEastAsia"/>
              <w:sz w:val="32"/>
              <w:szCs w:val="32"/>
              <w14:ligatures w14:val="standardContextual"/>
            </w:rPr>
          </w:pPr>
          <w:r>
            <w:rPr>
              <w:rFonts w:cs="Times New Roman"/>
              <w:sz w:val="32"/>
              <w:szCs w:val="32"/>
            </w:rPr>
            <w:fldChar w:fldCharType="begin"/>
          </w:r>
          <w:r>
            <w:rPr>
              <w:rFonts w:cs="Times New Roman"/>
              <w:sz w:val="32"/>
              <w:szCs w:val="32"/>
            </w:rPr>
            <w:instrText xml:space="preserve"> TOC \o "1-3" \h \z \u </w:instrText>
          </w:r>
          <w:r>
            <w:rPr>
              <w:rFonts w:cs="Times New Roman"/>
              <w:sz w:val="32"/>
              <w:szCs w:val="32"/>
            </w:rPr>
            <w:fldChar w:fldCharType="separate"/>
          </w:r>
          <w:r>
            <w:rPr>
              <w:sz w:val="32"/>
              <w:szCs w:val="32"/>
            </w:rPr>
            <w:fldChar w:fldCharType="begin"/>
          </w:r>
          <w:r>
            <w:rPr>
              <w:sz w:val="32"/>
              <w:szCs w:val="32"/>
            </w:rPr>
            <w:instrText xml:space="preserve"> HYPERLINK \l "_Toc213947357" </w:instrText>
          </w:r>
          <w:r>
            <w:rPr>
              <w:sz w:val="32"/>
              <w:szCs w:val="32"/>
            </w:rPr>
            <w:fldChar w:fldCharType="separate"/>
          </w:r>
          <w:r>
            <w:rPr>
              <w:rStyle w:val="38"/>
              <w:rFonts w:hint="eastAsia" w:ascii="黑体" w:hAnsi="黑体" w:cs="黑体"/>
              <w:sz w:val="32"/>
              <w:szCs w:val="32"/>
            </w:rPr>
            <w:t>1</w:t>
          </w:r>
          <w:r>
            <w:rPr>
              <w:rStyle w:val="38"/>
              <w:rFonts w:hint="eastAsia"/>
              <w:sz w:val="32"/>
              <w:szCs w:val="32"/>
            </w:rPr>
            <w:t xml:space="preserve"> 引言</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_Toc213947357 \h</w:instrText>
          </w:r>
          <w:r>
            <w:rPr>
              <w:rFonts w:hint="eastAsia"/>
              <w:sz w:val="32"/>
              <w:szCs w:val="32"/>
            </w:rPr>
            <w:instrText xml:space="preserve"> </w:instrText>
          </w:r>
          <w:r>
            <w:rPr>
              <w:rFonts w:hint="eastAsia"/>
              <w:sz w:val="32"/>
              <w:szCs w:val="32"/>
            </w:rPr>
            <w:fldChar w:fldCharType="separate"/>
          </w:r>
          <w:r>
            <w:rPr>
              <w:sz w:val="32"/>
              <w:szCs w:val="32"/>
            </w:rPr>
            <w:t>1</w:t>
          </w:r>
          <w:r>
            <w:rPr>
              <w:rFonts w:hint="eastAsia"/>
              <w:sz w:val="32"/>
              <w:szCs w:val="32"/>
            </w:rPr>
            <w:fldChar w:fldCharType="end"/>
          </w:r>
          <w:r>
            <w:rPr>
              <w:rFonts w:hint="eastAsia"/>
              <w:sz w:val="32"/>
              <w:szCs w:val="32"/>
            </w:rPr>
            <w:fldChar w:fldCharType="end"/>
          </w:r>
        </w:p>
        <w:p>
          <w:pPr>
            <w:pStyle w:val="19"/>
            <w:tabs>
              <w:tab w:val="right" w:leader="dot" w:pos="8296"/>
            </w:tabs>
            <w:ind w:firstLine="0" w:firstLineChars="0"/>
            <w:rPr>
              <w:rFonts w:hint="eastAsia" w:asciiTheme="minorHAnsi" w:hAnsiTheme="minorHAnsi" w:eastAsiaTheme="minorEastAsia"/>
              <w:sz w:val="32"/>
              <w:szCs w:val="32"/>
              <w14:ligatures w14:val="standardContextual"/>
            </w:rPr>
          </w:pPr>
          <w:r>
            <w:rPr>
              <w:sz w:val="32"/>
              <w:szCs w:val="32"/>
            </w:rPr>
            <w:fldChar w:fldCharType="begin"/>
          </w:r>
          <w:r>
            <w:rPr>
              <w:sz w:val="32"/>
              <w:szCs w:val="32"/>
            </w:rPr>
            <w:instrText xml:space="preserve"> HYPERLINK \l "_Toc213947358" </w:instrText>
          </w:r>
          <w:r>
            <w:rPr>
              <w:sz w:val="32"/>
              <w:szCs w:val="32"/>
            </w:rPr>
            <w:fldChar w:fldCharType="separate"/>
          </w:r>
          <w:r>
            <w:rPr>
              <w:rStyle w:val="38"/>
              <w:rFonts w:hint="eastAsia" w:ascii="黑体" w:hAnsi="黑体" w:cs="黑体"/>
              <w:sz w:val="32"/>
              <w:szCs w:val="32"/>
            </w:rPr>
            <w:t>2</w:t>
          </w:r>
          <w:r>
            <w:rPr>
              <w:rStyle w:val="38"/>
              <w:rFonts w:hint="eastAsia"/>
              <w:sz w:val="32"/>
              <w:szCs w:val="32"/>
            </w:rPr>
            <w:t xml:space="preserve"> 适用条件</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_Toc213947358 \h</w:instrText>
          </w:r>
          <w:r>
            <w:rPr>
              <w:rFonts w:hint="eastAsia"/>
              <w:sz w:val="32"/>
              <w:szCs w:val="32"/>
            </w:rPr>
            <w:instrText xml:space="preserve"> </w:instrText>
          </w:r>
          <w:r>
            <w:rPr>
              <w:rFonts w:hint="eastAsia"/>
              <w:sz w:val="32"/>
              <w:szCs w:val="32"/>
            </w:rPr>
            <w:fldChar w:fldCharType="separate"/>
          </w:r>
          <w:r>
            <w:rPr>
              <w:sz w:val="32"/>
              <w:szCs w:val="32"/>
            </w:rPr>
            <w:t>1</w:t>
          </w:r>
          <w:r>
            <w:rPr>
              <w:rFonts w:hint="eastAsia"/>
              <w:sz w:val="32"/>
              <w:szCs w:val="32"/>
            </w:rPr>
            <w:fldChar w:fldCharType="end"/>
          </w:r>
          <w:r>
            <w:rPr>
              <w:rFonts w:hint="eastAsia"/>
              <w:sz w:val="32"/>
              <w:szCs w:val="32"/>
            </w:rPr>
            <w:fldChar w:fldCharType="end"/>
          </w:r>
        </w:p>
        <w:p>
          <w:pPr>
            <w:pStyle w:val="19"/>
            <w:tabs>
              <w:tab w:val="right" w:leader="dot" w:pos="8296"/>
            </w:tabs>
            <w:ind w:firstLine="0" w:firstLineChars="0"/>
            <w:rPr>
              <w:rFonts w:hint="eastAsia" w:asciiTheme="minorHAnsi" w:hAnsiTheme="minorHAnsi" w:eastAsiaTheme="minorEastAsia"/>
              <w:sz w:val="32"/>
              <w:szCs w:val="32"/>
              <w14:ligatures w14:val="standardContextual"/>
            </w:rPr>
          </w:pPr>
          <w:r>
            <w:rPr>
              <w:sz w:val="32"/>
              <w:szCs w:val="32"/>
            </w:rPr>
            <w:fldChar w:fldCharType="begin"/>
          </w:r>
          <w:r>
            <w:rPr>
              <w:sz w:val="32"/>
              <w:szCs w:val="32"/>
            </w:rPr>
            <w:instrText xml:space="preserve"> HYPERLINK \l "_Toc213947359" </w:instrText>
          </w:r>
          <w:r>
            <w:rPr>
              <w:sz w:val="32"/>
              <w:szCs w:val="32"/>
            </w:rPr>
            <w:fldChar w:fldCharType="separate"/>
          </w:r>
          <w:r>
            <w:rPr>
              <w:rStyle w:val="38"/>
              <w:rFonts w:hint="eastAsia" w:ascii="黑体" w:hAnsi="黑体" w:cs="黑体"/>
              <w:sz w:val="32"/>
              <w:szCs w:val="32"/>
            </w:rPr>
            <w:t>3</w:t>
          </w:r>
          <w:r>
            <w:rPr>
              <w:rStyle w:val="38"/>
              <w:rFonts w:hint="eastAsia"/>
              <w:sz w:val="32"/>
              <w:szCs w:val="32"/>
            </w:rPr>
            <w:t xml:space="preserve"> 规范性引用文件</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_Toc213947359 \h</w:instrText>
          </w:r>
          <w:r>
            <w:rPr>
              <w:rFonts w:hint="eastAsia"/>
              <w:sz w:val="32"/>
              <w:szCs w:val="32"/>
            </w:rPr>
            <w:instrText xml:space="preserve"> </w:instrText>
          </w:r>
          <w:r>
            <w:rPr>
              <w:rFonts w:hint="eastAsia"/>
              <w:sz w:val="32"/>
              <w:szCs w:val="32"/>
            </w:rPr>
            <w:fldChar w:fldCharType="separate"/>
          </w:r>
          <w:r>
            <w:rPr>
              <w:sz w:val="32"/>
              <w:szCs w:val="32"/>
            </w:rPr>
            <w:t>1</w:t>
          </w:r>
          <w:r>
            <w:rPr>
              <w:rFonts w:hint="eastAsia"/>
              <w:sz w:val="32"/>
              <w:szCs w:val="32"/>
            </w:rPr>
            <w:fldChar w:fldCharType="end"/>
          </w:r>
          <w:r>
            <w:rPr>
              <w:rFonts w:hint="eastAsia"/>
              <w:sz w:val="32"/>
              <w:szCs w:val="32"/>
            </w:rPr>
            <w:fldChar w:fldCharType="end"/>
          </w:r>
        </w:p>
        <w:p>
          <w:pPr>
            <w:pStyle w:val="19"/>
            <w:tabs>
              <w:tab w:val="right" w:leader="dot" w:pos="8296"/>
            </w:tabs>
            <w:ind w:firstLine="0" w:firstLineChars="0"/>
            <w:rPr>
              <w:rFonts w:hint="eastAsia" w:asciiTheme="minorHAnsi" w:hAnsiTheme="minorHAnsi" w:eastAsiaTheme="minorEastAsia"/>
              <w:sz w:val="32"/>
              <w:szCs w:val="32"/>
              <w14:ligatures w14:val="standardContextual"/>
            </w:rPr>
          </w:pPr>
          <w:r>
            <w:rPr>
              <w:sz w:val="32"/>
              <w:szCs w:val="32"/>
            </w:rPr>
            <w:fldChar w:fldCharType="begin"/>
          </w:r>
          <w:r>
            <w:rPr>
              <w:sz w:val="32"/>
              <w:szCs w:val="32"/>
            </w:rPr>
            <w:instrText xml:space="preserve"> HYPERLINK \l "_Toc213947360" </w:instrText>
          </w:r>
          <w:r>
            <w:rPr>
              <w:sz w:val="32"/>
              <w:szCs w:val="32"/>
            </w:rPr>
            <w:fldChar w:fldCharType="separate"/>
          </w:r>
          <w:r>
            <w:rPr>
              <w:rStyle w:val="38"/>
              <w:rFonts w:hint="eastAsia" w:ascii="黑体" w:hAnsi="黑体" w:cs="黑体"/>
              <w:sz w:val="32"/>
              <w:szCs w:val="32"/>
            </w:rPr>
            <w:t>4</w:t>
          </w:r>
          <w:r>
            <w:rPr>
              <w:rStyle w:val="38"/>
              <w:rFonts w:hint="eastAsia"/>
              <w:sz w:val="32"/>
              <w:szCs w:val="32"/>
            </w:rPr>
            <w:t xml:space="preserve"> 术语和定义</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_Toc213947360 \h</w:instrText>
          </w:r>
          <w:r>
            <w:rPr>
              <w:rFonts w:hint="eastAsia"/>
              <w:sz w:val="32"/>
              <w:szCs w:val="32"/>
            </w:rPr>
            <w:instrText xml:space="preserve"> </w:instrText>
          </w:r>
          <w:r>
            <w:rPr>
              <w:rFonts w:hint="eastAsia"/>
              <w:sz w:val="32"/>
              <w:szCs w:val="32"/>
            </w:rPr>
            <w:fldChar w:fldCharType="separate"/>
          </w:r>
          <w:r>
            <w:rPr>
              <w:sz w:val="32"/>
              <w:szCs w:val="32"/>
            </w:rPr>
            <w:t>1</w:t>
          </w:r>
          <w:r>
            <w:rPr>
              <w:rFonts w:hint="eastAsia"/>
              <w:sz w:val="32"/>
              <w:szCs w:val="32"/>
            </w:rPr>
            <w:fldChar w:fldCharType="end"/>
          </w:r>
          <w:r>
            <w:rPr>
              <w:rFonts w:hint="eastAsia"/>
              <w:sz w:val="32"/>
              <w:szCs w:val="32"/>
            </w:rPr>
            <w:fldChar w:fldCharType="end"/>
          </w:r>
        </w:p>
        <w:p>
          <w:pPr>
            <w:pStyle w:val="19"/>
            <w:tabs>
              <w:tab w:val="right" w:leader="dot" w:pos="8296"/>
            </w:tabs>
            <w:ind w:firstLine="0" w:firstLineChars="0"/>
            <w:rPr>
              <w:rFonts w:hint="eastAsia" w:asciiTheme="minorHAnsi" w:hAnsiTheme="minorHAnsi" w:eastAsiaTheme="minorEastAsia"/>
              <w:sz w:val="32"/>
              <w:szCs w:val="32"/>
              <w14:ligatures w14:val="standardContextual"/>
            </w:rPr>
          </w:pPr>
          <w:r>
            <w:rPr>
              <w:sz w:val="32"/>
              <w:szCs w:val="32"/>
            </w:rPr>
            <w:fldChar w:fldCharType="begin"/>
          </w:r>
          <w:r>
            <w:rPr>
              <w:sz w:val="32"/>
              <w:szCs w:val="32"/>
            </w:rPr>
            <w:instrText xml:space="preserve"> HYPERLINK \l "_Toc213947369" </w:instrText>
          </w:r>
          <w:r>
            <w:rPr>
              <w:sz w:val="32"/>
              <w:szCs w:val="32"/>
            </w:rPr>
            <w:fldChar w:fldCharType="separate"/>
          </w:r>
          <w:r>
            <w:rPr>
              <w:rStyle w:val="38"/>
              <w:rFonts w:hint="eastAsia" w:ascii="黑体" w:hAnsi="黑体" w:cs="黑体"/>
              <w:sz w:val="32"/>
              <w:szCs w:val="32"/>
            </w:rPr>
            <w:t>5</w:t>
          </w:r>
          <w:r>
            <w:rPr>
              <w:rStyle w:val="38"/>
              <w:rFonts w:hint="eastAsia"/>
              <w:sz w:val="32"/>
              <w:szCs w:val="32"/>
            </w:rPr>
            <w:t xml:space="preserve"> 核算边界、计入期和排放源</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_Toc213947369 \h</w:instrText>
          </w:r>
          <w:r>
            <w:rPr>
              <w:rFonts w:hint="eastAsia"/>
              <w:sz w:val="32"/>
              <w:szCs w:val="32"/>
            </w:rPr>
            <w:instrText xml:space="preserve"> </w:instrText>
          </w:r>
          <w:r>
            <w:rPr>
              <w:rFonts w:hint="eastAsia"/>
              <w:sz w:val="32"/>
              <w:szCs w:val="32"/>
            </w:rPr>
            <w:fldChar w:fldCharType="separate"/>
          </w:r>
          <w:r>
            <w:rPr>
              <w:sz w:val="32"/>
              <w:szCs w:val="32"/>
            </w:rPr>
            <w:t>2</w:t>
          </w:r>
          <w:r>
            <w:rPr>
              <w:rFonts w:hint="eastAsia"/>
              <w:sz w:val="32"/>
              <w:szCs w:val="32"/>
            </w:rPr>
            <w:fldChar w:fldCharType="end"/>
          </w:r>
          <w:r>
            <w:rPr>
              <w:rFonts w:hint="eastAsia"/>
              <w:sz w:val="32"/>
              <w:szCs w:val="32"/>
            </w:rPr>
            <w:fldChar w:fldCharType="end"/>
          </w:r>
        </w:p>
        <w:p>
          <w:pPr>
            <w:pStyle w:val="19"/>
            <w:tabs>
              <w:tab w:val="right" w:leader="dot" w:pos="8296"/>
            </w:tabs>
            <w:ind w:firstLine="0" w:firstLineChars="0"/>
            <w:rPr>
              <w:rFonts w:hint="eastAsia" w:asciiTheme="minorHAnsi" w:hAnsiTheme="minorHAnsi" w:eastAsiaTheme="minorEastAsia"/>
              <w:sz w:val="32"/>
              <w:szCs w:val="32"/>
              <w14:ligatures w14:val="standardContextual"/>
            </w:rPr>
          </w:pPr>
          <w:r>
            <w:rPr>
              <w:sz w:val="32"/>
              <w:szCs w:val="32"/>
            </w:rPr>
            <w:fldChar w:fldCharType="begin"/>
          </w:r>
          <w:r>
            <w:rPr>
              <w:sz w:val="32"/>
              <w:szCs w:val="32"/>
            </w:rPr>
            <w:instrText xml:space="preserve"> HYPERLINK \l "_Toc213947373" </w:instrText>
          </w:r>
          <w:r>
            <w:rPr>
              <w:sz w:val="32"/>
              <w:szCs w:val="32"/>
            </w:rPr>
            <w:fldChar w:fldCharType="separate"/>
          </w:r>
          <w:r>
            <w:rPr>
              <w:rStyle w:val="38"/>
              <w:rFonts w:hint="eastAsia" w:ascii="黑体" w:hAnsi="黑体" w:cs="黑体"/>
              <w:sz w:val="32"/>
              <w:szCs w:val="32"/>
            </w:rPr>
            <w:t>6</w:t>
          </w:r>
          <w:r>
            <w:rPr>
              <w:rStyle w:val="38"/>
              <w:rFonts w:hint="eastAsia"/>
              <w:sz w:val="32"/>
              <w:szCs w:val="32"/>
            </w:rPr>
            <w:t xml:space="preserve"> 碳普惠减排量核算方法</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_Toc213947373 \h</w:instrText>
          </w:r>
          <w:r>
            <w:rPr>
              <w:rFonts w:hint="eastAsia"/>
              <w:sz w:val="32"/>
              <w:szCs w:val="32"/>
            </w:rPr>
            <w:instrText xml:space="preserve"> </w:instrText>
          </w:r>
          <w:r>
            <w:rPr>
              <w:rFonts w:hint="eastAsia"/>
              <w:sz w:val="32"/>
              <w:szCs w:val="32"/>
            </w:rPr>
            <w:fldChar w:fldCharType="separate"/>
          </w:r>
          <w:r>
            <w:rPr>
              <w:sz w:val="32"/>
              <w:szCs w:val="32"/>
            </w:rPr>
            <w:t>3</w:t>
          </w:r>
          <w:r>
            <w:rPr>
              <w:rFonts w:hint="eastAsia"/>
              <w:sz w:val="32"/>
              <w:szCs w:val="32"/>
            </w:rPr>
            <w:fldChar w:fldCharType="end"/>
          </w:r>
          <w:r>
            <w:rPr>
              <w:rFonts w:hint="eastAsia"/>
              <w:sz w:val="32"/>
              <w:szCs w:val="32"/>
            </w:rPr>
            <w:fldChar w:fldCharType="end"/>
          </w:r>
        </w:p>
        <w:p>
          <w:pPr>
            <w:pStyle w:val="19"/>
            <w:tabs>
              <w:tab w:val="right" w:leader="dot" w:pos="8296"/>
            </w:tabs>
            <w:ind w:firstLine="0" w:firstLineChars="0"/>
            <w:rPr>
              <w:rFonts w:hint="eastAsia" w:asciiTheme="minorHAnsi" w:hAnsiTheme="minorHAnsi" w:eastAsiaTheme="minorEastAsia"/>
              <w:sz w:val="32"/>
              <w:szCs w:val="32"/>
              <w14:ligatures w14:val="standardContextual"/>
            </w:rPr>
          </w:pPr>
          <w:r>
            <w:rPr>
              <w:sz w:val="32"/>
              <w:szCs w:val="32"/>
            </w:rPr>
            <w:fldChar w:fldCharType="begin"/>
          </w:r>
          <w:r>
            <w:rPr>
              <w:sz w:val="32"/>
              <w:szCs w:val="32"/>
            </w:rPr>
            <w:instrText xml:space="preserve"> HYPERLINK \l "_Toc213947384" </w:instrText>
          </w:r>
          <w:r>
            <w:rPr>
              <w:sz w:val="32"/>
              <w:szCs w:val="32"/>
            </w:rPr>
            <w:fldChar w:fldCharType="separate"/>
          </w:r>
          <w:r>
            <w:rPr>
              <w:rStyle w:val="38"/>
              <w:rFonts w:hint="eastAsia" w:ascii="黑体" w:hAnsi="黑体" w:cs="黑体"/>
              <w:sz w:val="32"/>
              <w:szCs w:val="32"/>
            </w:rPr>
            <w:t>7</w:t>
          </w:r>
          <w:r>
            <w:rPr>
              <w:rStyle w:val="38"/>
              <w:rFonts w:hint="eastAsia"/>
              <w:sz w:val="32"/>
              <w:szCs w:val="32"/>
            </w:rPr>
            <w:t xml:space="preserve"> 数据来源及监测</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_Toc213947384 \h</w:instrText>
          </w:r>
          <w:r>
            <w:rPr>
              <w:rFonts w:hint="eastAsia"/>
              <w:sz w:val="32"/>
              <w:szCs w:val="32"/>
            </w:rPr>
            <w:instrText xml:space="preserve"> </w:instrText>
          </w:r>
          <w:r>
            <w:rPr>
              <w:rFonts w:hint="eastAsia"/>
              <w:sz w:val="32"/>
              <w:szCs w:val="32"/>
            </w:rPr>
            <w:fldChar w:fldCharType="separate"/>
          </w:r>
          <w:r>
            <w:rPr>
              <w:sz w:val="32"/>
              <w:szCs w:val="32"/>
            </w:rPr>
            <w:t>5</w:t>
          </w:r>
          <w:r>
            <w:rPr>
              <w:rFonts w:hint="eastAsia"/>
              <w:sz w:val="32"/>
              <w:szCs w:val="32"/>
            </w:rPr>
            <w:fldChar w:fldCharType="end"/>
          </w:r>
          <w:r>
            <w:rPr>
              <w:rFonts w:hint="eastAsia"/>
              <w:sz w:val="32"/>
              <w:szCs w:val="32"/>
            </w:rPr>
            <w:fldChar w:fldCharType="end"/>
          </w:r>
        </w:p>
        <w:p>
          <w:pPr>
            <w:pStyle w:val="19"/>
            <w:tabs>
              <w:tab w:val="right" w:leader="dot" w:pos="8296"/>
            </w:tabs>
            <w:ind w:firstLine="0" w:firstLineChars="0"/>
            <w:rPr>
              <w:rFonts w:hint="eastAsia" w:asciiTheme="minorHAnsi" w:hAnsiTheme="minorHAnsi" w:eastAsiaTheme="minorEastAsia"/>
              <w:sz w:val="32"/>
              <w:szCs w:val="32"/>
              <w14:ligatures w14:val="standardContextual"/>
            </w:rPr>
          </w:pPr>
          <w:r>
            <w:rPr>
              <w:sz w:val="32"/>
              <w:szCs w:val="32"/>
            </w:rPr>
            <w:fldChar w:fldCharType="begin"/>
          </w:r>
          <w:r>
            <w:rPr>
              <w:sz w:val="32"/>
              <w:szCs w:val="32"/>
            </w:rPr>
            <w:instrText xml:space="preserve"> HYPERLINK \l "_Toc213947388" </w:instrText>
          </w:r>
          <w:r>
            <w:rPr>
              <w:sz w:val="32"/>
              <w:szCs w:val="32"/>
            </w:rPr>
            <w:fldChar w:fldCharType="separate"/>
          </w:r>
          <w:r>
            <w:rPr>
              <w:rStyle w:val="38"/>
              <w:rFonts w:hint="eastAsia" w:ascii="黑体" w:hAnsi="黑体" w:cs="黑体"/>
              <w:sz w:val="32"/>
              <w:szCs w:val="32"/>
            </w:rPr>
            <w:t>8</w:t>
          </w:r>
          <w:r>
            <w:rPr>
              <w:rStyle w:val="38"/>
              <w:rFonts w:hint="eastAsia"/>
              <w:sz w:val="32"/>
              <w:szCs w:val="32"/>
            </w:rPr>
            <w:t xml:space="preserve"> 核查要点及方法</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_Toc213947388 \h</w:instrText>
          </w:r>
          <w:r>
            <w:rPr>
              <w:rFonts w:hint="eastAsia"/>
              <w:sz w:val="32"/>
              <w:szCs w:val="32"/>
            </w:rPr>
            <w:instrText xml:space="preserve"> </w:instrText>
          </w:r>
          <w:r>
            <w:rPr>
              <w:rFonts w:hint="eastAsia"/>
              <w:sz w:val="32"/>
              <w:szCs w:val="32"/>
            </w:rPr>
            <w:fldChar w:fldCharType="separate"/>
          </w:r>
          <w:r>
            <w:rPr>
              <w:sz w:val="32"/>
              <w:szCs w:val="32"/>
            </w:rPr>
            <w:t>7</w:t>
          </w:r>
          <w:r>
            <w:rPr>
              <w:rFonts w:hint="eastAsia"/>
              <w:sz w:val="32"/>
              <w:szCs w:val="32"/>
            </w:rPr>
            <w:fldChar w:fldCharType="end"/>
          </w:r>
          <w:r>
            <w:rPr>
              <w:rFonts w:hint="eastAsia"/>
              <w:sz w:val="32"/>
              <w:szCs w:val="32"/>
            </w:rPr>
            <w:fldChar w:fldCharType="end"/>
          </w:r>
        </w:p>
        <w:p>
          <w:pPr>
            <w:pStyle w:val="19"/>
            <w:tabs>
              <w:tab w:val="right" w:leader="dot" w:pos="8296"/>
            </w:tabs>
            <w:ind w:firstLine="0" w:firstLineChars="0"/>
            <w:rPr>
              <w:rFonts w:hint="eastAsia" w:asciiTheme="minorHAnsi" w:hAnsiTheme="minorHAnsi" w:eastAsiaTheme="minorEastAsia"/>
              <w:sz w:val="32"/>
              <w:szCs w:val="32"/>
              <w14:ligatures w14:val="standardContextual"/>
            </w:rPr>
          </w:pPr>
          <w:r>
            <w:rPr>
              <w:sz w:val="32"/>
              <w:szCs w:val="32"/>
            </w:rPr>
            <w:fldChar w:fldCharType="begin"/>
          </w:r>
          <w:r>
            <w:rPr>
              <w:sz w:val="32"/>
              <w:szCs w:val="32"/>
            </w:rPr>
            <w:instrText xml:space="preserve"> HYPERLINK \l "_Toc213947394" </w:instrText>
          </w:r>
          <w:r>
            <w:rPr>
              <w:sz w:val="32"/>
              <w:szCs w:val="32"/>
            </w:rPr>
            <w:fldChar w:fldCharType="separate"/>
          </w:r>
          <w:r>
            <w:rPr>
              <w:rStyle w:val="38"/>
              <w:rFonts w:hint="eastAsia" w:ascii="黑体" w:hAnsi="黑体" w:cs="黑体"/>
              <w:sz w:val="32"/>
              <w:szCs w:val="32"/>
            </w:rPr>
            <w:t>9</w:t>
          </w:r>
          <w:r>
            <w:rPr>
              <w:rStyle w:val="38"/>
              <w:rFonts w:hint="eastAsia"/>
              <w:sz w:val="32"/>
              <w:szCs w:val="32"/>
            </w:rPr>
            <w:t xml:space="preserve"> 方法学编制单位</w:t>
          </w:r>
          <w:r>
            <w:rPr>
              <w:rFonts w:hint="eastAsia"/>
              <w:sz w:val="32"/>
              <w:szCs w:val="32"/>
            </w:rPr>
            <w:tab/>
          </w:r>
          <w:r>
            <w:rPr>
              <w:rFonts w:hint="eastAsia"/>
              <w:sz w:val="32"/>
              <w:szCs w:val="32"/>
            </w:rPr>
            <w:fldChar w:fldCharType="begin"/>
          </w:r>
          <w:r>
            <w:rPr>
              <w:rFonts w:hint="eastAsia"/>
              <w:sz w:val="32"/>
              <w:szCs w:val="32"/>
            </w:rPr>
            <w:instrText xml:space="preserve"> </w:instrText>
          </w:r>
          <w:r>
            <w:rPr>
              <w:sz w:val="32"/>
              <w:szCs w:val="32"/>
            </w:rPr>
            <w:instrText xml:space="preserve">PAGEREF _Toc213947394 \h</w:instrText>
          </w:r>
          <w:r>
            <w:rPr>
              <w:rFonts w:hint="eastAsia"/>
              <w:sz w:val="32"/>
              <w:szCs w:val="32"/>
            </w:rPr>
            <w:instrText xml:space="preserve"> </w:instrText>
          </w:r>
          <w:r>
            <w:rPr>
              <w:rFonts w:hint="eastAsia"/>
              <w:sz w:val="32"/>
              <w:szCs w:val="32"/>
            </w:rPr>
            <w:fldChar w:fldCharType="separate"/>
          </w:r>
          <w:r>
            <w:rPr>
              <w:sz w:val="32"/>
              <w:szCs w:val="32"/>
            </w:rPr>
            <w:t>8</w:t>
          </w:r>
          <w:r>
            <w:rPr>
              <w:rFonts w:hint="eastAsia"/>
              <w:sz w:val="32"/>
              <w:szCs w:val="32"/>
            </w:rPr>
            <w:fldChar w:fldCharType="end"/>
          </w:r>
          <w:r>
            <w:rPr>
              <w:rFonts w:hint="eastAsia"/>
              <w:sz w:val="32"/>
              <w:szCs w:val="32"/>
            </w:rPr>
            <w:fldChar w:fldCharType="end"/>
          </w:r>
        </w:p>
        <w:p>
          <w:pPr>
            <w:ind w:firstLine="0" w:firstLineChars="0"/>
            <w:rPr>
              <w:rFonts w:eastAsia="黑体" w:cs="Times New Roman"/>
            </w:rPr>
          </w:pPr>
          <w:r>
            <w:rPr>
              <w:rFonts w:eastAsia="黑体" w:cs="Times New Roman"/>
              <w:bCs/>
              <w:sz w:val="32"/>
              <w:szCs w:val="32"/>
              <w:lang w:val="zh-CN"/>
            </w:rPr>
            <w:fldChar w:fldCharType="end"/>
          </w:r>
        </w:p>
      </w:sdtContent>
    </w:sdt>
    <w:p>
      <w:pPr>
        <w:ind w:firstLine="0" w:firstLineChars="0"/>
        <w:rPr>
          <w:rFonts w:eastAsia="黑体" w:cs="Times New Roman"/>
        </w:rPr>
        <w:sectPr>
          <w:footerReference r:id="rId11" w:type="default"/>
          <w:footnotePr>
            <w:numRestart w:val="eachSect"/>
          </w:footnotePr>
          <w:pgSz w:w="11906" w:h="16838"/>
          <w:pgMar w:top="1440" w:right="1800" w:bottom="1440" w:left="1800" w:header="851" w:footer="992" w:gutter="0"/>
          <w:pgNumType w:start="1"/>
          <w:cols w:space="425" w:num="1"/>
          <w:docGrid w:type="lines" w:linePitch="312" w:charSpace="0"/>
        </w:sectPr>
      </w:pPr>
    </w:p>
    <w:p>
      <w:pPr>
        <w:pStyle w:val="2"/>
        <w:numPr>
          <w:ilvl w:val="0"/>
          <w:numId w:val="8"/>
        </w:numPr>
        <w:spacing w:before="312" w:after="312"/>
        <w:rPr>
          <w:sz w:val="32"/>
          <w:szCs w:val="32"/>
        </w:rPr>
      </w:pPr>
      <w:bookmarkStart w:id="6" w:name="_Toc11504"/>
      <w:bookmarkStart w:id="7" w:name="_Toc16566"/>
      <w:bookmarkStart w:id="8" w:name="_Toc213947357"/>
      <w:bookmarkStart w:id="9" w:name="_Toc172908891"/>
      <w:r>
        <w:rPr>
          <w:sz w:val="32"/>
          <w:szCs w:val="32"/>
        </w:rPr>
        <w:t>引言</w:t>
      </w:r>
      <w:bookmarkEnd w:id="3"/>
      <w:bookmarkEnd w:id="4"/>
      <w:bookmarkEnd w:id="5"/>
      <w:bookmarkEnd w:id="6"/>
      <w:bookmarkEnd w:id="7"/>
      <w:bookmarkEnd w:id="8"/>
      <w:bookmarkEnd w:id="9"/>
    </w:p>
    <w:p>
      <w:pPr>
        <w:ind w:firstLine="420"/>
        <w:rPr>
          <w:rFonts w:cs="Times New Roman"/>
          <w:sz w:val="32"/>
          <w:szCs w:val="32"/>
        </w:rPr>
      </w:pPr>
      <w:r>
        <w:rPr>
          <w:rFonts w:hint="eastAsia" w:cs="Times New Roman"/>
          <w:sz w:val="32"/>
          <w:szCs w:val="32"/>
        </w:rPr>
        <w:t>宜昌市公共汽电车出行碳普惠方法学旨在通过碳普惠机制引导个人选择公共汽电车方式出行，减少</w:t>
      </w:r>
      <w:r>
        <w:rPr>
          <w:rFonts w:hint="eastAsia"/>
          <w:sz w:val="32"/>
          <w:szCs w:val="32"/>
        </w:rPr>
        <w:t>乘坐高排放的交通工具</w:t>
      </w:r>
      <w:r>
        <w:rPr>
          <w:rFonts w:hint="eastAsia" w:cs="Times New Roman"/>
          <w:sz w:val="32"/>
          <w:szCs w:val="32"/>
        </w:rPr>
        <w:t>，从而达到温室气体减排的效果。本方法学</w:t>
      </w:r>
      <w:r>
        <w:rPr>
          <w:rFonts w:cs="Times New Roman"/>
          <w:sz w:val="32"/>
          <w:szCs w:val="32"/>
        </w:rPr>
        <w:t>属</w:t>
      </w:r>
      <w:r>
        <w:rPr>
          <w:rFonts w:hint="eastAsia" w:cs="Times New Roman"/>
          <w:sz w:val="32"/>
          <w:szCs w:val="32"/>
        </w:rPr>
        <w:t>于</w:t>
      </w:r>
      <w:r>
        <w:rPr>
          <w:rFonts w:cs="Times New Roman"/>
          <w:sz w:val="32"/>
          <w:szCs w:val="32"/>
        </w:rPr>
        <w:t>交通运输</w:t>
      </w:r>
      <w:r>
        <w:rPr>
          <w:rFonts w:hint="eastAsia" w:cs="Times New Roman"/>
          <w:sz w:val="32"/>
          <w:szCs w:val="32"/>
        </w:rPr>
        <w:t>领域</w:t>
      </w:r>
      <w:r>
        <w:rPr>
          <w:rFonts w:cs="Times New Roman"/>
          <w:sz w:val="32"/>
          <w:szCs w:val="32"/>
        </w:rPr>
        <w:t>方法学，</w:t>
      </w:r>
      <w:r>
        <w:rPr>
          <w:rFonts w:hint="eastAsia" w:cs="Times New Roman"/>
          <w:sz w:val="32"/>
          <w:szCs w:val="32"/>
        </w:rPr>
        <w:t>宜昌市行政区内符合条件的个人乘坐公共汽电车出行行为，</w:t>
      </w:r>
      <w:r>
        <w:rPr>
          <w:rFonts w:cs="Times New Roman"/>
          <w:sz w:val="32"/>
          <w:szCs w:val="32"/>
        </w:rPr>
        <w:t>可以按照本方法学要求</w:t>
      </w:r>
      <w:r>
        <w:rPr>
          <w:rFonts w:cs="Times New Roman"/>
          <w:color w:val="000000" w:themeColor="text1"/>
          <w:sz w:val="32"/>
          <w:szCs w:val="32"/>
          <w14:textFill>
            <w14:solidFill>
              <w14:schemeClr w14:val="tx1"/>
            </w14:solidFill>
          </w14:textFill>
        </w:rPr>
        <w:t>核算</w:t>
      </w:r>
      <w:r>
        <w:rPr>
          <w:rFonts w:cs="Times New Roman"/>
          <w:color w:val="000000" w:themeColor="text1"/>
          <w:sz w:val="32"/>
          <w:szCs w:val="32"/>
          <w:lang w:eastAsia="zh-Hans"/>
          <w14:textFill>
            <w14:solidFill>
              <w14:schemeClr w14:val="tx1"/>
            </w14:solidFill>
          </w14:textFill>
        </w:rPr>
        <w:t>和</w:t>
      </w:r>
      <w:r>
        <w:rPr>
          <w:rFonts w:cs="Times New Roman"/>
          <w:color w:val="000000" w:themeColor="text1"/>
          <w:sz w:val="32"/>
          <w:szCs w:val="32"/>
          <w14:textFill>
            <w14:solidFill>
              <w14:schemeClr w14:val="tx1"/>
            </w14:solidFill>
          </w14:textFill>
        </w:rPr>
        <w:t>核查</w:t>
      </w:r>
      <w:r>
        <w:rPr>
          <w:rFonts w:cs="Times New Roman"/>
          <w:sz w:val="32"/>
          <w:szCs w:val="32"/>
        </w:rPr>
        <w:t>碳普惠减排量。</w:t>
      </w:r>
    </w:p>
    <w:p>
      <w:pPr>
        <w:pStyle w:val="2"/>
        <w:numPr>
          <w:ilvl w:val="0"/>
          <w:numId w:val="8"/>
        </w:numPr>
        <w:spacing w:before="312" w:after="312"/>
        <w:rPr>
          <w:sz w:val="32"/>
          <w:szCs w:val="32"/>
        </w:rPr>
      </w:pPr>
      <w:bookmarkStart w:id="10" w:name="_Toc27599"/>
      <w:bookmarkStart w:id="11" w:name="_Toc172908892"/>
      <w:bookmarkStart w:id="12" w:name="_Toc2526"/>
      <w:bookmarkStart w:id="13" w:name="_Toc3482"/>
      <w:bookmarkStart w:id="14" w:name="_Toc16133"/>
      <w:bookmarkStart w:id="15" w:name="_Toc13219"/>
      <w:bookmarkStart w:id="16" w:name="_Toc1"/>
      <w:bookmarkStart w:id="17" w:name="_Toc213947358"/>
      <w:bookmarkStart w:id="18" w:name="_Toc1071"/>
      <w:r>
        <w:rPr>
          <w:sz w:val="32"/>
          <w:szCs w:val="32"/>
        </w:rPr>
        <w:t>适用条件</w:t>
      </w:r>
      <w:bookmarkEnd w:id="10"/>
      <w:bookmarkEnd w:id="11"/>
      <w:bookmarkEnd w:id="12"/>
      <w:bookmarkEnd w:id="13"/>
      <w:bookmarkEnd w:id="14"/>
      <w:bookmarkEnd w:id="15"/>
      <w:bookmarkEnd w:id="16"/>
      <w:bookmarkEnd w:id="17"/>
      <w:bookmarkEnd w:id="18"/>
    </w:p>
    <w:p>
      <w:pPr>
        <w:ind w:firstLine="420"/>
        <w:rPr>
          <w:rFonts w:cs="宋体"/>
          <w:sz w:val="32"/>
          <w:szCs w:val="32"/>
          <w:lang w:eastAsia="zh-Hans"/>
        </w:rPr>
      </w:pPr>
      <w:r>
        <w:rPr>
          <w:rFonts w:hint="eastAsia" w:cs="宋体"/>
          <w:sz w:val="32"/>
          <w:szCs w:val="32"/>
          <w:lang w:eastAsia="zh-Hans"/>
        </w:rPr>
        <w:t>本方法学适用于</w:t>
      </w:r>
      <w:r>
        <w:rPr>
          <w:rFonts w:hint="eastAsia" w:cs="宋体"/>
          <w:sz w:val="32"/>
          <w:szCs w:val="32"/>
        </w:rPr>
        <w:t>宜昌市</w:t>
      </w:r>
      <w:r>
        <w:rPr>
          <w:rFonts w:hint="eastAsia" w:cs="宋体"/>
          <w:sz w:val="32"/>
          <w:szCs w:val="32"/>
          <w:lang w:eastAsia="zh-Hans"/>
        </w:rPr>
        <w:t>行政区内的</w:t>
      </w:r>
      <w:r>
        <w:rPr>
          <w:rFonts w:hint="eastAsia" w:cs="Times New Roman"/>
          <w:sz w:val="32"/>
          <w:szCs w:val="32"/>
        </w:rPr>
        <w:t>个人乘坐公共汽电车出行的行为</w:t>
      </w:r>
      <w:r>
        <w:rPr>
          <w:rFonts w:hint="eastAsia" w:cs="宋体"/>
          <w:sz w:val="32"/>
          <w:szCs w:val="32"/>
          <w:lang w:eastAsia="zh-Hans"/>
        </w:rPr>
        <w:t>，行为</w:t>
      </w:r>
      <w:r>
        <w:rPr>
          <w:rFonts w:hint="eastAsia" w:cs="宋体"/>
          <w:sz w:val="32"/>
          <w:szCs w:val="32"/>
        </w:rPr>
        <w:t>必</w:t>
      </w:r>
      <w:r>
        <w:rPr>
          <w:rFonts w:hint="eastAsia" w:cs="宋体"/>
          <w:sz w:val="32"/>
          <w:szCs w:val="32"/>
          <w:lang w:eastAsia="zh-Hans"/>
        </w:rPr>
        <w:t>须满足以下条件：</w:t>
      </w:r>
    </w:p>
    <w:p>
      <w:pPr>
        <w:ind w:firstLine="420"/>
        <w:rPr>
          <w:sz w:val="32"/>
          <w:szCs w:val="32"/>
        </w:rPr>
      </w:pPr>
      <w:r>
        <w:rPr>
          <w:rFonts w:hint="eastAsia"/>
          <w:sz w:val="32"/>
          <w:szCs w:val="32"/>
        </w:rPr>
        <w:t>a）行为</w:t>
      </w:r>
      <w:r>
        <w:rPr>
          <w:sz w:val="32"/>
          <w:szCs w:val="32"/>
        </w:rPr>
        <w:t>产生</w:t>
      </w:r>
      <w:r>
        <w:rPr>
          <w:sz w:val="32"/>
          <w:szCs w:val="32"/>
          <w:lang w:eastAsia="zh"/>
        </w:rPr>
        <w:t>的碳</w:t>
      </w:r>
      <w:r>
        <w:rPr>
          <w:rFonts w:hint="eastAsia"/>
          <w:sz w:val="32"/>
          <w:szCs w:val="32"/>
          <w:lang w:eastAsia="zh"/>
        </w:rPr>
        <w:t>普惠</w:t>
      </w:r>
      <w:r>
        <w:rPr>
          <w:sz w:val="32"/>
          <w:szCs w:val="32"/>
          <w:lang w:eastAsia="zh"/>
        </w:rPr>
        <w:t>减排量/碳</w:t>
      </w:r>
      <w:r>
        <w:rPr>
          <w:rFonts w:hint="eastAsia"/>
          <w:sz w:val="32"/>
          <w:szCs w:val="32"/>
          <w:lang w:eastAsia="zh"/>
        </w:rPr>
        <w:t>普惠</w:t>
      </w:r>
      <w:r>
        <w:rPr>
          <w:sz w:val="32"/>
          <w:szCs w:val="32"/>
          <w:lang w:eastAsia="zh"/>
        </w:rPr>
        <w:t>减排量</w:t>
      </w:r>
      <w:r>
        <w:rPr>
          <w:rFonts w:hint="eastAsia"/>
          <w:sz w:val="32"/>
          <w:szCs w:val="32"/>
          <w:lang w:eastAsia="zh"/>
        </w:rPr>
        <w:t>权益</w:t>
      </w:r>
      <w:r>
        <w:rPr>
          <w:sz w:val="32"/>
          <w:szCs w:val="32"/>
          <w:lang w:eastAsia="zh"/>
        </w:rPr>
        <w:t>归</w:t>
      </w:r>
      <w:r>
        <w:rPr>
          <w:rFonts w:hint="eastAsia" w:cs="Times New Roman"/>
          <w:sz w:val="32"/>
          <w:szCs w:val="32"/>
        </w:rPr>
        <w:t>属于乘坐公共</w:t>
      </w:r>
      <w:r>
        <w:rPr>
          <w:rFonts w:hint="eastAsia"/>
          <w:sz w:val="32"/>
          <w:szCs w:val="32"/>
        </w:rPr>
        <w:t>汽电车的</w:t>
      </w:r>
      <w:r>
        <w:rPr>
          <w:sz w:val="32"/>
          <w:szCs w:val="32"/>
        </w:rPr>
        <w:t>个人用户</w:t>
      </w:r>
      <w:r>
        <w:rPr>
          <w:rFonts w:hint="eastAsia"/>
          <w:sz w:val="32"/>
          <w:szCs w:val="32"/>
        </w:rPr>
        <w:t>（下文</w:t>
      </w:r>
      <w:r>
        <w:rPr>
          <w:rFonts w:hint="eastAsia"/>
          <w:sz w:val="32"/>
          <w:szCs w:val="32"/>
          <w:lang w:eastAsia="zh"/>
        </w:rPr>
        <w:t>“乘客”所指相同</w:t>
      </w:r>
      <w:r>
        <w:rPr>
          <w:rFonts w:hint="eastAsia"/>
          <w:sz w:val="32"/>
          <w:szCs w:val="32"/>
        </w:rPr>
        <w:t>）</w:t>
      </w:r>
      <w:r>
        <w:rPr>
          <w:sz w:val="32"/>
          <w:szCs w:val="32"/>
        </w:rPr>
        <w:t>所有</w:t>
      </w:r>
      <w:r>
        <w:rPr>
          <w:rFonts w:hint="eastAsia"/>
          <w:sz w:val="32"/>
          <w:szCs w:val="32"/>
          <w:lang w:eastAsia="zh"/>
        </w:rPr>
        <w:t>，个人</w:t>
      </w:r>
      <w:r>
        <w:rPr>
          <w:rFonts w:hint="eastAsia"/>
          <w:sz w:val="32"/>
          <w:szCs w:val="32"/>
        </w:rPr>
        <w:t>用户</w:t>
      </w:r>
      <w:r>
        <w:rPr>
          <w:rFonts w:hint="eastAsia"/>
          <w:sz w:val="32"/>
          <w:szCs w:val="32"/>
          <w:lang w:eastAsia="zh"/>
        </w:rPr>
        <w:t>可通过碳普惠平台获取</w:t>
      </w:r>
      <w:r>
        <w:rPr>
          <w:sz w:val="32"/>
          <w:szCs w:val="32"/>
          <w:lang w:eastAsia="zh"/>
        </w:rPr>
        <w:t>碳</w:t>
      </w:r>
      <w:r>
        <w:rPr>
          <w:rFonts w:hint="eastAsia"/>
          <w:sz w:val="32"/>
          <w:szCs w:val="32"/>
          <w:lang w:eastAsia="zh"/>
        </w:rPr>
        <w:t>普惠</w:t>
      </w:r>
      <w:r>
        <w:rPr>
          <w:sz w:val="32"/>
          <w:szCs w:val="32"/>
          <w:lang w:eastAsia="zh"/>
        </w:rPr>
        <w:t>减排量，</w:t>
      </w:r>
      <w:r>
        <w:rPr>
          <w:rFonts w:hint="eastAsia"/>
          <w:sz w:val="32"/>
          <w:szCs w:val="32"/>
        </w:rPr>
        <w:t>公共汽电车</w:t>
      </w:r>
      <w:r>
        <w:rPr>
          <w:sz w:val="32"/>
          <w:szCs w:val="32"/>
        </w:rPr>
        <w:t>运营机构</w:t>
      </w:r>
      <w:r>
        <w:rPr>
          <w:rFonts w:hint="eastAsia"/>
          <w:sz w:val="32"/>
          <w:szCs w:val="32"/>
        </w:rPr>
        <w:t>、公共交通支付平台</w:t>
      </w:r>
      <w:r>
        <w:rPr>
          <w:rFonts w:hint="eastAsia"/>
          <w:sz w:val="32"/>
          <w:szCs w:val="32"/>
          <w:lang w:eastAsia="zh"/>
        </w:rPr>
        <w:t>可通过与个人</w:t>
      </w:r>
      <w:r>
        <w:rPr>
          <w:rFonts w:hint="eastAsia"/>
          <w:sz w:val="32"/>
          <w:szCs w:val="32"/>
        </w:rPr>
        <w:t>用户</w:t>
      </w:r>
      <w:r>
        <w:rPr>
          <w:sz w:val="32"/>
          <w:szCs w:val="32"/>
          <w:lang w:eastAsia="zh"/>
        </w:rPr>
        <w:t>签署协议或其他可行的商业模式</w:t>
      </w:r>
      <w:r>
        <w:rPr>
          <w:rFonts w:hint="eastAsia"/>
          <w:sz w:val="32"/>
          <w:szCs w:val="32"/>
          <w:lang w:eastAsia="zh"/>
        </w:rPr>
        <w:t>从个人处归集碳普惠</w:t>
      </w:r>
      <w:r>
        <w:rPr>
          <w:sz w:val="32"/>
          <w:szCs w:val="32"/>
          <w:lang w:eastAsia="zh"/>
        </w:rPr>
        <w:t>减排量。</w:t>
      </w:r>
    </w:p>
    <w:p>
      <w:pPr>
        <w:ind w:firstLine="420"/>
        <w:rPr>
          <w:sz w:val="32"/>
          <w:szCs w:val="32"/>
        </w:rPr>
      </w:pPr>
      <w:r>
        <w:rPr>
          <w:rFonts w:hint="eastAsia"/>
          <w:sz w:val="32"/>
          <w:szCs w:val="32"/>
        </w:rPr>
        <w:t>b）</w:t>
      </w:r>
      <w:r>
        <w:rPr>
          <w:sz w:val="32"/>
          <w:szCs w:val="32"/>
        </w:rPr>
        <w:t>当碳普惠减排量采用</w:t>
      </w:r>
      <w:r>
        <w:rPr>
          <w:rFonts w:hAnsi="宋体"/>
          <w:sz w:val="32"/>
          <w:szCs w:val="32"/>
        </w:rPr>
        <w:t>“平台归集”的</w:t>
      </w:r>
      <w:r>
        <w:rPr>
          <w:sz w:val="32"/>
          <w:szCs w:val="32"/>
        </w:rPr>
        <w:t>形式进行登记时，单个平台在自然年内按照本方法学核算并归集的碳普惠减排量</w:t>
      </w:r>
      <w:r>
        <w:rPr>
          <w:sz w:val="32"/>
          <w:szCs w:val="32"/>
          <w:lang w:eastAsia="zh"/>
        </w:rPr>
        <w:t>上限为</w:t>
      </w:r>
      <w:r>
        <w:rPr>
          <w:sz w:val="32"/>
          <w:szCs w:val="32"/>
        </w:rPr>
        <w:t>3万吨</w:t>
      </w:r>
      <w:r>
        <w:rPr>
          <w:sz w:val="32"/>
          <w:szCs w:val="32"/>
          <w:lang w:eastAsia="zh"/>
        </w:rPr>
        <w:t>（含）</w:t>
      </w:r>
      <w:r>
        <w:rPr>
          <w:sz w:val="32"/>
          <w:szCs w:val="32"/>
        </w:rPr>
        <w:t>CO</w:t>
      </w:r>
      <w:r>
        <w:rPr>
          <w:sz w:val="32"/>
          <w:szCs w:val="32"/>
          <w:vertAlign w:val="subscript"/>
        </w:rPr>
        <w:t>2</w:t>
      </w:r>
      <w:r>
        <w:rPr>
          <w:sz w:val="32"/>
          <w:szCs w:val="32"/>
        </w:rPr>
        <w:t>当量。当单个平台</w:t>
      </w:r>
      <w:r>
        <w:rPr>
          <w:sz w:val="32"/>
          <w:szCs w:val="32"/>
          <w:lang w:eastAsia="zh"/>
        </w:rPr>
        <w:t>依据</w:t>
      </w:r>
      <w:r>
        <w:rPr>
          <w:sz w:val="32"/>
          <w:szCs w:val="32"/>
        </w:rPr>
        <w:t>本方法学核算产生的碳普惠减排量超过3万吨CO</w:t>
      </w:r>
      <w:r>
        <w:rPr>
          <w:sz w:val="32"/>
          <w:szCs w:val="32"/>
          <w:vertAlign w:val="subscript"/>
        </w:rPr>
        <w:t>2</w:t>
      </w:r>
      <w:r>
        <w:rPr>
          <w:sz w:val="32"/>
          <w:szCs w:val="32"/>
        </w:rPr>
        <w:t>当量时，</w:t>
      </w:r>
      <w:r>
        <w:rPr>
          <w:rFonts w:hAnsi="宋体"/>
          <w:sz w:val="32"/>
          <w:szCs w:val="32"/>
        </w:rPr>
        <w:t>“平台归集”</w:t>
      </w:r>
      <w:r>
        <w:rPr>
          <w:sz w:val="32"/>
          <w:szCs w:val="32"/>
        </w:rPr>
        <w:t>形式自动失效，</w:t>
      </w:r>
      <w:r>
        <w:rPr>
          <w:sz w:val="32"/>
          <w:szCs w:val="32"/>
          <w:lang w:eastAsia="zh"/>
        </w:rPr>
        <w:t>超出部分</w:t>
      </w:r>
      <w:r>
        <w:rPr>
          <w:sz w:val="32"/>
          <w:szCs w:val="32"/>
        </w:rPr>
        <w:t>的碳普惠减排量自动登记至个人碳账户中。</w:t>
      </w:r>
    </w:p>
    <w:p>
      <w:pPr>
        <w:pStyle w:val="2"/>
        <w:numPr>
          <w:ilvl w:val="0"/>
          <w:numId w:val="8"/>
        </w:numPr>
        <w:spacing w:before="312" w:after="312"/>
        <w:rPr>
          <w:sz w:val="32"/>
          <w:szCs w:val="32"/>
        </w:rPr>
      </w:pPr>
      <w:bookmarkStart w:id="19" w:name="_Toc172908893"/>
      <w:bookmarkStart w:id="20" w:name="_Toc32037"/>
      <w:bookmarkStart w:id="21" w:name="_Toc213947359"/>
      <w:bookmarkStart w:id="22" w:name="_Toc14607"/>
      <w:bookmarkStart w:id="23" w:name="_Toc170"/>
      <w:bookmarkStart w:id="24" w:name="_Toc18618"/>
      <w:bookmarkStart w:id="25" w:name="_Toc11138"/>
      <w:bookmarkStart w:id="26" w:name="_Toc21612"/>
      <w:bookmarkStart w:id="27" w:name="_Toc7911"/>
      <w:r>
        <w:rPr>
          <w:rFonts w:hint="eastAsia"/>
          <w:sz w:val="32"/>
          <w:szCs w:val="32"/>
        </w:rPr>
        <w:t>规范性</w:t>
      </w:r>
      <w:r>
        <w:rPr>
          <w:sz w:val="32"/>
          <w:szCs w:val="32"/>
        </w:rPr>
        <w:t>引用文件</w:t>
      </w:r>
      <w:bookmarkEnd w:id="19"/>
      <w:bookmarkEnd w:id="20"/>
      <w:bookmarkEnd w:id="21"/>
      <w:bookmarkEnd w:id="22"/>
      <w:bookmarkEnd w:id="23"/>
      <w:bookmarkEnd w:id="24"/>
      <w:bookmarkEnd w:id="25"/>
      <w:bookmarkEnd w:id="26"/>
      <w:bookmarkEnd w:id="27"/>
    </w:p>
    <w:p>
      <w:pPr>
        <w:numPr>
          <w:ilvl w:val="255"/>
          <w:numId w:val="0"/>
        </w:numPr>
        <w:ind w:firstLine="420"/>
        <w:rPr>
          <w:sz w:val="32"/>
          <w:szCs w:val="32"/>
        </w:rPr>
      </w:pPr>
      <w:r>
        <w:rPr>
          <w:rFonts w:hint="eastAsia"/>
          <w:sz w:val="32"/>
          <w:szCs w:val="32"/>
        </w:rPr>
        <w:t>本文件引用了下列文件或其中条款。凡是注明日期的引用文件，仅注日期的版本适用于本文件。凡是未注日期的引用文件，其有效版本（包括所有的修改单）适用于本文件。</w:t>
      </w:r>
    </w:p>
    <w:p>
      <w:pPr>
        <w:numPr>
          <w:ilvl w:val="255"/>
          <w:numId w:val="0"/>
        </w:numPr>
        <w:ind w:firstLine="420"/>
        <w:rPr>
          <w:sz w:val="32"/>
          <w:szCs w:val="32"/>
        </w:rPr>
      </w:pPr>
      <w:r>
        <w:rPr>
          <w:sz w:val="32"/>
          <w:szCs w:val="32"/>
        </w:rPr>
        <w:t>GB/T 32852.1-2016 城市客运术语 第 1 部分：通用术语</w:t>
      </w:r>
    </w:p>
    <w:p>
      <w:pPr>
        <w:numPr>
          <w:ilvl w:val="255"/>
          <w:numId w:val="0"/>
        </w:numPr>
        <w:ind w:firstLine="420"/>
        <w:rPr>
          <w:sz w:val="32"/>
          <w:szCs w:val="32"/>
        </w:rPr>
      </w:pPr>
      <w:r>
        <w:rPr>
          <w:sz w:val="32"/>
          <w:szCs w:val="32"/>
        </w:rPr>
        <w:fldChar w:fldCharType="begin"/>
      </w:r>
      <w:r>
        <w:rPr>
          <w:sz w:val="32"/>
          <w:szCs w:val="32"/>
        </w:rPr>
        <w:instrText xml:space="preserve"> HYPERLINK "https://jtst.mot.gov.cn/hb/search/stdHBDetailed?id=3fd186733ddc2cd24bca476c21b8efa8" \t "https://jtst.mot.gov.cn/search/_blank" </w:instrText>
      </w:r>
      <w:r>
        <w:rPr>
          <w:sz w:val="32"/>
          <w:szCs w:val="32"/>
        </w:rPr>
        <w:fldChar w:fldCharType="separate"/>
      </w:r>
      <w:r>
        <w:rPr>
          <w:rFonts w:hint="eastAsia"/>
          <w:sz w:val="32"/>
          <w:szCs w:val="32"/>
        </w:rPr>
        <w:t>JT/T 978-2023 城市公共交通IC卡技术规范</w:t>
      </w:r>
      <w:r>
        <w:rPr>
          <w:rFonts w:hint="eastAsia"/>
          <w:sz w:val="32"/>
          <w:szCs w:val="32"/>
        </w:rPr>
        <w:fldChar w:fldCharType="end"/>
      </w:r>
    </w:p>
    <w:p>
      <w:pPr>
        <w:numPr>
          <w:ilvl w:val="255"/>
          <w:numId w:val="0"/>
        </w:numPr>
        <w:ind w:firstLine="420"/>
        <w:rPr>
          <w:rFonts w:ascii="Helvetica" w:hAnsi="Helvetica" w:eastAsia="Helvetica" w:cs="Helvetica"/>
          <w:sz w:val="32"/>
          <w:szCs w:val="32"/>
          <w:shd w:val="clear" w:color="auto" w:fill="FFFFFF"/>
        </w:rPr>
      </w:pPr>
      <w:r>
        <w:rPr>
          <w:rFonts w:hint="eastAsia"/>
          <w:sz w:val="32"/>
          <w:szCs w:val="32"/>
        </w:rPr>
        <w:t xml:space="preserve">JT/T1059 </w:t>
      </w:r>
      <w:r>
        <w:rPr>
          <w:sz w:val="32"/>
          <w:szCs w:val="32"/>
        </w:rPr>
        <w:fldChar w:fldCharType="begin"/>
      </w:r>
      <w:r>
        <w:rPr>
          <w:sz w:val="32"/>
          <w:szCs w:val="32"/>
        </w:rPr>
        <w:instrText xml:space="preserve"> HYPERLINK "https://jtst.mot.gov.cn/hb/search/stdHBDetailed?id=9576fdcb7fd9ab200df0359eb6aeec57" \t "https://jtst.mot.gov.cn/search/_blank" </w:instrText>
      </w:r>
      <w:r>
        <w:rPr>
          <w:sz w:val="32"/>
          <w:szCs w:val="32"/>
        </w:rPr>
        <w:fldChar w:fldCharType="separate"/>
      </w:r>
      <w:r>
        <w:rPr>
          <w:rFonts w:hint="eastAsia"/>
          <w:sz w:val="32"/>
          <w:szCs w:val="32"/>
        </w:rPr>
        <w:t xml:space="preserve">-2025 </w:t>
      </w:r>
      <w:r>
        <w:rPr>
          <w:rStyle w:val="38"/>
          <w:rFonts w:ascii="Helvetica" w:hAnsi="Helvetica" w:eastAsia="Helvetica" w:cs="Helvetica"/>
          <w:color w:val="auto"/>
          <w:sz w:val="32"/>
          <w:szCs w:val="32"/>
          <w:u w:val="none"/>
          <w:shd w:val="clear" w:color="auto" w:fill="FFFFFF"/>
        </w:rPr>
        <w:t>交通一卡通移动支付技术规范</w:t>
      </w:r>
      <w:r>
        <w:rPr>
          <w:rStyle w:val="38"/>
          <w:rFonts w:ascii="Helvetica" w:hAnsi="Helvetica" w:eastAsia="Helvetica" w:cs="Helvetica"/>
          <w:color w:val="auto"/>
          <w:sz w:val="32"/>
          <w:szCs w:val="32"/>
          <w:u w:val="none"/>
          <w:shd w:val="clear" w:color="auto" w:fill="FFFFFF"/>
        </w:rPr>
        <w:fldChar w:fldCharType="end"/>
      </w:r>
    </w:p>
    <w:p>
      <w:pPr>
        <w:numPr>
          <w:ilvl w:val="255"/>
          <w:numId w:val="0"/>
        </w:numPr>
        <w:ind w:firstLine="420"/>
        <w:rPr>
          <w:rFonts w:ascii="Helvetica" w:hAnsi="Helvetica" w:eastAsia="Helvetica" w:cs="Helvetica"/>
          <w:color w:val="337AB7"/>
          <w:sz w:val="32"/>
          <w:szCs w:val="32"/>
          <w:shd w:val="clear" w:color="auto" w:fill="FFFFFF"/>
        </w:rPr>
      </w:pPr>
      <w:r>
        <w:rPr>
          <w:sz w:val="32"/>
          <w:szCs w:val="32"/>
        </w:rPr>
        <w:t>陆上交通运输企业温室气体排放核算方法与报告指南（试行）</w:t>
      </w:r>
    </w:p>
    <w:p>
      <w:pPr>
        <w:pStyle w:val="2"/>
        <w:numPr>
          <w:ilvl w:val="0"/>
          <w:numId w:val="8"/>
        </w:numPr>
        <w:spacing w:before="312" w:after="312"/>
        <w:rPr>
          <w:sz w:val="32"/>
          <w:szCs w:val="32"/>
        </w:rPr>
      </w:pPr>
      <w:bookmarkStart w:id="28" w:name="_Toc18389"/>
      <w:bookmarkStart w:id="29" w:name="_Toc17154"/>
      <w:bookmarkStart w:id="30" w:name="_Toc29811"/>
      <w:bookmarkStart w:id="31" w:name="_Toc172908894"/>
      <w:bookmarkStart w:id="32" w:name="_Toc213947360"/>
      <w:bookmarkStart w:id="33" w:name="_Toc11596"/>
      <w:bookmarkStart w:id="34" w:name="_Toc18369"/>
      <w:bookmarkStart w:id="35" w:name="_Toc9423"/>
      <w:bookmarkStart w:id="36" w:name="_Toc20869"/>
      <w:r>
        <w:rPr>
          <w:sz w:val="32"/>
          <w:szCs w:val="32"/>
        </w:rPr>
        <w:t>术语和定义</w:t>
      </w:r>
      <w:bookmarkEnd w:id="28"/>
      <w:bookmarkEnd w:id="29"/>
      <w:bookmarkEnd w:id="30"/>
      <w:bookmarkEnd w:id="31"/>
      <w:bookmarkEnd w:id="32"/>
      <w:bookmarkEnd w:id="33"/>
      <w:bookmarkEnd w:id="34"/>
      <w:bookmarkEnd w:id="35"/>
      <w:bookmarkEnd w:id="36"/>
    </w:p>
    <w:p>
      <w:pPr>
        <w:pStyle w:val="3"/>
        <w:numPr>
          <w:ilvl w:val="1"/>
          <w:numId w:val="8"/>
        </w:numPr>
        <w:tabs>
          <w:tab w:val="left" w:pos="0"/>
        </w:tabs>
        <w:spacing w:before="156" w:beforeLines="50" w:after="156" w:afterLines="50" w:line="240" w:lineRule="auto"/>
        <w:rPr>
          <w:sz w:val="32"/>
          <w:szCs w:val="32"/>
        </w:rPr>
      </w:pPr>
      <w:bookmarkStart w:id="37" w:name="_Toc213947361"/>
      <w:bookmarkEnd w:id="37"/>
    </w:p>
    <w:p>
      <w:pPr>
        <w:ind w:firstLine="420"/>
        <w:rPr>
          <w:rFonts w:eastAsia="黑体" w:cs="Times New Roman"/>
          <w:sz w:val="32"/>
          <w:szCs w:val="32"/>
        </w:rPr>
      </w:pPr>
      <w:r>
        <w:rPr>
          <w:rFonts w:hint="eastAsia" w:eastAsia="黑体" w:cs="Times New Roman"/>
          <w:sz w:val="32"/>
          <w:szCs w:val="32"/>
        </w:rPr>
        <w:t>机动化出行</w:t>
      </w:r>
      <w:r>
        <w:rPr>
          <w:rFonts w:eastAsia="黑体" w:cs="Times New Roman"/>
          <w:sz w:val="32"/>
          <w:szCs w:val="32"/>
        </w:rPr>
        <w:t xml:space="preserve"> </w:t>
      </w:r>
      <w:r>
        <w:rPr>
          <w:rFonts w:hint="eastAsia" w:eastAsia="黑体" w:cs="Times New Roman"/>
          <w:sz w:val="32"/>
          <w:szCs w:val="32"/>
        </w:rPr>
        <w:t>m</w:t>
      </w:r>
      <w:r>
        <w:rPr>
          <w:rFonts w:eastAsia="黑体" w:cs="Times New Roman"/>
          <w:sz w:val="32"/>
          <w:szCs w:val="32"/>
        </w:rPr>
        <w:t>otorized travel</w:t>
      </w:r>
    </w:p>
    <w:p>
      <w:pPr>
        <w:ind w:firstLine="420"/>
        <w:rPr>
          <w:rFonts w:hint="eastAsia" w:ascii="宋体" w:hAnsi="宋体"/>
          <w:color w:val="000000" w:themeColor="text1"/>
          <w:sz w:val="32"/>
          <w:szCs w:val="32"/>
          <w14:textFill>
            <w14:solidFill>
              <w14:schemeClr w14:val="tx1"/>
            </w14:solidFill>
          </w14:textFill>
        </w:rPr>
      </w:pPr>
      <w:bookmarkStart w:id="38" w:name="_Toc175935697"/>
      <w:r>
        <w:rPr>
          <w:sz w:val="32"/>
          <w:szCs w:val="32"/>
        </w:rPr>
        <w:t>从出发地到目的地，采用</w:t>
      </w:r>
      <w:r>
        <w:rPr>
          <w:rFonts w:hint="eastAsia"/>
          <w:sz w:val="32"/>
          <w:szCs w:val="32"/>
        </w:rPr>
        <w:t>私家车</w:t>
      </w:r>
      <w:r>
        <w:rPr>
          <w:sz w:val="32"/>
          <w:szCs w:val="32"/>
        </w:rPr>
        <w:t>、出租车</w:t>
      </w:r>
      <w:r>
        <w:rPr>
          <w:rFonts w:hint="eastAsia"/>
          <w:sz w:val="32"/>
          <w:szCs w:val="32"/>
        </w:rPr>
        <w:t>（含网约车）</w:t>
      </w:r>
      <w:r>
        <w:rPr>
          <w:sz w:val="32"/>
          <w:szCs w:val="32"/>
        </w:rPr>
        <w:t>、轨道交通、地面公交</w:t>
      </w:r>
      <w:r>
        <w:rPr>
          <w:rFonts w:hint="eastAsia"/>
          <w:sz w:val="32"/>
          <w:szCs w:val="32"/>
        </w:rPr>
        <w:t>、电动自行车、摩托车</w:t>
      </w:r>
      <w:r>
        <w:rPr>
          <w:sz w:val="32"/>
          <w:szCs w:val="32"/>
        </w:rPr>
        <w:t>等机动化交通方式</w:t>
      </w:r>
      <w:r>
        <w:rPr>
          <w:rFonts w:hint="eastAsia"/>
          <w:sz w:val="32"/>
          <w:szCs w:val="32"/>
        </w:rPr>
        <w:t>实现</w:t>
      </w:r>
      <w:r>
        <w:rPr>
          <w:sz w:val="32"/>
          <w:szCs w:val="32"/>
        </w:rPr>
        <w:t>位移的行为。</w:t>
      </w:r>
    </w:p>
    <w:bookmarkEnd w:id="38"/>
    <w:p>
      <w:pPr>
        <w:pStyle w:val="3"/>
        <w:numPr>
          <w:ilvl w:val="1"/>
          <w:numId w:val="8"/>
        </w:numPr>
        <w:tabs>
          <w:tab w:val="left" w:pos="0"/>
        </w:tabs>
        <w:spacing w:before="156" w:beforeLines="50" w:after="156" w:afterLines="50" w:line="240" w:lineRule="auto"/>
        <w:rPr>
          <w:sz w:val="32"/>
          <w:szCs w:val="32"/>
        </w:rPr>
      </w:pPr>
      <w:bookmarkStart w:id="39" w:name="_Toc213947362"/>
      <w:bookmarkEnd w:id="39"/>
    </w:p>
    <w:p>
      <w:pPr>
        <w:widowControl/>
        <w:ind w:firstLine="420"/>
        <w:rPr>
          <w:rFonts w:eastAsia="黑体" w:cs="Times New Roman"/>
          <w:sz w:val="32"/>
          <w:szCs w:val="32"/>
        </w:rPr>
      </w:pPr>
      <w:r>
        <w:rPr>
          <w:rFonts w:eastAsia="黑体" w:cs="Times New Roman"/>
          <w:color w:val="000000" w:themeColor="text1"/>
          <w:kern w:val="0"/>
          <w:sz w:val="32"/>
          <w:szCs w:val="32"/>
          <w14:textFill>
            <w14:solidFill>
              <w14:schemeClr w14:val="tx1"/>
            </w14:solidFill>
          </w14:textFill>
        </w:rPr>
        <w:t>公共</w:t>
      </w:r>
      <w:r>
        <w:rPr>
          <w:rFonts w:hint="eastAsia" w:eastAsia="黑体" w:cs="Times New Roman"/>
          <w:color w:val="000000" w:themeColor="text1"/>
          <w:kern w:val="0"/>
          <w:sz w:val="32"/>
          <w:szCs w:val="32"/>
          <w14:textFill>
            <w14:solidFill>
              <w14:schemeClr w14:val="tx1"/>
            </w14:solidFill>
          </w14:textFill>
        </w:rPr>
        <w:t>汽电车交通</w:t>
      </w:r>
      <w:r>
        <w:rPr>
          <w:rFonts w:eastAsia="黑体" w:cs="Times New Roman"/>
          <w:sz w:val="32"/>
          <w:szCs w:val="32"/>
        </w:rPr>
        <w:t xml:space="preserve"> </w:t>
      </w:r>
      <w:r>
        <w:rPr>
          <w:rFonts w:hint="eastAsia" w:eastAsia="黑体" w:cs="Times New Roman"/>
          <w:sz w:val="32"/>
          <w:szCs w:val="32"/>
        </w:rPr>
        <w:t>bus and trolleybus transit</w:t>
      </w:r>
    </w:p>
    <w:p>
      <w:pPr>
        <w:ind w:firstLine="420"/>
        <w:rPr>
          <w:rFonts w:cs="Times New Roman"/>
          <w:sz w:val="32"/>
          <w:szCs w:val="32"/>
        </w:rPr>
      </w:pPr>
      <w:r>
        <w:rPr>
          <w:rFonts w:hint="eastAsia" w:cs="Times New Roman"/>
          <w:sz w:val="32"/>
          <w:szCs w:val="32"/>
        </w:rPr>
        <w:t>以国家标准GB/T 32852.1-2016《城市客运术语 第1部分：通用术语》中第4.1款（公共汽车）和第4.2款（无轨电车）为运载工具的公共交通方式。</w:t>
      </w:r>
    </w:p>
    <w:p>
      <w:pPr>
        <w:ind w:firstLine="420"/>
        <w:rPr>
          <w:rFonts w:cs="Times New Roman"/>
          <w:sz w:val="32"/>
          <w:szCs w:val="32"/>
        </w:rPr>
      </w:pPr>
      <w:r>
        <w:rPr>
          <w:rFonts w:cs="Times New Roman"/>
          <w:sz w:val="32"/>
          <w:szCs w:val="32"/>
        </w:rPr>
        <w:t>[来源：</w:t>
      </w:r>
      <w:r>
        <w:rPr>
          <w:rFonts w:hint="eastAsia" w:cs="Times New Roman"/>
          <w:sz w:val="32"/>
          <w:szCs w:val="32"/>
        </w:rPr>
        <w:t>GB/T 32852.1-2016</w:t>
      </w:r>
      <w:r>
        <w:rPr>
          <w:rFonts w:cs="Times New Roman"/>
          <w:sz w:val="32"/>
          <w:szCs w:val="32"/>
        </w:rPr>
        <w:t>，</w:t>
      </w:r>
      <w:r>
        <w:rPr>
          <w:rFonts w:hint="eastAsia" w:cs="Times New Roman"/>
          <w:sz w:val="32"/>
          <w:szCs w:val="32"/>
        </w:rPr>
        <w:t>2.2.1.1</w:t>
      </w:r>
      <w:r>
        <w:rPr>
          <w:rFonts w:cs="Times New Roman"/>
          <w:sz w:val="32"/>
          <w:szCs w:val="32"/>
        </w:rPr>
        <w:t>]</w:t>
      </w:r>
    </w:p>
    <w:p>
      <w:pPr>
        <w:pStyle w:val="3"/>
        <w:numPr>
          <w:ilvl w:val="1"/>
          <w:numId w:val="8"/>
        </w:numPr>
        <w:tabs>
          <w:tab w:val="left" w:pos="0"/>
        </w:tabs>
        <w:spacing w:before="156" w:beforeLines="50" w:after="156" w:afterLines="50" w:line="240" w:lineRule="auto"/>
        <w:rPr>
          <w:sz w:val="32"/>
          <w:szCs w:val="32"/>
        </w:rPr>
      </w:pPr>
      <w:bookmarkStart w:id="40" w:name="_Toc213947363"/>
      <w:bookmarkEnd w:id="40"/>
    </w:p>
    <w:p>
      <w:pPr>
        <w:ind w:firstLine="420"/>
        <w:rPr>
          <w:rFonts w:eastAsia="黑体" w:cs="Times New Roman"/>
          <w:sz w:val="32"/>
          <w:szCs w:val="32"/>
        </w:rPr>
      </w:pPr>
      <w:r>
        <w:rPr>
          <w:rFonts w:hint="eastAsia" w:eastAsia="黑体" w:cs="Times New Roman"/>
          <w:sz w:val="32"/>
          <w:szCs w:val="32"/>
        </w:rPr>
        <w:t>客运量</w:t>
      </w:r>
      <w:r>
        <w:rPr>
          <w:rFonts w:eastAsia="黑体" w:cs="Times New Roman"/>
          <w:sz w:val="32"/>
          <w:szCs w:val="32"/>
        </w:rPr>
        <w:t xml:space="preserve"> passenger </w:t>
      </w:r>
      <w:r>
        <w:rPr>
          <w:rFonts w:hint="eastAsia" w:eastAsia="黑体" w:cs="Times New Roman"/>
          <w:sz w:val="32"/>
          <w:szCs w:val="32"/>
        </w:rPr>
        <w:t>volume</w:t>
      </w:r>
    </w:p>
    <w:p>
      <w:pPr>
        <w:pStyle w:val="24"/>
        <w:ind w:firstLine="420"/>
        <w:rPr>
          <w:rFonts w:ascii="Times New Roman" w:cstheme="minorBidi"/>
          <w:kern w:val="2"/>
          <w:sz w:val="32"/>
          <w:szCs w:val="32"/>
        </w:rPr>
      </w:pPr>
      <w:r>
        <w:rPr>
          <w:rFonts w:hint="eastAsia"/>
          <w:sz w:val="32"/>
          <w:szCs w:val="32"/>
          <w:lang w:bidi="ar"/>
        </w:rPr>
        <w:t>运送乘客的人次数</w:t>
      </w:r>
      <w:r>
        <w:rPr>
          <w:rFonts w:hint="eastAsia" w:ascii="Times New Roman" w:cstheme="minorBidi"/>
          <w:kern w:val="2"/>
          <w:sz w:val="32"/>
          <w:szCs w:val="32"/>
        </w:rPr>
        <w:t>。计量单位：人次。</w:t>
      </w:r>
    </w:p>
    <w:p>
      <w:pPr>
        <w:ind w:firstLine="420"/>
        <w:rPr>
          <w:rFonts w:cs="Times New Roman"/>
          <w:sz w:val="32"/>
          <w:szCs w:val="32"/>
        </w:rPr>
      </w:pPr>
      <w:r>
        <w:rPr>
          <w:rFonts w:cs="Times New Roman"/>
          <w:sz w:val="32"/>
          <w:szCs w:val="32"/>
        </w:rPr>
        <w:t>[来源：</w:t>
      </w:r>
      <w:r>
        <w:rPr>
          <w:rFonts w:hint="eastAsia" w:cs="Times New Roman"/>
          <w:sz w:val="32"/>
          <w:szCs w:val="32"/>
        </w:rPr>
        <w:t>GB/T 32852.1-2016</w:t>
      </w:r>
      <w:r>
        <w:rPr>
          <w:rFonts w:cs="Times New Roman"/>
          <w:sz w:val="32"/>
          <w:szCs w:val="32"/>
        </w:rPr>
        <w:t>，</w:t>
      </w:r>
      <w:r>
        <w:rPr>
          <w:rFonts w:hint="eastAsia" w:cs="Times New Roman"/>
          <w:sz w:val="32"/>
          <w:szCs w:val="32"/>
        </w:rPr>
        <w:t>8.1</w:t>
      </w:r>
      <w:r>
        <w:rPr>
          <w:rFonts w:cs="Times New Roman"/>
          <w:sz w:val="32"/>
          <w:szCs w:val="32"/>
        </w:rPr>
        <w:t>]</w:t>
      </w:r>
    </w:p>
    <w:p>
      <w:pPr>
        <w:pStyle w:val="3"/>
        <w:numPr>
          <w:ilvl w:val="1"/>
          <w:numId w:val="8"/>
        </w:numPr>
        <w:tabs>
          <w:tab w:val="left" w:pos="0"/>
        </w:tabs>
        <w:spacing w:before="156" w:beforeLines="50" w:after="156" w:afterLines="50" w:line="240" w:lineRule="auto"/>
        <w:rPr>
          <w:sz w:val="32"/>
          <w:szCs w:val="32"/>
        </w:rPr>
      </w:pPr>
      <w:bookmarkStart w:id="41" w:name="_Toc213947364"/>
      <w:bookmarkEnd w:id="41"/>
    </w:p>
    <w:p>
      <w:pPr>
        <w:ind w:firstLine="420"/>
        <w:rPr>
          <w:rFonts w:eastAsia="黑体" w:cs="Times New Roman"/>
          <w:sz w:val="32"/>
          <w:szCs w:val="32"/>
        </w:rPr>
      </w:pPr>
      <w:r>
        <w:rPr>
          <w:rFonts w:hint="eastAsia" w:eastAsia="黑体" w:cs="Times New Roman"/>
          <w:sz w:val="32"/>
          <w:szCs w:val="32"/>
        </w:rPr>
        <w:t>乘距</w:t>
      </w:r>
      <w:r>
        <w:rPr>
          <w:rFonts w:eastAsia="黑体" w:cs="Times New Roman"/>
          <w:sz w:val="32"/>
          <w:szCs w:val="32"/>
        </w:rPr>
        <w:t xml:space="preserve"> </w:t>
      </w:r>
      <w:r>
        <w:rPr>
          <w:rFonts w:hint="eastAsia" w:eastAsia="黑体" w:cs="Times New Roman"/>
          <w:sz w:val="32"/>
          <w:szCs w:val="32"/>
        </w:rPr>
        <w:t>ride distance</w:t>
      </w:r>
    </w:p>
    <w:p>
      <w:pPr>
        <w:pStyle w:val="24"/>
        <w:ind w:firstLine="420"/>
        <w:rPr>
          <w:rFonts w:ascii="Times New Roman" w:cstheme="minorBidi"/>
          <w:kern w:val="2"/>
          <w:sz w:val="32"/>
          <w:szCs w:val="32"/>
        </w:rPr>
      </w:pPr>
      <w:r>
        <w:rPr>
          <w:rFonts w:hint="eastAsia" w:ascii="Times New Roman" w:cstheme="minorBidi"/>
          <w:kern w:val="2"/>
          <w:sz w:val="32"/>
          <w:szCs w:val="32"/>
        </w:rPr>
        <w:t>在一次乘行中，乘客从上车站地点到下车地点的距离。计量单位：公里/人次。</w:t>
      </w:r>
    </w:p>
    <w:p>
      <w:pPr>
        <w:pStyle w:val="24"/>
        <w:ind w:firstLine="420"/>
        <w:rPr>
          <w:rFonts w:ascii="Times New Roman" w:cstheme="minorBidi"/>
          <w:kern w:val="2"/>
          <w:sz w:val="32"/>
          <w:szCs w:val="32"/>
        </w:rPr>
      </w:pPr>
      <w:r>
        <w:rPr>
          <w:rFonts w:hint="eastAsia" w:ascii="Times New Roman" w:cstheme="minorBidi"/>
          <w:kern w:val="2"/>
          <w:sz w:val="32"/>
          <w:szCs w:val="32"/>
        </w:rPr>
        <w:t>[来源：GB/T 32852.1-2016，5.3.8]</w:t>
      </w:r>
    </w:p>
    <w:p>
      <w:pPr>
        <w:pStyle w:val="3"/>
        <w:numPr>
          <w:ilvl w:val="1"/>
          <w:numId w:val="8"/>
        </w:numPr>
        <w:tabs>
          <w:tab w:val="left" w:pos="0"/>
        </w:tabs>
        <w:spacing w:before="156" w:beforeLines="50" w:after="156" w:afterLines="50" w:line="240" w:lineRule="auto"/>
        <w:rPr>
          <w:sz w:val="32"/>
          <w:szCs w:val="32"/>
        </w:rPr>
      </w:pPr>
      <w:bookmarkStart w:id="42" w:name="_Toc213947365"/>
      <w:bookmarkEnd w:id="42"/>
    </w:p>
    <w:p>
      <w:pPr>
        <w:ind w:firstLine="420"/>
        <w:rPr>
          <w:rFonts w:eastAsia="黑体" w:cs="Times New Roman"/>
          <w:sz w:val="32"/>
          <w:szCs w:val="32"/>
        </w:rPr>
      </w:pPr>
      <w:r>
        <w:rPr>
          <w:rFonts w:hint="eastAsia" w:eastAsia="黑体" w:cs="Times New Roman"/>
          <w:sz w:val="32"/>
          <w:szCs w:val="32"/>
        </w:rPr>
        <w:t>客运周转量</w:t>
      </w:r>
      <w:r>
        <w:rPr>
          <w:rFonts w:eastAsia="黑体" w:cs="Times New Roman"/>
          <w:sz w:val="32"/>
          <w:szCs w:val="32"/>
        </w:rPr>
        <w:t xml:space="preserve"> </w:t>
      </w:r>
      <w:r>
        <w:rPr>
          <w:sz w:val="32"/>
          <w:szCs w:val="32"/>
        </w:rPr>
        <w:t>passenger</w:t>
      </w:r>
      <w:r>
        <w:rPr>
          <w:rFonts w:hint="eastAsia"/>
          <w:sz w:val="32"/>
          <w:szCs w:val="32"/>
        </w:rPr>
        <w:t xml:space="preserve"> </w:t>
      </w:r>
      <w:r>
        <w:rPr>
          <w:sz w:val="32"/>
          <w:szCs w:val="32"/>
        </w:rPr>
        <w:t>person-kilometre</w:t>
      </w:r>
    </w:p>
    <w:p>
      <w:pPr>
        <w:pStyle w:val="24"/>
        <w:ind w:firstLine="420"/>
        <w:rPr>
          <w:rFonts w:ascii="Times New Roman" w:cstheme="minorBidi"/>
          <w:kern w:val="2"/>
          <w:sz w:val="32"/>
          <w:szCs w:val="32"/>
        </w:rPr>
      </w:pPr>
      <w:r>
        <w:rPr>
          <w:rFonts w:hint="eastAsia" w:ascii="Times New Roman" w:cstheme="minorBidi"/>
          <w:kern w:val="2"/>
          <w:sz w:val="32"/>
          <w:szCs w:val="32"/>
        </w:rPr>
        <w:t>客运量与平均乘距的乘积。计量单位：人公里PKM。</w:t>
      </w:r>
    </w:p>
    <w:p>
      <w:pPr>
        <w:pStyle w:val="24"/>
        <w:ind w:firstLine="420"/>
        <w:rPr>
          <w:rFonts w:ascii="Times New Roman" w:cstheme="minorBidi"/>
          <w:kern w:val="2"/>
          <w:sz w:val="32"/>
          <w:szCs w:val="32"/>
        </w:rPr>
      </w:pPr>
      <w:r>
        <w:rPr>
          <w:rFonts w:hint="eastAsia" w:ascii="Times New Roman" w:cstheme="minorBidi"/>
          <w:kern w:val="2"/>
          <w:sz w:val="32"/>
          <w:szCs w:val="32"/>
        </w:rPr>
        <w:t>[来源：GB/T 32852.1-2016，8.5]</w:t>
      </w:r>
    </w:p>
    <w:p>
      <w:pPr>
        <w:pStyle w:val="3"/>
        <w:numPr>
          <w:ilvl w:val="1"/>
          <w:numId w:val="8"/>
        </w:numPr>
        <w:tabs>
          <w:tab w:val="left" w:pos="0"/>
        </w:tabs>
        <w:spacing w:before="156" w:beforeLines="50" w:after="156" w:afterLines="50" w:line="240" w:lineRule="auto"/>
        <w:rPr>
          <w:sz w:val="32"/>
          <w:szCs w:val="32"/>
        </w:rPr>
      </w:pPr>
      <w:bookmarkStart w:id="43" w:name="_Toc213947366"/>
      <w:bookmarkEnd w:id="43"/>
    </w:p>
    <w:p>
      <w:pPr>
        <w:ind w:firstLine="420"/>
        <w:rPr>
          <w:rFonts w:eastAsia="黑体" w:cs="Times New Roman"/>
          <w:sz w:val="32"/>
          <w:szCs w:val="32"/>
        </w:rPr>
      </w:pPr>
      <w:r>
        <w:rPr>
          <w:rFonts w:eastAsia="黑体" w:cs="Times New Roman"/>
          <w:sz w:val="32"/>
          <w:szCs w:val="32"/>
        </w:rPr>
        <w:t>起讫点 point of origin and destination</w:t>
      </w:r>
    </w:p>
    <w:p>
      <w:pPr>
        <w:ind w:firstLine="420" w:firstLineChars="0"/>
        <w:rPr>
          <w:sz w:val="32"/>
          <w:szCs w:val="32"/>
        </w:rPr>
      </w:pPr>
      <w:r>
        <w:rPr>
          <w:rFonts w:cs="Times New Roman"/>
          <w:sz w:val="32"/>
          <w:szCs w:val="32"/>
        </w:rPr>
        <w:t>指一次运输或出行活动的起始地点与终止地点的统称。</w:t>
      </w:r>
    </w:p>
    <w:p>
      <w:pPr>
        <w:pStyle w:val="3"/>
        <w:numPr>
          <w:ilvl w:val="1"/>
          <w:numId w:val="8"/>
        </w:numPr>
        <w:tabs>
          <w:tab w:val="left" w:pos="0"/>
        </w:tabs>
        <w:spacing w:before="156" w:beforeLines="50" w:after="156" w:afterLines="50" w:line="240" w:lineRule="auto"/>
        <w:rPr>
          <w:sz w:val="32"/>
          <w:szCs w:val="32"/>
        </w:rPr>
      </w:pPr>
      <w:bookmarkStart w:id="44" w:name="_Toc213947367"/>
      <w:bookmarkEnd w:id="44"/>
    </w:p>
    <w:p>
      <w:pPr>
        <w:ind w:firstLine="420"/>
        <w:rPr>
          <w:rFonts w:eastAsia="黑体" w:cs="Times New Roman"/>
          <w:sz w:val="32"/>
          <w:szCs w:val="32"/>
        </w:rPr>
      </w:pPr>
      <w:r>
        <w:rPr>
          <w:rFonts w:eastAsia="黑体" w:cs="Times New Roman"/>
          <w:sz w:val="32"/>
          <w:szCs w:val="32"/>
        </w:rPr>
        <w:t xml:space="preserve">平台归集 </w:t>
      </w:r>
      <w:r>
        <w:rPr>
          <w:rFonts w:hint="eastAsia" w:eastAsia="黑体" w:cs="Times New Roman"/>
          <w:sz w:val="32"/>
          <w:szCs w:val="32"/>
        </w:rPr>
        <w:t>aggregated</w:t>
      </w:r>
      <w:r>
        <w:rPr>
          <w:rFonts w:eastAsia="黑体" w:cs="Times New Roman"/>
          <w:sz w:val="32"/>
          <w:szCs w:val="32"/>
        </w:rPr>
        <w:t xml:space="preserve"> by the platform</w:t>
      </w:r>
    </w:p>
    <w:p>
      <w:pPr>
        <w:ind w:firstLine="420"/>
        <w:rPr>
          <w:rFonts w:cs="Times New Roman"/>
          <w:sz w:val="32"/>
          <w:szCs w:val="32"/>
          <w:shd w:val="clear" w:color="auto" w:fill="FFFFFF"/>
        </w:rPr>
      </w:pPr>
      <w:bookmarkStart w:id="45" w:name="_Toc175935707"/>
      <w:r>
        <w:rPr>
          <w:rFonts w:cs="Times New Roman"/>
          <w:sz w:val="32"/>
          <w:szCs w:val="32"/>
        </w:rPr>
        <w:t>个人用户实行</w:t>
      </w:r>
      <w:r>
        <w:rPr>
          <w:rFonts w:cs="Times New Roman"/>
          <w:sz w:val="32"/>
          <w:szCs w:val="32"/>
          <w:lang w:eastAsia="zh"/>
        </w:rPr>
        <w:t>碳普惠行为</w:t>
      </w:r>
      <w:r>
        <w:rPr>
          <w:rFonts w:cs="Times New Roman"/>
          <w:sz w:val="32"/>
          <w:szCs w:val="32"/>
        </w:rPr>
        <w:t>对应的碳普惠减排量，应由个人用户本身取得。考虑到增加用户收益转化的及时性和多样性，碳普惠行为基础数据来源平台可在更新用户协议并征得用户同意后，将用户实行</w:t>
      </w:r>
      <w:r>
        <w:rPr>
          <w:rFonts w:cs="Times New Roman"/>
          <w:sz w:val="32"/>
          <w:szCs w:val="32"/>
          <w:lang w:eastAsia="zh"/>
        </w:rPr>
        <w:t>碳普惠行为</w:t>
      </w:r>
      <w:r>
        <w:rPr>
          <w:rFonts w:cs="Times New Roman"/>
          <w:sz w:val="32"/>
          <w:szCs w:val="32"/>
        </w:rPr>
        <w:t>对应的碳普惠减排量，归集至企业碳账户中，同时向用户返还与企业碳普惠减排量交易收益相对应的其他权益</w:t>
      </w:r>
      <w:r>
        <w:rPr>
          <w:rFonts w:cs="Times New Roman"/>
          <w:sz w:val="32"/>
          <w:szCs w:val="32"/>
          <w:shd w:val="clear" w:color="auto" w:fill="FFFFFF"/>
        </w:rPr>
        <w:t>。</w:t>
      </w:r>
    </w:p>
    <w:p>
      <w:pPr>
        <w:pStyle w:val="3"/>
        <w:numPr>
          <w:ilvl w:val="1"/>
          <w:numId w:val="8"/>
        </w:numPr>
        <w:tabs>
          <w:tab w:val="left" w:pos="0"/>
        </w:tabs>
        <w:spacing w:before="156" w:beforeLines="50" w:after="156" w:afterLines="50" w:line="240" w:lineRule="auto"/>
        <w:rPr>
          <w:sz w:val="32"/>
          <w:szCs w:val="32"/>
        </w:rPr>
      </w:pPr>
      <w:bookmarkStart w:id="46" w:name="_Toc213947368"/>
      <w:bookmarkEnd w:id="46"/>
      <w:bookmarkStart w:id="47" w:name="_Toc728442273"/>
      <w:bookmarkStart w:id="48" w:name="_Toc326739903"/>
      <w:bookmarkStart w:id="49" w:name="_Toc1793234876"/>
    </w:p>
    <w:p>
      <w:pPr>
        <w:ind w:firstLine="420"/>
        <w:rPr>
          <w:rFonts w:eastAsia="黑体" w:cs="Times New Roman"/>
          <w:sz w:val="32"/>
          <w:szCs w:val="32"/>
        </w:rPr>
      </w:pPr>
      <w:r>
        <w:rPr>
          <w:rFonts w:eastAsia="黑体" w:cs="Times New Roman"/>
          <w:sz w:val="32"/>
          <w:szCs w:val="32"/>
        </w:rPr>
        <w:t>碳普惠平台 carbon inclusion platform</w:t>
      </w:r>
    </w:p>
    <w:p>
      <w:pPr>
        <w:ind w:firstLine="420"/>
        <w:rPr>
          <w:rFonts w:cs="Times New Roman"/>
          <w:sz w:val="32"/>
          <w:szCs w:val="32"/>
          <w:lang w:eastAsia="zh-Hans"/>
        </w:rPr>
      </w:pPr>
      <w:r>
        <w:rPr>
          <w:rFonts w:cs="Times New Roman"/>
          <w:sz w:val="32"/>
          <w:szCs w:val="32"/>
          <w:lang w:eastAsia="zh-Hans"/>
        </w:rPr>
        <w:t>由</w:t>
      </w:r>
      <w:r>
        <w:rPr>
          <w:rFonts w:cs="Times New Roman"/>
          <w:sz w:val="32"/>
          <w:szCs w:val="32"/>
        </w:rPr>
        <w:t>省</w:t>
      </w:r>
      <w:r>
        <w:rPr>
          <w:rFonts w:cs="Times New Roman"/>
          <w:sz w:val="32"/>
          <w:szCs w:val="32"/>
          <w:lang w:eastAsia="zh-Hans"/>
        </w:rPr>
        <w:t>级主管部门指导建设的具备碳账户开立服务、碳普惠减排量登记管理、个人减排行为激励等功能的</w:t>
      </w:r>
      <w:r>
        <w:rPr>
          <w:rFonts w:hint="eastAsia" w:cs="Times New Roman"/>
          <w:sz w:val="32"/>
          <w:szCs w:val="32"/>
          <w:lang w:eastAsia="zh-Hans"/>
        </w:rPr>
        <w:t>市场</w:t>
      </w:r>
      <w:r>
        <w:rPr>
          <w:rFonts w:cs="Times New Roman"/>
          <w:sz w:val="32"/>
          <w:szCs w:val="32"/>
          <w:lang w:eastAsia="zh-Hans"/>
        </w:rPr>
        <w:t>运营平台。</w:t>
      </w:r>
    </w:p>
    <w:bookmarkEnd w:id="45"/>
    <w:bookmarkEnd w:id="47"/>
    <w:bookmarkEnd w:id="48"/>
    <w:bookmarkEnd w:id="49"/>
    <w:p>
      <w:pPr>
        <w:pStyle w:val="2"/>
        <w:numPr>
          <w:ilvl w:val="0"/>
          <w:numId w:val="8"/>
        </w:numPr>
        <w:spacing w:before="312" w:after="312"/>
        <w:rPr>
          <w:sz w:val="32"/>
          <w:szCs w:val="32"/>
        </w:rPr>
      </w:pPr>
      <w:bookmarkStart w:id="50" w:name="_Toc13479"/>
      <w:bookmarkStart w:id="51" w:name="_Toc15530"/>
      <w:bookmarkStart w:id="52" w:name="_Toc16416"/>
      <w:bookmarkStart w:id="53" w:name="_Toc12050"/>
      <w:bookmarkStart w:id="54" w:name="_Toc19861"/>
      <w:bookmarkStart w:id="55" w:name="_Toc172908900"/>
      <w:bookmarkStart w:id="56" w:name="_Toc10797"/>
      <w:bookmarkStart w:id="57" w:name="_Toc213947369"/>
      <w:bookmarkStart w:id="58" w:name="_Toc4751"/>
      <w:r>
        <w:rPr>
          <w:rFonts w:hint="eastAsia"/>
          <w:sz w:val="32"/>
          <w:szCs w:val="32"/>
        </w:rPr>
        <w:t>核算边界、计入期和</w:t>
      </w:r>
      <w:bookmarkEnd w:id="50"/>
      <w:bookmarkEnd w:id="51"/>
      <w:bookmarkEnd w:id="52"/>
      <w:bookmarkEnd w:id="53"/>
      <w:r>
        <w:rPr>
          <w:sz w:val="32"/>
          <w:szCs w:val="32"/>
        </w:rPr>
        <w:t>排放源</w:t>
      </w:r>
      <w:bookmarkEnd w:id="54"/>
      <w:bookmarkEnd w:id="55"/>
      <w:bookmarkEnd w:id="56"/>
      <w:bookmarkEnd w:id="57"/>
      <w:bookmarkEnd w:id="58"/>
    </w:p>
    <w:p>
      <w:pPr>
        <w:pStyle w:val="3"/>
        <w:spacing w:before="156" w:beforeLines="50" w:after="156" w:afterLines="50" w:line="240" w:lineRule="auto"/>
        <w:rPr>
          <w:sz w:val="32"/>
          <w:szCs w:val="32"/>
        </w:rPr>
      </w:pPr>
      <w:bookmarkStart w:id="59" w:name="_Toc172908901"/>
      <w:bookmarkStart w:id="60" w:name="_Toc213947370"/>
      <w:bookmarkStart w:id="61" w:name="_Toc16422"/>
      <w:bookmarkStart w:id="62" w:name="_Toc6212"/>
      <w:bookmarkStart w:id="63" w:name="_Toc6477"/>
      <w:bookmarkStart w:id="64" w:name="_Toc5419"/>
      <w:bookmarkStart w:id="65" w:name="_Toc28341"/>
      <w:bookmarkStart w:id="66" w:name="_Toc6061"/>
      <w:bookmarkStart w:id="67" w:name="_Toc16564"/>
      <w:bookmarkStart w:id="68" w:name="_Toc175934771"/>
      <w:bookmarkStart w:id="69" w:name="_Toc164769541"/>
      <w:bookmarkStart w:id="70" w:name="_Toc17113"/>
      <w:bookmarkStart w:id="71" w:name="_Toc23782"/>
      <w:r>
        <w:rPr>
          <w:sz w:val="32"/>
          <w:szCs w:val="32"/>
        </w:rPr>
        <w:t>5.1</w:t>
      </w:r>
      <w:r>
        <w:rPr>
          <w:rFonts w:hint="eastAsia"/>
          <w:sz w:val="32"/>
          <w:szCs w:val="32"/>
        </w:rPr>
        <w:t>核算</w:t>
      </w:r>
      <w:r>
        <w:rPr>
          <w:sz w:val="32"/>
          <w:szCs w:val="32"/>
        </w:rPr>
        <w:t>边界</w:t>
      </w:r>
      <w:bookmarkEnd w:id="59"/>
      <w:bookmarkEnd w:id="60"/>
      <w:bookmarkEnd w:id="61"/>
      <w:bookmarkEnd w:id="62"/>
      <w:bookmarkEnd w:id="63"/>
      <w:bookmarkEnd w:id="64"/>
      <w:bookmarkEnd w:id="65"/>
      <w:bookmarkEnd w:id="66"/>
      <w:bookmarkEnd w:id="67"/>
      <w:bookmarkEnd w:id="68"/>
      <w:bookmarkEnd w:id="69"/>
      <w:bookmarkEnd w:id="70"/>
      <w:bookmarkEnd w:id="71"/>
    </w:p>
    <w:p>
      <w:pPr>
        <w:pStyle w:val="7"/>
        <w:spacing w:before="0" w:beforeLines="0" w:after="0" w:afterLines="0" w:line="240" w:lineRule="auto"/>
        <w:rPr>
          <w:rFonts w:ascii="Times New Roman" w:hAnsi="Times New Roman" w:cs="Times New Roman"/>
          <w:sz w:val="32"/>
          <w:szCs w:val="32"/>
        </w:rPr>
      </w:pPr>
      <w:bookmarkStart w:id="72" w:name="_Hlk175758949"/>
      <w:r>
        <w:rPr>
          <w:rFonts w:ascii="Times New Roman" w:hAnsi="Times New Roman" w:cs="Times New Roman"/>
          <w:sz w:val="32"/>
          <w:szCs w:val="32"/>
        </w:rPr>
        <w:t>本方法学的核算</w:t>
      </w:r>
      <w:r>
        <w:rPr>
          <w:rFonts w:ascii="Times New Roman" w:hAnsi="Times New Roman" w:cs="Times New Roman"/>
          <w:sz w:val="32"/>
          <w:szCs w:val="32"/>
          <w:lang w:eastAsia="zh-Hans"/>
        </w:rPr>
        <w:t>边界</w:t>
      </w:r>
      <w:r>
        <w:rPr>
          <w:rFonts w:ascii="Times New Roman" w:hAnsi="Times New Roman" w:cs="Times New Roman"/>
          <w:sz w:val="32"/>
          <w:szCs w:val="32"/>
        </w:rPr>
        <w:t>为个人用户</w:t>
      </w:r>
      <w:r>
        <w:rPr>
          <w:rFonts w:hint="eastAsia" w:ascii="Times New Roman" w:hAnsi="Times New Roman" w:cs="Times New Roman"/>
          <w:sz w:val="32"/>
          <w:szCs w:val="32"/>
        </w:rPr>
        <w:t>乘坐公共汽电车出行涉及的公共汽电车和出行轨迹。</w:t>
      </w:r>
      <w:r>
        <w:rPr>
          <w:rFonts w:ascii="Times New Roman" w:hAnsi="Times New Roman" w:cs="Times New Roman"/>
          <w:color w:val="000000" w:themeColor="text1"/>
          <w:sz w:val="32"/>
          <w:szCs w:val="32"/>
          <w14:textFill>
            <w14:solidFill>
              <w14:schemeClr w14:val="tx1"/>
            </w14:solidFill>
          </w14:textFill>
        </w:rPr>
        <w:t>单次</w:t>
      </w:r>
      <w:r>
        <w:rPr>
          <w:rFonts w:hint="eastAsia" w:ascii="Times New Roman" w:hAnsi="Times New Roman" w:cs="Times New Roman"/>
          <w:color w:val="000000" w:themeColor="text1"/>
          <w:sz w:val="32"/>
          <w:szCs w:val="32"/>
          <w14:textFill>
            <w14:solidFill>
              <w14:schemeClr w14:val="tx1"/>
            </w14:solidFill>
          </w14:textFill>
        </w:rPr>
        <w:t>乘车</w:t>
      </w:r>
      <w:r>
        <w:rPr>
          <w:rFonts w:ascii="Times New Roman" w:hAnsi="Times New Roman" w:cs="Times New Roman"/>
          <w:color w:val="000000" w:themeColor="text1"/>
          <w:sz w:val="32"/>
          <w:szCs w:val="32"/>
          <w14:textFill>
            <w14:solidFill>
              <w14:schemeClr w14:val="tx1"/>
            </w14:solidFill>
          </w14:textFill>
        </w:rPr>
        <w:t>的</w:t>
      </w:r>
      <w:r>
        <w:rPr>
          <w:rFonts w:hint="eastAsia" w:ascii="Times New Roman" w:cstheme="minorBidi"/>
          <w:sz w:val="32"/>
          <w:szCs w:val="32"/>
        </w:rPr>
        <w:t>起讫点和</w:t>
      </w:r>
      <w:r>
        <w:rPr>
          <w:rFonts w:ascii="Times New Roman" w:hAnsi="Times New Roman" w:cs="Times New Roman"/>
          <w:sz w:val="32"/>
          <w:szCs w:val="32"/>
        </w:rPr>
        <w:t>出行轨迹</w:t>
      </w:r>
      <w:r>
        <w:rPr>
          <w:rFonts w:hint="eastAsia" w:ascii="Times New Roman" w:cstheme="minorBidi"/>
          <w:sz w:val="32"/>
          <w:szCs w:val="32"/>
        </w:rPr>
        <w:t>均</w:t>
      </w:r>
      <w:r>
        <w:rPr>
          <w:rFonts w:ascii="Times New Roman" w:hAnsi="Times New Roman" w:cs="Times New Roman"/>
          <w:sz w:val="32"/>
          <w:szCs w:val="32"/>
        </w:rPr>
        <w:t>须位于</w:t>
      </w:r>
      <w:r>
        <w:rPr>
          <w:rFonts w:hint="eastAsia" w:ascii="Times New Roman" w:hAnsi="Times New Roman" w:cs="Times New Roman"/>
          <w:sz w:val="32"/>
          <w:szCs w:val="32"/>
        </w:rPr>
        <w:t>宜昌市</w:t>
      </w:r>
      <w:r>
        <w:rPr>
          <w:rFonts w:ascii="Times New Roman" w:hAnsi="Times New Roman" w:cs="Times New Roman"/>
          <w:sz w:val="32"/>
          <w:szCs w:val="32"/>
        </w:rPr>
        <w:t>行政区域界线内</w:t>
      </w:r>
      <w:r>
        <w:rPr>
          <w:rStyle w:val="39"/>
          <w:rFonts w:ascii="Times New Roman" w:hAnsi="Times New Roman" w:cs="Times New Roman"/>
          <w:sz w:val="32"/>
          <w:szCs w:val="32"/>
        </w:rPr>
        <w:t>（含</w:t>
      </w:r>
      <w:r>
        <w:rPr>
          <w:rFonts w:ascii="Times New Roman" w:hAnsi="Times New Roman" w:cs="Times New Roman"/>
          <w:sz w:val="32"/>
          <w:szCs w:val="32"/>
        </w:rPr>
        <w:t>界线</w:t>
      </w:r>
      <w:r>
        <w:rPr>
          <w:rStyle w:val="39"/>
          <w:rFonts w:ascii="Times New Roman" w:hAnsi="Times New Roman" w:cs="Times New Roman"/>
          <w:sz w:val="32"/>
          <w:szCs w:val="32"/>
        </w:rPr>
        <w:t>）</w:t>
      </w:r>
      <w:r>
        <w:rPr>
          <w:rStyle w:val="39"/>
          <w:rFonts w:hint="eastAsia" w:ascii="Times New Roman" w:hAnsi="Times New Roman" w:cs="Times New Roman"/>
          <w:sz w:val="32"/>
          <w:szCs w:val="32"/>
        </w:rPr>
        <w:t>和</w:t>
      </w:r>
      <w:r>
        <w:rPr>
          <w:rFonts w:hint="eastAsia"/>
          <w:sz w:val="32"/>
          <w:szCs w:val="32"/>
        </w:rPr>
        <w:t>公共汽电车运营范围内</w:t>
      </w:r>
      <w:r>
        <w:rPr>
          <w:rFonts w:ascii="Times New Roman" w:hAnsi="Times New Roman" w:cs="Times New Roman"/>
          <w:sz w:val="32"/>
          <w:szCs w:val="32"/>
        </w:rPr>
        <w:t>。</w:t>
      </w:r>
      <w:bookmarkEnd w:id="72"/>
    </w:p>
    <w:p>
      <w:pPr>
        <w:pStyle w:val="3"/>
        <w:spacing w:before="156" w:beforeLines="50" w:after="156" w:afterLines="50" w:line="240" w:lineRule="auto"/>
        <w:rPr>
          <w:sz w:val="32"/>
          <w:szCs w:val="32"/>
        </w:rPr>
      </w:pPr>
      <w:bookmarkStart w:id="73" w:name="_Toc213947371"/>
      <w:bookmarkStart w:id="74" w:name="_Toc16474"/>
      <w:bookmarkStart w:id="75" w:name="_Toc164769542"/>
      <w:bookmarkStart w:id="76" w:name="_Toc172908902"/>
      <w:bookmarkStart w:id="77" w:name="_Toc1176"/>
      <w:bookmarkStart w:id="78" w:name="_Toc175934772"/>
      <w:bookmarkStart w:id="79" w:name="_Toc21555"/>
      <w:r>
        <w:rPr>
          <w:rFonts w:hint="eastAsia"/>
          <w:sz w:val="32"/>
          <w:szCs w:val="32"/>
        </w:rPr>
        <w:t>5.2计入期</w:t>
      </w:r>
      <w:bookmarkEnd w:id="73"/>
      <w:bookmarkEnd w:id="74"/>
      <w:bookmarkEnd w:id="75"/>
      <w:bookmarkEnd w:id="76"/>
      <w:bookmarkEnd w:id="77"/>
      <w:bookmarkEnd w:id="78"/>
      <w:bookmarkEnd w:id="79"/>
    </w:p>
    <w:p>
      <w:pPr>
        <w:pStyle w:val="24"/>
        <w:ind w:firstLine="420"/>
        <w:rPr>
          <w:sz w:val="32"/>
          <w:szCs w:val="32"/>
        </w:rPr>
      </w:pPr>
      <w:bookmarkStart w:id="80" w:name="_Hlk164769081"/>
      <w:r>
        <w:rPr>
          <w:sz w:val="32"/>
          <w:szCs w:val="32"/>
        </w:rPr>
        <w:t>计入期为可申请登记碳普惠减排量的时间期限，在</w:t>
      </w:r>
      <w:r>
        <w:rPr>
          <w:kern w:val="2"/>
          <w:sz w:val="32"/>
          <w:szCs w:val="32"/>
        </w:rPr>
        <w:t>碳普惠行为基础数据来源平台</w:t>
      </w:r>
      <w:r>
        <w:rPr>
          <w:sz w:val="32"/>
          <w:szCs w:val="32"/>
        </w:rPr>
        <w:t>的正常运营期内，从个人用户注册碳普惠平台，并授权碳普惠平台获取相关行为数据的当日开始，至个人用户在碳普惠平台解除绑定之日结束。</w:t>
      </w:r>
    </w:p>
    <w:bookmarkEnd w:id="80"/>
    <w:p>
      <w:pPr>
        <w:pStyle w:val="3"/>
        <w:spacing w:before="156" w:beforeLines="50" w:after="156" w:afterLines="50" w:line="240" w:lineRule="auto"/>
        <w:rPr>
          <w:sz w:val="32"/>
          <w:szCs w:val="32"/>
        </w:rPr>
      </w:pPr>
      <w:bookmarkStart w:id="81" w:name="_Toc18624"/>
      <w:bookmarkStart w:id="82" w:name="_Toc31080"/>
      <w:bookmarkStart w:id="83" w:name="_Toc21862"/>
      <w:bookmarkStart w:id="84" w:name="_Toc24673"/>
      <w:bookmarkStart w:id="85" w:name="_Toc172908903"/>
      <w:bookmarkStart w:id="86" w:name="_Toc213947372"/>
      <w:bookmarkStart w:id="87" w:name="_Toc32550"/>
      <w:bookmarkStart w:id="88" w:name="_Toc175934773"/>
      <w:bookmarkStart w:id="89" w:name="_Toc164769543"/>
      <w:r>
        <w:rPr>
          <w:sz w:val="32"/>
          <w:szCs w:val="32"/>
        </w:rPr>
        <w:t>5.</w:t>
      </w:r>
      <w:r>
        <w:rPr>
          <w:rFonts w:hint="eastAsia"/>
          <w:sz w:val="32"/>
          <w:szCs w:val="32"/>
        </w:rPr>
        <w:t>3温室气体</w:t>
      </w:r>
      <w:r>
        <w:rPr>
          <w:sz w:val="32"/>
          <w:szCs w:val="32"/>
        </w:rPr>
        <w:t>排放源</w:t>
      </w:r>
      <w:bookmarkEnd w:id="81"/>
      <w:bookmarkEnd w:id="82"/>
      <w:bookmarkEnd w:id="83"/>
      <w:bookmarkEnd w:id="84"/>
      <w:bookmarkEnd w:id="85"/>
      <w:bookmarkEnd w:id="86"/>
      <w:bookmarkEnd w:id="87"/>
      <w:bookmarkEnd w:id="88"/>
      <w:bookmarkEnd w:id="89"/>
    </w:p>
    <w:p>
      <w:pPr>
        <w:ind w:firstLine="416"/>
        <w:rPr>
          <w:rFonts w:cs="Times New Roman"/>
          <w:spacing w:val="-1"/>
          <w:sz w:val="32"/>
          <w:szCs w:val="32"/>
        </w:rPr>
      </w:pPr>
      <w:r>
        <w:rPr>
          <w:rFonts w:hint="eastAsia" w:cs="Times New Roman"/>
          <w:spacing w:val="-1"/>
          <w:sz w:val="32"/>
          <w:szCs w:val="32"/>
        </w:rPr>
        <w:t>核算</w:t>
      </w:r>
      <w:r>
        <w:rPr>
          <w:rFonts w:cs="Times New Roman"/>
          <w:spacing w:val="-1"/>
          <w:sz w:val="32"/>
          <w:szCs w:val="32"/>
        </w:rPr>
        <w:t>边界内所涉及的排放源及温室气体种类如下：</w:t>
      </w:r>
    </w:p>
    <w:p>
      <w:pPr>
        <w:pStyle w:val="8"/>
        <w:ind w:firstLine="400"/>
        <w:jc w:val="center"/>
        <w:rPr>
          <w:sz w:val="32"/>
          <w:szCs w:val="32"/>
        </w:rPr>
      </w:pPr>
      <w:r>
        <w:rPr>
          <w:sz w:val="32"/>
          <w:szCs w:val="32"/>
        </w:rPr>
        <w:t>表</w:t>
      </w:r>
      <w:r>
        <w:rPr>
          <w:rFonts w:ascii="Times New Roman" w:hAnsi="Times New Roman"/>
          <w:sz w:val="32"/>
          <w:szCs w:val="32"/>
        </w:rPr>
        <w:t>1</w:t>
      </w:r>
      <w:r>
        <w:rPr>
          <w:sz w:val="32"/>
          <w:szCs w:val="32"/>
        </w:rPr>
        <w:t xml:space="preserve"> 核算边界内温室气体种类</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1786"/>
        <w:gridCol w:w="1767"/>
        <w:gridCol w:w="886"/>
        <w:gridCol w:w="3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761" w:type="dxa"/>
            <w:gridSpan w:val="2"/>
            <w:vAlign w:val="center"/>
          </w:tcPr>
          <w:p>
            <w:pPr>
              <w:pStyle w:val="64"/>
              <w:jc w:val="center"/>
              <w:rPr>
                <w:sz w:val="32"/>
                <w:szCs w:val="32"/>
              </w:rPr>
            </w:pPr>
            <w:r>
              <w:rPr>
                <w:sz w:val="32"/>
                <w:szCs w:val="32"/>
              </w:rPr>
              <w:t>温室气体排放源</w:t>
            </w:r>
          </w:p>
        </w:tc>
        <w:tc>
          <w:tcPr>
            <w:tcW w:w="1767" w:type="dxa"/>
            <w:vAlign w:val="center"/>
          </w:tcPr>
          <w:p>
            <w:pPr>
              <w:pStyle w:val="64"/>
              <w:jc w:val="center"/>
              <w:rPr>
                <w:sz w:val="32"/>
                <w:szCs w:val="32"/>
              </w:rPr>
            </w:pPr>
            <w:r>
              <w:rPr>
                <w:sz w:val="32"/>
                <w:szCs w:val="32"/>
              </w:rPr>
              <w:t>温室气体种类</w:t>
            </w:r>
          </w:p>
        </w:tc>
        <w:tc>
          <w:tcPr>
            <w:tcW w:w="886" w:type="dxa"/>
            <w:vAlign w:val="center"/>
          </w:tcPr>
          <w:p>
            <w:pPr>
              <w:pStyle w:val="64"/>
              <w:jc w:val="center"/>
              <w:rPr>
                <w:sz w:val="32"/>
                <w:szCs w:val="32"/>
              </w:rPr>
            </w:pPr>
            <w:r>
              <w:rPr>
                <w:sz w:val="32"/>
                <w:szCs w:val="32"/>
              </w:rPr>
              <w:t>是否选择</w:t>
            </w:r>
          </w:p>
        </w:tc>
        <w:tc>
          <w:tcPr>
            <w:tcW w:w="3108" w:type="dxa"/>
            <w:vAlign w:val="center"/>
          </w:tcPr>
          <w:p>
            <w:pPr>
              <w:pStyle w:val="64"/>
              <w:jc w:val="center"/>
              <w:rPr>
                <w:sz w:val="32"/>
                <w:szCs w:val="32"/>
              </w:rPr>
            </w:pPr>
            <w:r>
              <w:rPr>
                <w:sz w:val="32"/>
                <w:szCs w:val="32"/>
              </w:rPr>
              <w:t>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975" w:type="dxa"/>
            <w:vMerge w:val="restart"/>
            <w:vAlign w:val="center"/>
          </w:tcPr>
          <w:p>
            <w:pPr>
              <w:pStyle w:val="64"/>
              <w:rPr>
                <w:sz w:val="32"/>
                <w:szCs w:val="32"/>
              </w:rPr>
            </w:pPr>
            <w:r>
              <w:rPr>
                <w:sz w:val="32"/>
                <w:szCs w:val="32"/>
              </w:rPr>
              <w:t>基准线</w:t>
            </w:r>
          </w:p>
          <w:p>
            <w:pPr>
              <w:pStyle w:val="64"/>
              <w:rPr>
                <w:sz w:val="32"/>
                <w:szCs w:val="32"/>
              </w:rPr>
            </w:pPr>
            <w:r>
              <w:rPr>
                <w:sz w:val="32"/>
                <w:szCs w:val="32"/>
              </w:rPr>
              <w:t>情景</w:t>
            </w:r>
          </w:p>
        </w:tc>
        <w:tc>
          <w:tcPr>
            <w:tcW w:w="1786" w:type="dxa"/>
            <w:vMerge w:val="restart"/>
            <w:vAlign w:val="center"/>
          </w:tcPr>
          <w:p>
            <w:pPr>
              <w:pStyle w:val="64"/>
              <w:rPr>
                <w:sz w:val="32"/>
                <w:szCs w:val="32"/>
              </w:rPr>
            </w:pPr>
            <w:r>
              <w:rPr>
                <w:sz w:val="32"/>
                <w:szCs w:val="32"/>
              </w:rPr>
              <w:t>个人用户选择机动化出行产生的排放</w:t>
            </w:r>
          </w:p>
        </w:tc>
        <w:tc>
          <w:tcPr>
            <w:tcW w:w="1767" w:type="dxa"/>
            <w:vAlign w:val="center"/>
          </w:tcPr>
          <w:p>
            <w:pPr>
              <w:pStyle w:val="64"/>
              <w:jc w:val="center"/>
              <w:rPr>
                <w:sz w:val="32"/>
                <w:szCs w:val="32"/>
              </w:rPr>
            </w:pPr>
            <w:r>
              <w:rPr>
                <w:rFonts w:hint="eastAsia"/>
                <w:sz w:val="32"/>
                <w:szCs w:val="32"/>
              </w:rPr>
              <w:t>二氧化碳（</w:t>
            </w:r>
            <w:r>
              <w:rPr>
                <w:sz w:val="32"/>
                <w:szCs w:val="32"/>
              </w:rPr>
              <w:t>CO</w:t>
            </w:r>
            <w:r>
              <w:rPr>
                <w:sz w:val="32"/>
                <w:szCs w:val="32"/>
                <w:vertAlign w:val="subscript"/>
              </w:rPr>
              <w:t>2</w:t>
            </w:r>
            <w:r>
              <w:rPr>
                <w:rFonts w:hint="eastAsia"/>
                <w:sz w:val="32"/>
                <w:szCs w:val="32"/>
              </w:rPr>
              <w:t>）</w:t>
            </w:r>
          </w:p>
        </w:tc>
        <w:tc>
          <w:tcPr>
            <w:tcW w:w="886" w:type="dxa"/>
            <w:vAlign w:val="center"/>
          </w:tcPr>
          <w:p>
            <w:pPr>
              <w:pStyle w:val="64"/>
              <w:jc w:val="center"/>
              <w:rPr>
                <w:sz w:val="32"/>
                <w:szCs w:val="32"/>
              </w:rPr>
            </w:pPr>
            <w:r>
              <w:rPr>
                <w:sz w:val="32"/>
                <w:szCs w:val="32"/>
              </w:rPr>
              <w:t>是</w:t>
            </w:r>
          </w:p>
        </w:tc>
        <w:tc>
          <w:tcPr>
            <w:tcW w:w="3108" w:type="dxa"/>
            <w:vAlign w:val="center"/>
          </w:tcPr>
          <w:p>
            <w:pPr>
              <w:pStyle w:val="64"/>
              <w:rPr>
                <w:sz w:val="32"/>
                <w:szCs w:val="32"/>
              </w:rPr>
            </w:pPr>
            <w:r>
              <w:rPr>
                <w:sz w:val="32"/>
                <w:szCs w:val="32"/>
              </w:rPr>
              <w:t>主要排放源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dxa"/>
            <w:vMerge w:val="continue"/>
            <w:vAlign w:val="center"/>
          </w:tcPr>
          <w:p>
            <w:pPr>
              <w:pStyle w:val="64"/>
              <w:rPr>
                <w:sz w:val="32"/>
                <w:szCs w:val="32"/>
              </w:rPr>
            </w:pPr>
          </w:p>
        </w:tc>
        <w:tc>
          <w:tcPr>
            <w:tcW w:w="1786" w:type="dxa"/>
            <w:vMerge w:val="continue"/>
            <w:vAlign w:val="center"/>
          </w:tcPr>
          <w:p>
            <w:pPr>
              <w:pStyle w:val="64"/>
              <w:rPr>
                <w:sz w:val="32"/>
                <w:szCs w:val="32"/>
              </w:rPr>
            </w:pPr>
          </w:p>
        </w:tc>
        <w:tc>
          <w:tcPr>
            <w:tcW w:w="1767" w:type="dxa"/>
            <w:vAlign w:val="center"/>
          </w:tcPr>
          <w:p>
            <w:pPr>
              <w:pStyle w:val="64"/>
              <w:jc w:val="center"/>
              <w:rPr>
                <w:sz w:val="32"/>
                <w:szCs w:val="32"/>
              </w:rPr>
            </w:pPr>
            <w:r>
              <w:rPr>
                <w:rFonts w:hint="eastAsia"/>
                <w:sz w:val="32"/>
                <w:szCs w:val="32"/>
              </w:rPr>
              <w:t>甲烷（</w:t>
            </w:r>
            <w:r>
              <w:rPr>
                <w:sz w:val="32"/>
                <w:szCs w:val="32"/>
              </w:rPr>
              <w:t>CH</w:t>
            </w:r>
            <w:r>
              <w:rPr>
                <w:sz w:val="32"/>
                <w:szCs w:val="32"/>
                <w:vertAlign w:val="subscript"/>
              </w:rPr>
              <w:t>4</w:t>
            </w:r>
            <w:r>
              <w:rPr>
                <w:rFonts w:hint="eastAsia"/>
                <w:sz w:val="32"/>
                <w:szCs w:val="32"/>
              </w:rPr>
              <w:t>）</w:t>
            </w:r>
          </w:p>
        </w:tc>
        <w:tc>
          <w:tcPr>
            <w:tcW w:w="886" w:type="dxa"/>
            <w:vAlign w:val="center"/>
          </w:tcPr>
          <w:p>
            <w:pPr>
              <w:pStyle w:val="64"/>
              <w:jc w:val="center"/>
              <w:rPr>
                <w:sz w:val="32"/>
                <w:szCs w:val="32"/>
              </w:rPr>
            </w:pPr>
            <w:r>
              <w:rPr>
                <w:sz w:val="32"/>
                <w:szCs w:val="32"/>
              </w:rPr>
              <w:t>否</w:t>
            </w:r>
          </w:p>
        </w:tc>
        <w:tc>
          <w:tcPr>
            <w:tcW w:w="3108" w:type="dxa"/>
            <w:vAlign w:val="center"/>
          </w:tcPr>
          <w:p>
            <w:pPr>
              <w:pStyle w:val="64"/>
              <w:rPr>
                <w:kern w:val="0"/>
                <w:sz w:val="32"/>
                <w:szCs w:val="32"/>
              </w:rPr>
            </w:pPr>
            <w:r>
              <w:rPr>
                <w:kern w:val="0"/>
                <w:sz w:val="32"/>
                <w:szCs w:val="32"/>
              </w:rPr>
              <w:t>次要排放源，</w:t>
            </w:r>
            <w:r>
              <w:rPr>
                <w:sz w:val="32"/>
                <w:szCs w:val="32"/>
              </w:rPr>
              <w:t>依保守性原则不计入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dxa"/>
            <w:vMerge w:val="continue"/>
            <w:vAlign w:val="center"/>
          </w:tcPr>
          <w:p>
            <w:pPr>
              <w:pStyle w:val="64"/>
              <w:rPr>
                <w:sz w:val="32"/>
                <w:szCs w:val="32"/>
              </w:rPr>
            </w:pPr>
          </w:p>
        </w:tc>
        <w:tc>
          <w:tcPr>
            <w:tcW w:w="1786" w:type="dxa"/>
            <w:vMerge w:val="continue"/>
            <w:vAlign w:val="center"/>
          </w:tcPr>
          <w:p>
            <w:pPr>
              <w:pStyle w:val="64"/>
              <w:rPr>
                <w:sz w:val="32"/>
                <w:szCs w:val="32"/>
              </w:rPr>
            </w:pPr>
          </w:p>
        </w:tc>
        <w:tc>
          <w:tcPr>
            <w:tcW w:w="1767" w:type="dxa"/>
            <w:vAlign w:val="center"/>
          </w:tcPr>
          <w:p>
            <w:pPr>
              <w:pStyle w:val="64"/>
              <w:jc w:val="center"/>
              <w:rPr>
                <w:sz w:val="32"/>
                <w:szCs w:val="32"/>
              </w:rPr>
            </w:pPr>
            <w:r>
              <w:rPr>
                <w:rFonts w:hint="eastAsia"/>
                <w:sz w:val="32"/>
                <w:szCs w:val="32"/>
              </w:rPr>
              <w:t>氧化亚氮（</w:t>
            </w:r>
            <w:r>
              <w:rPr>
                <w:sz w:val="32"/>
                <w:szCs w:val="32"/>
              </w:rPr>
              <w:t>N</w:t>
            </w:r>
            <w:r>
              <w:rPr>
                <w:sz w:val="32"/>
                <w:szCs w:val="32"/>
                <w:vertAlign w:val="subscript"/>
              </w:rPr>
              <w:t>2</w:t>
            </w:r>
            <w:r>
              <w:rPr>
                <w:sz w:val="32"/>
                <w:szCs w:val="32"/>
              </w:rPr>
              <w:t>O</w:t>
            </w:r>
            <w:r>
              <w:rPr>
                <w:rFonts w:hint="eastAsia"/>
                <w:sz w:val="32"/>
                <w:szCs w:val="32"/>
              </w:rPr>
              <w:t>）</w:t>
            </w:r>
          </w:p>
        </w:tc>
        <w:tc>
          <w:tcPr>
            <w:tcW w:w="886" w:type="dxa"/>
            <w:vAlign w:val="center"/>
          </w:tcPr>
          <w:p>
            <w:pPr>
              <w:pStyle w:val="64"/>
              <w:jc w:val="center"/>
              <w:rPr>
                <w:sz w:val="32"/>
                <w:szCs w:val="32"/>
              </w:rPr>
            </w:pPr>
            <w:r>
              <w:rPr>
                <w:sz w:val="32"/>
                <w:szCs w:val="32"/>
              </w:rPr>
              <w:t>否</w:t>
            </w:r>
          </w:p>
        </w:tc>
        <w:tc>
          <w:tcPr>
            <w:tcW w:w="3108" w:type="dxa"/>
            <w:vAlign w:val="center"/>
          </w:tcPr>
          <w:p>
            <w:pPr>
              <w:pStyle w:val="64"/>
              <w:rPr>
                <w:kern w:val="0"/>
                <w:sz w:val="32"/>
                <w:szCs w:val="32"/>
              </w:rPr>
            </w:pPr>
            <w:r>
              <w:rPr>
                <w:kern w:val="0"/>
                <w:sz w:val="32"/>
                <w:szCs w:val="32"/>
              </w:rPr>
              <w:t>次要排放源，</w:t>
            </w:r>
            <w:r>
              <w:rPr>
                <w:sz w:val="32"/>
                <w:szCs w:val="32"/>
              </w:rPr>
              <w:t>依保守性原则不计入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dxa"/>
            <w:vMerge w:val="restart"/>
            <w:vAlign w:val="center"/>
          </w:tcPr>
          <w:p>
            <w:pPr>
              <w:pStyle w:val="64"/>
              <w:rPr>
                <w:sz w:val="32"/>
                <w:szCs w:val="32"/>
              </w:rPr>
            </w:pPr>
            <w:r>
              <w:rPr>
                <w:sz w:val="32"/>
                <w:szCs w:val="32"/>
              </w:rPr>
              <w:t>碳普惠</w:t>
            </w:r>
          </w:p>
          <w:p>
            <w:pPr>
              <w:pStyle w:val="64"/>
              <w:rPr>
                <w:sz w:val="32"/>
                <w:szCs w:val="32"/>
              </w:rPr>
            </w:pPr>
            <w:r>
              <w:rPr>
                <w:sz w:val="32"/>
                <w:szCs w:val="32"/>
              </w:rPr>
              <w:t>情景</w:t>
            </w:r>
          </w:p>
        </w:tc>
        <w:tc>
          <w:tcPr>
            <w:tcW w:w="1786" w:type="dxa"/>
            <w:vMerge w:val="restart"/>
            <w:vAlign w:val="center"/>
          </w:tcPr>
          <w:p>
            <w:pPr>
              <w:pStyle w:val="64"/>
              <w:rPr>
                <w:sz w:val="32"/>
                <w:szCs w:val="32"/>
              </w:rPr>
            </w:pPr>
            <w:r>
              <w:rPr>
                <w:rFonts w:hint="eastAsia"/>
                <w:sz w:val="32"/>
                <w:szCs w:val="32"/>
              </w:rPr>
              <w:t>个人用户选择公共汽电车出行产生的排放</w:t>
            </w:r>
          </w:p>
        </w:tc>
        <w:tc>
          <w:tcPr>
            <w:tcW w:w="1767" w:type="dxa"/>
            <w:vAlign w:val="center"/>
          </w:tcPr>
          <w:p>
            <w:pPr>
              <w:pStyle w:val="64"/>
              <w:jc w:val="center"/>
              <w:rPr>
                <w:sz w:val="32"/>
                <w:szCs w:val="32"/>
              </w:rPr>
            </w:pPr>
            <w:r>
              <w:rPr>
                <w:sz w:val="32"/>
                <w:szCs w:val="32"/>
              </w:rPr>
              <w:t>CO</w:t>
            </w:r>
            <w:r>
              <w:rPr>
                <w:sz w:val="32"/>
                <w:szCs w:val="32"/>
                <w:vertAlign w:val="subscript"/>
              </w:rPr>
              <w:t>2</w:t>
            </w:r>
          </w:p>
        </w:tc>
        <w:tc>
          <w:tcPr>
            <w:tcW w:w="886" w:type="dxa"/>
            <w:vAlign w:val="center"/>
          </w:tcPr>
          <w:p>
            <w:pPr>
              <w:pStyle w:val="64"/>
              <w:jc w:val="center"/>
              <w:rPr>
                <w:sz w:val="32"/>
                <w:szCs w:val="32"/>
              </w:rPr>
            </w:pPr>
            <w:r>
              <w:rPr>
                <w:sz w:val="32"/>
                <w:szCs w:val="32"/>
              </w:rPr>
              <w:t>是</w:t>
            </w:r>
          </w:p>
        </w:tc>
        <w:tc>
          <w:tcPr>
            <w:tcW w:w="3108" w:type="dxa"/>
            <w:vAlign w:val="center"/>
          </w:tcPr>
          <w:p>
            <w:pPr>
              <w:pStyle w:val="64"/>
              <w:rPr>
                <w:sz w:val="32"/>
                <w:szCs w:val="32"/>
              </w:rPr>
            </w:pPr>
            <w:r>
              <w:rPr>
                <w:sz w:val="32"/>
                <w:szCs w:val="32"/>
              </w:rPr>
              <w:t>主要排放源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dxa"/>
            <w:vMerge w:val="continue"/>
            <w:vAlign w:val="center"/>
          </w:tcPr>
          <w:p>
            <w:pPr>
              <w:pStyle w:val="64"/>
              <w:rPr>
                <w:sz w:val="32"/>
                <w:szCs w:val="32"/>
              </w:rPr>
            </w:pPr>
          </w:p>
        </w:tc>
        <w:tc>
          <w:tcPr>
            <w:tcW w:w="1786" w:type="dxa"/>
            <w:vMerge w:val="continue"/>
            <w:vAlign w:val="center"/>
          </w:tcPr>
          <w:p>
            <w:pPr>
              <w:pStyle w:val="64"/>
              <w:rPr>
                <w:sz w:val="32"/>
                <w:szCs w:val="32"/>
              </w:rPr>
            </w:pPr>
          </w:p>
        </w:tc>
        <w:tc>
          <w:tcPr>
            <w:tcW w:w="1767" w:type="dxa"/>
            <w:vAlign w:val="center"/>
          </w:tcPr>
          <w:p>
            <w:pPr>
              <w:pStyle w:val="64"/>
              <w:jc w:val="center"/>
              <w:rPr>
                <w:sz w:val="32"/>
                <w:szCs w:val="32"/>
              </w:rPr>
            </w:pPr>
            <w:r>
              <w:rPr>
                <w:sz w:val="32"/>
                <w:szCs w:val="32"/>
              </w:rPr>
              <w:t>CH</w:t>
            </w:r>
            <w:r>
              <w:rPr>
                <w:sz w:val="32"/>
                <w:szCs w:val="32"/>
                <w:vertAlign w:val="subscript"/>
              </w:rPr>
              <w:t>4</w:t>
            </w:r>
          </w:p>
        </w:tc>
        <w:tc>
          <w:tcPr>
            <w:tcW w:w="886" w:type="dxa"/>
            <w:vAlign w:val="center"/>
          </w:tcPr>
          <w:p>
            <w:pPr>
              <w:pStyle w:val="64"/>
              <w:jc w:val="center"/>
              <w:rPr>
                <w:sz w:val="32"/>
                <w:szCs w:val="32"/>
              </w:rPr>
            </w:pPr>
            <w:r>
              <w:rPr>
                <w:sz w:val="32"/>
                <w:szCs w:val="32"/>
              </w:rPr>
              <w:t>否</w:t>
            </w:r>
          </w:p>
        </w:tc>
        <w:tc>
          <w:tcPr>
            <w:tcW w:w="3108" w:type="dxa"/>
            <w:vAlign w:val="center"/>
          </w:tcPr>
          <w:p>
            <w:pPr>
              <w:pStyle w:val="64"/>
              <w:rPr>
                <w:kern w:val="0"/>
                <w:sz w:val="32"/>
                <w:szCs w:val="32"/>
              </w:rPr>
            </w:pPr>
            <w:r>
              <w:rPr>
                <w:kern w:val="0"/>
                <w:sz w:val="32"/>
                <w:szCs w:val="32"/>
              </w:rPr>
              <w:t>次要排放源，</w:t>
            </w:r>
            <w:r>
              <w:rPr>
                <w:sz w:val="32"/>
                <w:szCs w:val="32"/>
              </w:rPr>
              <w:t>排放占比很小，可忽略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75" w:type="dxa"/>
            <w:vMerge w:val="continue"/>
            <w:vAlign w:val="center"/>
          </w:tcPr>
          <w:p>
            <w:pPr>
              <w:pStyle w:val="64"/>
              <w:rPr>
                <w:sz w:val="32"/>
                <w:szCs w:val="32"/>
              </w:rPr>
            </w:pPr>
          </w:p>
        </w:tc>
        <w:tc>
          <w:tcPr>
            <w:tcW w:w="1786" w:type="dxa"/>
            <w:vMerge w:val="continue"/>
            <w:vAlign w:val="center"/>
          </w:tcPr>
          <w:p>
            <w:pPr>
              <w:pStyle w:val="64"/>
              <w:rPr>
                <w:sz w:val="32"/>
                <w:szCs w:val="32"/>
              </w:rPr>
            </w:pPr>
          </w:p>
        </w:tc>
        <w:tc>
          <w:tcPr>
            <w:tcW w:w="1767" w:type="dxa"/>
            <w:vAlign w:val="center"/>
          </w:tcPr>
          <w:p>
            <w:pPr>
              <w:pStyle w:val="64"/>
              <w:jc w:val="center"/>
              <w:rPr>
                <w:sz w:val="32"/>
                <w:szCs w:val="32"/>
              </w:rPr>
            </w:pPr>
            <w:r>
              <w:rPr>
                <w:sz w:val="32"/>
                <w:szCs w:val="32"/>
              </w:rPr>
              <w:t>N</w:t>
            </w:r>
            <w:r>
              <w:rPr>
                <w:sz w:val="32"/>
                <w:szCs w:val="32"/>
                <w:vertAlign w:val="subscript"/>
              </w:rPr>
              <w:t>2</w:t>
            </w:r>
            <w:r>
              <w:rPr>
                <w:sz w:val="32"/>
                <w:szCs w:val="32"/>
              </w:rPr>
              <w:t>O</w:t>
            </w:r>
          </w:p>
        </w:tc>
        <w:tc>
          <w:tcPr>
            <w:tcW w:w="886" w:type="dxa"/>
            <w:vAlign w:val="center"/>
          </w:tcPr>
          <w:p>
            <w:pPr>
              <w:pStyle w:val="64"/>
              <w:jc w:val="center"/>
              <w:rPr>
                <w:sz w:val="32"/>
                <w:szCs w:val="32"/>
              </w:rPr>
            </w:pPr>
            <w:r>
              <w:rPr>
                <w:sz w:val="32"/>
                <w:szCs w:val="32"/>
              </w:rPr>
              <w:t>否</w:t>
            </w:r>
          </w:p>
        </w:tc>
        <w:tc>
          <w:tcPr>
            <w:tcW w:w="3108" w:type="dxa"/>
            <w:vAlign w:val="center"/>
          </w:tcPr>
          <w:p>
            <w:pPr>
              <w:pStyle w:val="64"/>
              <w:rPr>
                <w:kern w:val="0"/>
                <w:sz w:val="32"/>
                <w:szCs w:val="32"/>
              </w:rPr>
            </w:pPr>
            <w:r>
              <w:rPr>
                <w:kern w:val="0"/>
                <w:sz w:val="32"/>
                <w:szCs w:val="32"/>
              </w:rPr>
              <w:t>次要排放源，</w:t>
            </w:r>
            <w:r>
              <w:rPr>
                <w:sz w:val="32"/>
                <w:szCs w:val="32"/>
              </w:rPr>
              <w:t>排放占比很小，可忽略</w:t>
            </w:r>
          </w:p>
        </w:tc>
      </w:tr>
    </w:tbl>
    <w:p>
      <w:pPr>
        <w:pStyle w:val="2"/>
        <w:numPr>
          <w:ilvl w:val="0"/>
          <w:numId w:val="8"/>
        </w:numPr>
        <w:spacing w:before="312" w:after="312"/>
        <w:rPr>
          <w:sz w:val="32"/>
          <w:szCs w:val="32"/>
        </w:rPr>
      </w:pPr>
      <w:bookmarkStart w:id="90" w:name="_Toc21070"/>
      <w:bookmarkStart w:id="91" w:name="_Toc213947373"/>
      <w:bookmarkStart w:id="92" w:name="_Toc172908904"/>
      <w:bookmarkStart w:id="93" w:name="_Toc8905"/>
      <w:bookmarkStart w:id="94" w:name="_Toc21895"/>
      <w:r>
        <w:rPr>
          <w:rFonts w:hint="eastAsia"/>
          <w:sz w:val="32"/>
          <w:szCs w:val="32"/>
        </w:rPr>
        <w:t>碳普惠减排量核算</w:t>
      </w:r>
      <w:bookmarkEnd w:id="90"/>
      <w:r>
        <w:rPr>
          <w:rFonts w:hint="eastAsia"/>
          <w:sz w:val="32"/>
          <w:szCs w:val="32"/>
        </w:rPr>
        <w:t>方法</w:t>
      </w:r>
      <w:bookmarkEnd w:id="91"/>
      <w:bookmarkEnd w:id="92"/>
      <w:bookmarkEnd w:id="93"/>
    </w:p>
    <w:bookmarkEnd w:id="94"/>
    <w:p>
      <w:pPr>
        <w:pStyle w:val="3"/>
        <w:spacing w:before="156" w:beforeLines="50" w:after="156" w:afterLines="50" w:line="240" w:lineRule="auto"/>
        <w:rPr>
          <w:sz w:val="32"/>
          <w:szCs w:val="32"/>
        </w:rPr>
      </w:pPr>
      <w:bookmarkStart w:id="95" w:name="_Toc29041"/>
      <w:bookmarkStart w:id="96" w:name="_Toc7111"/>
      <w:bookmarkStart w:id="97" w:name="_Toc19013"/>
      <w:bookmarkStart w:id="98" w:name="_Toc6125"/>
      <w:bookmarkStart w:id="99" w:name="_Toc24786"/>
      <w:bookmarkStart w:id="100" w:name="_Toc19054"/>
      <w:bookmarkStart w:id="101" w:name="_Toc164769545"/>
      <w:bookmarkStart w:id="102" w:name="_Toc18474"/>
      <w:bookmarkStart w:id="103" w:name="_Toc175934775"/>
      <w:bookmarkStart w:id="104" w:name="_Toc213947374"/>
      <w:bookmarkStart w:id="105" w:name="_Toc23502"/>
      <w:bookmarkStart w:id="106" w:name="_Toc18457"/>
      <w:bookmarkStart w:id="107" w:name="_Toc172908905"/>
      <w:r>
        <w:rPr>
          <w:sz w:val="32"/>
          <w:szCs w:val="32"/>
        </w:rPr>
        <w:t>6.1基准线情景</w:t>
      </w:r>
      <w:bookmarkEnd w:id="95"/>
      <w:bookmarkEnd w:id="96"/>
      <w:bookmarkEnd w:id="97"/>
      <w:bookmarkEnd w:id="98"/>
      <w:bookmarkEnd w:id="99"/>
      <w:r>
        <w:rPr>
          <w:sz w:val="32"/>
          <w:szCs w:val="32"/>
        </w:rPr>
        <w:t>识别</w:t>
      </w:r>
      <w:bookmarkEnd w:id="100"/>
      <w:bookmarkEnd w:id="101"/>
      <w:bookmarkEnd w:id="102"/>
      <w:bookmarkEnd w:id="103"/>
      <w:bookmarkEnd w:id="104"/>
      <w:bookmarkEnd w:id="105"/>
      <w:bookmarkEnd w:id="106"/>
      <w:bookmarkEnd w:id="107"/>
    </w:p>
    <w:p>
      <w:pPr>
        <w:ind w:firstLine="420"/>
        <w:rPr>
          <w:sz w:val="32"/>
          <w:szCs w:val="32"/>
        </w:rPr>
      </w:pPr>
      <w:r>
        <w:rPr>
          <w:sz w:val="32"/>
          <w:szCs w:val="32"/>
        </w:rPr>
        <w:t>本方法学的基准线情景为</w:t>
      </w:r>
      <w:r>
        <w:rPr>
          <w:rFonts w:hint="eastAsia"/>
          <w:sz w:val="32"/>
          <w:szCs w:val="32"/>
        </w:rPr>
        <w:t>所有</w:t>
      </w:r>
      <w:r>
        <w:rPr>
          <w:sz w:val="32"/>
          <w:szCs w:val="32"/>
        </w:rPr>
        <w:t>机动化出行方式的碳排放情景，即</w:t>
      </w:r>
      <w:r>
        <w:rPr>
          <w:rFonts w:hint="eastAsia"/>
          <w:sz w:val="32"/>
          <w:szCs w:val="32"/>
        </w:rPr>
        <w:t>个人用户选择</w:t>
      </w:r>
      <w:r>
        <w:rPr>
          <w:sz w:val="32"/>
          <w:szCs w:val="32"/>
        </w:rPr>
        <w:t>采用</w:t>
      </w:r>
      <w:r>
        <w:rPr>
          <w:rFonts w:hint="eastAsia"/>
          <w:sz w:val="32"/>
          <w:szCs w:val="32"/>
        </w:rPr>
        <w:t>私家车</w:t>
      </w:r>
      <w:r>
        <w:rPr>
          <w:sz w:val="32"/>
          <w:szCs w:val="32"/>
        </w:rPr>
        <w:t>、出租车</w:t>
      </w:r>
      <w:r>
        <w:rPr>
          <w:rFonts w:hint="eastAsia"/>
          <w:sz w:val="32"/>
          <w:szCs w:val="32"/>
        </w:rPr>
        <w:t>（含网约车）、</w:t>
      </w:r>
      <w:r>
        <w:rPr>
          <w:sz w:val="32"/>
          <w:szCs w:val="32"/>
        </w:rPr>
        <w:t>地面公交</w:t>
      </w:r>
      <w:r>
        <w:rPr>
          <w:rFonts w:hint="eastAsia"/>
          <w:sz w:val="32"/>
          <w:szCs w:val="32"/>
        </w:rPr>
        <w:t>、电动自行车、摩托车</w:t>
      </w:r>
      <w:r>
        <w:rPr>
          <w:sz w:val="32"/>
          <w:szCs w:val="32"/>
        </w:rPr>
        <w:t>等机动化方式</w:t>
      </w:r>
      <w:r>
        <w:rPr>
          <w:rStyle w:val="40"/>
          <w:sz w:val="32"/>
          <w:szCs w:val="32"/>
        </w:rPr>
        <w:footnoteReference w:id="0"/>
      </w:r>
      <w:r>
        <w:rPr>
          <w:sz w:val="32"/>
          <w:szCs w:val="32"/>
        </w:rPr>
        <w:t>出行的平均排放水平。</w:t>
      </w:r>
    </w:p>
    <w:p>
      <w:pPr>
        <w:pStyle w:val="3"/>
        <w:spacing w:before="156" w:beforeLines="50" w:after="156" w:afterLines="50" w:line="240" w:lineRule="auto"/>
        <w:rPr>
          <w:sz w:val="32"/>
          <w:szCs w:val="32"/>
        </w:rPr>
      </w:pPr>
      <w:bookmarkStart w:id="108" w:name="_Toc21416"/>
      <w:bookmarkStart w:id="109" w:name="_Toc213947375"/>
      <w:bookmarkStart w:id="110" w:name="_Toc8926"/>
      <w:bookmarkStart w:id="111" w:name="_Toc11385"/>
      <w:bookmarkStart w:id="112" w:name="_Toc29930"/>
      <w:bookmarkStart w:id="113" w:name="_Toc175934776"/>
      <w:bookmarkStart w:id="114" w:name="_Toc28822"/>
      <w:bookmarkStart w:id="115" w:name="_Toc164769546"/>
      <w:bookmarkStart w:id="116" w:name="_Toc26680"/>
      <w:bookmarkStart w:id="117" w:name="_Toc2203"/>
      <w:bookmarkStart w:id="118" w:name="_Toc172908906"/>
      <w:bookmarkStart w:id="119" w:name="_Toc23872"/>
      <w:bookmarkStart w:id="120" w:name="_Toc3611"/>
      <w:r>
        <w:rPr>
          <w:rFonts w:hint="eastAsia"/>
          <w:sz w:val="32"/>
          <w:szCs w:val="32"/>
        </w:rPr>
        <w:t>6.2</w:t>
      </w:r>
      <w:r>
        <w:rPr>
          <w:sz w:val="32"/>
          <w:szCs w:val="32"/>
        </w:rPr>
        <w:t xml:space="preserve"> 额外性论证</w:t>
      </w:r>
      <w:bookmarkEnd w:id="108"/>
      <w:bookmarkEnd w:id="109"/>
      <w:bookmarkEnd w:id="110"/>
      <w:bookmarkEnd w:id="111"/>
      <w:bookmarkEnd w:id="112"/>
      <w:bookmarkEnd w:id="113"/>
      <w:bookmarkEnd w:id="114"/>
      <w:bookmarkEnd w:id="115"/>
      <w:bookmarkEnd w:id="116"/>
      <w:bookmarkEnd w:id="117"/>
      <w:bookmarkEnd w:id="118"/>
      <w:bookmarkEnd w:id="119"/>
      <w:bookmarkEnd w:id="120"/>
    </w:p>
    <w:p>
      <w:pPr>
        <w:ind w:firstLine="420"/>
        <w:rPr>
          <w:sz w:val="32"/>
          <w:szCs w:val="32"/>
        </w:rPr>
      </w:pPr>
      <w:bookmarkStart w:id="121" w:name="_Hlk175212500"/>
      <w:r>
        <w:rPr>
          <w:rFonts w:hint="eastAsia"/>
          <w:sz w:val="32"/>
          <w:szCs w:val="32"/>
        </w:rPr>
        <w:t>公共汽电车是宜昌</w:t>
      </w:r>
      <w:r>
        <w:rPr>
          <w:sz w:val="32"/>
          <w:szCs w:val="32"/>
        </w:rPr>
        <w:t>推进集约出行、绿色出行的重要支撑</w:t>
      </w:r>
      <w:r>
        <w:rPr>
          <w:rFonts w:hint="eastAsia"/>
          <w:sz w:val="32"/>
          <w:szCs w:val="32"/>
        </w:rPr>
        <w:t>之一</w:t>
      </w:r>
      <w:bookmarkStart w:id="122" w:name="_Hlk175171820"/>
      <w:r>
        <w:rPr>
          <w:rFonts w:hint="eastAsia"/>
          <w:sz w:val="32"/>
          <w:szCs w:val="32"/>
        </w:rPr>
        <w:t>。</w:t>
      </w:r>
      <w:bookmarkEnd w:id="122"/>
      <w:r>
        <w:rPr>
          <w:rFonts w:hint="eastAsia"/>
          <w:sz w:val="32"/>
          <w:szCs w:val="32"/>
        </w:rPr>
        <w:t>其集约化特征，加之该领域</w:t>
      </w:r>
      <w:r>
        <w:rPr>
          <w:sz w:val="32"/>
          <w:szCs w:val="32"/>
        </w:rPr>
        <w:t>新能源转型迅速，</w:t>
      </w:r>
      <w:r>
        <w:rPr>
          <w:rFonts w:hint="eastAsia"/>
          <w:sz w:val="32"/>
          <w:szCs w:val="32"/>
        </w:rPr>
        <w:t>使</w:t>
      </w:r>
      <w:r>
        <w:rPr>
          <w:sz w:val="32"/>
          <w:szCs w:val="32"/>
        </w:rPr>
        <w:t>该出行方式在碳排放强度上低于</w:t>
      </w:r>
      <w:r>
        <w:rPr>
          <w:rFonts w:hint="eastAsia"/>
          <w:sz w:val="32"/>
          <w:szCs w:val="32"/>
        </w:rPr>
        <w:t>全市</w:t>
      </w:r>
      <w:r>
        <w:rPr>
          <w:sz w:val="32"/>
          <w:szCs w:val="32"/>
        </w:rPr>
        <w:t>机动化出行的平均水平</w:t>
      </w:r>
      <w:r>
        <w:rPr>
          <w:rFonts w:hint="eastAsia"/>
          <w:sz w:val="32"/>
          <w:szCs w:val="32"/>
        </w:rPr>
        <w:t>，</w:t>
      </w:r>
      <w:r>
        <w:rPr>
          <w:sz w:val="32"/>
          <w:szCs w:val="32"/>
        </w:rPr>
        <w:t>该</w:t>
      </w:r>
      <w:r>
        <w:rPr>
          <w:rFonts w:hint="eastAsia"/>
          <w:sz w:val="32"/>
          <w:szCs w:val="32"/>
        </w:rPr>
        <w:t>情景</w:t>
      </w:r>
      <w:r>
        <w:rPr>
          <w:sz w:val="32"/>
          <w:szCs w:val="32"/>
        </w:rPr>
        <w:t>具备额外性。</w:t>
      </w:r>
      <w:r>
        <w:rPr>
          <w:rFonts w:hint="eastAsia"/>
          <w:sz w:val="32"/>
          <w:szCs w:val="32"/>
        </w:rPr>
        <w:t>同时，通过碳普惠机制引导公众选择公共汽电车出行，能够提升公众对自身节能降碳行为的感知，减少城市交通碳排放，助力交通可持续发展，形成绿色低碳出行的良好风尚，具有积极的社会效益。采用本方法学的</w:t>
      </w:r>
      <w:r>
        <w:rPr>
          <w:rFonts w:hint="eastAsia"/>
          <w:sz w:val="32"/>
          <w:szCs w:val="32"/>
          <w:lang w:eastAsia="zh"/>
        </w:rPr>
        <w:t>碳普惠情景</w:t>
      </w:r>
      <w:r>
        <w:rPr>
          <w:rFonts w:hint="eastAsia"/>
          <w:sz w:val="32"/>
          <w:szCs w:val="32"/>
        </w:rPr>
        <w:t>免于额外性论证。</w:t>
      </w:r>
      <w:bookmarkEnd w:id="121"/>
    </w:p>
    <w:p>
      <w:pPr>
        <w:pStyle w:val="3"/>
        <w:spacing w:before="156" w:beforeLines="50" w:after="156" w:afterLines="50" w:line="240" w:lineRule="auto"/>
        <w:rPr>
          <w:sz w:val="32"/>
          <w:szCs w:val="32"/>
        </w:rPr>
      </w:pPr>
      <w:bookmarkStart w:id="123" w:name="_Toc10104"/>
      <w:bookmarkStart w:id="124" w:name="_Toc8920"/>
      <w:bookmarkStart w:id="125" w:name="_Toc11654"/>
      <w:bookmarkStart w:id="126" w:name="_Toc11469"/>
      <w:bookmarkStart w:id="127" w:name="_Toc29558"/>
      <w:bookmarkStart w:id="128" w:name="_Toc164769547"/>
      <w:bookmarkStart w:id="129" w:name="_Toc20799"/>
      <w:bookmarkStart w:id="130" w:name="_Toc10972"/>
      <w:bookmarkStart w:id="131" w:name="_Toc6397"/>
      <w:bookmarkStart w:id="132" w:name="_Toc175934777"/>
      <w:bookmarkStart w:id="133" w:name="_Toc22649"/>
      <w:bookmarkStart w:id="134" w:name="_Toc213947376"/>
      <w:bookmarkStart w:id="135" w:name="_Toc172908907"/>
      <w:r>
        <w:rPr>
          <w:rFonts w:hint="eastAsia"/>
          <w:sz w:val="32"/>
          <w:szCs w:val="32"/>
        </w:rPr>
        <w:t>6.3</w:t>
      </w:r>
      <w:r>
        <w:rPr>
          <w:sz w:val="32"/>
          <w:szCs w:val="32"/>
        </w:rPr>
        <w:t xml:space="preserve"> 基准线排放</w:t>
      </w:r>
      <w:bookmarkEnd w:id="123"/>
      <w:bookmarkEnd w:id="124"/>
      <w:bookmarkEnd w:id="125"/>
      <w:bookmarkEnd w:id="126"/>
      <w:bookmarkEnd w:id="127"/>
      <w:r>
        <w:rPr>
          <w:rFonts w:hint="eastAsia"/>
          <w:sz w:val="32"/>
          <w:szCs w:val="32"/>
        </w:rPr>
        <w:t>计算</w:t>
      </w:r>
      <w:bookmarkEnd w:id="128"/>
      <w:bookmarkEnd w:id="129"/>
      <w:bookmarkEnd w:id="130"/>
      <w:bookmarkEnd w:id="131"/>
      <w:bookmarkEnd w:id="132"/>
      <w:bookmarkEnd w:id="133"/>
      <w:bookmarkEnd w:id="134"/>
      <w:bookmarkEnd w:id="135"/>
    </w:p>
    <w:p>
      <w:pPr>
        <w:ind w:firstLine="420"/>
        <w:rPr>
          <w:rFonts w:cs="Times New Roman"/>
          <w:sz w:val="32"/>
          <w:szCs w:val="32"/>
        </w:rPr>
      </w:pPr>
      <w:r>
        <w:rPr>
          <w:rFonts w:hint="eastAsia" w:cs="Times New Roman"/>
          <w:sz w:val="32"/>
          <w:szCs w:val="32"/>
        </w:rPr>
        <w:t>个人用户单次乘坐公共汽电车的客运周转量数值上与出行里程相等，因此基准线</w:t>
      </w:r>
      <w:r>
        <w:rPr>
          <w:rFonts w:hint="eastAsia"/>
          <w:sz w:val="32"/>
          <w:szCs w:val="32"/>
        </w:rPr>
        <w:t>计算的方法为个人用户的单次乘行里程与机动化出行单位客运周转量加权排放因子的乘积，计算步骤如下</w:t>
      </w:r>
      <w:r>
        <w:rPr>
          <w:rFonts w:cs="Times New Roman"/>
          <w:sz w:val="32"/>
          <w:szCs w:val="32"/>
        </w:rPr>
        <w:t>：</w:t>
      </w:r>
    </w:p>
    <w:p>
      <w:pPr>
        <w:pStyle w:val="4"/>
        <w:spacing w:before="156" w:beforeLines="50" w:after="156" w:afterLines="50" w:line="240" w:lineRule="auto"/>
        <w:rPr>
          <w:sz w:val="32"/>
          <w:szCs w:val="32"/>
        </w:rPr>
      </w:pPr>
      <w:bookmarkStart w:id="136" w:name="_Toc213947377"/>
      <w:bookmarkStart w:id="137" w:name="_Toc28516"/>
      <w:bookmarkStart w:id="138" w:name="_Toc30280"/>
      <w:bookmarkStart w:id="139" w:name="_Toc18014"/>
      <w:bookmarkStart w:id="140" w:name="_Toc18589"/>
      <w:bookmarkStart w:id="141" w:name="_Toc32071"/>
      <w:bookmarkStart w:id="142" w:name="_Toc164769548"/>
      <w:bookmarkStart w:id="143" w:name="_Toc8983"/>
      <w:bookmarkStart w:id="144" w:name="_Toc22592"/>
      <w:bookmarkStart w:id="145" w:name="_Toc175934778"/>
      <w:bookmarkStart w:id="146" w:name="_Toc172908908"/>
      <w:r>
        <w:rPr>
          <w:rFonts w:hint="eastAsia" w:ascii="黑体" w:hAnsi="黑体" w:cs="黑体"/>
          <w:sz w:val="32"/>
          <w:szCs w:val="32"/>
        </w:rPr>
        <w:t>6.3.1</w:t>
      </w:r>
      <w:r>
        <w:rPr>
          <w:rFonts w:hint="eastAsia"/>
          <w:sz w:val="32"/>
          <w:szCs w:val="32"/>
        </w:rPr>
        <w:t xml:space="preserve"> </w:t>
      </w:r>
      <w:r>
        <w:rPr>
          <w:sz w:val="32"/>
          <w:szCs w:val="32"/>
        </w:rPr>
        <w:t>步骤1：确定基准线情形下的出行方式</w:t>
      </w:r>
      <w:bookmarkEnd w:id="136"/>
    </w:p>
    <w:bookmarkEnd w:id="137"/>
    <w:bookmarkEnd w:id="138"/>
    <w:bookmarkEnd w:id="139"/>
    <w:bookmarkEnd w:id="140"/>
    <w:bookmarkEnd w:id="141"/>
    <w:bookmarkEnd w:id="142"/>
    <w:bookmarkEnd w:id="143"/>
    <w:bookmarkEnd w:id="144"/>
    <w:bookmarkEnd w:id="145"/>
    <w:bookmarkEnd w:id="146"/>
    <w:p>
      <w:pPr>
        <w:ind w:firstLine="420"/>
        <w:rPr>
          <w:rFonts w:cs="Times New Roman"/>
          <w:sz w:val="32"/>
          <w:szCs w:val="32"/>
        </w:rPr>
      </w:pPr>
      <w:r>
        <w:rPr>
          <w:rFonts w:hint="eastAsia" w:cs="Times New Roman"/>
          <w:sz w:val="32"/>
          <w:szCs w:val="32"/>
        </w:rPr>
        <w:t>确定选取如下几种机动化</w:t>
      </w:r>
      <w:r>
        <w:rPr>
          <w:rFonts w:cs="Times New Roman"/>
          <w:sz w:val="32"/>
          <w:szCs w:val="32"/>
        </w:rPr>
        <w:t>出行方式：</w:t>
      </w:r>
    </w:p>
    <w:p>
      <w:pPr>
        <w:ind w:left="420" w:leftChars="200" w:firstLine="0" w:firstLineChars="0"/>
        <w:rPr>
          <w:rFonts w:cs="Times New Roman"/>
          <w:sz w:val="32"/>
          <w:szCs w:val="32"/>
        </w:rPr>
      </w:pPr>
      <w:r>
        <w:rPr>
          <w:rFonts w:hint="eastAsia" w:cs="Times New Roman"/>
          <w:sz w:val="32"/>
          <w:szCs w:val="32"/>
        </w:rPr>
        <w:t>（1）</w:t>
      </w:r>
      <w:r>
        <w:rPr>
          <w:rFonts w:cs="Times New Roman"/>
          <w:sz w:val="32"/>
          <w:szCs w:val="32"/>
        </w:rPr>
        <w:t>公共汽</w:t>
      </w:r>
      <w:r>
        <w:rPr>
          <w:rFonts w:hint="eastAsia" w:cs="Times New Roman"/>
          <w:sz w:val="32"/>
          <w:szCs w:val="32"/>
        </w:rPr>
        <w:t>电</w:t>
      </w:r>
      <w:r>
        <w:rPr>
          <w:rFonts w:cs="Times New Roman"/>
          <w:sz w:val="32"/>
          <w:szCs w:val="32"/>
        </w:rPr>
        <w:t>车B；</w:t>
      </w:r>
    </w:p>
    <w:p>
      <w:pPr>
        <w:ind w:left="420" w:leftChars="200" w:firstLine="0" w:firstLineChars="0"/>
        <w:rPr>
          <w:rFonts w:cs="Times New Roman"/>
          <w:sz w:val="32"/>
          <w:szCs w:val="32"/>
        </w:rPr>
      </w:pPr>
      <w:r>
        <w:rPr>
          <w:rFonts w:hint="eastAsia" w:cs="Times New Roman"/>
          <w:sz w:val="32"/>
          <w:szCs w:val="32"/>
        </w:rPr>
        <w:t>（2）</w:t>
      </w:r>
      <w:r>
        <w:rPr>
          <w:rFonts w:cs="Times New Roman"/>
          <w:sz w:val="32"/>
          <w:szCs w:val="32"/>
        </w:rPr>
        <w:t>私家车P</w:t>
      </w:r>
      <w:r>
        <w:rPr>
          <w:rFonts w:hint="eastAsia" w:cs="Times New Roman"/>
          <w:sz w:val="32"/>
          <w:szCs w:val="32"/>
        </w:rPr>
        <w:t>；</w:t>
      </w:r>
    </w:p>
    <w:p>
      <w:pPr>
        <w:ind w:left="420" w:leftChars="200" w:firstLine="0" w:firstLineChars="0"/>
        <w:rPr>
          <w:rFonts w:cs="Times New Roman"/>
          <w:sz w:val="32"/>
          <w:szCs w:val="32"/>
        </w:rPr>
      </w:pPr>
      <w:r>
        <w:rPr>
          <w:rFonts w:hint="eastAsia" w:cs="Times New Roman"/>
          <w:sz w:val="32"/>
          <w:szCs w:val="32"/>
        </w:rPr>
        <w:t>（3）</w:t>
      </w:r>
      <w:r>
        <w:rPr>
          <w:rFonts w:cs="Times New Roman"/>
          <w:sz w:val="32"/>
          <w:szCs w:val="32"/>
        </w:rPr>
        <w:t>出租车T</w:t>
      </w:r>
      <w:r>
        <w:rPr>
          <w:rFonts w:hint="eastAsia" w:cs="Times New Roman"/>
          <w:sz w:val="32"/>
          <w:szCs w:val="32"/>
        </w:rPr>
        <w:t>（含网约车）</w:t>
      </w:r>
      <w:r>
        <w:rPr>
          <w:rFonts w:cs="Times New Roman"/>
          <w:sz w:val="32"/>
          <w:szCs w:val="32"/>
        </w:rPr>
        <w:t>；</w:t>
      </w:r>
    </w:p>
    <w:p>
      <w:pPr>
        <w:ind w:left="420" w:leftChars="200" w:firstLine="0" w:firstLineChars="0"/>
        <w:rPr>
          <w:rFonts w:cs="Times New Roman"/>
          <w:sz w:val="32"/>
          <w:szCs w:val="32"/>
        </w:rPr>
      </w:pPr>
      <w:r>
        <w:rPr>
          <w:rFonts w:hint="eastAsia" w:cs="Times New Roman"/>
          <w:sz w:val="32"/>
          <w:szCs w:val="32"/>
        </w:rPr>
        <w:t>（4）</w:t>
      </w:r>
      <w:r>
        <w:rPr>
          <w:rFonts w:cs="Times New Roman"/>
          <w:sz w:val="32"/>
          <w:szCs w:val="32"/>
        </w:rPr>
        <w:t>电动</w:t>
      </w:r>
      <w:r>
        <w:rPr>
          <w:rFonts w:hint="eastAsia" w:cs="Times New Roman"/>
          <w:sz w:val="32"/>
          <w:szCs w:val="32"/>
        </w:rPr>
        <w:t>自行</w:t>
      </w:r>
      <w:r>
        <w:rPr>
          <w:rFonts w:cs="Times New Roman"/>
          <w:sz w:val="32"/>
          <w:szCs w:val="32"/>
        </w:rPr>
        <w:t>车E</w:t>
      </w:r>
      <w:r>
        <w:rPr>
          <w:rFonts w:hint="eastAsia" w:cs="Times New Roman"/>
          <w:sz w:val="32"/>
          <w:szCs w:val="32"/>
        </w:rPr>
        <w:t>；</w:t>
      </w:r>
    </w:p>
    <w:p>
      <w:pPr>
        <w:ind w:left="420" w:leftChars="200" w:firstLine="0" w:firstLineChars="0"/>
        <w:rPr>
          <w:rFonts w:cs="Times New Roman"/>
          <w:sz w:val="32"/>
          <w:szCs w:val="32"/>
        </w:rPr>
      </w:pPr>
      <w:r>
        <w:rPr>
          <w:rFonts w:hint="eastAsia" w:cs="Times New Roman"/>
          <w:sz w:val="32"/>
          <w:szCs w:val="32"/>
        </w:rPr>
        <w:t>（5）摩托车M。</w:t>
      </w:r>
    </w:p>
    <w:p>
      <w:pPr>
        <w:ind w:left="420" w:leftChars="200" w:firstLine="0" w:firstLineChars="0"/>
        <w:rPr>
          <w:rFonts w:cs="Times New Roman"/>
          <w:sz w:val="32"/>
          <w:szCs w:val="32"/>
        </w:rPr>
      </w:pPr>
      <w:r>
        <w:rPr>
          <w:rFonts w:hint="eastAsia" w:cs="Times New Roman"/>
          <w:sz w:val="32"/>
          <w:szCs w:val="32"/>
        </w:rPr>
        <w:t>非机动车出行（含步行、人力自行车）及</w:t>
      </w:r>
      <w:r>
        <w:rPr>
          <w:rFonts w:cs="Times New Roman"/>
          <w:sz w:val="32"/>
          <w:szCs w:val="32"/>
        </w:rPr>
        <w:t>其他未涵盖出行方式，基准线排放计为零。</w:t>
      </w:r>
    </w:p>
    <w:p>
      <w:pPr>
        <w:pStyle w:val="4"/>
        <w:spacing w:before="156" w:beforeLines="50" w:after="156" w:afterLines="50" w:line="240" w:lineRule="auto"/>
        <w:rPr>
          <w:sz w:val="32"/>
          <w:szCs w:val="32"/>
        </w:rPr>
      </w:pPr>
      <w:bookmarkStart w:id="147" w:name="_Toc175935717"/>
      <w:bookmarkStart w:id="148" w:name="_Toc32094"/>
      <w:bookmarkStart w:id="149" w:name="_Toc172908974"/>
      <w:bookmarkStart w:id="150" w:name="_Toc8456"/>
      <w:bookmarkStart w:id="151" w:name="_Toc15460"/>
      <w:bookmarkStart w:id="152" w:name="_Toc213947378"/>
      <w:bookmarkStart w:id="153" w:name="_Toc164772283"/>
      <w:bookmarkStart w:id="154" w:name="_Toc12010"/>
      <w:r>
        <w:rPr>
          <w:rFonts w:hint="eastAsia" w:ascii="黑体" w:hAnsi="黑体" w:cs="黑体"/>
          <w:sz w:val="32"/>
          <w:szCs w:val="32"/>
        </w:rPr>
        <w:t xml:space="preserve">6.3.2 </w:t>
      </w:r>
      <w:r>
        <w:rPr>
          <w:sz w:val="32"/>
          <w:szCs w:val="32"/>
        </w:rPr>
        <w:t>步骤2：确定每种</w:t>
      </w:r>
      <w:r>
        <w:rPr>
          <w:rFonts w:hint="eastAsia"/>
          <w:sz w:val="32"/>
          <w:szCs w:val="32"/>
        </w:rPr>
        <w:t>机动化</w:t>
      </w:r>
      <w:r>
        <w:rPr>
          <w:sz w:val="32"/>
          <w:szCs w:val="32"/>
        </w:rPr>
        <w:t>出行方式单位里程排放因子</w:t>
      </w:r>
      <w:bookmarkEnd w:id="147"/>
      <w:bookmarkEnd w:id="148"/>
      <w:bookmarkEnd w:id="149"/>
      <w:bookmarkEnd w:id="150"/>
      <w:bookmarkEnd w:id="151"/>
      <w:bookmarkEnd w:id="152"/>
      <w:bookmarkEnd w:id="153"/>
      <w:bookmarkEnd w:id="154"/>
    </w:p>
    <w:p>
      <w:pPr>
        <w:ind w:firstLine="420"/>
        <w:rPr>
          <w:rFonts w:cs="Times New Roman"/>
          <w:sz w:val="32"/>
          <w:szCs w:val="32"/>
        </w:rPr>
      </w:pPr>
      <w:r>
        <w:rPr>
          <w:rFonts w:hint="eastAsia" w:cs="Times New Roman"/>
          <w:sz w:val="32"/>
          <w:szCs w:val="32"/>
        </w:rPr>
        <w:t>每种</w:t>
      </w:r>
      <w:r>
        <w:rPr>
          <w:rFonts w:hint="eastAsia"/>
          <w:sz w:val="32"/>
          <w:szCs w:val="32"/>
        </w:rPr>
        <w:t>机动化</w:t>
      </w:r>
      <w:r>
        <w:rPr>
          <w:rFonts w:hint="eastAsia" w:cs="Times New Roman"/>
          <w:sz w:val="32"/>
          <w:szCs w:val="32"/>
        </w:rPr>
        <w:t>出行方式的</w:t>
      </w:r>
      <w:r>
        <w:rPr>
          <w:rFonts w:cs="Times New Roman"/>
          <w:sz w:val="32"/>
          <w:szCs w:val="32"/>
        </w:rPr>
        <w:t>单位里程排放因子</w:t>
      </w:r>
      <w:r>
        <w:rPr>
          <w:rFonts w:hint="eastAsia" w:cs="Times New Roman"/>
          <w:sz w:val="32"/>
          <w:szCs w:val="32"/>
        </w:rPr>
        <w:t>按照公式（1）计算</w:t>
      </w:r>
      <w:r>
        <w:rPr>
          <w:rFonts w:cs="Times New Roman"/>
          <w:sz w:val="32"/>
          <w:szCs w:val="32"/>
        </w:rPr>
        <w:t>：</w:t>
      </w:r>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2"/>
        <w:gridCol w:w="763"/>
        <w:gridCol w:w="5964"/>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23" w:type="pct"/>
            <w:gridSpan w:val="3"/>
            <w:vAlign w:val="center"/>
          </w:tcPr>
          <w:p>
            <w:pPr>
              <w:spacing w:line="0" w:lineRule="atLeast"/>
              <w:ind w:firstLine="0" w:firstLineChars="0"/>
              <w:jc w:val="center"/>
              <w:rPr>
                <w:rFonts w:cs="Times New Roman"/>
                <w:i/>
                <w:iCs/>
                <w:kern w:val="0"/>
                <w:sz w:val="32"/>
                <w:szCs w:val="32"/>
              </w:rPr>
            </w:pPr>
            <m:oMathPara>
              <m:oMath>
                <m:r>
                  <m:rPr/>
                  <w:rPr>
                    <w:rFonts w:ascii="Cambria Math" w:hAnsi="Cambria Math" w:cs="Times New Roman"/>
                    <w:sz w:val="32"/>
                    <w:szCs w:val="32"/>
                  </w:rPr>
                  <m:t>E</m:t>
                </m:r>
                <m:sSub>
                  <m:sSubPr>
                    <m:ctrlPr>
                      <w:rPr>
                        <w:rFonts w:ascii="Cambria Math" w:hAnsi="Cambria Math" w:cs="Times New Roman"/>
                        <w:i/>
                        <w:sz w:val="32"/>
                        <w:szCs w:val="32"/>
                      </w:rPr>
                    </m:ctrlPr>
                  </m:sSubPr>
                  <m:e>
                    <m:r>
                      <m:rPr/>
                      <w:rPr>
                        <w:rFonts w:ascii="Cambria Math" w:hAnsi="Cambria Math" w:cs="Times New Roman"/>
                        <w:sz w:val="32"/>
                        <w:szCs w:val="32"/>
                      </w:rPr>
                      <m:t>F</m:t>
                    </m:r>
                    <m:ctrlPr>
                      <w:rPr>
                        <w:rFonts w:ascii="Cambria Math" w:hAnsi="Cambria Math" w:cs="Times New Roman"/>
                        <w:i/>
                        <w:sz w:val="32"/>
                        <w:szCs w:val="32"/>
                      </w:rPr>
                    </m:ctrlPr>
                  </m:e>
                  <m:sub>
                    <m:r>
                      <m:rPr/>
                      <w:rPr>
                        <w:rFonts w:ascii="Cambria Math" w:hAnsi="Cambria Math" w:cs="Times New Roman"/>
                        <w:sz w:val="32"/>
                        <w:szCs w:val="32"/>
                      </w:rPr>
                      <m:t>km,i</m:t>
                    </m:r>
                    <m:ctrlPr>
                      <w:rPr>
                        <w:rFonts w:ascii="Cambria Math" w:hAnsi="Cambria Math" w:cs="Times New Roman"/>
                        <w:i/>
                        <w:sz w:val="32"/>
                        <w:szCs w:val="32"/>
                      </w:rPr>
                    </m:ctrlPr>
                  </m:sub>
                </m:sSub>
                <m:r>
                  <m:rPr/>
                  <w:rPr>
                    <w:rFonts w:ascii="Cambria Math" w:cs="Times New Roman"/>
                    <w:sz w:val="32"/>
                    <w:szCs w:val="32"/>
                  </w:rPr>
                  <m:t>=</m:t>
                </m:r>
                <m:nary>
                  <m:naryPr>
                    <m:chr m:val="∑"/>
                    <m:limLoc m:val="undOvr"/>
                    <m:supHide m:val="1"/>
                    <m:ctrlPr>
                      <w:rPr>
                        <w:rFonts w:ascii="Cambria Math" w:hAnsi="Cambria Math" w:cs="Times New Roman"/>
                        <w:i/>
                        <w:sz w:val="32"/>
                        <w:szCs w:val="32"/>
                      </w:rPr>
                    </m:ctrlPr>
                  </m:naryPr>
                  <m:sub>
                    <m:r>
                      <m:rPr/>
                      <w:rPr>
                        <w:rFonts w:ascii="Cambria Math" w:cs="Times New Roman"/>
                        <w:sz w:val="32"/>
                        <w:szCs w:val="32"/>
                      </w:rPr>
                      <m:t>j</m:t>
                    </m:r>
                    <m:ctrlPr>
                      <w:rPr>
                        <w:rFonts w:ascii="Cambria Math" w:hAnsi="Cambria Math" w:cs="Times New Roman"/>
                        <w:i/>
                        <w:sz w:val="32"/>
                        <w:szCs w:val="32"/>
                      </w:rPr>
                    </m:ctrlPr>
                  </m:sub>
                  <m:sup>
                    <m:ctrlPr>
                      <w:rPr>
                        <w:rFonts w:ascii="Cambria Math" w:hAnsi="Cambria Math" w:cs="Times New Roman"/>
                        <w:i/>
                        <w:sz w:val="32"/>
                        <w:szCs w:val="32"/>
                      </w:rPr>
                    </m:ctrlPr>
                  </m:sup>
                  <m:e>
                    <m:r>
                      <m:rPr>
                        <m:sty m:val="p"/>
                      </m:rPr>
                      <w:rPr>
                        <w:rFonts w:hint="eastAsia" w:ascii="Cambria Math" w:hAnsi="Cambria Math" w:cs="Times New Roman"/>
                        <w:sz w:val="32"/>
                        <w:szCs w:val="32"/>
                      </w:rPr>
                      <m:t>（</m:t>
                    </m:r>
                    <m:r>
                      <m:rPr/>
                      <w:rPr>
                        <w:rFonts w:ascii="Cambria Math" w:hAnsi="Cambria Math" w:cs="Times New Roman"/>
                        <w:sz w:val="32"/>
                        <w:szCs w:val="32"/>
                      </w:rPr>
                      <m:t>SE</m:t>
                    </m:r>
                    <m:sSub>
                      <m:sSubPr>
                        <m:ctrlPr>
                          <w:rPr>
                            <w:rFonts w:ascii="Cambria Math" w:hAnsi="Cambria Math" w:cs="Times New Roman"/>
                            <w:i/>
                            <w:sz w:val="32"/>
                            <w:szCs w:val="32"/>
                          </w:rPr>
                        </m:ctrlPr>
                      </m:sSubPr>
                      <m:e>
                        <m:r>
                          <m:rPr/>
                          <w:rPr>
                            <w:rFonts w:ascii="Cambria Math" w:hAnsi="Cambria Math" w:cs="Times New Roman"/>
                            <w:sz w:val="32"/>
                            <w:szCs w:val="32"/>
                          </w:rPr>
                          <m:t>C</m:t>
                        </m:r>
                        <m:ctrlPr>
                          <w:rPr>
                            <w:rFonts w:ascii="Cambria Math" w:hAnsi="Cambria Math" w:cs="Times New Roman"/>
                            <w:i/>
                            <w:sz w:val="32"/>
                            <w:szCs w:val="32"/>
                          </w:rPr>
                        </m:ctrlPr>
                      </m:e>
                      <m:sub>
                        <m:r>
                          <m:rPr/>
                          <w:rPr>
                            <w:rFonts w:ascii="Cambria Math" w:hAnsi="Cambria Math" w:cs="Times New Roman"/>
                            <w:sz w:val="32"/>
                            <w:szCs w:val="32"/>
                          </w:rPr>
                          <m:t>i,j</m:t>
                        </m:r>
                        <m:ctrlPr>
                          <w:rPr>
                            <w:rFonts w:ascii="Cambria Math" w:hAnsi="Cambria Math" w:cs="Times New Roman"/>
                            <w:i/>
                            <w:sz w:val="32"/>
                            <w:szCs w:val="32"/>
                          </w:rPr>
                        </m:ctrlPr>
                      </m:sub>
                    </m:sSub>
                    <m:r>
                      <m:rPr/>
                      <w:rPr>
                        <w:rFonts w:ascii="Cambria Math" w:hAnsi="Cambria Math" w:cs="Times New Roman"/>
                        <w:sz w:val="32"/>
                        <w:szCs w:val="32"/>
                      </w:rPr>
                      <m:t>×E</m:t>
                    </m:r>
                    <m:sSub>
                      <m:sSubPr>
                        <m:ctrlPr>
                          <w:rPr>
                            <w:rFonts w:ascii="Cambria Math" w:hAnsi="Cambria Math" w:cs="Times New Roman"/>
                            <w:i/>
                            <w:sz w:val="32"/>
                            <w:szCs w:val="32"/>
                          </w:rPr>
                        </m:ctrlPr>
                      </m:sSubPr>
                      <m:e>
                        <m:r>
                          <m:rPr/>
                          <w:rPr>
                            <w:rFonts w:ascii="Cambria Math" w:hAnsi="Cambria Math" w:cs="Times New Roman"/>
                            <w:sz w:val="32"/>
                            <w:szCs w:val="32"/>
                          </w:rPr>
                          <m:t>F</m:t>
                        </m:r>
                        <m:ctrlPr>
                          <w:rPr>
                            <w:rFonts w:ascii="Cambria Math" w:hAnsi="Cambria Math" w:cs="Times New Roman"/>
                            <w:i/>
                            <w:sz w:val="32"/>
                            <w:szCs w:val="32"/>
                          </w:rPr>
                        </m:ctrlPr>
                      </m:e>
                      <m:sub>
                        <m:r>
                          <m:rPr/>
                          <w:rPr>
                            <w:rFonts w:ascii="Cambria Math" w:hAnsi="Cambria Math" w:cs="Times New Roman"/>
                            <w:sz w:val="32"/>
                            <w:szCs w:val="32"/>
                          </w:rPr>
                          <m:t>j</m:t>
                        </m:r>
                        <m:ctrlPr>
                          <w:rPr>
                            <w:rFonts w:ascii="Cambria Math" w:hAnsi="Cambria Math" w:cs="Times New Roman"/>
                            <w:i/>
                            <w:sz w:val="32"/>
                            <w:szCs w:val="32"/>
                          </w:rPr>
                        </m:ctrlPr>
                      </m:sub>
                    </m:sSub>
                    <m:r>
                      <m:rPr/>
                      <w:rPr>
                        <w:rFonts w:ascii="Cambria Math" w:hAnsi="Cambria Math" w:cs="Times New Roman"/>
                        <w:sz w:val="32"/>
                        <w:szCs w:val="32"/>
                      </w:rPr>
                      <m:t>×</m:t>
                    </m:r>
                    <m:f>
                      <m:fPr>
                        <m:ctrlPr>
                          <w:rPr>
                            <w:rFonts w:ascii="Cambria Math" w:hAnsi="Cambria Math" w:cs="Times New Roman"/>
                            <w:i/>
                            <w:sz w:val="32"/>
                            <w:szCs w:val="32"/>
                          </w:rPr>
                        </m:ctrlPr>
                      </m:fPr>
                      <m:num>
                        <m:sSub>
                          <m:sSubPr>
                            <m:ctrlPr>
                              <w:rPr>
                                <w:rFonts w:ascii="Cambria Math" w:hAnsi="Cambria Math" w:cs="Times New Roman"/>
                                <w:i/>
                                <w:sz w:val="32"/>
                                <w:szCs w:val="32"/>
                              </w:rPr>
                            </m:ctrlPr>
                          </m:sSubPr>
                          <m:e>
                            <m:r>
                              <m:rPr/>
                              <w:rPr>
                                <w:rFonts w:ascii="Cambria Math" w:hAnsi="Cambria Math" w:cs="Times New Roman"/>
                                <w:sz w:val="32"/>
                                <w:szCs w:val="32"/>
                              </w:rPr>
                              <m:t>N</m:t>
                            </m:r>
                            <m:ctrlPr>
                              <w:rPr>
                                <w:rFonts w:ascii="Cambria Math" w:hAnsi="Cambria Math" w:cs="Times New Roman"/>
                                <w:i/>
                                <w:sz w:val="32"/>
                                <w:szCs w:val="32"/>
                              </w:rPr>
                            </m:ctrlPr>
                          </m:e>
                          <m:sub>
                            <m:r>
                              <m:rPr/>
                              <w:rPr>
                                <w:rFonts w:ascii="Cambria Math" w:hAnsi="Cambria Math" w:cs="Times New Roman"/>
                                <w:sz w:val="32"/>
                                <w:szCs w:val="32"/>
                              </w:rPr>
                              <m:t>i,j</m:t>
                            </m:r>
                            <m:ctrlPr>
                              <w:rPr>
                                <w:rFonts w:ascii="Cambria Math" w:hAnsi="Cambria Math" w:cs="Times New Roman"/>
                                <w:i/>
                                <w:sz w:val="32"/>
                                <w:szCs w:val="32"/>
                              </w:rPr>
                            </m:ctrlPr>
                          </m:sub>
                        </m:sSub>
                        <m:ctrlPr>
                          <w:rPr>
                            <w:rFonts w:ascii="Cambria Math" w:hAnsi="Cambria Math" w:cs="Times New Roman"/>
                            <w:i/>
                            <w:sz w:val="32"/>
                            <w:szCs w:val="32"/>
                          </w:rPr>
                        </m:ctrlPr>
                      </m:num>
                      <m:den>
                        <m:sSub>
                          <m:sSubPr>
                            <m:ctrlPr>
                              <w:rPr>
                                <w:rFonts w:ascii="Cambria Math" w:hAnsi="Cambria Math" w:cs="Times New Roman"/>
                                <w:i/>
                                <w:sz w:val="32"/>
                                <w:szCs w:val="32"/>
                              </w:rPr>
                            </m:ctrlPr>
                          </m:sSubPr>
                          <m:e>
                            <m:r>
                              <m:rPr/>
                              <w:rPr>
                                <w:rFonts w:ascii="Cambria Math" w:hAnsi="Cambria Math" w:cs="Times New Roman"/>
                                <w:sz w:val="32"/>
                                <w:szCs w:val="32"/>
                              </w:rPr>
                              <m:t>N</m:t>
                            </m:r>
                            <m:ctrlPr>
                              <w:rPr>
                                <w:rFonts w:ascii="Cambria Math" w:hAnsi="Cambria Math" w:cs="Times New Roman"/>
                                <w:i/>
                                <w:sz w:val="32"/>
                                <w:szCs w:val="32"/>
                              </w:rPr>
                            </m:ctrlPr>
                          </m:e>
                          <m:sub>
                            <m:r>
                              <m:rPr/>
                              <w:rPr>
                                <w:rFonts w:ascii="Cambria Math" w:hAnsi="Cambria Math" w:cs="Times New Roman"/>
                                <w:sz w:val="32"/>
                                <w:szCs w:val="32"/>
                              </w:rPr>
                              <m:t>i</m:t>
                            </m:r>
                            <m:ctrlPr>
                              <w:rPr>
                                <w:rFonts w:ascii="Cambria Math" w:hAnsi="Cambria Math" w:cs="Times New Roman"/>
                                <w:i/>
                                <w:sz w:val="32"/>
                                <w:szCs w:val="32"/>
                              </w:rPr>
                            </m:ctrlPr>
                          </m:sub>
                        </m:sSub>
                        <m:ctrlPr>
                          <w:rPr>
                            <w:rFonts w:ascii="Cambria Math" w:hAnsi="Cambria Math" w:cs="Times New Roman"/>
                            <w:i/>
                            <w:sz w:val="32"/>
                            <w:szCs w:val="32"/>
                          </w:rPr>
                        </m:ctrlPr>
                      </m:den>
                    </m:f>
                    <m:r>
                      <m:rPr>
                        <m:sty m:val="p"/>
                      </m:rPr>
                      <w:rPr>
                        <w:rFonts w:hint="eastAsia" w:ascii="Cambria Math" w:hAnsi="Cambria Math" w:cs="Times New Roman"/>
                        <w:sz w:val="32"/>
                        <w:szCs w:val="32"/>
                      </w:rPr>
                      <m:t>）</m:t>
                    </m:r>
                    <m:ctrlPr>
                      <w:rPr>
                        <w:rFonts w:ascii="Cambria Math" w:hAnsi="Cambria Math" w:cs="Times New Roman"/>
                        <w:i/>
                        <w:sz w:val="32"/>
                        <w:szCs w:val="32"/>
                      </w:rPr>
                    </m:ctrlPr>
                  </m:e>
                </m:nary>
              </m:oMath>
            </m:oMathPara>
          </w:p>
        </w:tc>
        <w:tc>
          <w:tcPr>
            <w:tcW w:w="477" w:type="pct"/>
            <w:vAlign w:val="center"/>
          </w:tcPr>
          <w:p>
            <w:pPr>
              <w:spacing w:line="0" w:lineRule="atLeast"/>
              <w:ind w:firstLine="0" w:firstLineChars="0"/>
              <w:jc w:val="right"/>
              <w:rPr>
                <w:rFonts w:cs="Times New Roman"/>
                <w:kern w:val="0"/>
                <w:sz w:val="32"/>
                <w:szCs w:val="32"/>
              </w:rPr>
            </w:pPr>
            <w:r>
              <w:rPr>
                <w:rFonts w:hint="eastAsia" w:cs="Times New Roman"/>
                <w:kern w:val="0"/>
                <w:sz w:val="32"/>
                <w:szCs w:val="3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576" w:type="pct"/>
            <w:vAlign w:val="center"/>
          </w:tcPr>
          <w:p>
            <w:pPr>
              <w:ind w:firstLine="0" w:firstLineChars="0"/>
              <w:jc w:val="left"/>
              <w:rPr>
                <w:rFonts w:ascii="Cambria Math" w:hAnsi="Cambria Math" w:cs="Times New Roman"/>
                <w:sz w:val="32"/>
                <w:szCs w:val="32"/>
                <w:oMath/>
              </w:rPr>
            </w:pPr>
            <w:r>
              <w:rPr>
                <w:rFonts w:hint="eastAsia" w:cs="Times New Roman"/>
                <w:sz w:val="32"/>
                <w:szCs w:val="32"/>
              </w:rPr>
              <w:t>式</w:t>
            </w:r>
            <w:r>
              <w:rPr>
                <w:rFonts w:cs="Times New Roman"/>
                <w:sz w:val="32"/>
                <w:szCs w:val="32"/>
              </w:rPr>
              <w:t>中</w:t>
            </w:r>
            <w:r>
              <w:rPr>
                <w:rFonts w:hint="eastAsia" w:cs="Times New Roman"/>
                <w:sz w:val="32"/>
                <w:szCs w:val="32"/>
              </w:rPr>
              <w:t>：</w:t>
            </w:r>
          </w:p>
        </w:tc>
        <w:tc>
          <w:tcPr>
            <w:tcW w:w="448" w:type="pct"/>
            <w:vAlign w:val="center"/>
          </w:tcPr>
          <w:p>
            <w:pPr>
              <w:spacing w:line="0" w:lineRule="atLeast"/>
              <w:ind w:firstLine="0" w:firstLineChars="0"/>
              <w:jc w:val="center"/>
              <w:rPr>
                <w:rFonts w:cs="Times New Roman"/>
                <w:i/>
                <w:iCs/>
                <w:kern w:val="0"/>
                <w:sz w:val="32"/>
                <w:szCs w:val="32"/>
              </w:rPr>
            </w:pPr>
          </w:p>
        </w:tc>
        <w:tc>
          <w:tcPr>
            <w:tcW w:w="3976" w:type="pct"/>
            <w:gridSpan w:val="2"/>
            <w:vAlign w:val="center"/>
          </w:tcPr>
          <w:p>
            <w:pPr>
              <w:spacing w:line="0" w:lineRule="atLeast"/>
              <w:ind w:firstLine="0" w:firstLineChars="0"/>
              <w:jc w:val="left"/>
              <w:rPr>
                <w:rFonts w:cs="Times New Roman"/>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576" w:type="pct"/>
            <w:vAlign w:val="center"/>
          </w:tcPr>
          <w:p>
            <w:pPr>
              <w:spacing w:line="0" w:lineRule="atLeast"/>
              <w:ind w:firstLine="0" w:firstLineChars="0"/>
              <w:jc w:val="right"/>
              <w:rPr>
                <w:rFonts w:cs="Times New Roman"/>
                <w:i/>
                <w:iCs/>
                <w:kern w:val="0"/>
                <w:sz w:val="32"/>
                <w:szCs w:val="32"/>
              </w:rPr>
            </w:pPr>
            <m:oMathPara>
              <m:oMathParaPr>
                <m:jc m:val="left"/>
              </m:oMathParaPr>
              <m:oMath>
                <m:r>
                  <m:rPr/>
                  <w:rPr>
                    <w:rFonts w:ascii="Cambria Math" w:hAnsi="Cambria Math" w:cs="Times New Roman"/>
                    <w:sz w:val="32"/>
                    <w:szCs w:val="32"/>
                  </w:rPr>
                  <m:t>E</m:t>
                </m:r>
                <m:sSub>
                  <m:sSubPr>
                    <m:ctrlPr>
                      <w:rPr>
                        <w:rFonts w:ascii="Cambria Math" w:hAnsi="Cambria Math" w:cs="Times New Roman"/>
                        <w:i/>
                        <w:sz w:val="32"/>
                        <w:szCs w:val="32"/>
                      </w:rPr>
                    </m:ctrlPr>
                  </m:sSubPr>
                  <m:e>
                    <m:r>
                      <m:rPr/>
                      <w:rPr>
                        <w:rFonts w:ascii="Cambria Math" w:hAnsi="Cambria Math" w:cs="Times New Roman"/>
                        <w:sz w:val="32"/>
                        <w:szCs w:val="32"/>
                      </w:rPr>
                      <m:t>F</m:t>
                    </m:r>
                    <m:ctrlPr>
                      <w:rPr>
                        <w:rFonts w:ascii="Cambria Math" w:hAnsi="Cambria Math" w:cs="Times New Roman"/>
                        <w:i/>
                        <w:sz w:val="32"/>
                        <w:szCs w:val="32"/>
                      </w:rPr>
                    </m:ctrlPr>
                  </m:e>
                  <m:sub>
                    <m:r>
                      <m:rPr/>
                      <w:rPr>
                        <w:rFonts w:ascii="Cambria Math" w:hAnsi="Cambria Math" w:cs="Times New Roman"/>
                        <w:sz w:val="32"/>
                        <w:szCs w:val="32"/>
                      </w:rPr>
                      <m:t>km,i</m:t>
                    </m:r>
                    <m:ctrlPr>
                      <w:rPr>
                        <w:rFonts w:ascii="Cambria Math" w:hAnsi="Cambria Math" w:cs="Times New Roman"/>
                        <w:i/>
                        <w:sz w:val="32"/>
                        <w:szCs w:val="32"/>
                      </w:rPr>
                    </m:ctrlPr>
                  </m:sub>
                </m:sSub>
              </m:oMath>
            </m:oMathPara>
          </w:p>
        </w:tc>
        <w:tc>
          <w:tcPr>
            <w:tcW w:w="448" w:type="pct"/>
            <w:vAlign w:val="center"/>
          </w:tcPr>
          <w:p>
            <w:pPr>
              <w:spacing w:line="0" w:lineRule="atLeast"/>
              <w:ind w:firstLine="0" w:firstLineChars="0"/>
              <w:jc w:val="center"/>
              <w:rPr>
                <w:rFonts w:cs="Times New Roman"/>
                <w:i/>
                <w:iCs/>
                <w:kern w:val="0"/>
                <w:sz w:val="32"/>
                <w:szCs w:val="32"/>
              </w:rPr>
            </w:pPr>
            <w:r>
              <w:rPr>
                <w:rFonts w:cs="Times New Roman"/>
                <w:i/>
                <w:iCs/>
                <w:kern w:val="0"/>
                <w:sz w:val="32"/>
                <w:szCs w:val="32"/>
              </w:rPr>
              <w:t>——</w:t>
            </w:r>
          </w:p>
        </w:tc>
        <w:tc>
          <w:tcPr>
            <w:tcW w:w="3976" w:type="pct"/>
            <w:gridSpan w:val="2"/>
            <w:vAlign w:val="center"/>
          </w:tcPr>
          <w:p>
            <w:pPr>
              <w:spacing w:line="0" w:lineRule="atLeast"/>
              <w:ind w:firstLine="0" w:firstLineChars="0"/>
              <w:jc w:val="left"/>
              <w:rPr>
                <w:rFonts w:cs="Times New Roman"/>
                <w:kern w:val="0"/>
                <w:sz w:val="32"/>
                <w:szCs w:val="32"/>
              </w:rPr>
            </w:pPr>
            <w:r>
              <w:rPr>
                <w:rFonts w:hint="eastAsia" w:cs="Times New Roman"/>
                <w:kern w:val="0"/>
                <w:sz w:val="32"/>
                <w:szCs w:val="32"/>
              </w:rPr>
              <w:t>第i种出行方式的单位里程碳排放因子，</w:t>
            </w:r>
            <w:r>
              <w:rPr>
                <w:rFonts w:hint="eastAsia" w:cs="Times New Roman"/>
                <w:sz w:val="32"/>
                <w:szCs w:val="32"/>
              </w:rPr>
              <w:t>单位为千克二氧化碳每公里</w:t>
            </w:r>
            <w:r>
              <w:rPr>
                <w:rFonts w:hint="eastAsia" w:cs="Times New Roman"/>
                <w:kern w:val="0"/>
                <w:sz w:val="32"/>
                <w:szCs w:val="32"/>
              </w:rPr>
              <w:t>（kgCO</w:t>
            </w:r>
            <w:r>
              <w:rPr>
                <w:rFonts w:hint="eastAsia" w:cs="Times New Roman"/>
                <w:kern w:val="0"/>
                <w:sz w:val="32"/>
                <w:szCs w:val="32"/>
                <w:vertAlign w:val="subscript"/>
              </w:rPr>
              <w:t>2</w:t>
            </w:r>
            <w:r>
              <w:rPr>
                <w:rFonts w:hint="eastAsia" w:cs="Times New Roman"/>
                <w:kern w:val="0"/>
                <w:sz w:val="32"/>
                <w:szCs w:val="32"/>
              </w:rPr>
              <w:t>/km）；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76" w:type="pct"/>
            <w:vAlign w:val="center"/>
          </w:tcPr>
          <w:p>
            <w:pPr>
              <w:spacing w:line="0" w:lineRule="atLeast"/>
              <w:ind w:firstLine="0" w:firstLineChars="0"/>
              <w:jc w:val="right"/>
              <w:rPr>
                <w:rFonts w:cs="Times New Roman"/>
                <w:i/>
                <w:iCs/>
                <w:kern w:val="0"/>
                <w:sz w:val="32"/>
                <w:szCs w:val="32"/>
              </w:rPr>
            </w:pPr>
            <m:oMathPara>
              <m:oMathParaPr>
                <m:jc m:val="left"/>
              </m:oMathParaPr>
              <m:oMath>
                <m:r>
                  <m:rPr/>
                  <w:rPr>
                    <w:rFonts w:ascii="Cambria Math" w:cs="Times New Roman"/>
                    <w:sz w:val="32"/>
                    <w:szCs w:val="32"/>
                  </w:rPr>
                  <m:t>SE</m:t>
                </m:r>
                <m:sSub>
                  <m:sSubPr>
                    <m:ctrlPr>
                      <w:rPr>
                        <w:rFonts w:ascii="Cambria Math" w:hAnsi="Cambria Math" w:cs="Times New Roman"/>
                        <w:i/>
                        <w:sz w:val="32"/>
                        <w:szCs w:val="32"/>
                      </w:rPr>
                    </m:ctrlPr>
                  </m:sSubPr>
                  <m:e>
                    <m:r>
                      <m:rPr/>
                      <w:rPr>
                        <w:rFonts w:ascii="Cambria Math" w:cs="Times New Roman"/>
                        <w:sz w:val="32"/>
                        <w:szCs w:val="32"/>
                      </w:rPr>
                      <m:t>C</m:t>
                    </m:r>
                    <m:ctrlPr>
                      <w:rPr>
                        <w:rFonts w:ascii="Cambria Math" w:hAnsi="Cambria Math" w:cs="Times New Roman"/>
                        <w:i/>
                        <w:sz w:val="32"/>
                        <w:szCs w:val="32"/>
                      </w:rPr>
                    </m:ctrlPr>
                  </m:e>
                  <m:sub>
                    <m:r>
                      <m:rPr/>
                      <w:rPr>
                        <w:rFonts w:ascii="Cambria Math" w:cs="Times New Roman"/>
                        <w:sz w:val="32"/>
                        <w:szCs w:val="32"/>
                      </w:rPr>
                      <m:t>i,j</m:t>
                    </m:r>
                    <m:ctrlPr>
                      <w:rPr>
                        <w:rFonts w:ascii="Cambria Math" w:hAnsi="Cambria Math" w:cs="Times New Roman"/>
                        <w:i/>
                        <w:sz w:val="32"/>
                        <w:szCs w:val="32"/>
                      </w:rPr>
                    </m:ctrlPr>
                  </m:sub>
                </m:sSub>
              </m:oMath>
            </m:oMathPara>
          </w:p>
        </w:tc>
        <w:tc>
          <w:tcPr>
            <w:tcW w:w="448" w:type="pct"/>
            <w:vAlign w:val="center"/>
          </w:tcPr>
          <w:p>
            <w:pPr>
              <w:spacing w:line="0" w:lineRule="atLeast"/>
              <w:ind w:firstLine="0" w:firstLineChars="0"/>
              <w:jc w:val="center"/>
              <w:rPr>
                <w:rFonts w:cs="Times New Roman"/>
                <w:i/>
                <w:iCs/>
                <w:kern w:val="0"/>
                <w:sz w:val="32"/>
                <w:szCs w:val="32"/>
              </w:rPr>
            </w:pPr>
            <w:r>
              <w:rPr>
                <w:rFonts w:cs="Times New Roman"/>
                <w:i/>
                <w:iCs/>
                <w:kern w:val="0"/>
                <w:sz w:val="32"/>
                <w:szCs w:val="32"/>
              </w:rPr>
              <w:t>——</w:t>
            </w:r>
          </w:p>
        </w:tc>
        <w:tc>
          <w:tcPr>
            <w:tcW w:w="3976" w:type="pct"/>
            <w:gridSpan w:val="2"/>
            <w:vAlign w:val="center"/>
          </w:tcPr>
          <w:p>
            <w:pPr>
              <w:spacing w:line="0" w:lineRule="atLeast"/>
              <w:ind w:firstLine="0" w:firstLineChars="0"/>
              <w:jc w:val="left"/>
              <w:rPr>
                <w:rFonts w:cs="Times New Roman"/>
                <w:kern w:val="0"/>
                <w:sz w:val="32"/>
                <w:szCs w:val="32"/>
              </w:rPr>
            </w:pPr>
            <w:r>
              <w:rPr>
                <w:rFonts w:hint="eastAsia" w:cs="Times New Roman"/>
                <w:kern w:val="0"/>
                <w:sz w:val="32"/>
                <w:szCs w:val="32"/>
              </w:rPr>
              <w:t>第i种出行方式使用第j类能源的单位里程消耗量，单位为千克每公里、千瓦时每公里、标立方每公里（kg/km、kWh/km、Nm</w:t>
            </w:r>
            <w:r>
              <w:rPr>
                <w:rFonts w:hint="eastAsia" w:cs="Times New Roman"/>
                <w:kern w:val="0"/>
                <w:sz w:val="32"/>
                <w:szCs w:val="32"/>
                <w:vertAlign w:val="superscript"/>
              </w:rPr>
              <w:t>3</w:t>
            </w:r>
            <w:r>
              <w:rPr>
                <w:rFonts w:hint="eastAsia" w:cs="Times New Roman"/>
                <w:kern w:val="0"/>
                <w:sz w:val="32"/>
                <w:szCs w:val="32"/>
              </w:rPr>
              <w:t>/km）；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76" w:type="pct"/>
            <w:vAlign w:val="center"/>
          </w:tcPr>
          <w:p>
            <w:pPr>
              <w:spacing w:line="0" w:lineRule="atLeast"/>
              <w:ind w:firstLine="0" w:firstLineChars="0"/>
              <w:jc w:val="right"/>
              <w:rPr>
                <w:rFonts w:cs="Times New Roman"/>
                <w:i/>
                <w:iCs/>
                <w:kern w:val="0"/>
                <w:position w:val="-34"/>
                <w:sz w:val="32"/>
                <w:szCs w:val="32"/>
              </w:rPr>
            </w:pPr>
            <m:oMathPara>
              <m:oMathParaPr>
                <m:jc m:val="left"/>
              </m:oMathParaPr>
              <m:oMath>
                <m:r>
                  <m:rPr/>
                  <w:rPr>
                    <w:rFonts w:ascii="Cambria Math" w:cs="Times New Roman"/>
                    <w:sz w:val="32"/>
                    <w:szCs w:val="32"/>
                  </w:rPr>
                  <m:t>E</m:t>
                </m:r>
                <m:sSub>
                  <m:sSubPr>
                    <m:ctrlPr>
                      <w:rPr>
                        <w:rFonts w:ascii="Cambria Math" w:hAnsi="Cambria Math" w:cs="Times New Roman"/>
                        <w:i/>
                        <w:sz w:val="32"/>
                        <w:szCs w:val="32"/>
                      </w:rPr>
                    </m:ctrlPr>
                  </m:sSubPr>
                  <m:e>
                    <m:r>
                      <m:rPr/>
                      <w:rPr>
                        <w:rFonts w:ascii="Cambria Math" w:cs="Times New Roman"/>
                        <w:sz w:val="32"/>
                        <w:szCs w:val="32"/>
                      </w:rPr>
                      <m:t>F</m:t>
                    </m:r>
                    <m:ctrlPr>
                      <w:rPr>
                        <w:rFonts w:ascii="Cambria Math" w:hAnsi="Cambria Math" w:cs="Times New Roman"/>
                        <w:i/>
                        <w:sz w:val="32"/>
                        <w:szCs w:val="32"/>
                      </w:rPr>
                    </m:ctrlPr>
                  </m:e>
                  <m:sub>
                    <m:r>
                      <m:rPr/>
                      <w:rPr>
                        <w:rFonts w:ascii="Cambria Math" w:cs="Times New Roman"/>
                        <w:sz w:val="32"/>
                        <w:szCs w:val="32"/>
                      </w:rPr>
                      <m:t>j</m:t>
                    </m:r>
                    <m:ctrlPr>
                      <w:rPr>
                        <w:rFonts w:ascii="Cambria Math" w:hAnsi="Cambria Math" w:cs="Times New Roman"/>
                        <w:i/>
                        <w:sz w:val="32"/>
                        <w:szCs w:val="32"/>
                      </w:rPr>
                    </m:ctrlPr>
                  </m:sub>
                </m:sSub>
              </m:oMath>
            </m:oMathPara>
          </w:p>
        </w:tc>
        <w:tc>
          <w:tcPr>
            <w:tcW w:w="448" w:type="pct"/>
            <w:vAlign w:val="center"/>
          </w:tcPr>
          <w:p>
            <w:pPr>
              <w:spacing w:line="0" w:lineRule="atLeast"/>
              <w:ind w:firstLine="0" w:firstLineChars="0"/>
              <w:jc w:val="center"/>
              <w:rPr>
                <w:rFonts w:cs="Times New Roman"/>
                <w:i/>
                <w:iCs/>
                <w:kern w:val="0"/>
                <w:position w:val="-34"/>
                <w:sz w:val="32"/>
                <w:szCs w:val="32"/>
              </w:rPr>
            </w:pPr>
            <w:r>
              <w:rPr>
                <w:rFonts w:cs="Times New Roman"/>
                <w:i/>
                <w:iCs/>
                <w:kern w:val="0"/>
                <w:sz w:val="32"/>
                <w:szCs w:val="32"/>
              </w:rPr>
              <w:t>——</w:t>
            </w:r>
          </w:p>
        </w:tc>
        <w:tc>
          <w:tcPr>
            <w:tcW w:w="3976" w:type="pct"/>
            <w:gridSpan w:val="2"/>
            <w:vAlign w:val="center"/>
          </w:tcPr>
          <w:p>
            <w:pPr>
              <w:spacing w:line="0" w:lineRule="atLeast"/>
              <w:ind w:firstLine="0" w:firstLineChars="0"/>
              <w:jc w:val="left"/>
              <w:rPr>
                <w:rFonts w:cs="Times New Roman"/>
                <w:kern w:val="0"/>
                <w:sz w:val="32"/>
                <w:szCs w:val="32"/>
              </w:rPr>
            </w:pPr>
            <w:r>
              <w:rPr>
                <w:rFonts w:hint="eastAsia" w:cs="Times New Roman"/>
                <w:kern w:val="0"/>
                <w:sz w:val="32"/>
                <w:szCs w:val="32"/>
              </w:rPr>
              <w:t>第j类能源的碳排放因子，单位为千克二氧化碳每千克、千克二氧化碳每千瓦时、千克二氧化碳每标立方米（kgCO</w:t>
            </w:r>
            <w:r>
              <w:rPr>
                <w:rFonts w:hint="eastAsia" w:cs="Times New Roman"/>
                <w:kern w:val="0"/>
                <w:sz w:val="32"/>
                <w:szCs w:val="32"/>
                <w:vertAlign w:val="subscript"/>
              </w:rPr>
              <w:t>2</w:t>
            </w:r>
            <w:r>
              <w:rPr>
                <w:rFonts w:hint="eastAsia" w:cs="Times New Roman"/>
                <w:kern w:val="0"/>
                <w:sz w:val="32"/>
                <w:szCs w:val="32"/>
              </w:rPr>
              <w:t>/kg、kgCO</w:t>
            </w:r>
            <w:r>
              <w:rPr>
                <w:rFonts w:hint="eastAsia" w:cs="Times New Roman"/>
                <w:kern w:val="0"/>
                <w:sz w:val="32"/>
                <w:szCs w:val="32"/>
                <w:vertAlign w:val="subscript"/>
              </w:rPr>
              <w:t>2</w:t>
            </w:r>
            <w:r>
              <w:rPr>
                <w:rFonts w:hint="eastAsia" w:cs="Times New Roman"/>
                <w:kern w:val="0"/>
                <w:sz w:val="32"/>
                <w:szCs w:val="32"/>
              </w:rPr>
              <w:t>/kWh、kgCO</w:t>
            </w:r>
            <w:r>
              <w:rPr>
                <w:rFonts w:hint="eastAsia" w:cs="Times New Roman"/>
                <w:kern w:val="0"/>
                <w:sz w:val="32"/>
                <w:szCs w:val="32"/>
                <w:vertAlign w:val="subscript"/>
              </w:rPr>
              <w:t>2</w:t>
            </w:r>
            <w:r>
              <w:rPr>
                <w:rFonts w:hint="eastAsia" w:cs="Times New Roman"/>
                <w:kern w:val="0"/>
                <w:sz w:val="32"/>
                <w:szCs w:val="32"/>
              </w:rPr>
              <w:t>/Nm</w:t>
            </w:r>
            <w:r>
              <w:rPr>
                <w:rFonts w:hint="eastAsia" w:cs="Times New Roman"/>
                <w:kern w:val="0"/>
                <w:sz w:val="32"/>
                <w:szCs w:val="32"/>
                <w:vertAlign w:val="superscript"/>
              </w:rPr>
              <w:t>3</w:t>
            </w:r>
            <w:r>
              <w:rPr>
                <w:rFonts w:hint="eastAsia" w:cs="Times New Roman"/>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76" w:type="pct"/>
            <w:vAlign w:val="center"/>
          </w:tcPr>
          <w:p>
            <w:pPr>
              <w:spacing w:line="0" w:lineRule="atLeast"/>
              <w:ind w:firstLine="0" w:firstLineChars="0"/>
              <w:jc w:val="right"/>
              <w:rPr>
                <w:rFonts w:ascii="Cambria Math" w:hAnsi="Cambria Math" w:cs="Times New Roman"/>
                <w:sz w:val="32"/>
                <w:szCs w:val="32"/>
                <w:oMath/>
              </w:rPr>
            </w:pPr>
            <m:oMathPara>
              <m:oMathParaPr>
                <m:jc m:val="left"/>
              </m:oMathParaPr>
              <m:oMath>
                <m:sSub>
                  <m:sSubPr>
                    <m:ctrlPr>
                      <w:rPr>
                        <w:rFonts w:ascii="Cambria Math" w:hAnsi="Cambria Math" w:cs="Times New Roman"/>
                        <w:i/>
                        <w:sz w:val="32"/>
                        <w:szCs w:val="32"/>
                      </w:rPr>
                    </m:ctrlPr>
                  </m:sSubPr>
                  <m:e>
                    <m:r>
                      <m:rPr/>
                      <w:rPr>
                        <w:rFonts w:ascii="Cambria Math" w:cs="Times New Roman"/>
                        <w:sz w:val="32"/>
                        <w:szCs w:val="32"/>
                      </w:rPr>
                      <m:t>N</m:t>
                    </m:r>
                    <m:ctrlPr>
                      <w:rPr>
                        <w:rFonts w:ascii="Cambria Math" w:hAnsi="Cambria Math" w:cs="Times New Roman"/>
                        <w:i/>
                        <w:sz w:val="32"/>
                        <w:szCs w:val="32"/>
                      </w:rPr>
                    </m:ctrlPr>
                  </m:e>
                  <m:sub>
                    <m:r>
                      <m:rPr/>
                      <w:rPr>
                        <w:rFonts w:ascii="Cambria Math" w:cs="Times New Roman"/>
                        <w:sz w:val="32"/>
                        <w:szCs w:val="32"/>
                      </w:rPr>
                      <m:t>i,j</m:t>
                    </m:r>
                    <m:ctrlPr>
                      <w:rPr>
                        <w:rFonts w:ascii="Cambria Math" w:hAnsi="Cambria Math" w:cs="Times New Roman"/>
                        <w:i/>
                        <w:sz w:val="32"/>
                        <w:szCs w:val="32"/>
                      </w:rPr>
                    </m:ctrlPr>
                  </m:sub>
                </m:sSub>
              </m:oMath>
            </m:oMathPara>
          </w:p>
        </w:tc>
        <w:tc>
          <w:tcPr>
            <w:tcW w:w="448" w:type="pct"/>
            <w:vAlign w:val="center"/>
          </w:tcPr>
          <w:p>
            <w:pPr>
              <w:spacing w:line="0" w:lineRule="atLeast"/>
              <w:ind w:firstLine="0" w:firstLineChars="0"/>
              <w:jc w:val="center"/>
              <w:rPr>
                <w:rFonts w:cs="Times New Roman"/>
                <w:i/>
                <w:iCs/>
                <w:kern w:val="0"/>
                <w:sz w:val="32"/>
                <w:szCs w:val="32"/>
              </w:rPr>
            </w:pPr>
            <w:r>
              <w:rPr>
                <w:rFonts w:cs="Times New Roman"/>
                <w:i/>
                <w:iCs/>
                <w:kern w:val="0"/>
                <w:sz w:val="32"/>
                <w:szCs w:val="32"/>
              </w:rPr>
              <w:t>——</w:t>
            </w:r>
          </w:p>
        </w:tc>
        <w:tc>
          <w:tcPr>
            <w:tcW w:w="3976" w:type="pct"/>
            <w:gridSpan w:val="2"/>
            <w:vAlign w:val="center"/>
          </w:tcPr>
          <w:p>
            <w:pPr>
              <w:spacing w:line="0" w:lineRule="atLeast"/>
              <w:ind w:firstLine="0" w:firstLineChars="0"/>
              <w:jc w:val="left"/>
              <w:rPr>
                <w:rFonts w:cs="Times New Roman"/>
                <w:sz w:val="32"/>
                <w:szCs w:val="32"/>
              </w:rPr>
            </w:pPr>
            <w:r>
              <w:rPr>
                <w:rFonts w:hint="eastAsia" w:cs="Times New Roman"/>
                <w:kern w:val="0"/>
                <w:sz w:val="32"/>
                <w:szCs w:val="32"/>
              </w:rPr>
              <w:t>第i种出行方式使用第j类能源的行驶总里程，单位为公里（km）；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576" w:type="pct"/>
            <w:vAlign w:val="center"/>
          </w:tcPr>
          <w:p>
            <w:pPr>
              <w:spacing w:line="0" w:lineRule="atLeast"/>
              <w:ind w:firstLine="0" w:firstLineChars="0"/>
              <w:jc w:val="right"/>
              <w:rPr>
                <w:rFonts w:cs="Times New Roman"/>
                <w:i/>
                <w:iCs/>
                <w:kern w:val="0"/>
                <w:sz w:val="32"/>
                <w:szCs w:val="32"/>
              </w:rPr>
            </w:pPr>
            <m:oMathPara>
              <m:oMathParaPr>
                <m:jc m:val="left"/>
              </m:oMathParaPr>
              <m:oMath>
                <m:sSub>
                  <m:sSubPr>
                    <m:ctrlPr>
                      <w:rPr>
                        <w:rFonts w:ascii="Cambria Math" w:hAnsi="Cambria Math" w:cs="Times New Roman"/>
                        <w:i/>
                        <w:sz w:val="32"/>
                        <w:szCs w:val="32"/>
                      </w:rPr>
                    </m:ctrlPr>
                  </m:sSubPr>
                  <m:e>
                    <m:r>
                      <m:rPr/>
                      <w:rPr>
                        <w:rFonts w:ascii="Cambria Math" w:cs="Times New Roman"/>
                        <w:sz w:val="32"/>
                        <w:szCs w:val="32"/>
                      </w:rPr>
                      <m:t>N</m:t>
                    </m:r>
                    <m:ctrlPr>
                      <w:rPr>
                        <w:rFonts w:ascii="Cambria Math" w:hAnsi="Cambria Math" w:cs="Times New Roman"/>
                        <w:i/>
                        <w:sz w:val="32"/>
                        <w:szCs w:val="32"/>
                      </w:rPr>
                    </m:ctrlPr>
                  </m:e>
                  <m:sub>
                    <m:r>
                      <m:rPr/>
                      <w:rPr>
                        <w:rFonts w:ascii="Cambria Math" w:cs="Times New Roman"/>
                        <w:sz w:val="32"/>
                        <w:szCs w:val="32"/>
                      </w:rPr>
                      <m:t>i</m:t>
                    </m:r>
                    <m:ctrlPr>
                      <w:rPr>
                        <w:rFonts w:ascii="Cambria Math" w:hAnsi="Cambria Math" w:cs="Times New Roman"/>
                        <w:i/>
                        <w:sz w:val="32"/>
                        <w:szCs w:val="32"/>
                      </w:rPr>
                    </m:ctrlPr>
                  </m:sub>
                </m:sSub>
              </m:oMath>
            </m:oMathPara>
          </w:p>
        </w:tc>
        <w:tc>
          <w:tcPr>
            <w:tcW w:w="448" w:type="pct"/>
            <w:vAlign w:val="center"/>
          </w:tcPr>
          <w:p>
            <w:pPr>
              <w:spacing w:line="0" w:lineRule="atLeast"/>
              <w:ind w:firstLine="0" w:firstLineChars="0"/>
              <w:jc w:val="center"/>
              <w:rPr>
                <w:rFonts w:cs="Times New Roman"/>
                <w:i/>
                <w:iCs/>
                <w:kern w:val="0"/>
                <w:sz w:val="32"/>
                <w:szCs w:val="32"/>
              </w:rPr>
            </w:pPr>
            <w:r>
              <w:rPr>
                <w:rFonts w:cs="Times New Roman"/>
                <w:i/>
                <w:iCs/>
                <w:kern w:val="0"/>
                <w:sz w:val="32"/>
                <w:szCs w:val="32"/>
              </w:rPr>
              <w:t>——</w:t>
            </w:r>
          </w:p>
        </w:tc>
        <w:tc>
          <w:tcPr>
            <w:tcW w:w="3976" w:type="pct"/>
            <w:gridSpan w:val="2"/>
            <w:vAlign w:val="center"/>
          </w:tcPr>
          <w:p>
            <w:pPr>
              <w:spacing w:line="0" w:lineRule="atLeast"/>
              <w:ind w:firstLine="0" w:firstLineChars="0"/>
              <w:jc w:val="left"/>
              <w:rPr>
                <w:rFonts w:cs="Times New Roman"/>
                <w:i/>
                <w:iCs/>
                <w:kern w:val="0"/>
                <w:sz w:val="32"/>
                <w:szCs w:val="32"/>
              </w:rPr>
            </w:pPr>
            <w:r>
              <w:rPr>
                <w:rFonts w:hint="eastAsia" w:cs="Times New Roman"/>
                <w:kern w:val="0"/>
                <w:sz w:val="32"/>
                <w:szCs w:val="32"/>
              </w:rPr>
              <w:t>第i种</w:t>
            </w:r>
            <w:r>
              <w:rPr>
                <w:rFonts w:cs="Times New Roman"/>
                <w:kern w:val="0"/>
                <w:sz w:val="32"/>
                <w:szCs w:val="32"/>
              </w:rPr>
              <w:t>出行方式</w:t>
            </w:r>
            <w:r>
              <w:rPr>
                <w:rFonts w:hint="eastAsia" w:cs="Times New Roman"/>
                <w:kern w:val="0"/>
                <w:sz w:val="32"/>
                <w:szCs w:val="32"/>
              </w:rPr>
              <w:t>的行驶</w:t>
            </w:r>
            <w:r>
              <w:rPr>
                <w:rFonts w:cs="Times New Roman"/>
                <w:kern w:val="0"/>
                <w:sz w:val="32"/>
                <w:szCs w:val="32"/>
              </w:rPr>
              <w:t>总里程</w:t>
            </w:r>
            <w:r>
              <w:rPr>
                <w:rFonts w:hint="eastAsia" w:cs="Times New Roman"/>
                <w:kern w:val="0"/>
                <w:sz w:val="32"/>
                <w:szCs w:val="32"/>
              </w:rPr>
              <w:t>，单位为公里</w:t>
            </w:r>
            <w:r>
              <w:rPr>
                <w:rFonts w:cs="Times New Roman"/>
                <w:kern w:val="0"/>
                <w:sz w:val="32"/>
                <w:szCs w:val="32"/>
              </w:rPr>
              <w:t>（km）</w:t>
            </w:r>
            <w:r>
              <w:rPr>
                <w:rFonts w:hint="eastAsia" w:cs="Times New Roman"/>
                <w:kern w:val="0"/>
                <w:sz w:val="32"/>
                <w:szCs w:val="32"/>
              </w:rPr>
              <w:t>。</w:t>
            </w:r>
          </w:p>
        </w:tc>
      </w:tr>
    </w:tbl>
    <w:p>
      <w:pPr>
        <w:pStyle w:val="4"/>
        <w:spacing w:before="156" w:beforeLines="50" w:after="156" w:afterLines="50" w:line="240" w:lineRule="auto"/>
        <w:rPr>
          <w:sz w:val="32"/>
          <w:szCs w:val="32"/>
        </w:rPr>
      </w:pPr>
      <w:bookmarkStart w:id="155" w:name="_Toc175935718"/>
      <w:bookmarkStart w:id="156" w:name="_Toc3096"/>
      <w:bookmarkStart w:id="157" w:name="_Toc4847"/>
      <w:bookmarkStart w:id="158" w:name="_Toc172908975"/>
      <w:bookmarkStart w:id="159" w:name="_Toc164772284"/>
      <w:bookmarkStart w:id="160" w:name="_Toc28653"/>
      <w:bookmarkStart w:id="161" w:name="_Toc213947379"/>
      <w:bookmarkStart w:id="162" w:name="_Toc1812"/>
      <w:r>
        <w:rPr>
          <w:rFonts w:hint="eastAsia" w:ascii="黑体" w:hAnsi="黑体" w:cs="黑体"/>
          <w:sz w:val="32"/>
          <w:szCs w:val="32"/>
        </w:rPr>
        <w:t xml:space="preserve">6.3.3 </w:t>
      </w:r>
      <w:r>
        <w:rPr>
          <w:sz w:val="32"/>
          <w:szCs w:val="32"/>
        </w:rPr>
        <w:t>步骤3：确定每种</w:t>
      </w:r>
      <w:r>
        <w:rPr>
          <w:rFonts w:hint="eastAsia"/>
          <w:sz w:val="32"/>
          <w:szCs w:val="32"/>
        </w:rPr>
        <w:t>机动化</w:t>
      </w:r>
      <w:r>
        <w:rPr>
          <w:sz w:val="32"/>
          <w:szCs w:val="32"/>
        </w:rPr>
        <w:t>出行方式的</w:t>
      </w:r>
      <w:r>
        <w:rPr>
          <w:rFonts w:hint="eastAsia"/>
          <w:sz w:val="32"/>
          <w:szCs w:val="32"/>
        </w:rPr>
        <w:t>出行</w:t>
      </w:r>
      <w:r>
        <w:rPr>
          <w:sz w:val="32"/>
          <w:szCs w:val="32"/>
        </w:rPr>
        <w:t>里程和客运周转量</w:t>
      </w:r>
      <w:bookmarkEnd w:id="155"/>
      <w:bookmarkEnd w:id="156"/>
      <w:bookmarkEnd w:id="157"/>
      <w:bookmarkEnd w:id="158"/>
      <w:bookmarkEnd w:id="159"/>
      <w:bookmarkEnd w:id="160"/>
      <w:bookmarkEnd w:id="161"/>
      <w:bookmarkEnd w:id="162"/>
    </w:p>
    <w:p>
      <w:pPr>
        <w:ind w:firstLine="420"/>
        <w:rPr>
          <w:rFonts w:cs="Times New Roman"/>
          <w:sz w:val="32"/>
          <w:szCs w:val="32"/>
        </w:rPr>
      </w:pPr>
      <w:r>
        <w:rPr>
          <w:rFonts w:hint="eastAsia" w:cs="Times New Roman"/>
          <w:sz w:val="32"/>
          <w:szCs w:val="32"/>
        </w:rPr>
        <w:t>每种</w:t>
      </w:r>
      <w:r>
        <w:rPr>
          <w:rFonts w:hint="eastAsia"/>
          <w:sz w:val="32"/>
          <w:szCs w:val="32"/>
        </w:rPr>
        <w:t>机动化</w:t>
      </w:r>
      <w:r>
        <w:rPr>
          <w:rFonts w:hint="eastAsia" w:cs="Times New Roman"/>
          <w:sz w:val="32"/>
          <w:szCs w:val="32"/>
        </w:rPr>
        <w:t>出行方式的</w:t>
      </w:r>
      <w:r>
        <w:rPr>
          <w:rFonts w:cs="Times New Roman"/>
          <w:sz w:val="32"/>
          <w:szCs w:val="32"/>
        </w:rPr>
        <w:t>客运周转量</w:t>
      </w:r>
      <w:r>
        <w:rPr>
          <w:rFonts w:hint="eastAsia" w:cs="Times New Roman"/>
          <w:sz w:val="32"/>
          <w:szCs w:val="32"/>
        </w:rPr>
        <w:t>按照</w:t>
      </w:r>
      <w:r>
        <w:rPr>
          <w:rFonts w:cs="Times New Roman"/>
          <w:sz w:val="32"/>
          <w:szCs w:val="32"/>
        </w:rPr>
        <w:t>公式（</w:t>
      </w:r>
      <w:r>
        <w:rPr>
          <w:rFonts w:hint="eastAsia" w:cs="Times New Roman"/>
          <w:sz w:val="32"/>
          <w:szCs w:val="32"/>
        </w:rPr>
        <w:t>2</w:t>
      </w:r>
      <w:r>
        <w:rPr>
          <w:rFonts w:cs="Times New Roman"/>
          <w:sz w:val="32"/>
          <w:szCs w:val="32"/>
        </w:rPr>
        <w:t>）计算</w:t>
      </w:r>
      <w:r>
        <w:rPr>
          <w:rFonts w:hint="eastAsia" w:cs="Times New Roman"/>
          <w:sz w:val="32"/>
          <w:szCs w:val="32"/>
        </w:rPr>
        <w:t>：</w:t>
      </w:r>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8"/>
        <w:gridCol w:w="757"/>
        <w:gridCol w:w="5955"/>
        <w:gridCol w:w="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8" w:type="pct"/>
            <w:gridSpan w:val="3"/>
            <w:vAlign w:val="center"/>
          </w:tcPr>
          <w:p>
            <w:pPr>
              <w:spacing w:line="0" w:lineRule="atLeast"/>
              <w:ind w:firstLine="0" w:firstLineChars="0"/>
              <w:jc w:val="center"/>
              <w:rPr>
                <w:rFonts w:cs="Times New Roman"/>
                <w:i/>
                <w:iCs/>
                <w:kern w:val="0"/>
                <w:sz w:val="32"/>
                <w:szCs w:val="32"/>
              </w:rPr>
            </w:pPr>
            <m:oMathPara>
              <m:oMath>
                <m:sSub>
                  <m:sSubPr>
                    <m:ctrlPr>
                      <w:rPr>
                        <w:rFonts w:ascii="Cambria Math" w:hAnsi="Cambria Math" w:cs="Times New Roman"/>
                        <w:i/>
                        <w:iCs/>
                        <w:sz w:val="32"/>
                        <w:szCs w:val="32"/>
                      </w:rPr>
                    </m:ctrlPr>
                  </m:sSubPr>
                  <m:e>
                    <m:r>
                      <m:rPr/>
                      <w:rPr>
                        <w:rFonts w:ascii="Cambria Math" w:hAnsi="Cambria Math" w:cs="Times New Roman"/>
                        <w:sz w:val="32"/>
                        <w:szCs w:val="32"/>
                      </w:rPr>
                      <m:t>PKM</m:t>
                    </m:r>
                    <m:ctrlPr>
                      <w:rPr>
                        <w:rFonts w:ascii="Cambria Math" w:hAnsi="Cambria Math" w:cs="Times New Roman"/>
                        <w:i/>
                        <w:iCs/>
                        <w:sz w:val="32"/>
                        <w:szCs w:val="32"/>
                      </w:rPr>
                    </m:ctrlPr>
                  </m:e>
                  <m:sub>
                    <m:r>
                      <m:rPr/>
                      <w:rPr>
                        <w:rFonts w:ascii="Cambria Math" w:cs="Times New Roman"/>
                        <w:sz w:val="32"/>
                        <w:szCs w:val="32"/>
                      </w:rPr>
                      <m:t>i</m:t>
                    </m:r>
                    <m:ctrlPr>
                      <w:rPr>
                        <w:rFonts w:ascii="Cambria Math" w:hAnsi="Cambria Math" w:cs="Times New Roman"/>
                        <w:i/>
                        <w:iCs/>
                        <w:sz w:val="32"/>
                        <w:szCs w:val="32"/>
                      </w:rPr>
                    </m:ctrlPr>
                  </m:sub>
                </m:sSub>
                <m:r>
                  <m:rPr/>
                  <w:rPr>
                    <w:rFonts w:ascii="Cambria Math" w:cs="Times New Roman"/>
                    <w:sz w:val="32"/>
                    <w:szCs w:val="32"/>
                  </w:rPr>
                  <m:t>=</m:t>
                </m:r>
                <m:sSub>
                  <m:sSubPr>
                    <m:ctrlPr>
                      <w:rPr>
                        <w:rFonts w:ascii="Cambria Math" w:hAnsi="Cambria Math" w:cs="Times New Roman"/>
                        <w:i/>
                        <w:iCs/>
                        <w:sz w:val="32"/>
                        <w:szCs w:val="32"/>
                      </w:rPr>
                    </m:ctrlPr>
                  </m:sSubPr>
                  <m:e>
                    <m:r>
                      <m:rPr/>
                      <w:rPr>
                        <w:rFonts w:ascii="Cambria Math" w:cs="Times New Roman"/>
                        <w:sz w:val="32"/>
                        <w:szCs w:val="32"/>
                      </w:rPr>
                      <m:t>P</m:t>
                    </m:r>
                    <m:ctrlPr>
                      <w:rPr>
                        <w:rFonts w:ascii="Cambria Math" w:hAnsi="Cambria Math" w:cs="Times New Roman"/>
                        <w:i/>
                        <w:iCs/>
                        <w:sz w:val="32"/>
                        <w:szCs w:val="32"/>
                      </w:rPr>
                    </m:ctrlPr>
                  </m:e>
                  <m:sub>
                    <m:r>
                      <m:rPr/>
                      <w:rPr>
                        <w:rFonts w:ascii="Cambria Math" w:cs="Times New Roman"/>
                        <w:sz w:val="32"/>
                        <w:szCs w:val="32"/>
                      </w:rPr>
                      <m:t>i</m:t>
                    </m:r>
                    <m:ctrlPr>
                      <w:rPr>
                        <w:rFonts w:ascii="Cambria Math" w:hAnsi="Cambria Math" w:cs="Times New Roman"/>
                        <w:i/>
                        <w:iCs/>
                        <w:sz w:val="32"/>
                        <w:szCs w:val="32"/>
                      </w:rPr>
                    </m:ctrlPr>
                  </m:sub>
                </m:sSub>
                <m:r>
                  <m:rPr/>
                  <w:rPr>
                    <w:rFonts w:ascii="Cambria Math" w:cs="Times New Roman"/>
                    <w:sz w:val="32"/>
                    <w:szCs w:val="32"/>
                  </w:rPr>
                  <m:t>×T</m:t>
                </m:r>
                <m:sSub>
                  <m:sSubPr>
                    <m:ctrlPr>
                      <w:rPr>
                        <w:rFonts w:ascii="Cambria Math" w:hAnsi="Cambria Math" w:cs="Times New Roman"/>
                        <w:i/>
                        <w:iCs/>
                        <w:sz w:val="32"/>
                        <w:szCs w:val="32"/>
                      </w:rPr>
                    </m:ctrlPr>
                  </m:sSubPr>
                  <m:e>
                    <m:r>
                      <m:rPr/>
                      <w:rPr>
                        <w:rFonts w:ascii="Cambria Math" w:cs="Times New Roman"/>
                        <w:sz w:val="32"/>
                        <w:szCs w:val="32"/>
                      </w:rPr>
                      <m:t>D</m:t>
                    </m:r>
                    <m:ctrlPr>
                      <w:rPr>
                        <w:rFonts w:ascii="Cambria Math" w:hAnsi="Cambria Math" w:cs="Times New Roman"/>
                        <w:i/>
                        <w:iCs/>
                        <w:sz w:val="32"/>
                        <w:szCs w:val="32"/>
                      </w:rPr>
                    </m:ctrlPr>
                  </m:e>
                  <m:sub>
                    <m:r>
                      <m:rPr/>
                      <w:rPr>
                        <w:rFonts w:ascii="Cambria Math" w:cs="Times New Roman"/>
                        <w:sz w:val="32"/>
                        <w:szCs w:val="32"/>
                      </w:rPr>
                      <m:t>i</m:t>
                    </m:r>
                    <m:ctrlPr>
                      <w:rPr>
                        <w:rFonts w:ascii="Cambria Math" w:hAnsi="Cambria Math" w:cs="Times New Roman"/>
                        <w:i/>
                        <w:iCs/>
                        <w:sz w:val="32"/>
                        <w:szCs w:val="32"/>
                      </w:rPr>
                    </m:ctrlPr>
                  </m:sub>
                </m:sSub>
              </m:oMath>
            </m:oMathPara>
          </w:p>
        </w:tc>
        <w:tc>
          <w:tcPr>
            <w:tcW w:w="482" w:type="pct"/>
            <w:vAlign w:val="center"/>
          </w:tcPr>
          <w:p>
            <w:pPr>
              <w:ind w:firstLine="0" w:firstLineChars="0"/>
              <w:jc w:val="right"/>
              <w:rPr>
                <w:rFonts w:cs="Times New Roman"/>
                <w:i/>
                <w:iCs/>
                <w:kern w:val="0"/>
                <w:sz w:val="32"/>
                <w:szCs w:val="32"/>
              </w:rPr>
            </w:pPr>
            <w:r>
              <w:rPr>
                <w:rFonts w:hint="eastAsia" w:cs="Times New Roman"/>
                <w:kern w:val="0"/>
                <w:position w:val="-34"/>
                <w:sz w:val="32"/>
                <w:szCs w:val="32"/>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rPr>
        <w:tc>
          <w:tcPr>
            <w:tcW w:w="580" w:type="pct"/>
            <w:vAlign w:val="center"/>
          </w:tcPr>
          <w:p>
            <w:pPr>
              <w:ind w:firstLine="0" w:firstLineChars="0"/>
              <w:jc w:val="left"/>
              <w:rPr>
                <w:rFonts w:ascii="Cambria Math" w:cs="Times New Roman"/>
                <w:sz w:val="32"/>
                <w:szCs w:val="32"/>
                <w:oMath/>
              </w:rPr>
            </w:pPr>
            <w:r>
              <w:rPr>
                <w:rFonts w:hint="eastAsia" w:cs="Times New Roman"/>
                <w:sz w:val="32"/>
                <w:szCs w:val="32"/>
              </w:rPr>
              <w:t>式</w:t>
            </w:r>
            <w:r>
              <w:rPr>
                <w:rFonts w:cs="Times New Roman"/>
                <w:sz w:val="32"/>
                <w:szCs w:val="32"/>
              </w:rPr>
              <w:t>中：</w:t>
            </w:r>
          </w:p>
        </w:tc>
        <w:tc>
          <w:tcPr>
            <w:tcW w:w="444" w:type="pct"/>
            <w:vAlign w:val="center"/>
          </w:tcPr>
          <w:p>
            <w:pPr>
              <w:ind w:firstLine="0" w:firstLineChars="0"/>
              <w:rPr>
                <w:rFonts w:cs="Times New Roman"/>
                <w:i/>
                <w:iCs/>
                <w:kern w:val="0"/>
                <w:sz w:val="32"/>
                <w:szCs w:val="32"/>
              </w:rPr>
            </w:pPr>
          </w:p>
        </w:tc>
        <w:tc>
          <w:tcPr>
            <w:tcW w:w="3976" w:type="pct"/>
            <w:gridSpan w:val="2"/>
            <w:vAlign w:val="center"/>
          </w:tcPr>
          <w:p>
            <w:pPr>
              <w:ind w:firstLine="0" w:firstLineChars="0"/>
              <w:rPr>
                <w:rFonts w:cs="Times New Roman"/>
                <w:i/>
                <w:iCs/>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rPr>
        <w:tc>
          <w:tcPr>
            <w:tcW w:w="580" w:type="pct"/>
            <w:vAlign w:val="center"/>
          </w:tcPr>
          <w:p>
            <w:pPr>
              <w:ind w:firstLine="0" w:firstLineChars="0"/>
              <w:jc w:val="right"/>
              <w:rPr>
                <w:rFonts w:cs="Times New Roman"/>
                <w:i/>
                <w:iCs/>
                <w:kern w:val="0"/>
                <w:sz w:val="32"/>
                <w:szCs w:val="32"/>
              </w:rPr>
            </w:pPr>
            <m:oMathPara>
              <m:oMathParaPr>
                <m:jc m:val="left"/>
              </m:oMathParaPr>
              <m:oMath>
                <m:r>
                  <m:rPr/>
                  <w:rPr>
                    <w:rFonts w:ascii="Cambria Math" w:cs="Times New Roman"/>
                    <w:sz w:val="32"/>
                    <w:szCs w:val="32"/>
                  </w:rPr>
                  <m:t>P</m:t>
                </m:r>
                <m:sSub>
                  <m:sSubPr>
                    <m:ctrlPr>
                      <w:rPr>
                        <w:rFonts w:ascii="Cambria Math" w:hAnsi="Cambria Math" w:cs="Times New Roman"/>
                        <w:i/>
                        <w:iCs/>
                        <w:sz w:val="32"/>
                        <w:szCs w:val="32"/>
                      </w:rPr>
                    </m:ctrlPr>
                  </m:sSubPr>
                  <m:e>
                    <m:r>
                      <m:rPr/>
                      <w:rPr>
                        <w:rFonts w:ascii="Cambria Math" w:hAnsi="Cambria Math" w:cs="Times New Roman"/>
                        <w:sz w:val="32"/>
                        <w:szCs w:val="32"/>
                      </w:rPr>
                      <m:t>KM</m:t>
                    </m:r>
                    <m:ctrlPr>
                      <w:rPr>
                        <w:rFonts w:ascii="Cambria Math" w:hAnsi="Cambria Math" w:cs="Times New Roman"/>
                        <w:i/>
                        <w:iCs/>
                        <w:sz w:val="32"/>
                        <w:szCs w:val="32"/>
                      </w:rPr>
                    </m:ctrlPr>
                  </m:e>
                  <m:sub>
                    <m:r>
                      <m:rPr/>
                      <w:rPr>
                        <w:rFonts w:ascii="Cambria Math" w:cs="Times New Roman"/>
                        <w:sz w:val="32"/>
                        <w:szCs w:val="32"/>
                      </w:rPr>
                      <m:t>i</m:t>
                    </m:r>
                    <m:ctrlPr>
                      <w:rPr>
                        <w:rFonts w:ascii="Cambria Math" w:hAnsi="Cambria Math" w:cs="Times New Roman"/>
                        <w:i/>
                        <w:iCs/>
                        <w:sz w:val="32"/>
                        <w:szCs w:val="32"/>
                      </w:rPr>
                    </m:ctrlPr>
                  </m:sub>
                </m:sSub>
              </m:oMath>
            </m:oMathPara>
          </w:p>
        </w:tc>
        <w:tc>
          <w:tcPr>
            <w:tcW w:w="444" w:type="pct"/>
            <w:vAlign w:val="center"/>
          </w:tcPr>
          <w:p>
            <w:pPr>
              <w:ind w:firstLine="0" w:firstLineChars="0"/>
              <w:jc w:val="center"/>
              <w:rPr>
                <w:rFonts w:cs="Times New Roman"/>
                <w:i/>
                <w:iCs/>
                <w:kern w:val="0"/>
                <w:sz w:val="32"/>
                <w:szCs w:val="32"/>
              </w:rPr>
            </w:pPr>
            <w:r>
              <w:rPr>
                <w:rFonts w:cs="Times New Roman"/>
                <w:i/>
                <w:iCs/>
                <w:kern w:val="0"/>
                <w:sz w:val="32"/>
                <w:szCs w:val="32"/>
              </w:rPr>
              <w:t>——</w:t>
            </w:r>
          </w:p>
        </w:tc>
        <w:tc>
          <w:tcPr>
            <w:tcW w:w="3976" w:type="pct"/>
            <w:gridSpan w:val="2"/>
            <w:vAlign w:val="center"/>
          </w:tcPr>
          <w:p>
            <w:pPr>
              <w:ind w:firstLine="0" w:firstLineChars="0"/>
              <w:rPr>
                <w:rFonts w:cs="Times New Roman"/>
                <w:kern w:val="0"/>
                <w:sz w:val="32"/>
                <w:szCs w:val="32"/>
              </w:rPr>
            </w:pPr>
            <w:r>
              <w:rPr>
                <w:rFonts w:hint="eastAsia" w:cs="Times New Roman"/>
                <w:kern w:val="0"/>
                <w:sz w:val="32"/>
                <w:szCs w:val="32"/>
              </w:rPr>
              <w:t>第i种出行方式的客运周转量，单位为人公里（pkm）；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 w:hRule="atLeast"/>
        </w:trPr>
        <w:tc>
          <w:tcPr>
            <w:tcW w:w="580" w:type="pct"/>
            <w:vAlign w:val="center"/>
          </w:tcPr>
          <w:p>
            <w:pPr>
              <w:ind w:firstLine="0" w:firstLineChars="0"/>
              <w:jc w:val="right"/>
              <w:rPr>
                <w:rFonts w:cs="Times New Roman"/>
                <w:i/>
                <w:iCs/>
                <w:kern w:val="0"/>
                <w:sz w:val="32"/>
                <w:szCs w:val="32"/>
              </w:rPr>
            </w:pPr>
            <m:oMathPara>
              <m:oMathParaPr>
                <m:jc m:val="left"/>
              </m:oMathParaPr>
              <m:oMath>
                <m:sSub>
                  <m:sSubPr>
                    <m:ctrlPr>
                      <w:rPr>
                        <w:rFonts w:ascii="Cambria Math" w:hAnsi="Cambria Math" w:cs="Times New Roman"/>
                        <w:i/>
                        <w:iCs/>
                        <w:sz w:val="32"/>
                        <w:szCs w:val="32"/>
                      </w:rPr>
                    </m:ctrlPr>
                  </m:sSubPr>
                  <m:e>
                    <m:r>
                      <m:rPr/>
                      <w:rPr>
                        <w:rFonts w:ascii="Cambria Math" w:cs="Times New Roman"/>
                        <w:sz w:val="32"/>
                        <w:szCs w:val="32"/>
                      </w:rPr>
                      <m:t>P</m:t>
                    </m:r>
                    <m:ctrlPr>
                      <w:rPr>
                        <w:rFonts w:ascii="Cambria Math" w:hAnsi="Cambria Math" w:cs="Times New Roman"/>
                        <w:i/>
                        <w:iCs/>
                        <w:sz w:val="32"/>
                        <w:szCs w:val="32"/>
                      </w:rPr>
                    </m:ctrlPr>
                  </m:e>
                  <m:sub>
                    <m:r>
                      <m:rPr/>
                      <w:rPr>
                        <w:rFonts w:ascii="Cambria Math" w:cs="Times New Roman"/>
                        <w:sz w:val="32"/>
                        <w:szCs w:val="32"/>
                      </w:rPr>
                      <m:t>i</m:t>
                    </m:r>
                    <m:ctrlPr>
                      <w:rPr>
                        <w:rFonts w:ascii="Cambria Math" w:hAnsi="Cambria Math" w:cs="Times New Roman"/>
                        <w:i/>
                        <w:iCs/>
                        <w:sz w:val="32"/>
                        <w:szCs w:val="32"/>
                      </w:rPr>
                    </m:ctrlPr>
                  </m:sub>
                </m:sSub>
              </m:oMath>
            </m:oMathPara>
          </w:p>
        </w:tc>
        <w:tc>
          <w:tcPr>
            <w:tcW w:w="444" w:type="pct"/>
            <w:vAlign w:val="center"/>
          </w:tcPr>
          <w:p>
            <w:pPr>
              <w:ind w:firstLine="0" w:firstLineChars="0"/>
              <w:jc w:val="center"/>
              <w:rPr>
                <w:rFonts w:cs="Times New Roman"/>
                <w:i/>
                <w:iCs/>
                <w:kern w:val="0"/>
                <w:sz w:val="32"/>
                <w:szCs w:val="32"/>
              </w:rPr>
            </w:pPr>
            <w:r>
              <w:rPr>
                <w:rFonts w:cs="Times New Roman"/>
                <w:i/>
                <w:iCs/>
                <w:kern w:val="0"/>
                <w:sz w:val="32"/>
                <w:szCs w:val="32"/>
              </w:rPr>
              <w:t>——</w:t>
            </w:r>
          </w:p>
        </w:tc>
        <w:tc>
          <w:tcPr>
            <w:tcW w:w="3976" w:type="pct"/>
            <w:gridSpan w:val="2"/>
            <w:vAlign w:val="center"/>
          </w:tcPr>
          <w:p>
            <w:pPr>
              <w:ind w:firstLine="0" w:firstLineChars="0"/>
              <w:rPr>
                <w:rFonts w:cs="Times New Roman"/>
                <w:kern w:val="0"/>
                <w:sz w:val="32"/>
                <w:szCs w:val="32"/>
              </w:rPr>
            </w:pPr>
            <w:r>
              <w:rPr>
                <w:rFonts w:hint="eastAsia" w:cs="Times New Roman"/>
                <w:kern w:val="0"/>
                <w:sz w:val="32"/>
                <w:szCs w:val="32"/>
              </w:rPr>
              <w:t>第i种出行方式的客运量，单位为人次（p）；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 w:hRule="atLeast"/>
        </w:trPr>
        <w:tc>
          <w:tcPr>
            <w:tcW w:w="580" w:type="pct"/>
            <w:vAlign w:val="center"/>
          </w:tcPr>
          <w:p>
            <w:pPr>
              <w:ind w:firstLine="0" w:firstLineChars="0"/>
              <w:jc w:val="right"/>
              <w:rPr>
                <w:rFonts w:cs="Times New Roman"/>
                <w:i/>
                <w:iCs/>
                <w:kern w:val="0"/>
                <w:sz w:val="32"/>
                <w:szCs w:val="32"/>
              </w:rPr>
            </w:pPr>
            <m:oMathPara>
              <m:oMathParaPr>
                <m:jc m:val="left"/>
              </m:oMathParaPr>
              <m:oMath>
                <m:r>
                  <m:rPr/>
                  <w:rPr>
                    <w:rFonts w:ascii="Cambria Math" w:cs="Times New Roman"/>
                    <w:sz w:val="32"/>
                    <w:szCs w:val="32"/>
                  </w:rPr>
                  <m:t>T</m:t>
                </m:r>
                <m:sSub>
                  <m:sSubPr>
                    <m:ctrlPr>
                      <w:rPr>
                        <w:rFonts w:ascii="Cambria Math" w:hAnsi="Cambria Math" w:cs="Times New Roman"/>
                        <w:i/>
                        <w:iCs/>
                        <w:sz w:val="32"/>
                        <w:szCs w:val="32"/>
                      </w:rPr>
                    </m:ctrlPr>
                  </m:sSubPr>
                  <m:e>
                    <m:r>
                      <m:rPr/>
                      <w:rPr>
                        <w:rFonts w:ascii="Cambria Math" w:cs="Times New Roman"/>
                        <w:sz w:val="32"/>
                        <w:szCs w:val="32"/>
                      </w:rPr>
                      <m:t>D</m:t>
                    </m:r>
                    <m:ctrlPr>
                      <w:rPr>
                        <w:rFonts w:ascii="Cambria Math" w:hAnsi="Cambria Math" w:cs="Times New Roman"/>
                        <w:i/>
                        <w:iCs/>
                        <w:sz w:val="32"/>
                        <w:szCs w:val="32"/>
                      </w:rPr>
                    </m:ctrlPr>
                  </m:e>
                  <m:sub>
                    <m:r>
                      <m:rPr/>
                      <w:rPr>
                        <w:rFonts w:ascii="Cambria Math" w:cs="Times New Roman"/>
                        <w:sz w:val="32"/>
                        <w:szCs w:val="32"/>
                      </w:rPr>
                      <m:t>i</m:t>
                    </m:r>
                    <m:ctrlPr>
                      <w:rPr>
                        <w:rFonts w:ascii="Cambria Math" w:hAnsi="Cambria Math" w:cs="Times New Roman"/>
                        <w:i/>
                        <w:iCs/>
                        <w:sz w:val="32"/>
                        <w:szCs w:val="32"/>
                      </w:rPr>
                    </m:ctrlPr>
                  </m:sub>
                </m:sSub>
              </m:oMath>
            </m:oMathPara>
          </w:p>
        </w:tc>
        <w:tc>
          <w:tcPr>
            <w:tcW w:w="444" w:type="pct"/>
            <w:vAlign w:val="center"/>
          </w:tcPr>
          <w:p>
            <w:pPr>
              <w:ind w:firstLine="0" w:firstLineChars="0"/>
              <w:jc w:val="center"/>
              <w:rPr>
                <w:rFonts w:cs="Times New Roman"/>
                <w:i/>
                <w:iCs/>
                <w:kern w:val="0"/>
                <w:position w:val="-34"/>
                <w:sz w:val="32"/>
                <w:szCs w:val="32"/>
              </w:rPr>
            </w:pPr>
            <w:r>
              <w:rPr>
                <w:rFonts w:cs="Times New Roman"/>
                <w:i/>
                <w:iCs/>
                <w:kern w:val="0"/>
                <w:sz w:val="32"/>
                <w:szCs w:val="32"/>
              </w:rPr>
              <w:t>——</w:t>
            </w:r>
          </w:p>
        </w:tc>
        <w:tc>
          <w:tcPr>
            <w:tcW w:w="3976" w:type="pct"/>
            <w:gridSpan w:val="2"/>
            <w:vAlign w:val="center"/>
          </w:tcPr>
          <w:p>
            <w:pPr>
              <w:ind w:firstLine="0" w:firstLineChars="0"/>
              <w:rPr>
                <w:rFonts w:cs="Times New Roman"/>
                <w:kern w:val="0"/>
                <w:sz w:val="32"/>
                <w:szCs w:val="32"/>
              </w:rPr>
            </w:pPr>
            <w:r>
              <w:rPr>
                <w:rFonts w:hint="eastAsia" w:cs="Times New Roman"/>
                <w:kern w:val="0"/>
                <w:sz w:val="32"/>
                <w:szCs w:val="32"/>
              </w:rPr>
              <w:t>第i种出行方式平均出行里程，单位为公里（km）。</w:t>
            </w:r>
          </w:p>
        </w:tc>
      </w:tr>
    </w:tbl>
    <w:p>
      <w:pPr>
        <w:pStyle w:val="4"/>
        <w:spacing w:before="156" w:beforeLines="50" w:after="156" w:afterLines="50" w:line="240" w:lineRule="auto"/>
        <w:rPr>
          <w:sz w:val="32"/>
          <w:szCs w:val="32"/>
        </w:rPr>
      </w:pPr>
      <w:bookmarkStart w:id="163" w:name="_Toc164772285"/>
      <w:bookmarkStart w:id="164" w:name="_Toc1340"/>
      <w:bookmarkStart w:id="165" w:name="_Toc24699"/>
      <w:bookmarkStart w:id="166" w:name="_Toc11359"/>
      <w:bookmarkStart w:id="167" w:name="_Toc175935719"/>
      <w:bookmarkStart w:id="168" w:name="_Toc213947380"/>
      <w:bookmarkStart w:id="169" w:name="_Toc17401"/>
      <w:bookmarkStart w:id="170" w:name="_Toc172908976"/>
      <w:r>
        <w:rPr>
          <w:rFonts w:hint="eastAsia" w:ascii="黑体" w:hAnsi="黑体" w:cs="黑体"/>
          <w:sz w:val="32"/>
          <w:szCs w:val="32"/>
        </w:rPr>
        <w:t xml:space="preserve">6.3.4 </w:t>
      </w:r>
      <w:r>
        <w:rPr>
          <w:sz w:val="32"/>
          <w:szCs w:val="32"/>
        </w:rPr>
        <w:t>步骤</w:t>
      </w:r>
      <w:r>
        <w:rPr>
          <w:rFonts w:hint="eastAsia"/>
          <w:sz w:val="32"/>
          <w:szCs w:val="32"/>
        </w:rPr>
        <w:t>4</w:t>
      </w:r>
      <w:r>
        <w:rPr>
          <w:sz w:val="32"/>
          <w:szCs w:val="32"/>
        </w:rPr>
        <w:t>：确定每种</w:t>
      </w:r>
      <w:r>
        <w:rPr>
          <w:rFonts w:hint="eastAsia"/>
          <w:sz w:val="32"/>
          <w:szCs w:val="32"/>
        </w:rPr>
        <w:t>机动化</w:t>
      </w:r>
      <w:r>
        <w:rPr>
          <w:sz w:val="32"/>
          <w:szCs w:val="32"/>
        </w:rPr>
        <w:t>出行方式单位客运周转量排放因子</w:t>
      </w:r>
      <w:bookmarkEnd w:id="163"/>
      <w:bookmarkEnd w:id="164"/>
      <w:bookmarkEnd w:id="165"/>
      <w:bookmarkEnd w:id="166"/>
      <w:bookmarkEnd w:id="167"/>
      <w:bookmarkEnd w:id="168"/>
      <w:bookmarkEnd w:id="169"/>
      <w:bookmarkEnd w:id="170"/>
    </w:p>
    <w:p>
      <w:pPr>
        <w:ind w:firstLine="420"/>
        <w:rPr>
          <w:rFonts w:cs="Times New Roman"/>
          <w:sz w:val="32"/>
          <w:szCs w:val="32"/>
        </w:rPr>
      </w:pPr>
      <w:r>
        <w:rPr>
          <w:rFonts w:hint="eastAsia" w:cs="Times New Roman"/>
          <w:sz w:val="32"/>
          <w:szCs w:val="32"/>
        </w:rPr>
        <w:t>（1）</w:t>
      </w:r>
      <w:r>
        <w:rPr>
          <w:rFonts w:cs="Times New Roman"/>
          <w:sz w:val="32"/>
          <w:szCs w:val="32"/>
        </w:rPr>
        <w:t>对于</w:t>
      </w:r>
      <w:r>
        <w:rPr>
          <w:rFonts w:hint="eastAsia" w:cs="Times New Roman"/>
          <w:sz w:val="32"/>
          <w:szCs w:val="32"/>
        </w:rPr>
        <w:t>每种机动化</w:t>
      </w:r>
      <w:r>
        <w:rPr>
          <w:rFonts w:cs="Times New Roman"/>
          <w:sz w:val="32"/>
          <w:szCs w:val="32"/>
        </w:rPr>
        <w:t>出行方式的单位客运周转量排放因子</w:t>
      </w:r>
      <w:r>
        <w:rPr>
          <w:rFonts w:hint="eastAsia" w:cs="Times New Roman"/>
          <w:sz w:val="32"/>
          <w:szCs w:val="32"/>
        </w:rPr>
        <w:t>按照</w:t>
      </w:r>
      <w:r>
        <w:rPr>
          <w:rFonts w:cs="Times New Roman"/>
          <w:sz w:val="32"/>
          <w:szCs w:val="32"/>
        </w:rPr>
        <w:t>公式（</w:t>
      </w:r>
      <w:r>
        <w:rPr>
          <w:rFonts w:hint="eastAsia" w:cs="Times New Roman"/>
          <w:sz w:val="32"/>
          <w:szCs w:val="32"/>
        </w:rPr>
        <w:t>3</w:t>
      </w:r>
      <w:r>
        <w:rPr>
          <w:rFonts w:cs="Times New Roman"/>
          <w:sz w:val="32"/>
          <w:szCs w:val="32"/>
        </w:rPr>
        <w:t xml:space="preserve">）计算 </w:t>
      </w:r>
      <w:r>
        <w:rPr>
          <w:rFonts w:hint="eastAsia" w:cs="Times New Roman"/>
          <w:sz w:val="32"/>
          <w:szCs w:val="32"/>
        </w:rPr>
        <w:t>：</w:t>
      </w:r>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2"/>
        <w:gridCol w:w="786"/>
        <w:gridCol w:w="5848"/>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9" w:type="pct"/>
            <w:gridSpan w:val="3"/>
            <w:vAlign w:val="center"/>
          </w:tcPr>
          <w:p>
            <w:pPr>
              <w:spacing w:line="0" w:lineRule="atLeast"/>
              <w:ind w:firstLine="0" w:firstLineChars="0"/>
              <w:jc w:val="center"/>
              <w:rPr>
                <w:rFonts w:cs="Times New Roman"/>
                <w:i/>
                <w:iCs/>
                <w:kern w:val="0"/>
                <w:sz w:val="32"/>
                <w:szCs w:val="32"/>
              </w:rPr>
            </w:pPr>
            <m:oMathPara>
              <m:oMath>
                <m:r>
                  <m:rPr/>
                  <w:rPr>
                    <w:rFonts w:ascii="Cambria Math" w:cs="Times New Roman"/>
                    <w:sz w:val="32"/>
                    <w:szCs w:val="32"/>
                  </w:rPr>
                  <m:t>E</m:t>
                </m:r>
                <m:sSub>
                  <m:sSubPr>
                    <m:ctrlPr>
                      <w:rPr>
                        <w:rFonts w:ascii="Cambria Math" w:hAnsi="Cambria Math" w:cs="Times New Roman"/>
                        <w:i/>
                        <w:iCs/>
                        <w:sz w:val="32"/>
                        <w:szCs w:val="32"/>
                      </w:rPr>
                    </m:ctrlPr>
                  </m:sSubPr>
                  <m:e>
                    <m:r>
                      <m:rPr/>
                      <w:rPr>
                        <w:rFonts w:ascii="Cambria Math" w:cs="Times New Roman"/>
                        <w:sz w:val="32"/>
                        <w:szCs w:val="32"/>
                      </w:rPr>
                      <m:t>F</m:t>
                    </m:r>
                    <m:ctrlPr>
                      <w:rPr>
                        <w:rFonts w:ascii="Cambria Math" w:hAnsi="Cambria Math" w:cs="Times New Roman"/>
                        <w:i/>
                        <w:iCs/>
                        <w:sz w:val="32"/>
                        <w:szCs w:val="32"/>
                      </w:rPr>
                    </m:ctrlPr>
                  </m:e>
                  <m:sub>
                    <m:r>
                      <m:rPr/>
                      <w:rPr>
                        <w:rFonts w:ascii="Cambria Math" w:cs="Times New Roman"/>
                        <w:sz w:val="32"/>
                        <w:szCs w:val="32"/>
                      </w:rPr>
                      <m:t>PKM,i</m:t>
                    </m:r>
                    <m:ctrlPr>
                      <w:rPr>
                        <w:rFonts w:ascii="Cambria Math" w:hAnsi="Cambria Math" w:cs="Times New Roman"/>
                        <w:i/>
                        <w:iCs/>
                        <w:sz w:val="32"/>
                        <w:szCs w:val="32"/>
                      </w:rPr>
                    </m:ctrlPr>
                  </m:sub>
                </m:sSub>
                <m:r>
                  <m:rPr/>
                  <w:rPr>
                    <w:rFonts w:ascii="Cambria Math" w:cs="Times New Roman"/>
                    <w:sz w:val="32"/>
                    <w:szCs w:val="32"/>
                  </w:rPr>
                  <m:t>=</m:t>
                </m:r>
                <m:f>
                  <m:fPr>
                    <m:ctrlPr>
                      <w:rPr>
                        <w:rFonts w:ascii="Cambria Math" w:hAnsi="Cambria Math" w:cs="Times New Roman"/>
                        <w:i/>
                        <w:iCs/>
                        <w:sz w:val="32"/>
                        <w:szCs w:val="32"/>
                      </w:rPr>
                    </m:ctrlPr>
                  </m:fPr>
                  <m:num>
                    <m:r>
                      <m:rPr/>
                      <w:rPr>
                        <w:rFonts w:ascii="Cambria Math" w:hAnsi="Cambria Math" w:cs="Times New Roman"/>
                        <w:sz w:val="32"/>
                        <w:szCs w:val="32"/>
                      </w:rPr>
                      <m:t>E</m:t>
                    </m:r>
                    <m:sSub>
                      <m:sSubPr>
                        <m:ctrlPr>
                          <w:rPr>
                            <w:rFonts w:ascii="Cambria Math" w:hAnsi="Cambria Math" w:cs="Times New Roman"/>
                            <w:i/>
                            <w:sz w:val="32"/>
                            <w:szCs w:val="32"/>
                          </w:rPr>
                        </m:ctrlPr>
                      </m:sSubPr>
                      <m:e>
                        <m:r>
                          <m:rPr/>
                          <w:rPr>
                            <w:rFonts w:ascii="Cambria Math" w:hAnsi="Cambria Math" w:cs="Times New Roman"/>
                            <w:sz w:val="32"/>
                            <w:szCs w:val="32"/>
                          </w:rPr>
                          <m:t>F</m:t>
                        </m:r>
                        <m:ctrlPr>
                          <w:rPr>
                            <w:rFonts w:ascii="Cambria Math" w:hAnsi="Cambria Math" w:cs="Times New Roman"/>
                            <w:i/>
                            <w:sz w:val="32"/>
                            <w:szCs w:val="32"/>
                          </w:rPr>
                        </m:ctrlPr>
                      </m:e>
                      <m:sub>
                        <m:r>
                          <m:rPr>
                            <m:nor/>
                          </m:rPr>
                          <w:rPr>
                            <w:rFonts w:ascii="Cambria Math" w:hAnsi="Cambria Math" w:cs="Times New Roman"/>
                            <w:i/>
                            <w:sz w:val="32"/>
                            <w:szCs w:val="32"/>
                          </w:rPr>
                          <m:t>km,i</m:t>
                        </m:r>
                        <m:ctrlPr>
                          <w:rPr>
                            <w:rFonts w:ascii="Cambria Math" w:hAnsi="Cambria Math" w:cs="Times New Roman"/>
                            <w:i/>
                            <w:sz w:val="32"/>
                            <w:szCs w:val="32"/>
                          </w:rPr>
                        </m:ctrlPr>
                      </m:sub>
                    </m:sSub>
                    <m:ctrlPr>
                      <w:rPr>
                        <w:rFonts w:ascii="Cambria Math" w:hAnsi="Cambria Math" w:cs="Times New Roman"/>
                        <w:i/>
                        <w:iCs/>
                        <w:sz w:val="32"/>
                        <w:szCs w:val="32"/>
                      </w:rPr>
                    </m:ctrlPr>
                  </m:num>
                  <m:den>
                    <m:r>
                      <m:rPr/>
                      <w:rPr>
                        <w:rFonts w:ascii="Cambria Math" w:cs="Times New Roman"/>
                        <w:sz w:val="32"/>
                        <w:szCs w:val="32"/>
                      </w:rPr>
                      <m:t>O</m:t>
                    </m:r>
                    <m:sSub>
                      <m:sSubPr>
                        <m:ctrlPr>
                          <w:rPr>
                            <w:rFonts w:ascii="Cambria Math" w:hAnsi="Cambria Math" w:cs="Times New Roman"/>
                            <w:i/>
                            <w:iCs/>
                            <w:sz w:val="32"/>
                            <w:szCs w:val="32"/>
                          </w:rPr>
                        </m:ctrlPr>
                      </m:sSubPr>
                      <m:e>
                        <m:r>
                          <m:rPr/>
                          <w:rPr>
                            <w:rFonts w:ascii="Cambria Math" w:cs="Times New Roman"/>
                            <w:sz w:val="32"/>
                            <w:szCs w:val="32"/>
                          </w:rPr>
                          <m:t>C</m:t>
                        </m:r>
                        <m:ctrlPr>
                          <w:rPr>
                            <w:rFonts w:ascii="Cambria Math" w:hAnsi="Cambria Math" w:cs="Times New Roman"/>
                            <w:i/>
                            <w:iCs/>
                            <w:sz w:val="32"/>
                            <w:szCs w:val="32"/>
                          </w:rPr>
                        </m:ctrlPr>
                      </m:e>
                      <m:sub>
                        <m:r>
                          <m:rPr/>
                          <w:rPr>
                            <w:rFonts w:ascii="Cambria Math" w:cs="Times New Roman"/>
                            <w:sz w:val="32"/>
                            <w:szCs w:val="32"/>
                          </w:rPr>
                          <m:t>i</m:t>
                        </m:r>
                        <m:ctrlPr>
                          <w:rPr>
                            <w:rFonts w:ascii="Cambria Math" w:hAnsi="Cambria Math" w:cs="Times New Roman"/>
                            <w:i/>
                            <w:iCs/>
                            <w:sz w:val="32"/>
                            <w:szCs w:val="32"/>
                          </w:rPr>
                        </m:ctrlPr>
                      </m:sub>
                    </m:sSub>
                    <m:ctrlPr>
                      <w:rPr>
                        <w:rFonts w:ascii="Cambria Math" w:hAnsi="Cambria Math" w:cs="Times New Roman"/>
                        <w:i/>
                        <w:iCs/>
                        <w:sz w:val="32"/>
                        <w:szCs w:val="32"/>
                      </w:rPr>
                    </m:ctrlPr>
                  </m:den>
                </m:f>
              </m:oMath>
            </m:oMathPara>
          </w:p>
        </w:tc>
        <w:tc>
          <w:tcPr>
            <w:tcW w:w="481" w:type="pct"/>
            <w:vAlign w:val="center"/>
          </w:tcPr>
          <w:p>
            <w:pPr>
              <w:spacing w:line="0" w:lineRule="atLeast"/>
              <w:ind w:firstLine="0" w:firstLineChars="0"/>
              <w:jc w:val="right"/>
              <w:rPr>
                <w:rFonts w:cs="Times New Roman"/>
                <w:i/>
                <w:iCs/>
                <w:kern w:val="0"/>
                <w:sz w:val="32"/>
                <w:szCs w:val="32"/>
              </w:rPr>
            </w:pPr>
            <w:r>
              <w:rPr>
                <w:rFonts w:hint="eastAsia" w:cs="Times New Roman"/>
                <w:kern w:val="0"/>
                <w:position w:val="-34"/>
                <w:sz w:val="32"/>
                <w:szCs w:val="3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6" w:type="pct"/>
            <w:vAlign w:val="center"/>
          </w:tcPr>
          <w:p>
            <w:pPr>
              <w:ind w:firstLine="0" w:firstLineChars="0"/>
              <w:jc w:val="left"/>
              <w:rPr>
                <w:rFonts w:ascii="Cambria Math" w:cs="Times New Roman"/>
                <w:sz w:val="32"/>
                <w:szCs w:val="32"/>
                <w:oMath/>
              </w:rPr>
            </w:pPr>
            <w:r>
              <w:rPr>
                <w:rFonts w:hint="eastAsia" w:cs="Times New Roman"/>
                <w:sz w:val="32"/>
                <w:szCs w:val="32"/>
              </w:rPr>
              <w:t>式</w:t>
            </w:r>
            <w:r>
              <w:rPr>
                <w:rFonts w:cs="Times New Roman"/>
                <w:sz w:val="32"/>
                <w:szCs w:val="32"/>
              </w:rPr>
              <w:t>中：</w:t>
            </w:r>
          </w:p>
        </w:tc>
        <w:tc>
          <w:tcPr>
            <w:tcW w:w="448" w:type="pct"/>
            <w:vAlign w:val="center"/>
          </w:tcPr>
          <w:p>
            <w:pPr>
              <w:spacing w:line="0" w:lineRule="atLeast"/>
              <w:ind w:firstLine="0" w:firstLineChars="0"/>
              <w:rPr>
                <w:rFonts w:cs="Times New Roman"/>
                <w:sz w:val="32"/>
                <w:szCs w:val="32"/>
                <w:lang w:eastAsia="zh-Hans"/>
              </w:rPr>
            </w:pPr>
          </w:p>
        </w:tc>
        <w:tc>
          <w:tcPr>
            <w:tcW w:w="3976" w:type="pct"/>
            <w:gridSpan w:val="2"/>
            <w:vAlign w:val="center"/>
          </w:tcPr>
          <w:p>
            <w:pPr>
              <w:spacing w:line="0" w:lineRule="atLeast"/>
              <w:ind w:firstLine="0" w:firstLineChars="0"/>
              <w:rPr>
                <w:rFonts w:cs="Times New Roman"/>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6" w:type="pct"/>
            <w:vAlign w:val="center"/>
          </w:tcPr>
          <w:p>
            <w:pPr>
              <w:spacing w:line="0" w:lineRule="atLeast"/>
              <w:ind w:firstLine="0" w:firstLineChars="0"/>
              <w:jc w:val="right"/>
              <w:rPr>
                <w:rFonts w:cs="Times New Roman"/>
                <w:i/>
                <w:iCs/>
                <w:kern w:val="0"/>
                <w:sz w:val="32"/>
                <w:szCs w:val="32"/>
              </w:rPr>
            </w:pPr>
            <m:oMathPara>
              <m:oMathParaPr>
                <m:jc m:val="left"/>
              </m:oMathParaPr>
              <m:oMath>
                <m:r>
                  <m:rPr/>
                  <w:rPr>
                    <w:rFonts w:ascii="Cambria Math" w:cs="Times New Roman"/>
                    <w:sz w:val="32"/>
                    <w:szCs w:val="32"/>
                  </w:rPr>
                  <m:t>E</m:t>
                </m:r>
                <m:sSub>
                  <m:sSubPr>
                    <m:ctrlPr>
                      <w:rPr>
                        <w:rFonts w:ascii="Cambria Math" w:hAnsi="Cambria Math" w:cs="Times New Roman"/>
                        <w:i/>
                        <w:iCs/>
                        <w:sz w:val="32"/>
                        <w:szCs w:val="32"/>
                      </w:rPr>
                    </m:ctrlPr>
                  </m:sSubPr>
                  <m:e>
                    <m:r>
                      <m:rPr/>
                      <w:rPr>
                        <w:rFonts w:ascii="Cambria Math" w:cs="Times New Roman"/>
                        <w:sz w:val="32"/>
                        <w:szCs w:val="32"/>
                      </w:rPr>
                      <m:t>F</m:t>
                    </m:r>
                    <m:ctrlPr>
                      <w:rPr>
                        <w:rFonts w:ascii="Cambria Math" w:hAnsi="Cambria Math" w:cs="Times New Roman"/>
                        <w:i/>
                        <w:iCs/>
                        <w:sz w:val="32"/>
                        <w:szCs w:val="32"/>
                      </w:rPr>
                    </m:ctrlPr>
                  </m:e>
                  <m:sub>
                    <m:r>
                      <m:rPr/>
                      <w:rPr>
                        <w:rFonts w:ascii="Cambria Math" w:cs="Times New Roman"/>
                        <w:sz w:val="32"/>
                        <w:szCs w:val="32"/>
                      </w:rPr>
                      <m:t>PKM,i</m:t>
                    </m:r>
                    <m:ctrlPr>
                      <w:rPr>
                        <w:rFonts w:ascii="Cambria Math" w:hAnsi="Cambria Math" w:cs="Times New Roman"/>
                        <w:i/>
                        <w:iCs/>
                        <w:sz w:val="32"/>
                        <w:szCs w:val="32"/>
                      </w:rPr>
                    </m:ctrlPr>
                  </m:sub>
                </m:sSub>
              </m:oMath>
            </m:oMathPara>
          </w:p>
        </w:tc>
        <w:tc>
          <w:tcPr>
            <w:tcW w:w="448" w:type="pct"/>
            <w:vAlign w:val="center"/>
          </w:tcPr>
          <w:p>
            <w:pPr>
              <w:spacing w:line="0" w:lineRule="atLeast"/>
              <w:ind w:firstLine="0" w:firstLineChars="0"/>
              <w:jc w:val="center"/>
              <w:rPr>
                <w:rFonts w:cs="Times New Roman"/>
                <w:i/>
                <w:iCs/>
                <w:kern w:val="0"/>
                <w:sz w:val="32"/>
                <w:szCs w:val="32"/>
              </w:rPr>
            </w:pPr>
            <w:r>
              <w:rPr>
                <w:rFonts w:cs="Times New Roman"/>
                <w:i/>
                <w:iCs/>
                <w:kern w:val="0"/>
                <w:sz w:val="32"/>
                <w:szCs w:val="32"/>
              </w:rPr>
              <w:t>——</w:t>
            </w:r>
          </w:p>
        </w:tc>
        <w:tc>
          <w:tcPr>
            <w:tcW w:w="3976" w:type="pct"/>
            <w:gridSpan w:val="2"/>
            <w:vAlign w:val="center"/>
          </w:tcPr>
          <w:p>
            <w:pPr>
              <w:spacing w:line="0" w:lineRule="atLeast"/>
              <w:ind w:firstLine="0" w:firstLineChars="0"/>
              <w:rPr>
                <w:rFonts w:cs="Times New Roman"/>
                <w:i/>
                <w:iCs/>
                <w:kern w:val="0"/>
                <w:sz w:val="32"/>
                <w:szCs w:val="32"/>
              </w:rPr>
            </w:pPr>
            <w:r>
              <w:rPr>
                <w:rFonts w:hint="eastAsia" w:cs="Times New Roman"/>
                <w:kern w:val="0"/>
                <w:sz w:val="32"/>
                <w:szCs w:val="32"/>
              </w:rPr>
              <w:t>第i种出行方式</w:t>
            </w:r>
            <w:r>
              <w:rPr>
                <w:rFonts w:cs="Times New Roman"/>
                <w:kern w:val="0"/>
                <w:sz w:val="32"/>
                <w:szCs w:val="32"/>
              </w:rPr>
              <w:t>的单位客运周转量排放因子</w:t>
            </w:r>
            <w:r>
              <w:rPr>
                <w:rFonts w:hint="eastAsia" w:cs="Times New Roman"/>
                <w:kern w:val="0"/>
                <w:sz w:val="32"/>
                <w:szCs w:val="32"/>
              </w:rPr>
              <w:t>，单位为千克二氧化碳每人公里</w:t>
            </w:r>
            <w:r>
              <w:rPr>
                <w:rFonts w:cs="Times New Roman"/>
                <w:kern w:val="0"/>
                <w:sz w:val="32"/>
                <w:szCs w:val="32"/>
              </w:rPr>
              <w:t>（</w:t>
            </w:r>
            <w:r>
              <w:rPr>
                <w:rFonts w:hint="eastAsia" w:cs="Times New Roman"/>
                <w:kern w:val="0"/>
                <w:sz w:val="32"/>
                <w:szCs w:val="32"/>
              </w:rPr>
              <w:t>kg</w:t>
            </w:r>
            <w:r>
              <w:rPr>
                <w:rFonts w:cs="Times New Roman"/>
                <w:kern w:val="0"/>
                <w:sz w:val="32"/>
                <w:szCs w:val="32"/>
              </w:rPr>
              <w:t>CO</w:t>
            </w:r>
            <w:r>
              <w:rPr>
                <w:rFonts w:cs="Times New Roman"/>
                <w:kern w:val="0"/>
                <w:sz w:val="32"/>
                <w:szCs w:val="32"/>
                <w:vertAlign w:val="subscript"/>
              </w:rPr>
              <w:t>2</w:t>
            </w:r>
            <w:r>
              <w:rPr>
                <w:rFonts w:cs="Times New Roman"/>
                <w:kern w:val="0"/>
                <w:sz w:val="32"/>
                <w:szCs w:val="32"/>
              </w:rPr>
              <w:t>/</w:t>
            </w:r>
            <w:r>
              <w:rPr>
                <w:rFonts w:hint="eastAsia" w:cs="Times New Roman"/>
                <w:kern w:val="0"/>
                <w:sz w:val="32"/>
                <w:szCs w:val="32"/>
              </w:rPr>
              <w:t>pkm</w:t>
            </w:r>
            <w:r>
              <w:rPr>
                <w:rFonts w:cs="Times New Roman"/>
                <w:kern w:val="0"/>
                <w:sz w:val="32"/>
                <w:szCs w:val="32"/>
              </w:rPr>
              <w:t>）</w:t>
            </w:r>
            <w:r>
              <w:rPr>
                <w:rFonts w:hint="eastAsia" w:cs="Times New Roman"/>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6" w:type="pct"/>
            <w:vAlign w:val="center"/>
          </w:tcPr>
          <w:p>
            <w:pPr>
              <w:spacing w:line="0" w:lineRule="atLeast"/>
              <w:ind w:firstLine="0" w:firstLineChars="0"/>
              <w:jc w:val="right"/>
              <w:rPr>
                <w:rFonts w:cs="Times New Roman"/>
                <w:i/>
                <w:iCs/>
                <w:kern w:val="0"/>
                <w:sz w:val="32"/>
                <w:szCs w:val="32"/>
              </w:rPr>
            </w:pPr>
            <m:oMathPara>
              <m:oMathParaPr>
                <m:jc m:val="left"/>
              </m:oMathParaPr>
              <m:oMath>
                <m:r>
                  <m:rPr/>
                  <w:rPr>
                    <w:rFonts w:ascii="Cambria Math" w:hAnsi="Cambria Math" w:cs="Times New Roman"/>
                    <w:sz w:val="32"/>
                    <w:szCs w:val="32"/>
                  </w:rPr>
                  <m:t>E</m:t>
                </m:r>
                <m:sSub>
                  <m:sSubPr>
                    <m:ctrlPr>
                      <w:rPr>
                        <w:rFonts w:ascii="Cambria Math" w:hAnsi="Cambria Math" w:cs="Times New Roman"/>
                        <w:i/>
                        <w:sz w:val="32"/>
                        <w:szCs w:val="32"/>
                      </w:rPr>
                    </m:ctrlPr>
                  </m:sSubPr>
                  <m:e>
                    <m:r>
                      <m:rPr/>
                      <w:rPr>
                        <w:rFonts w:ascii="Cambria Math" w:hAnsi="Cambria Math" w:cs="Times New Roman"/>
                        <w:sz w:val="32"/>
                        <w:szCs w:val="32"/>
                      </w:rPr>
                      <m:t>F</m:t>
                    </m:r>
                    <m:ctrlPr>
                      <w:rPr>
                        <w:rFonts w:ascii="Cambria Math" w:hAnsi="Cambria Math" w:cs="Times New Roman"/>
                        <w:i/>
                        <w:sz w:val="32"/>
                        <w:szCs w:val="32"/>
                      </w:rPr>
                    </m:ctrlPr>
                  </m:e>
                  <m:sub>
                    <m:r>
                      <m:rPr>
                        <m:nor/>
                      </m:rPr>
                      <w:rPr>
                        <w:rFonts w:ascii="Cambria Math" w:hAnsi="Cambria Math" w:cs="Times New Roman"/>
                        <w:i/>
                        <w:sz w:val="32"/>
                        <w:szCs w:val="32"/>
                      </w:rPr>
                      <m:t>km,i</m:t>
                    </m:r>
                    <m:ctrlPr>
                      <w:rPr>
                        <w:rFonts w:ascii="Cambria Math" w:hAnsi="Cambria Math" w:cs="Times New Roman"/>
                        <w:i/>
                        <w:sz w:val="32"/>
                        <w:szCs w:val="32"/>
                      </w:rPr>
                    </m:ctrlPr>
                  </m:sub>
                </m:sSub>
              </m:oMath>
            </m:oMathPara>
          </w:p>
        </w:tc>
        <w:tc>
          <w:tcPr>
            <w:tcW w:w="448" w:type="pct"/>
            <w:vAlign w:val="center"/>
          </w:tcPr>
          <w:p>
            <w:pPr>
              <w:spacing w:line="0" w:lineRule="atLeast"/>
              <w:ind w:firstLine="0" w:firstLineChars="0"/>
              <w:jc w:val="center"/>
              <w:rPr>
                <w:rFonts w:cs="Times New Roman"/>
                <w:i/>
                <w:iCs/>
                <w:kern w:val="0"/>
                <w:sz w:val="32"/>
                <w:szCs w:val="32"/>
              </w:rPr>
            </w:pPr>
            <w:r>
              <w:rPr>
                <w:rFonts w:cs="Times New Roman"/>
                <w:i/>
                <w:iCs/>
                <w:kern w:val="0"/>
                <w:sz w:val="32"/>
                <w:szCs w:val="32"/>
              </w:rPr>
              <w:t>——</w:t>
            </w:r>
          </w:p>
        </w:tc>
        <w:tc>
          <w:tcPr>
            <w:tcW w:w="3976" w:type="pct"/>
            <w:gridSpan w:val="2"/>
            <w:vAlign w:val="center"/>
          </w:tcPr>
          <w:p>
            <w:pPr>
              <w:spacing w:line="0" w:lineRule="atLeast"/>
              <w:ind w:firstLine="0" w:firstLineChars="0"/>
              <w:rPr>
                <w:rFonts w:cs="Times New Roman"/>
                <w:i/>
                <w:iCs/>
                <w:kern w:val="0"/>
                <w:sz w:val="32"/>
                <w:szCs w:val="32"/>
              </w:rPr>
            </w:pPr>
            <w:r>
              <w:rPr>
                <w:rFonts w:cs="Times New Roman"/>
                <w:sz w:val="32"/>
                <w:szCs w:val="32"/>
              </w:rPr>
              <w:t>基准年</w:t>
            </w:r>
            <w:r>
              <w:rPr>
                <w:rFonts w:hint="eastAsia" w:cs="Times New Roman"/>
                <w:kern w:val="0"/>
                <w:sz w:val="32"/>
                <w:szCs w:val="32"/>
              </w:rPr>
              <w:t>第i种出行方式</w:t>
            </w:r>
            <w:r>
              <w:rPr>
                <w:rFonts w:cs="Times New Roman"/>
                <w:kern w:val="0"/>
                <w:sz w:val="32"/>
                <w:szCs w:val="32"/>
              </w:rPr>
              <w:t>的单位里程排放因子</w:t>
            </w:r>
            <w:r>
              <w:rPr>
                <w:rFonts w:hint="eastAsia" w:cs="Times New Roman"/>
                <w:kern w:val="0"/>
                <w:sz w:val="32"/>
                <w:szCs w:val="32"/>
              </w:rPr>
              <w:t>，单位为千克二氧化碳每公里</w:t>
            </w:r>
            <w:r>
              <w:rPr>
                <w:rFonts w:cs="Times New Roman"/>
                <w:kern w:val="0"/>
                <w:sz w:val="32"/>
                <w:szCs w:val="32"/>
              </w:rPr>
              <w:t>（</w:t>
            </w:r>
            <w:r>
              <w:rPr>
                <w:rFonts w:hint="eastAsia" w:cs="Times New Roman"/>
                <w:kern w:val="0"/>
                <w:sz w:val="32"/>
                <w:szCs w:val="32"/>
              </w:rPr>
              <w:t>kg</w:t>
            </w:r>
            <w:r>
              <w:rPr>
                <w:rFonts w:cs="Times New Roman"/>
                <w:kern w:val="0"/>
                <w:sz w:val="32"/>
                <w:szCs w:val="32"/>
              </w:rPr>
              <w:t>CO</w:t>
            </w:r>
            <w:r>
              <w:rPr>
                <w:rFonts w:cs="Times New Roman"/>
                <w:kern w:val="0"/>
                <w:sz w:val="32"/>
                <w:szCs w:val="32"/>
                <w:vertAlign w:val="subscript"/>
              </w:rPr>
              <w:t>2</w:t>
            </w:r>
            <w:r>
              <w:rPr>
                <w:rFonts w:cs="Times New Roman"/>
                <w:kern w:val="0"/>
                <w:sz w:val="32"/>
                <w:szCs w:val="32"/>
              </w:rPr>
              <w:t>/km）</w:t>
            </w:r>
            <w:r>
              <w:rPr>
                <w:rFonts w:hint="eastAsia" w:cs="Times New Roman"/>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6" w:type="pct"/>
            <w:vAlign w:val="center"/>
          </w:tcPr>
          <w:p>
            <w:pPr>
              <w:spacing w:line="0" w:lineRule="atLeast"/>
              <w:ind w:firstLine="0" w:firstLineChars="0"/>
              <w:jc w:val="right"/>
              <w:rPr>
                <w:rFonts w:cs="Times New Roman"/>
                <w:i/>
                <w:iCs/>
                <w:kern w:val="0"/>
                <w:sz w:val="32"/>
                <w:szCs w:val="32"/>
              </w:rPr>
            </w:pPr>
            <m:oMathPara>
              <m:oMathParaPr>
                <m:jc m:val="left"/>
              </m:oMathParaPr>
              <m:oMath>
                <m:r>
                  <m:rPr/>
                  <w:rPr>
                    <w:rFonts w:ascii="Cambria Math" w:cs="Times New Roman"/>
                    <w:sz w:val="32"/>
                    <w:szCs w:val="32"/>
                  </w:rPr>
                  <m:t>O</m:t>
                </m:r>
                <m:sSub>
                  <m:sSubPr>
                    <m:ctrlPr>
                      <w:rPr>
                        <w:rFonts w:ascii="Cambria Math" w:hAnsi="Cambria Math" w:cs="Times New Roman"/>
                        <w:i/>
                        <w:iCs/>
                        <w:sz w:val="32"/>
                        <w:szCs w:val="32"/>
                      </w:rPr>
                    </m:ctrlPr>
                  </m:sSubPr>
                  <m:e>
                    <m:r>
                      <m:rPr/>
                      <w:rPr>
                        <w:rFonts w:ascii="Cambria Math" w:cs="Times New Roman"/>
                        <w:sz w:val="32"/>
                        <w:szCs w:val="32"/>
                      </w:rPr>
                      <m:t>C</m:t>
                    </m:r>
                    <m:ctrlPr>
                      <w:rPr>
                        <w:rFonts w:ascii="Cambria Math" w:hAnsi="Cambria Math" w:cs="Times New Roman"/>
                        <w:i/>
                        <w:iCs/>
                        <w:sz w:val="32"/>
                        <w:szCs w:val="32"/>
                      </w:rPr>
                    </m:ctrlPr>
                  </m:e>
                  <m:sub>
                    <m:r>
                      <m:rPr/>
                      <w:rPr>
                        <w:rFonts w:ascii="Cambria Math" w:cs="Times New Roman"/>
                        <w:sz w:val="32"/>
                        <w:szCs w:val="32"/>
                      </w:rPr>
                      <m:t>i</m:t>
                    </m:r>
                    <m:ctrlPr>
                      <w:rPr>
                        <w:rFonts w:ascii="Cambria Math" w:hAnsi="Cambria Math" w:cs="Times New Roman"/>
                        <w:i/>
                        <w:iCs/>
                        <w:sz w:val="32"/>
                        <w:szCs w:val="32"/>
                      </w:rPr>
                    </m:ctrlPr>
                  </m:sub>
                </m:sSub>
              </m:oMath>
            </m:oMathPara>
          </w:p>
        </w:tc>
        <w:tc>
          <w:tcPr>
            <w:tcW w:w="448" w:type="pct"/>
            <w:vAlign w:val="center"/>
          </w:tcPr>
          <w:p>
            <w:pPr>
              <w:spacing w:line="0" w:lineRule="atLeast"/>
              <w:ind w:firstLine="0" w:firstLineChars="0"/>
              <w:jc w:val="center"/>
              <w:rPr>
                <w:rFonts w:cs="Times New Roman"/>
                <w:i/>
                <w:iCs/>
                <w:kern w:val="0"/>
                <w:position w:val="-34"/>
                <w:sz w:val="32"/>
                <w:szCs w:val="32"/>
              </w:rPr>
            </w:pPr>
            <w:r>
              <w:rPr>
                <w:rFonts w:cs="Times New Roman"/>
                <w:i/>
                <w:iCs/>
                <w:kern w:val="0"/>
                <w:sz w:val="32"/>
                <w:szCs w:val="32"/>
              </w:rPr>
              <w:t>——</w:t>
            </w:r>
          </w:p>
        </w:tc>
        <w:tc>
          <w:tcPr>
            <w:tcW w:w="3976" w:type="pct"/>
            <w:gridSpan w:val="2"/>
            <w:vAlign w:val="center"/>
          </w:tcPr>
          <w:p>
            <w:pPr>
              <w:spacing w:line="0" w:lineRule="atLeast"/>
              <w:ind w:firstLine="0" w:firstLineChars="0"/>
              <w:rPr>
                <w:rFonts w:cs="Times New Roman"/>
                <w:kern w:val="0"/>
                <w:sz w:val="32"/>
                <w:szCs w:val="32"/>
              </w:rPr>
            </w:pPr>
            <w:r>
              <w:rPr>
                <w:rFonts w:hint="eastAsia" w:cs="Times New Roman"/>
                <w:kern w:val="0"/>
                <w:sz w:val="32"/>
                <w:szCs w:val="32"/>
              </w:rPr>
              <w:t>第i种出行方式</w:t>
            </w:r>
            <w:r>
              <w:rPr>
                <w:rFonts w:cs="Times New Roman"/>
                <w:kern w:val="0"/>
                <w:sz w:val="32"/>
                <w:szCs w:val="32"/>
              </w:rPr>
              <w:t>的平均载客人数</w:t>
            </w:r>
            <w:r>
              <w:rPr>
                <w:rFonts w:hint="eastAsia" w:cs="Times New Roman"/>
                <w:kern w:val="0"/>
                <w:sz w:val="32"/>
                <w:szCs w:val="32"/>
              </w:rPr>
              <w:t>，单位为人。</w:t>
            </w:r>
          </w:p>
        </w:tc>
      </w:tr>
    </w:tbl>
    <w:p>
      <w:pPr>
        <w:ind w:firstLine="420"/>
        <w:rPr>
          <w:rFonts w:cs="Times New Roman"/>
          <w:sz w:val="32"/>
          <w:szCs w:val="32"/>
        </w:rPr>
      </w:pPr>
      <w:bookmarkStart w:id="171" w:name="_Toc6523"/>
      <w:bookmarkStart w:id="172" w:name="_Toc164772286"/>
      <w:bookmarkStart w:id="173" w:name="_Toc7619"/>
      <w:bookmarkStart w:id="174" w:name="_Toc1945"/>
      <w:r>
        <w:rPr>
          <w:rFonts w:cs="Times New Roman"/>
          <w:sz w:val="32"/>
          <w:szCs w:val="32"/>
        </w:rPr>
        <w:t>（</w:t>
      </w:r>
      <w:r>
        <w:rPr>
          <w:rFonts w:hint="eastAsia" w:cs="Times New Roman"/>
          <w:sz w:val="32"/>
          <w:szCs w:val="32"/>
        </w:rPr>
        <w:t>2</w:t>
      </w:r>
      <w:r>
        <w:rPr>
          <w:rFonts w:cs="Times New Roman"/>
          <w:sz w:val="32"/>
          <w:szCs w:val="32"/>
        </w:rPr>
        <w:t>）对于</w:t>
      </w:r>
      <w:r>
        <w:rPr>
          <w:rFonts w:hint="eastAsia" w:cs="Times New Roman"/>
          <w:sz w:val="32"/>
          <w:szCs w:val="32"/>
        </w:rPr>
        <w:t>所有机动化</w:t>
      </w:r>
      <w:r>
        <w:rPr>
          <w:rFonts w:cs="Times New Roman"/>
          <w:sz w:val="32"/>
          <w:szCs w:val="32"/>
        </w:rPr>
        <w:t>出行</w:t>
      </w:r>
      <w:r>
        <w:rPr>
          <w:rFonts w:hint="eastAsia" w:cs="Times New Roman"/>
          <w:sz w:val="32"/>
          <w:szCs w:val="32"/>
        </w:rPr>
        <w:t>方式</w:t>
      </w:r>
      <w:r>
        <w:rPr>
          <w:rFonts w:cs="Times New Roman"/>
          <w:sz w:val="32"/>
          <w:szCs w:val="32"/>
        </w:rPr>
        <w:t>的单位客运周转量</w:t>
      </w:r>
      <w:r>
        <w:rPr>
          <w:rFonts w:hint="eastAsia" w:cs="Times New Roman"/>
          <w:sz w:val="32"/>
          <w:szCs w:val="32"/>
        </w:rPr>
        <w:t>加权</w:t>
      </w:r>
      <w:r>
        <w:rPr>
          <w:rFonts w:cs="Times New Roman"/>
          <w:sz w:val="32"/>
          <w:szCs w:val="32"/>
        </w:rPr>
        <w:t>排放因子，采用公式（</w:t>
      </w:r>
      <w:r>
        <w:rPr>
          <w:rFonts w:hint="eastAsia" w:cs="Times New Roman"/>
          <w:sz w:val="32"/>
          <w:szCs w:val="32"/>
        </w:rPr>
        <w:t>4</w:t>
      </w:r>
      <w:r>
        <w:rPr>
          <w:rFonts w:cs="Times New Roman"/>
          <w:sz w:val="32"/>
          <w:szCs w:val="32"/>
        </w:rPr>
        <w:t xml:space="preserve">）计算 </w:t>
      </w:r>
      <w:r>
        <w:rPr>
          <w:rFonts w:hint="eastAsia" w:cs="Times New Roman"/>
          <w:sz w:val="32"/>
          <w:szCs w:val="32"/>
        </w:rPr>
        <w:t>：</w:t>
      </w:r>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5"/>
        <w:gridCol w:w="771"/>
        <w:gridCol w:w="5954"/>
        <w:gridCol w:w="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18" w:type="pct"/>
            <w:gridSpan w:val="3"/>
            <w:vAlign w:val="center"/>
          </w:tcPr>
          <w:p>
            <w:pPr>
              <w:spacing w:line="0" w:lineRule="atLeast"/>
              <w:ind w:firstLine="0" w:firstLineChars="0"/>
              <w:jc w:val="center"/>
              <w:rPr>
                <w:rFonts w:cs="Times New Roman"/>
                <w:i/>
                <w:iCs/>
                <w:kern w:val="0"/>
                <w:sz w:val="32"/>
                <w:szCs w:val="32"/>
              </w:rPr>
            </w:pPr>
            <m:oMathPara>
              <m:oMath>
                <m:r>
                  <m:rPr/>
                  <w:rPr>
                    <w:rFonts w:ascii="Cambria Math" w:cs="Times New Roman"/>
                    <w:sz w:val="32"/>
                    <w:szCs w:val="32"/>
                  </w:rPr>
                  <m:t>E</m:t>
                </m:r>
                <m:sSub>
                  <m:sSubPr>
                    <m:ctrlPr>
                      <w:rPr>
                        <w:rFonts w:ascii="Cambria Math" w:hAnsi="Cambria Math" w:cs="Times New Roman"/>
                        <w:i/>
                        <w:iCs/>
                        <w:sz w:val="32"/>
                        <w:szCs w:val="32"/>
                      </w:rPr>
                    </m:ctrlPr>
                  </m:sSubPr>
                  <m:e>
                    <m:r>
                      <m:rPr/>
                      <w:rPr>
                        <w:rFonts w:ascii="Cambria Math" w:cs="Times New Roman"/>
                        <w:sz w:val="32"/>
                        <w:szCs w:val="32"/>
                      </w:rPr>
                      <m:t>F</m:t>
                    </m:r>
                    <m:ctrlPr>
                      <w:rPr>
                        <w:rFonts w:ascii="Cambria Math" w:hAnsi="Cambria Math" w:cs="Times New Roman"/>
                        <w:i/>
                        <w:iCs/>
                        <w:sz w:val="32"/>
                        <w:szCs w:val="32"/>
                      </w:rPr>
                    </m:ctrlPr>
                  </m:e>
                  <m:sub>
                    <m:r>
                      <m:rPr/>
                      <w:rPr>
                        <w:rFonts w:ascii="Cambria Math" w:cs="Times New Roman"/>
                        <w:sz w:val="32"/>
                        <w:szCs w:val="32"/>
                      </w:rPr>
                      <m:t>PKM</m:t>
                    </m:r>
                    <m:ctrlPr>
                      <w:rPr>
                        <w:rFonts w:ascii="Cambria Math" w:hAnsi="Cambria Math" w:cs="Times New Roman"/>
                        <w:i/>
                        <w:iCs/>
                        <w:sz w:val="32"/>
                        <w:szCs w:val="32"/>
                      </w:rPr>
                    </m:ctrlPr>
                  </m:sub>
                </m:sSub>
                <m:r>
                  <m:rPr/>
                  <w:rPr>
                    <w:rFonts w:ascii="Cambria Math" w:cs="Times New Roman"/>
                    <w:sz w:val="32"/>
                    <w:szCs w:val="32"/>
                  </w:rPr>
                  <m:t>=</m:t>
                </m:r>
                <m:f>
                  <m:fPr>
                    <m:ctrlPr>
                      <w:rPr>
                        <w:rFonts w:ascii="Cambria Math" w:hAnsi="Cambria Math"/>
                        <w:i/>
                        <w:iCs/>
                        <w:sz w:val="32"/>
                        <w:szCs w:val="32"/>
                      </w:rPr>
                    </m:ctrlPr>
                  </m:fPr>
                  <m:num>
                    <m:nary>
                      <m:naryPr>
                        <m:chr m:val="∑"/>
                        <m:subHide m:val="1"/>
                        <m:supHide m:val="1"/>
                        <m:ctrlPr>
                          <w:rPr>
                            <w:rFonts w:ascii="Cambria Math" w:hAnsi="Cambria Math"/>
                            <w:i/>
                            <w:iCs/>
                            <w:sz w:val="32"/>
                            <w:szCs w:val="32"/>
                          </w:rPr>
                        </m:ctrlPr>
                      </m:naryPr>
                      <m:sub>
                        <m:ctrlPr>
                          <w:rPr>
                            <w:rFonts w:ascii="Cambria Math" w:hAnsi="Cambria Math"/>
                            <w:i/>
                            <w:iCs/>
                            <w:sz w:val="32"/>
                            <w:szCs w:val="32"/>
                          </w:rPr>
                        </m:ctrlPr>
                      </m:sub>
                      <m:sup>
                        <m:ctrlPr>
                          <w:rPr>
                            <w:rFonts w:ascii="Cambria Math" w:hAnsi="Cambria Math"/>
                            <w:i/>
                            <w:iCs/>
                            <w:sz w:val="32"/>
                            <w:szCs w:val="32"/>
                          </w:rPr>
                        </m:ctrlPr>
                      </m:sup>
                      <m:e>
                        <m:d>
                          <m:dPr>
                            <m:ctrlPr>
                              <w:rPr>
                                <w:rFonts w:ascii="Cambria Math" w:hAnsi="Cambria Math"/>
                                <w:i/>
                                <w:iCs/>
                                <w:sz w:val="32"/>
                                <w:szCs w:val="32"/>
                              </w:rPr>
                            </m:ctrlPr>
                          </m:dPr>
                          <m:e>
                            <m:r>
                              <m:rPr/>
                              <w:rPr>
                                <w:rFonts w:ascii="Cambria Math" w:cs="Times New Roman"/>
                                <w:sz w:val="32"/>
                                <w:szCs w:val="32"/>
                              </w:rPr>
                              <m:t>P</m:t>
                            </m:r>
                            <m:sSub>
                              <m:sSubPr>
                                <m:ctrlPr>
                                  <w:rPr>
                                    <w:rFonts w:ascii="Cambria Math" w:hAnsi="Cambria Math" w:cs="Times New Roman"/>
                                    <w:i/>
                                    <w:iCs/>
                                    <w:sz w:val="32"/>
                                    <w:szCs w:val="32"/>
                                  </w:rPr>
                                </m:ctrlPr>
                              </m:sSubPr>
                              <m:e>
                                <m:r>
                                  <m:rPr/>
                                  <w:rPr>
                                    <w:rFonts w:ascii="Cambria Math" w:hAnsi="Cambria Math" w:cs="Times New Roman"/>
                                    <w:sz w:val="32"/>
                                    <w:szCs w:val="32"/>
                                  </w:rPr>
                                  <m:t>KM</m:t>
                                </m:r>
                                <m:ctrlPr>
                                  <w:rPr>
                                    <w:rFonts w:ascii="Cambria Math" w:hAnsi="Cambria Math" w:cs="Times New Roman"/>
                                    <w:i/>
                                    <w:iCs/>
                                    <w:sz w:val="32"/>
                                    <w:szCs w:val="32"/>
                                  </w:rPr>
                                </m:ctrlPr>
                              </m:e>
                              <m:sub>
                                <m:r>
                                  <m:rPr/>
                                  <w:rPr>
                                    <w:rFonts w:ascii="Cambria Math" w:cs="Times New Roman"/>
                                    <w:sz w:val="32"/>
                                    <w:szCs w:val="32"/>
                                  </w:rPr>
                                  <m:t>i</m:t>
                                </m:r>
                                <m:ctrlPr>
                                  <w:rPr>
                                    <w:rFonts w:ascii="Cambria Math" w:hAnsi="Cambria Math" w:cs="Times New Roman"/>
                                    <w:i/>
                                    <w:iCs/>
                                    <w:sz w:val="32"/>
                                    <w:szCs w:val="32"/>
                                  </w:rPr>
                                </m:ctrlPr>
                              </m:sub>
                            </m:sSub>
                            <m:r>
                              <m:rPr/>
                              <w:rPr>
                                <w:rFonts w:ascii="Cambria Math" w:hAnsi="Cambria Math"/>
                                <w:sz w:val="32"/>
                                <w:szCs w:val="32"/>
                              </w:rPr>
                              <m:t>×</m:t>
                            </m:r>
                            <m:r>
                              <m:rPr/>
                              <w:rPr>
                                <w:rFonts w:ascii="Cambria Math"/>
                                <w:sz w:val="32"/>
                                <w:szCs w:val="32"/>
                              </w:rPr>
                              <m:t>E</m:t>
                            </m:r>
                            <m:sSub>
                              <m:sSubPr>
                                <m:ctrlPr>
                                  <w:rPr>
                                    <w:rFonts w:ascii="Cambria Math" w:hAnsi="Cambria Math"/>
                                    <w:i/>
                                    <w:iCs/>
                                    <w:sz w:val="32"/>
                                    <w:szCs w:val="32"/>
                                  </w:rPr>
                                </m:ctrlPr>
                              </m:sSubPr>
                              <m:e>
                                <m:r>
                                  <m:rPr/>
                                  <w:rPr>
                                    <w:rFonts w:ascii="Cambria Math"/>
                                    <w:sz w:val="32"/>
                                    <w:szCs w:val="32"/>
                                  </w:rPr>
                                  <m:t>F</m:t>
                                </m:r>
                                <m:ctrlPr>
                                  <w:rPr>
                                    <w:rFonts w:ascii="Cambria Math" w:hAnsi="Cambria Math"/>
                                    <w:i/>
                                    <w:iCs/>
                                    <w:sz w:val="32"/>
                                    <w:szCs w:val="32"/>
                                  </w:rPr>
                                </m:ctrlPr>
                              </m:e>
                              <m:sub>
                                <m:r>
                                  <m:rPr/>
                                  <w:rPr>
                                    <w:rFonts w:ascii="Cambria Math"/>
                                    <w:sz w:val="32"/>
                                    <w:szCs w:val="32"/>
                                  </w:rPr>
                                  <m:t>PKM,i</m:t>
                                </m:r>
                                <m:ctrlPr>
                                  <w:rPr>
                                    <w:rFonts w:ascii="Cambria Math" w:hAnsi="Cambria Math"/>
                                    <w:i/>
                                    <w:iCs/>
                                    <w:sz w:val="32"/>
                                    <w:szCs w:val="32"/>
                                  </w:rPr>
                                </m:ctrlPr>
                              </m:sub>
                            </m:sSub>
                            <m:ctrlPr>
                              <w:rPr>
                                <w:rFonts w:ascii="Cambria Math" w:hAnsi="Cambria Math"/>
                                <w:i/>
                                <w:iCs/>
                                <w:sz w:val="32"/>
                                <w:szCs w:val="32"/>
                              </w:rPr>
                            </m:ctrlPr>
                          </m:e>
                        </m:d>
                        <m:ctrlPr>
                          <w:rPr>
                            <w:rFonts w:ascii="Cambria Math" w:hAnsi="Cambria Math"/>
                            <w:i/>
                            <w:iCs/>
                            <w:sz w:val="32"/>
                            <w:szCs w:val="32"/>
                          </w:rPr>
                        </m:ctrlPr>
                      </m:e>
                    </m:nary>
                    <m:ctrlPr>
                      <w:rPr>
                        <w:rFonts w:ascii="Cambria Math" w:hAnsi="Cambria Math"/>
                        <w:i/>
                        <w:iCs/>
                        <w:sz w:val="32"/>
                        <w:szCs w:val="32"/>
                      </w:rPr>
                    </m:ctrlPr>
                  </m:num>
                  <m:den>
                    <m:nary>
                      <m:naryPr>
                        <m:chr m:val="∑"/>
                        <m:subHide m:val="1"/>
                        <m:supHide m:val="1"/>
                        <m:ctrlPr>
                          <w:rPr>
                            <w:rFonts w:ascii="Cambria Math" w:hAnsi="Cambria Math"/>
                            <w:i/>
                            <w:iCs/>
                            <w:sz w:val="32"/>
                            <w:szCs w:val="32"/>
                          </w:rPr>
                        </m:ctrlPr>
                      </m:naryPr>
                      <m:sub>
                        <m:ctrlPr>
                          <w:rPr>
                            <w:rFonts w:ascii="Cambria Math" w:hAnsi="Cambria Math"/>
                            <w:i/>
                            <w:iCs/>
                            <w:sz w:val="32"/>
                            <w:szCs w:val="32"/>
                          </w:rPr>
                        </m:ctrlPr>
                      </m:sub>
                      <m:sup>
                        <m:ctrlPr>
                          <w:rPr>
                            <w:rFonts w:ascii="Cambria Math" w:hAnsi="Cambria Math"/>
                            <w:i/>
                            <w:iCs/>
                            <w:sz w:val="32"/>
                            <w:szCs w:val="32"/>
                          </w:rPr>
                        </m:ctrlPr>
                      </m:sup>
                      <m:e>
                        <m:r>
                          <m:rPr/>
                          <w:rPr>
                            <w:rFonts w:ascii="Cambria Math" w:cs="Times New Roman"/>
                            <w:sz w:val="32"/>
                            <w:szCs w:val="32"/>
                          </w:rPr>
                          <m:t>P</m:t>
                        </m:r>
                        <m:sSub>
                          <m:sSubPr>
                            <m:ctrlPr>
                              <w:rPr>
                                <w:rFonts w:ascii="Cambria Math" w:hAnsi="Cambria Math" w:cs="Times New Roman"/>
                                <w:i/>
                                <w:iCs/>
                                <w:sz w:val="32"/>
                                <w:szCs w:val="32"/>
                              </w:rPr>
                            </m:ctrlPr>
                          </m:sSubPr>
                          <m:e>
                            <m:r>
                              <m:rPr/>
                              <w:rPr>
                                <w:rFonts w:ascii="Cambria Math" w:hAnsi="Cambria Math" w:cs="Times New Roman"/>
                                <w:sz w:val="32"/>
                                <w:szCs w:val="32"/>
                              </w:rPr>
                              <m:t>KM</m:t>
                            </m:r>
                            <m:ctrlPr>
                              <w:rPr>
                                <w:rFonts w:ascii="Cambria Math" w:hAnsi="Cambria Math" w:cs="Times New Roman"/>
                                <w:i/>
                                <w:iCs/>
                                <w:sz w:val="32"/>
                                <w:szCs w:val="32"/>
                              </w:rPr>
                            </m:ctrlPr>
                          </m:e>
                          <m:sub>
                            <m:r>
                              <m:rPr/>
                              <w:rPr>
                                <w:rFonts w:ascii="Cambria Math" w:cs="Times New Roman"/>
                                <w:sz w:val="32"/>
                                <w:szCs w:val="32"/>
                              </w:rPr>
                              <m:t>i</m:t>
                            </m:r>
                            <m:ctrlPr>
                              <w:rPr>
                                <w:rFonts w:ascii="Cambria Math" w:hAnsi="Cambria Math" w:cs="Times New Roman"/>
                                <w:i/>
                                <w:iCs/>
                                <w:sz w:val="32"/>
                                <w:szCs w:val="32"/>
                              </w:rPr>
                            </m:ctrlPr>
                          </m:sub>
                        </m:sSub>
                        <m:ctrlPr>
                          <w:rPr>
                            <w:rFonts w:ascii="Cambria Math" w:hAnsi="Cambria Math"/>
                            <w:i/>
                            <w:iCs/>
                            <w:sz w:val="32"/>
                            <w:szCs w:val="32"/>
                          </w:rPr>
                        </m:ctrlPr>
                      </m:e>
                    </m:nary>
                    <m:ctrlPr>
                      <w:rPr>
                        <w:rFonts w:ascii="Cambria Math" w:hAnsi="Cambria Math"/>
                        <w:i/>
                        <w:iCs/>
                        <w:sz w:val="32"/>
                        <w:szCs w:val="32"/>
                      </w:rPr>
                    </m:ctrlPr>
                  </m:den>
                </m:f>
              </m:oMath>
            </m:oMathPara>
          </w:p>
        </w:tc>
        <w:tc>
          <w:tcPr>
            <w:tcW w:w="482" w:type="pct"/>
            <w:vAlign w:val="center"/>
          </w:tcPr>
          <w:p>
            <w:pPr>
              <w:spacing w:line="0" w:lineRule="atLeast"/>
              <w:ind w:firstLine="0" w:firstLineChars="0"/>
              <w:jc w:val="right"/>
              <w:rPr>
                <w:rFonts w:cs="Times New Roman"/>
                <w:i/>
                <w:iCs/>
                <w:kern w:val="0"/>
                <w:sz w:val="32"/>
                <w:szCs w:val="32"/>
              </w:rPr>
            </w:pPr>
            <w:r>
              <w:rPr>
                <w:rFonts w:hint="eastAsia" w:cs="Times New Roman"/>
                <w:kern w:val="0"/>
                <w:position w:val="-34"/>
                <w:sz w:val="32"/>
                <w:szCs w:val="32"/>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2" w:type="pct"/>
            <w:vAlign w:val="center"/>
          </w:tcPr>
          <w:p>
            <w:pPr>
              <w:ind w:firstLine="0" w:firstLineChars="0"/>
              <w:jc w:val="left"/>
              <w:rPr>
                <w:rFonts w:ascii="Cambria Math" w:cs="Times New Roman"/>
                <w:sz w:val="32"/>
                <w:szCs w:val="32"/>
                <w:oMath/>
              </w:rPr>
            </w:pPr>
            <w:r>
              <w:rPr>
                <w:rFonts w:hint="eastAsia" w:cs="Times New Roman"/>
                <w:sz w:val="32"/>
                <w:szCs w:val="32"/>
              </w:rPr>
              <w:t>式</w:t>
            </w:r>
            <w:r>
              <w:rPr>
                <w:rFonts w:cs="Times New Roman"/>
                <w:sz w:val="32"/>
                <w:szCs w:val="32"/>
              </w:rPr>
              <w:t>中：</w:t>
            </w:r>
          </w:p>
        </w:tc>
        <w:tc>
          <w:tcPr>
            <w:tcW w:w="452" w:type="pct"/>
            <w:vAlign w:val="center"/>
          </w:tcPr>
          <w:p>
            <w:pPr>
              <w:spacing w:line="0" w:lineRule="atLeast"/>
              <w:ind w:firstLine="0" w:firstLineChars="0"/>
              <w:rPr>
                <w:rFonts w:cs="Times New Roman"/>
                <w:sz w:val="32"/>
                <w:szCs w:val="32"/>
                <w:lang w:eastAsia="zh-Hans"/>
              </w:rPr>
            </w:pPr>
          </w:p>
        </w:tc>
        <w:tc>
          <w:tcPr>
            <w:tcW w:w="3976" w:type="pct"/>
            <w:gridSpan w:val="2"/>
            <w:vAlign w:val="center"/>
          </w:tcPr>
          <w:p>
            <w:pPr>
              <w:spacing w:line="0" w:lineRule="atLeast"/>
              <w:ind w:firstLine="0" w:firstLineChars="0"/>
              <w:rPr>
                <w:rFonts w:cs="Times New Roman"/>
                <w:i/>
                <w:iCs/>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2" w:type="pct"/>
            <w:vAlign w:val="center"/>
          </w:tcPr>
          <w:p>
            <w:pPr>
              <w:spacing w:line="0" w:lineRule="atLeast"/>
              <w:ind w:firstLine="0" w:firstLineChars="0"/>
              <w:jc w:val="right"/>
              <w:rPr>
                <w:rFonts w:cs="Times New Roman"/>
                <w:i/>
                <w:iCs/>
                <w:kern w:val="0"/>
                <w:sz w:val="32"/>
                <w:szCs w:val="32"/>
              </w:rPr>
            </w:pPr>
            <m:oMathPara>
              <m:oMathParaPr>
                <m:jc m:val="left"/>
              </m:oMathParaPr>
              <m:oMath>
                <m:r>
                  <m:rPr/>
                  <w:rPr>
                    <w:rFonts w:ascii="Cambria Math" w:cs="Times New Roman"/>
                    <w:sz w:val="32"/>
                    <w:szCs w:val="32"/>
                  </w:rPr>
                  <m:t>E</m:t>
                </m:r>
                <m:sSub>
                  <m:sSubPr>
                    <m:ctrlPr>
                      <w:rPr>
                        <w:rFonts w:ascii="Cambria Math" w:hAnsi="Cambria Math" w:cs="Times New Roman"/>
                        <w:i/>
                        <w:iCs/>
                        <w:sz w:val="32"/>
                        <w:szCs w:val="32"/>
                      </w:rPr>
                    </m:ctrlPr>
                  </m:sSubPr>
                  <m:e>
                    <m:r>
                      <m:rPr/>
                      <w:rPr>
                        <w:rFonts w:ascii="Cambria Math" w:cs="Times New Roman"/>
                        <w:sz w:val="32"/>
                        <w:szCs w:val="32"/>
                      </w:rPr>
                      <m:t>F</m:t>
                    </m:r>
                    <m:ctrlPr>
                      <w:rPr>
                        <w:rFonts w:ascii="Cambria Math" w:hAnsi="Cambria Math" w:cs="Times New Roman"/>
                        <w:i/>
                        <w:iCs/>
                        <w:sz w:val="32"/>
                        <w:szCs w:val="32"/>
                      </w:rPr>
                    </m:ctrlPr>
                  </m:e>
                  <m:sub>
                    <m:r>
                      <m:rPr/>
                      <w:rPr>
                        <w:rFonts w:ascii="Cambria Math" w:cs="Times New Roman"/>
                        <w:sz w:val="32"/>
                        <w:szCs w:val="32"/>
                      </w:rPr>
                      <m:t>PKM</m:t>
                    </m:r>
                    <m:ctrlPr>
                      <w:rPr>
                        <w:rFonts w:ascii="Cambria Math" w:hAnsi="Cambria Math" w:cs="Times New Roman"/>
                        <w:i/>
                        <w:iCs/>
                        <w:sz w:val="32"/>
                        <w:szCs w:val="32"/>
                      </w:rPr>
                    </m:ctrlPr>
                  </m:sub>
                </m:sSub>
              </m:oMath>
            </m:oMathPara>
          </w:p>
        </w:tc>
        <w:tc>
          <w:tcPr>
            <w:tcW w:w="452" w:type="pct"/>
            <w:vAlign w:val="center"/>
          </w:tcPr>
          <w:p>
            <w:pPr>
              <w:spacing w:line="0" w:lineRule="atLeast"/>
              <w:ind w:firstLine="0" w:firstLineChars="0"/>
              <w:jc w:val="center"/>
              <w:rPr>
                <w:rFonts w:cs="Times New Roman"/>
                <w:i/>
                <w:iCs/>
                <w:kern w:val="0"/>
                <w:sz w:val="32"/>
                <w:szCs w:val="32"/>
              </w:rPr>
            </w:pPr>
            <w:r>
              <w:rPr>
                <w:rFonts w:cs="Times New Roman"/>
                <w:i/>
                <w:iCs/>
                <w:kern w:val="0"/>
                <w:sz w:val="32"/>
                <w:szCs w:val="32"/>
              </w:rPr>
              <w:t>——</w:t>
            </w:r>
          </w:p>
        </w:tc>
        <w:tc>
          <w:tcPr>
            <w:tcW w:w="3976" w:type="pct"/>
            <w:gridSpan w:val="2"/>
            <w:vAlign w:val="center"/>
          </w:tcPr>
          <w:p>
            <w:pPr>
              <w:spacing w:line="0" w:lineRule="atLeast"/>
              <w:ind w:firstLine="0" w:firstLineChars="0"/>
              <w:rPr>
                <w:rFonts w:cs="Times New Roman"/>
                <w:i/>
                <w:iCs/>
                <w:kern w:val="0"/>
                <w:sz w:val="32"/>
                <w:szCs w:val="32"/>
              </w:rPr>
            </w:pPr>
            <w:r>
              <w:rPr>
                <w:rFonts w:hint="eastAsia" w:cs="Times New Roman"/>
                <w:kern w:val="0"/>
                <w:sz w:val="32"/>
                <w:szCs w:val="32"/>
              </w:rPr>
              <w:t>机动化出行的</w:t>
            </w:r>
            <w:r>
              <w:rPr>
                <w:rFonts w:cs="Times New Roman"/>
                <w:kern w:val="0"/>
                <w:sz w:val="32"/>
                <w:szCs w:val="32"/>
              </w:rPr>
              <w:t>单位客运周转量</w:t>
            </w:r>
            <w:r>
              <w:rPr>
                <w:rFonts w:hint="eastAsia" w:cs="Times New Roman"/>
                <w:kern w:val="0"/>
                <w:sz w:val="32"/>
                <w:szCs w:val="32"/>
              </w:rPr>
              <w:t>加权</w:t>
            </w:r>
            <w:r>
              <w:rPr>
                <w:rFonts w:cs="Times New Roman"/>
                <w:kern w:val="0"/>
                <w:sz w:val="32"/>
                <w:szCs w:val="32"/>
              </w:rPr>
              <w:t>排放因子</w:t>
            </w:r>
            <w:r>
              <w:rPr>
                <w:rFonts w:hint="eastAsia" w:cs="Times New Roman"/>
                <w:kern w:val="0"/>
                <w:sz w:val="32"/>
                <w:szCs w:val="32"/>
              </w:rPr>
              <w:t>，单位为千克二氧化碳每人公里</w:t>
            </w:r>
            <w:r>
              <w:rPr>
                <w:rFonts w:cs="Times New Roman"/>
                <w:kern w:val="0"/>
                <w:sz w:val="32"/>
                <w:szCs w:val="32"/>
              </w:rPr>
              <w:t>（</w:t>
            </w:r>
            <w:r>
              <w:rPr>
                <w:rFonts w:hint="eastAsia" w:cs="Times New Roman"/>
                <w:kern w:val="0"/>
                <w:sz w:val="32"/>
                <w:szCs w:val="32"/>
              </w:rPr>
              <w:t>kgCO</w:t>
            </w:r>
            <w:r>
              <w:rPr>
                <w:rFonts w:hint="eastAsia" w:cs="Times New Roman"/>
                <w:kern w:val="0"/>
                <w:sz w:val="32"/>
                <w:szCs w:val="32"/>
                <w:vertAlign w:val="subscript"/>
              </w:rPr>
              <w:t>2</w:t>
            </w:r>
            <w:r>
              <w:rPr>
                <w:rFonts w:cs="Times New Roman"/>
                <w:kern w:val="0"/>
                <w:sz w:val="32"/>
                <w:szCs w:val="32"/>
              </w:rPr>
              <w:t>/</w:t>
            </w:r>
            <w:r>
              <w:rPr>
                <w:rFonts w:hint="eastAsia" w:cs="Times New Roman"/>
                <w:kern w:val="0"/>
                <w:sz w:val="32"/>
                <w:szCs w:val="32"/>
              </w:rPr>
              <w:t>pkm</w:t>
            </w:r>
            <w:r>
              <w:rPr>
                <w:rFonts w:cs="Times New Roman"/>
                <w:kern w:val="0"/>
                <w:sz w:val="32"/>
                <w:szCs w:val="32"/>
              </w:rPr>
              <w:t>）</w:t>
            </w:r>
            <w:r>
              <w:rPr>
                <w:rFonts w:hint="eastAsia" w:cs="Times New Roman"/>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72" w:type="pct"/>
            <w:vAlign w:val="center"/>
          </w:tcPr>
          <w:p>
            <w:pPr>
              <w:spacing w:line="0" w:lineRule="atLeast"/>
              <w:ind w:firstLine="0" w:firstLineChars="0"/>
              <w:jc w:val="right"/>
              <w:rPr>
                <w:rFonts w:ascii="Cambria Math" w:cs="Times New Roman"/>
                <w:sz w:val="32"/>
                <w:szCs w:val="32"/>
                <w:oMath/>
              </w:rPr>
            </w:pPr>
            <m:oMathPara>
              <m:oMathParaPr>
                <m:jc m:val="left"/>
              </m:oMathParaPr>
              <m:oMath>
                <m:r>
                  <m:rPr/>
                  <w:rPr>
                    <w:rFonts w:ascii="Cambria Math" w:cs="Times New Roman"/>
                    <w:sz w:val="32"/>
                    <w:szCs w:val="32"/>
                  </w:rPr>
                  <m:t>E</m:t>
                </m:r>
                <m:sSub>
                  <m:sSubPr>
                    <m:ctrlPr>
                      <w:rPr>
                        <w:rFonts w:ascii="Cambria Math" w:hAnsi="Cambria Math" w:cs="Times New Roman"/>
                        <w:i/>
                        <w:iCs/>
                        <w:sz w:val="32"/>
                        <w:szCs w:val="32"/>
                      </w:rPr>
                    </m:ctrlPr>
                  </m:sSubPr>
                  <m:e>
                    <m:r>
                      <m:rPr/>
                      <w:rPr>
                        <w:rFonts w:ascii="Cambria Math" w:cs="Times New Roman"/>
                        <w:sz w:val="32"/>
                        <w:szCs w:val="32"/>
                      </w:rPr>
                      <m:t>F</m:t>
                    </m:r>
                    <m:ctrlPr>
                      <w:rPr>
                        <w:rFonts w:ascii="Cambria Math" w:hAnsi="Cambria Math" w:cs="Times New Roman"/>
                        <w:i/>
                        <w:iCs/>
                        <w:sz w:val="32"/>
                        <w:szCs w:val="32"/>
                      </w:rPr>
                    </m:ctrlPr>
                  </m:e>
                  <m:sub>
                    <m:r>
                      <m:rPr/>
                      <w:rPr>
                        <w:rFonts w:ascii="Cambria Math" w:cs="Times New Roman"/>
                        <w:sz w:val="32"/>
                        <w:szCs w:val="32"/>
                      </w:rPr>
                      <m:t>PKM,i</m:t>
                    </m:r>
                    <m:ctrlPr>
                      <w:rPr>
                        <w:rFonts w:ascii="Cambria Math" w:hAnsi="Cambria Math" w:cs="Times New Roman"/>
                        <w:i/>
                        <w:iCs/>
                        <w:sz w:val="32"/>
                        <w:szCs w:val="32"/>
                      </w:rPr>
                    </m:ctrlPr>
                  </m:sub>
                </m:sSub>
              </m:oMath>
            </m:oMathPara>
          </w:p>
        </w:tc>
        <w:tc>
          <w:tcPr>
            <w:tcW w:w="452" w:type="pct"/>
            <w:vAlign w:val="center"/>
          </w:tcPr>
          <w:p>
            <w:pPr>
              <w:spacing w:line="0" w:lineRule="atLeast"/>
              <w:ind w:firstLine="0" w:firstLineChars="0"/>
              <w:jc w:val="center"/>
              <w:rPr>
                <w:rFonts w:cs="Times New Roman"/>
                <w:sz w:val="32"/>
                <w:szCs w:val="32"/>
                <w:lang w:eastAsia="zh-Hans"/>
              </w:rPr>
            </w:pPr>
            <w:r>
              <w:rPr>
                <w:rFonts w:cs="Times New Roman"/>
                <w:i/>
                <w:iCs/>
                <w:kern w:val="0"/>
                <w:sz w:val="32"/>
                <w:szCs w:val="32"/>
              </w:rPr>
              <w:t>——</w:t>
            </w:r>
          </w:p>
        </w:tc>
        <w:tc>
          <w:tcPr>
            <w:tcW w:w="3976" w:type="pct"/>
            <w:gridSpan w:val="2"/>
            <w:vAlign w:val="center"/>
          </w:tcPr>
          <w:p>
            <w:pPr>
              <w:spacing w:line="0" w:lineRule="atLeast"/>
              <w:ind w:firstLine="0" w:firstLineChars="0"/>
              <w:rPr>
                <w:rFonts w:cs="Times New Roman"/>
                <w:kern w:val="0"/>
                <w:sz w:val="32"/>
                <w:szCs w:val="32"/>
              </w:rPr>
            </w:pPr>
            <w:r>
              <w:rPr>
                <w:rFonts w:hint="eastAsia" w:cs="Times New Roman"/>
                <w:kern w:val="0"/>
                <w:sz w:val="32"/>
                <w:szCs w:val="32"/>
              </w:rPr>
              <w:t>第i种出行方式</w:t>
            </w:r>
            <w:r>
              <w:rPr>
                <w:rFonts w:cs="Times New Roman"/>
                <w:kern w:val="0"/>
                <w:sz w:val="32"/>
                <w:szCs w:val="32"/>
              </w:rPr>
              <w:t>的单位客运周转量排放因子</w:t>
            </w:r>
            <w:r>
              <w:rPr>
                <w:rFonts w:hint="eastAsia" w:cs="Times New Roman"/>
                <w:kern w:val="0"/>
                <w:sz w:val="32"/>
                <w:szCs w:val="32"/>
              </w:rPr>
              <w:t>，单位为千克二氧化碳每人公里</w:t>
            </w:r>
            <w:r>
              <w:rPr>
                <w:rFonts w:cs="Times New Roman"/>
                <w:kern w:val="0"/>
                <w:sz w:val="32"/>
                <w:szCs w:val="32"/>
              </w:rPr>
              <w:t>（</w:t>
            </w:r>
            <w:r>
              <w:rPr>
                <w:rFonts w:hint="eastAsia" w:cs="Times New Roman"/>
                <w:kern w:val="0"/>
                <w:sz w:val="32"/>
                <w:szCs w:val="32"/>
              </w:rPr>
              <w:t>kg</w:t>
            </w:r>
            <w:r>
              <w:rPr>
                <w:rFonts w:cs="Times New Roman"/>
                <w:kern w:val="0"/>
                <w:sz w:val="32"/>
                <w:szCs w:val="32"/>
              </w:rPr>
              <w:t>CO</w:t>
            </w:r>
            <w:r>
              <w:rPr>
                <w:rFonts w:cs="Times New Roman"/>
                <w:kern w:val="0"/>
                <w:sz w:val="32"/>
                <w:szCs w:val="32"/>
                <w:vertAlign w:val="subscript"/>
              </w:rPr>
              <w:t>2</w:t>
            </w:r>
            <w:r>
              <w:rPr>
                <w:rFonts w:cs="Times New Roman"/>
                <w:kern w:val="0"/>
                <w:sz w:val="32"/>
                <w:szCs w:val="32"/>
              </w:rPr>
              <w:t>/</w:t>
            </w:r>
            <w:r>
              <w:rPr>
                <w:rFonts w:hint="eastAsia" w:cs="Times New Roman"/>
                <w:kern w:val="0"/>
                <w:sz w:val="32"/>
                <w:szCs w:val="32"/>
              </w:rPr>
              <w:t>pkm</w:t>
            </w:r>
            <w:r>
              <w:rPr>
                <w:rFonts w:cs="Times New Roman"/>
                <w:kern w:val="0"/>
                <w:sz w:val="32"/>
                <w:szCs w:val="32"/>
              </w:rPr>
              <w:t>）</w:t>
            </w:r>
            <w:r>
              <w:rPr>
                <w:rFonts w:hint="eastAsia" w:cs="Times New Roman"/>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572" w:type="pct"/>
            <w:vAlign w:val="center"/>
          </w:tcPr>
          <w:p>
            <w:pPr>
              <w:spacing w:line="0" w:lineRule="atLeast"/>
              <w:ind w:firstLine="0" w:firstLineChars="0"/>
              <w:jc w:val="right"/>
              <w:rPr>
                <w:rFonts w:cs="Times New Roman"/>
                <w:i/>
                <w:iCs/>
                <w:kern w:val="0"/>
                <w:sz w:val="32"/>
                <w:szCs w:val="32"/>
              </w:rPr>
            </w:pPr>
            <m:oMathPara>
              <m:oMathParaPr>
                <m:jc m:val="left"/>
              </m:oMathParaPr>
              <m:oMath>
                <m:r>
                  <m:rPr/>
                  <w:rPr>
                    <w:rFonts w:ascii="Cambria Math" w:cs="Times New Roman"/>
                    <w:sz w:val="32"/>
                    <w:szCs w:val="32"/>
                  </w:rPr>
                  <m:t>P</m:t>
                </m:r>
                <m:sSub>
                  <m:sSubPr>
                    <m:ctrlPr>
                      <w:rPr>
                        <w:rFonts w:ascii="Cambria Math" w:hAnsi="Cambria Math" w:cs="Times New Roman"/>
                        <w:i/>
                        <w:iCs/>
                        <w:sz w:val="32"/>
                        <w:szCs w:val="32"/>
                      </w:rPr>
                    </m:ctrlPr>
                  </m:sSubPr>
                  <m:e>
                    <m:r>
                      <m:rPr/>
                      <w:rPr>
                        <w:rFonts w:ascii="Cambria Math" w:hAnsi="Cambria Math" w:cs="Times New Roman"/>
                        <w:sz w:val="32"/>
                        <w:szCs w:val="32"/>
                      </w:rPr>
                      <m:t>KM</m:t>
                    </m:r>
                    <m:ctrlPr>
                      <w:rPr>
                        <w:rFonts w:ascii="Cambria Math" w:hAnsi="Cambria Math" w:cs="Times New Roman"/>
                        <w:i/>
                        <w:iCs/>
                        <w:sz w:val="32"/>
                        <w:szCs w:val="32"/>
                      </w:rPr>
                    </m:ctrlPr>
                  </m:e>
                  <m:sub>
                    <m:r>
                      <m:rPr/>
                      <w:rPr>
                        <w:rFonts w:ascii="Cambria Math" w:cs="Times New Roman"/>
                        <w:sz w:val="32"/>
                        <w:szCs w:val="32"/>
                      </w:rPr>
                      <m:t>i</m:t>
                    </m:r>
                    <m:ctrlPr>
                      <w:rPr>
                        <w:rFonts w:ascii="Cambria Math" w:hAnsi="Cambria Math" w:cs="Times New Roman"/>
                        <w:i/>
                        <w:iCs/>
                        <w:sz w:val="32"/>
                        <w:szCs w:val="32"/>
                      </w:rPr>
                    </m:ctrlPr>
                  </m:sub>
                </m:sSub>
              </m:oMath>
            </m:oMathPara>
          </w:p>
        </w:tc>
        <w:tc>
          <w:tcPr>
            <w:tcW w:w="452" w:type="pct"/>
            <w:vAlign w:val="center"/>
          </w:tcPr>
          <w:p>
            <w:pPr>
              <w:spacing w:line="0" w:lineRule="atLeast"/>
              <w:ind w:firstLine="0" w:firstLineChars="0"/>
              <w:jc w:val="center"/>
              <w:rPr>
                <w:rFonts w:cs="Times New Roman"/>
                <w:i/>
                <w:iCs/>
                <w:kern w:val="0"/>
                <w:sz w:val="32"/>
                <w:szCs w:val="32"/>
              </w:rPr>
            </w:pPr>
            <w:r>
              <w:rPr>
                <w:rFonts w:cs="Times New Roman"/>
                <w:i/>
                <w:iCs/>
                <w:kern w:val="0"/>
                <w:sz w:val="32"/>
                <w:szCs w:val="32"/>
              </w:rPr>
              <w:t>——</w:t>
            </w:r>
          </w:p>
        </w:tc>
        <w:tc>
          <w:tcPr>
            <w:tcW w:w="3976" w:type="pct"/>
            <w:gridSpan w:val="2"/>
            <w:vAlign w:val="center"/>
          </w:tcPr>
          <w:p>
            <w:pPr>
              <w:spacing w:line="0" w:lineRule="atLeast"/>
              <w:ind w:firstLine="0" w:firstLineChars="0"/>
              <w:rPr>
                <w:rFonts w:cs="Times New Roman"/>
                <w:i/>
                <w:iCs/>
                <w:kern w:val="0"/>
                <w:sz w:val="32"/>
                <w:szCs w:val="32"/>
              </w:rPr>
            </w:pPr>
            <w:r>
              <w:rPr>
                <w:rFonts w:hint="eastAsia" w:cs="Times New Roman"/>
                <w:kern w:val="0"/>
                <w:sz w:val="32"/>
                <w:szCs w:val="32"/>
              </w:rPr>
              <w:t>第i种出行方式</w:t>
            </w:r>
            <w:r>
              <w:rPr>
                <w:rFonts w:cs="Times New Roman"/>
                <w:kern w:val="0"/>
                <w:sz w:val="32"/>
                <w:szCs w:val="32"/>
              </w:rPr>
              <w:t>的客运周转量</w:t>
            </w:r>
            <w:r>
              <w:rPr>
                <w:rFonts w:hint="eastAsia" w:cs="Times New Roman"/>
                <w:kern w:val="0"/>
                <w:sz w:val="32"/>
                <w:szCs w:val="32"/>
              </w:rPr>
              <w:t>，单位为人公里</w:t>
            </w:r>
            <w:r>
              <w:rPr>
                <w:rFonts w:cs="Times New Roman"/>
                <w:kern w:val="0"/>
                <w:sz w:val="32"/>
                <w:szCs w:val="32"/>
              </w:rPr>
              <w:t>（</w:t>
            </w:r>
            <w:r>
              <w:rPr>
                <w:rFonts w:hint="eastAsia" w:cs="Times New Roman"/>
                <w:kern w:val="0"/>
                <w:sz w:val="32"/>
                <w:szCs w:val="32"/>
              </w:rPr>
              <w:t>pkm</w:t>
            </w:r>
            <w:r>
              <w:rPr>
                <w:rFonts w:cs="Times New Roman"/>
                <w:kern w:val="0"/>
                <w:sz w:val="32"/>
                <w:szCs w:val="32"/>
              </w:rPr>
              <w:t>）</w:t>
            </w:r>
            <w:r>
              <w:rPr>
                <w:rFonts w:hint="eastAsia" w:cs="Times New Roman"/>
                <w:kern w:val="0"/>
                <w:sz w:val="32"/>
                <w:szCs w:val="32"/>
              </w:rPr>
              <w:t>。</w:t>
            </w:r>
          </w:p>
        </w:tc>
      </w:tr>
    </w:tbl>
    <w:p>
      <w:pPr>
        <w:pStyle w:val="4"/>
        <w:spacing w:before="156" w:beforeLines="50" w:after="156" w:afterLines="50" w:line="240" w:lineRule="auto"/>
        <w:rPr>
          <w:sz w:val="32"/>
          <w:szCs w:val="32"/>
        </w:rPr>
      </w:pPr>
      <w:bookmarkStart w:id="175" w:name="_Toc172908977"/>
      <w:bookmarkStart w:id="176" w:name="_Toc15116"/>
      <w:bookmarkStart w:id="177" w:name="_Toc213947381"/>
      <w:bookmarkStart w:id="178" w:name="_Toc175935720"/>
      <w:r>
        <w:rPr>
          <w:rFonts w:hint="eastAsia" w:ascii="黑体" w:hAnsi="黑体" w:cs="黑体"/>
          <w:sz w:val="32"/>
          <w:szCs w:val="32"/>
        </w:rPr>
        <w:t xml:space="preserve">6.3.5 </w:t>
      </w:r>
      <w:r>
        <w:rPr>
          <w:sz w:val="32"/>
          <w:szCs w:val="32"/>
        </w:rPr>
        <w:t>步骤5：确定基准线情景排放</w:t>
      </w:r>
      <w:bookmarkEnd w:id="171"/>
      <w:bookmarkEnd w:id="172"/>
      <w:bookmarkEnd w:id="173"/>
      <w:bookmarkEnd w:id="174"/>
      <w:bookmarkEnd w:id="175"/>
      <w:bookmarkEnd w:id="176"/>
      <w:bookmarkEnd w:id="177"/>
      <w:bookmarkEnd w:id="178"/>
    </w:p>
    <w:p>
      <w:pPr>
        <w:ind w:firstLine="420"/>
        <w:rPr>
          <w:rFonts w:cs="Times New Roman"/>
          <w:sz w:val="32"/>
          <w:szCs w:val="32"/>
        </w:rPr>
      </w:pPr>
      <w:r>
        <w:rPr>
          <w:rFonts w:cs="Times New Roman"/>
          <w:kern w:val="0"/>
          <w:sz w:val="32"/>
          <w:szCs w:val="32"/>
        </w:rPr>
        <w:t>基准线排放量</w:t>
      </w:r>
      <w:r>
        <w:rPr>
          <w:rFonts w:hint="eastAsia" w:cs="Times New Roman"/>
          <w:sz w:val="32"/>
          <w:szCs w:val="32"/>
        </w:rPr>
        <w:t>按照</w:t>
      </w:r>
      <w:r>
        <w:rPr>
          <w:rFonts w:cs="Times New Roman"/>
          <w:kern w:val="0"/>
          <w:sz w:val="32"/>
          <w:szCs w:val="32"/>
        </w:rPr>
        <w:t>计算公式（</w:t>
      </w:r>
      <w:r>
        <w:rPr>
          <w:rFonts w:hint="eastAsia" w:cs="Times New Roman"/>
          <w:kern w:val="0"/>
          <w:sz w:val="32"/>
          <w:szCs w:val="32"/>
        </w:rPr>
        <w:t>5</w:t>
      </w:r>
      <w:r>
        <w:rPr>
          <w:rFonts w:cs="Times New Roman"/>
          <w:kern w:val="0"/>
          <w:sz w:val="32"/>
          <w:szCs w:val="32"/>
        </w:rPr>
        <w:t>）</w:t>
      </w:r>
      <w:r>
        <w:rPr>
          <w:rFonts w:hint="eastAsia" w:cs="Times New Roman"/>
          <w:kern w:val="0"/>
          <w:sz w:val="32"/>
          <w:szCs w:val="32"/>
        </w:rPr>
        <w:t>计算</w:t>
      </w:r>
      <w:r>
        <w:rPr>
          <w:rFonts w:cs="Times New Roman"/>
          <w:kern w:val="0"/>
          <w:sz w:val="32"/>
          <w:szCs w:val="32"/>
        </w:rPr>
        <w:t>：</w:t>
      </w:r>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0"/>
        <w:gridCol w:w="727"/>
        <w:gridCol w:w="5978"/>
        <w:gridCol w:w="7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2" w:type="pct"/>
            <w:gridSpan w:val="3"/>
            <w:vAlign w:val="center"/>
          </w:tcPr>
          <w:p>
            <w:pPr>
              <w:spacing w:line="0" w:lineRule="atLeast"/>
              <w:ind w:firstLine="0" w:firstLineChars="0"/>
              <w:jc w:val="center"/>
              <w:rPr>
                <w:rFonts w:cs="Times New Roman"/>
                <w:i/>
                <w:iCs/>
                <w:kern w:val="0"/>
                <w:sz w:val="32"/>
                <w:szCs w:val="32"/>
              </w:rPr>
            </w:pPr>
            <m:oMathPara>
              <m:oMath>
                <m:r>
                  <m:rPr/>
                  <w:rPr>
                    <w:rFonts w:ascii="Cambria Math" w:cs="Times New Roman"/>
                    <w:sz w:val="32"/>
                    <w:szCs w:val="32"/>
                  </w:rPr>
                  <m:t>BE=</m:t>
                </m:r>
                <m:sSub>
                  <m:sSubPr>
                    <m:ctrlPr>
                      <w:rPr>
                        <w:rFonts w:ascii="Cambria Math" w:hAnsi="Cambria Math" w:cs="Times New Roman"/>
                        <w:i/>
                        <w:sz w:val="32"/>
                        <w:szCs w:val="32"/>
                      </w:rPr>
                    </m:ctrlPr>
                  </m:sSubPr>
                  <m:e>
                    <m:r>
                      <m:rPr/>
                      <w:rPr>
                        <w:rFonts w:ascii="Cambria Math" w:cs="Times New Roman"/>
                        <w:sz w:val="32"/>
                        <w:szCs w:val="32"/>
                      </w:rPr>
                      <m:t>D</m:t>
                    </m:r>
                    <m:ctrlPr>
                      <w:rPr>
                        <w:rFonts w:ascii="Cambria Math" w:hAnsi="Cambria Math" w:cs="Times New Roman"/>
                        <w:i/>
                        <w:sz w:val="32"/>
                        <w:szCs w:val="32"/>
                      </w:rPr>
                    </m:ctrlPr>
                  </m:e>
                  <m:sub>
                    <m:r>
                      <m:rPr/>
                      <w:rPr>
                        <w:rFonts w:ascii="Cambria Math" w:hAnsi="Cambria Math" w:cs="Times New Roman"/>
                        <w:sz w:val="32"/>
                        <w:szCs w:val="32"/>
                      </w:rPr>
                      <m:t>B</m:t>
                    </m:r>
                    <m:ctrlPr>
                      <w:rPr>
                        <w:rFonts w:ascii="Cambria Math" w:hAnsi="Cambria Math" w:cs="Times New Roman"/>
                        <w:i/>
                        <w:sz w:val="32"/>
                        <w:szCs w:val="32"/>
                      </w:rPr>
                    </m:ctrlPr>
                  </m:sub>
                </m:sSub>
                <m:r>
                  <m:rPr/>
                  <w:rPr>
                    <w:rFonts w:ascii="Cambria Math" w:cs="Times New Roman"/>
                    <w:sz w:val="32"/>
                    <w:szCs w:val="32"/>
                  </w:rPr>
                  <m:t>×</m:t>
                </m:r>
                <m:r>
                  <m:rPr/>
                  <w:rPr>
                    <w:rFonts w:ascii="Cambria Math" w:hAnsi="Cambria Math" w:cs="Times New Roman"/>
                    <w:sz w:val="32"/>
                    <w:szCs w:val="32"/>
                  </w:rPr>
                  <m:t>E</m:t>
                </m:r>
                <m:sSub>
                  <m:sSubPr>
                    <m:ctrlPr>
                      <w:rPr>
                        <w:rFonts w:ascii="Cambria Math" w:hAnsi="Cambria Math" w:cs="Times New Roman"/>
                        <w:i/>
                        <w:sz w:val="32"/>
                        <w:szCs w:val="32"/>
                      </w:rPr>
                    </m:ctrlPr>
                  </m:sSubPr>
                  <m:e>
                    <m:r>
                      <m:rPr/>
                      <w:rPr>
                        <w:rFonts w:ascii="Cambria Math" w:hAnsi="Cambria Math" w:cs="Times New Roman"/>
                        <w:sz w:val="32"/>
                        <w:szCs w:val="32"/>
                      </w:rPr>
                      <m:t>F</m:t>
                    </m:r>
                    <m:ctrlPr>
                      <w:rPr>
                        <w:rFonts w:ascii="Cambria Math" w:hAnsi="Cambria Math" w:cs="Times New Roman"/>
                        <w:i/>
                        <w:sz w:val="32"/>
                        <w:szCs w:val="32"/>
                      </w:rPr>
                    </m:ctrlPr>
                  </m:e>
                  <m:sub>
                    <m:r>
                      <m:rPr/>
                      <w:rPr>
                        <w:rFonts w:ascii="Cambria Math" w:hAnsi="Cambria Math" w:cs="Times New Roman"/>
                        <w:sz w:val="32"/>
                        <w:szCs w:val="32"/>
                      </w:rPr>
                      <m:t>PKM</m:t>
                    </m:r>
                    <m:ctrlPr>
                      <w:rPr>
                        <w:rFonts w:ascii="Cambria Math" w:hAnsi="Cambria Math" w:cs="Times New Roman"/>
                        <w:i/>
                        <w:sz w:val="32"/>
                        <w:szCs w:val="32"/>
                      </w:rPr>
                    </m:ctrlPr>
                  </m:sub>
                </m:sSub>
              </m:oMath>
            </m:oMathPara>
          </w:p>
        </w:tc>
        <w:tc>
          <w:tcPr>
            <w:tcW w:w="468" w:type="pct"/>
            <w:vAlign w:val="center"/>
          </w:tcPr>
          <w:p>
            <w:pPr>
              <w:spacing w:line="0" w:lineRule="atLeast"/>
              <w:ind w:firstLine="0" w:firstLineChars="0"/>
              <w:jc w:val="right"/>
              <w:rPr>
                <w:rFonts w:cs="Times New Roman"/>
                <w:kern w:val="0"/>
                <w:sz w:val="32"/>
                <w:szCs w:val="32"/>
              </w:rPr>
            </w:pPr>
            <w:r>
              <w:rPr>
                <w:rFonts w:hint="eastAsia" w:cs="Times New Roman"/>
                <w:kern w:val="0"/>
                <w:position w:val="-34"/>
                <w:sz w:val="32"/>
                <w:szCs w:val="32"/>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98" w:type="pct"/>
            <w:vAlign w:val="center"/>
          </w:tcPr>
          <w:p>
            <w:pPr>
              <w:spacing w:line="0" w:lineRule="atLeast"/>
              <w:ind w:firstLine="0" w:firstLineChars="0"/>
              <w:rPr>
                <w:rFonts w:ascii="Cambria Math" w:cs="Times New Roman"/>
                <w:sz w:val="32"/>
                <w:szCs w:val="32"/>
                <w:oMath/>
              </w:rPr>
            </w:pPr>
            <w:r>
              <w:rPr>
                <w:rFonts w:hint="eastAsia" w:cs="Times New Roman"/>
                <w:sz w:val="32"/>
                <w:szCs w:val="32"/>
              </w:rPr>
              <w:t>式中：</w:t>
            </w:r>
          </w:p>
        </w:tc>
        <w:tc>
          <w:tcPr>
            <w:tcW w:w="427" w:type="pct"/>
            <w:vAlign w:val="center"/>
          </w:tcPr>
          <w:p>
            <w:pPr>
              <w:spacing w:line="0" w:lineRule="atLeast"/>
              <w:ind w:firstLine="0" w:firstLineChars="0"/>
              <w:rPr>
                <w:rFonts w:cs="Times New Roman"/>
                <w:sz w:val="32"/>
                <w:szCs w:val="32"/>
                <w:lang w:eastAsia="zh-Hans"/>
              </w:rPr>
            </w:pPr>
          </w:p>
        </w:tc>
        <w:tc>
          <w:tcPr>
            <w:tcW w:w="3975" w:type="pct"/>
            <w:gridSpan w:val="2"/>
            <w:vAlign w:val="center"/>
          </w:tcPr>
          <w:p>
            <w:pPr>
              <w:spacing w:line="0" w:lineRule="atLeast"/>
              <w:ind w:firstLine="0" w:firstLineChars="0"/>
              <w:rPr>
                <w:rFonts w:cs="Times New Roman"/>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98" w:type="pct"/>
            <w:vAlign w:val="center"/>
          </w:tcPr>
          <w:p>
            <w:pPr>
              <w:spacing w:line="0" w:lineRule="atLeast"/>
              <w:ind w:firstLine="0" w:firstLineChars="0"/>
              <w:jc w:val="right"/>
              <w:rPr>
                <w:rFonts w:cs="Times New Roman"/>
                <w:i/>
                <w:iCs/>
                <w:kern w:val="0"/>
                <w:sz w:val="32"/>
                <w:szCs w:val="32"/>
              </w:rPr>
            </w:pPr>
            <m:oMathPara>
              <m:oMathParaPr>
                <m:jc m:val="left"/>
              </m:oMathParaPr>
              <m:oMath>
                <m:r>
                  <m:rPr/>
                  <w:rPr>
                    <w:rFonts w:ascii="Cambria Math" w:cs="Times New Roman"/>
                    <w:sz w:val="32"/>
                    <w:szCs w:val="32"/>
                  </w:rPr>
                  <m:t>BE</m:t>
                </m:r>
              </m:oMath>
            </m:oMathPara>
          </w:p>
        </w:tc>
        <w:tc>
          <w:tcPr>
            <w:tcW w:w="427" w:type="pct"/>
            <w:vAlign w:val="center"/>
          </w:tcPr>
          <w:p>
            <w:pPr>
              <w:spacing w:line="0" w:lineRule="atLeast"/>
              <w:ind w:firstLine="0" w:firstLineChars="0"/>
              <w:jc w:val="center"/>
              <w:rPr>
                <w:rFonts w:cs="Times New Roman"/>
                <w:i/>
                <w:iCs/>
                <w:kern w:val="0"/>
                <w:sz w:val="32"/>
                <w:szCs w:val="32"/>
              </w:rPr>
            </w:pPr>
            <w:r>
              <w:rPr>
                <w:rFonts w:cs="Times New Roman"/>
                <w:i/>
                <w:iCs/>
                <w:kern w:val="0"/>
                <w:sz w:val="32"/>
                <w:szCs w:val="32"/>
              </w:rPr>
              <w:t>——</w:t>
            </w:r>
          </w:p>
        </w:tc>
        <w:tc>
          <w:tcPr>
            <w:tcW w:w="3975" w:type="pct"/>
            <w:gridSpan w:val="2"/>
            <w:vAlign w:val="center"/>
          </w:tcPr>
          <w:p>
            <w:pPr>
              <w:spacing w:line="0" w:lineRule="atLeast"/>
              <w:ind w:firstLine="0" w:firstLineChars="0"/>
              <w:rPr>
                <w:rFonts w:cs="Times New Roman"/>
                <w:kern w:val="0"/>
                <w:sz w:val="32"/>
                <w:szCs w:val="32"/>
              </w:rPr>
            </w:pPr>
            <w:r>
              <w:rPr>
                <w:rFonts w:hint="eastAsia" w:cs="Times New Roman"/>
                <w:kern w:val="0"/>
                <w:sz w:val="32"/>
                <w:szCs w:val="32"/>
              </w:rPr>
              <w:t>基准线情景的排放量，单位为千克二氧化碳每人公里</w:t>
            </w:r>
            <w:r>
              <w:rPr>
                <w:rFonts w:cs="Times New Roman"/>
                <w:kern w:val="0"/>
                <w:sz w:val="32"/>
                <w:szCs w:val="32"/>
              </w:rPr>
              <w:t>（</w:t>
            </w:r>
            <w:r>
              <w:rPr>
                <w:rFonts w:hint="eastAsia" w:cs="Times New Roman"/>
                <w:kern w:val="0"/>
                <w:sz w:val="32"/>
                <w:szCs w:val="32"/>
              </w:rPr>
              <w:t>kg</w:t>
            </w:r>
            <w:r>
              <w:rPr>
                <w:rFonts w:cs="Times New Roman"/>
                <w:kern w:val="0"/>
                <w:sz w:val="32"/>
                <w:szCs w:val="32"/>
              </w:rPr>
              <w:t>CO</w:t>
            </w:r>
            <w:r>
              <w:rPr>
                <w:rFonts w:cs="Times New Roman"/>
                <w:kern w:val="0"/>
                <w:sz w:val="32"/>
                <w:szCs w:val="32"/>
                <w:vertAlign w:val="subscript"/>
              </w:rPr>
              <w:t>2</w:t>
            </w:r>
            <w:r>
              <w:rPr>
                <w:rFonts w:cs="Times New Roman"/>
                <w:kern w:val="0"/>
                <w:sz w:val="32"/>
                <w:szCs w:val="32"/>
              </w:rPr>
              <w:t>）</w:t>
            </w:r>
            <w:r>
              <w:rPr>
                <w:rFonts w:hint="eastAsia" w:cs="Times New Roman"/>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98" w:type="pct"/>
            <w:vAlign w:val="center"/>
          </w:tcPr>
          <w:p>
            <w:pPr>
              <w:spacing w:line="0" w:lineRule="atLeast"/>
              <w:ind w:firstLine="0" w:firstLineChars="0"/>
              <w:jc w:val="right"/>
              <w:rPr>
                <w:rFonts w:cs="Times New Roman"/>
                <w:i/>
                <w:iCs/>
                <w:kern w:val="0"/>
                <w:sz w:val="32"/>
                <w:szCs w:val="32"/>
              </w:rPr>
            </w:pPr>
            <m:oMathPara>
              <m:oMathParaPr>
                <m:jc m:val="left"/>
              </m:oMathParaPr>
              <m:oMath>
                <m:sSub>
                  <m:sSubPr>
                    <m:ctrlPr>
                      <w:rPr>
                        <w:rFonts w:ascii="Cambria Math" w:hAnsi="Cambria Math" w:cs="Times New Roman"/>
                        <w:i/>
                        <w:sz w:val="32"/>
                        <w:szCs w:val="32"/>
                      </w:rPr>
                    </m:ctrlPr>
                  </m:sSubPr>
                  <m:e>
                    <m:r>
                      <m:rPr/>
                      <w:rPr>
                        <w:rFonts w:ascii="Cambria Math" w:cs="Times New Roman"/>
                        <w:sz w:val="32"/>
                        <w:szCs w:val="32"/>
                      </w:rPr>
                      <m:t>D</m:t>
                    </m:r>
                    <m:ctrlPr>
                      <w:rPr>
                        <w:rFonts w:ascii="Cambria Math" w:hAnsi="Cambria Math" w:cs="Times New Roman"/>
                        <w:i/>
                        <w:sz w:val="32"/>
                        <w:szCs w:val="32"/>
                      </w:rPr>
                    </m:ctrlPr>
                  </m:e>
                  <m:sub>
                    <m:r>
                      <m:rPr/>
                      <w:rPr>
                        <w:rFonts w:ascii="Cambria Math" w:hAnsi="Cambria Math" w:cs="Times New Roman"/>
                        <w:sz w:val="32"/>
                        <w:szCs w:val="32"/>
                      </w:rPr>
                      <m:t>B</m:t>
                    </m:r>
                    <m:ctrlPr>
                      <w:rPr>
                        <w:rFonts w:ascii="Cambria Math" w:hAnsi="Cambria Math" w:cs="Times New Roman"/>
                        <w:i/>
                        <w:sz w:val="32"/>
                        <w:szCs w:val="32"/>
                      </w:rPr>
                    </m:ctrlPr>
                  </m:sub>
                </m:sSub>
              </m:oMath>
            </m:oMathPara>
          </w:p>
        </w:tc>
        <w:tc>
          <w:tcPr>
            <w:tcW w:w="427" w:type="pct"/>
            <w:vAlign w:val="center"/>
          </w:tcPr>
          <w:p>
            <w:pPr>
              <w:spacing w:line="0" w:lineRule="atLeast"/>
              <w:ind w:firstLine="0" w:firstLineChars="0"/>
              <w:jc w:val="center"/>
              <w:rPr>
                <w:rFonts w:cs="Times New Roman"/>
                <w:i/>
                <w:iCs/>
                <w:kern w:val="0"/>
                <w:sz w:val="32"/>
                <w:szCs w:val="32"/>
              </w:rPr>
            </w:pPr>
            <w:r>
              <w:rPr>
                <w:rFonts w:cs="Times New Roman"/>
                <w:i/>
                <w:iCs/>
                <w:kern w:val="0"/>
                <w:sz w:val="32"/>
                <w:szCs w:val="32"/>
              </w:rPr>
              <w:t>——</w:t>
            </w:r>
          </w:p>
        </w:tc>
        <w:tc>
          <w:tcPr>
            <w:tcW w:w="3975" w:type="pct"/>
            <w:gridSpan w:val="2"/>
            <w:vAlign w:val="center"/>
          </w:tcPr>
          <w:p>
            <w:pPr>
              <w:spacing w:line="0" w:lineRule="atLeast"/>
              <w:ind w:firstLine="0" w:firstLineChars="0"/>
              <w:rPr>
                <w:rFonts w:cs="Times New Roman"/>
                <w:kern w:val="0"/>
                <w:sz w:val="32"/>
                <w:szCs w:val="32"/>
              </w:rPr>
            </w:pPr>
            <w:r>
              <w:rPr>
                <w:rFonts w:hint="eastAsia" w:cs="Times New Roman"/>
                <w:kern w:val="0"/>
                <w:sz w:val="32"/>
                <w:szCs w:val="32"/>
              </w:rPr>
              <w:t>单次乘坐公共汽电车的出行里程，单位为千米</w:t>
            </w:r>
            <w:r>
              <w:rPr>
                <w:rFonts w:cs="Times New Roman"/>
                <w:kern w:val="0"/>
                <w:sz w:val="32"/>
                <w:szCs w:val="32"/>
              </w:rPr>
              <w:t>（</w:t>
            </w:r>
            <w:r>
              <w:rPr>
                <w:rFonts w:hint="eastAsia" w:cs="Times New Roman"/>
                <w:kern w:val="0"/>
                <w:sz w:val="32"/>
                <w:szCs w:val="32"/>
              </w:rPr>
              <w:t>km</w:t>
            </w:r>
            <w:r>
              <w:rPr>
                <w:rFonts w:cs="Times New Roman"/>
                <w:kern w:val="0"/>
                <w:sz w:val="32"/>
                <w:szCs w:val="32"/>
              </w:rPr>
              <w:t>）</w:t>
            </w:r>
            <w:r>
              <w:rPr>
                <w:rFonts w:hint="eastAsia" w:cs="Times New Roman"/>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98" w:type="pct"/>
            <w:vAlign w:val="center"/>
          </w:tcPr>
          <w:p>
            <w:pPr>
              <w:spacing w:line="0" w:lineRule="atLeast"/>
              <w:ind w:firstLine="0" w:firstLineChars="0"/>
              <w:jc w:val="right"/>
              <w:rPr>
                <w:rFonts w:cs="Times New Roman"/>
                <w:i/>
                <w:iCs/>
                <w:kern w:val="0"/>
                <w:sz w:val="32"/>
                <w:szCs w:val="32"/>
              </w:rPr>
            </w:pPr>
            <m:oMathPara>
              <m:oMathParaPr>
                <m:jc m:val="left"/>
              </m:oMathParaPr>
              <m:oMath>
                <m:r>
                  <m:rPr/>
                  <w:rPr>
                    <w:rFonts w:ascii="Cambria Math" w:cs="Times New Roman"/>
                    <w:sz w:val="32"/>
                    <w:szCs w:val="32"/>
                  </w:rPr>
                  <m:t>E</m:t>
                </m:r>
                <m:sSub>
                  <m:sSubPr>
                    <m:ctrlPr>
                      <w:rPr>
                        <w:rFonts w:ascii="Cambria Math" w:hAnsi="Cambria Math" w:cs="Times New Roman"/>
                        <w:i/>
                        <w:sz w:val="32"/>
                        <w:szCs w:val="32"/>
                      </w:rPr>
                    </m:ctrlPr>
                  </m:sSubPr>
                  <m:e>
                    <m:r>
                      <m:rPr/>
                      <w:rPr>
                        <w:rFonts w:ascii="Cambria Math" w:cs="Times New Roman"/>
                        <w:sz w:val="32"/>
                        <w:szCs w:val="32"/>
                      </w:rPr>
                      <m:t>F</m:t>
                    </m:r>
                    <m:ctrlPr>
                      <w:rPr>
                        <w:rFonts w:ascii="Cambria Math" w:hAnsi="Cambria Math" w:cs="Times New Roman"/>
                        <w:i/>
                        <w:sz w:val="32"/>
                        <w:szCs w:val="32"/>
                      </w:rPr>
                    </m:ctrlPr>
                  </m:e>
                  <m:sub>
                    <m:r>
                      <m:rPr/>
                      <w:rPr>
                        <w:rFonts w:ascii="Cambria Math" w:cs="Times New Roman"/>
                        <w:sz w:val="32"/>
                        <w:szCs w:val="32"/>
                      </w:rPr>
                      <m:t>PKM</m:t>
                    </m:r>
                    <m:ctrlPr>
                      <w:rPr>
                        <w:rFonts w:ascii="Cambria Math" w:hAnsi="Cambria Math" w:cs="Times New Roman"/>
                        <w:sz w:val="32"/>
                        <w:szCs w:val="32"/>
                      </w:rPr>
                    </m:ctrlPr>
                  </m:sub>
                </m:sSub>
              </m:oMath>
            </m:oMathPara>
          </w:p>
        </w:tc>
        <w:tc>
          <w:tcPr>
            <w:tcW w:w="427" w:type="pct"/>
            <w:vAlign w:val="center"/>
          </w:tcPr>
          <w:p>
            <w:pPr>
              <w:spacing w:line="0" w:lineRule="atLeast"/>
              <w:ind w:firstLine="0" w:firstLineChars="0"/>
              <w:jc w:val="center"/>
              <w:rPr>
                <w:rFonts w:cs="Times New Roman"/>
                <w:i/>
                <w:iCs/>
                <w:kern w:val="0"/>
                <w:sz w:val="32"/>
                <w:szCs w:val="32"/>
              </w:rPr>
            </w:pPr>
            <w:r>
              <w:rPr>
                <w:rFonts w:cs="Times New Roman"/>
                <w:i/>
                <w:iCs/>
                <w:kern w:val="0"/>
                <w:sz w:val="32"/>
                <w:szCs w:val="32"/>
              </w:rPr>
              <w:t>——</w:t>
            </w:r>
          </w:p>
        </w:tc>
        <w:tc>
          <w:tcPr>
            <w:tcW w:w="3975" w:type="pct"/>
            <w:gridSpan w:val="2"/>
            <w:vAlign w:val="center"/>
          </w:tcPr>
          <w:p>
            <w:pPr>
              <w:spacing w:line="0" w:lineRule="atLeast"/>
              <w:ind w:firstLine="0" w:firstLineChars="0"/>
              <w:rPr>
                <w:rFonts w:cs="Times New Roman"/>
                <w:kern w:val="0"/>
                <w:sz w:val="32"/>
                <w:szCs w:val="32"/>
              </w:rPr>
            </w:pPr>
            <w:r>
              <w:rPr>
                <w:rFonts w:hint="eastAsia" w:cs="Times New Roman"/>
                <w:kern w:val="0"/>
                <w:sz w:val="32"/>
                <w:szCs w:val="32"/>
              </w:rPr>
              <w:t>机动化出行的</w:t>
            </w:r>
            <w:r>
              <w:rPr>
                <w:rFonts w:cs="Times New Roman"/>
                <w:kern w:val="0"/>
                <w:sz w:val="32"/>
                <w:szCs w:val="32"/>
              </w:rPr>
              <w:t>单位客运周转量</w:t>
            </w:r>
            <w:r>
              <w:rPr>
                <w:rFonts w:hint="eastAsia" w:cs="Times New Roman"/>
                <w:kern w:val="0"/>
                <w:sz w:val="32"/>
                <w:szCs w:val="32"/>
              </w:rPr>
              <w:t>加权</w:t>
            </w:r>
            <w:r>
              <w:rPr>
                <w:rFonts w:cs="Times New Roman"/>
                <w:kern w:val="0"/>
                <w:sz w:val="32"/>
                <w:szCs w:val="32"/>
              </w:rPr>
              <w:t>排放因子</w:t>
            </w:r>
            <w:r>
              <w:rPr>
                <w:rFonts w:hint="eastAsia" w:cs="Times New Roman"/>
                <w:kern w:val="0"/>
                <w:sz w:val="32"/>
                <w:szCs w:val="32"/>
              </w:rPr>
              <w:t>，单位为千克二氧化碳每人公里</w:t>
            </w:r>
            <w:r>
              <w:rPr>
                <w:rFonts w:cs="Times New Roman"/>
                <w:kern w:val="0"/>
                <w:sz w:val="32"/>
                <w:szCs w:val="32"/>
              </w:rPr>
              <w:t>（</w:t>
            </w:r>
            <w:r>
              <w:rPr>
                <w:rFonts w:hint="eastAsia" w:cs="Times New Roman"/>
                <w:kern w:val="0"/>
                <w:sz w:val="32"/>
                <w:szCs w:val="32"/>
              </w:rPr>
              <w:t>kgCO</w:t>
            </w:r>
            <w:r>
              <w:rPr>
                <w:rFonts w:hint="eastAsia" w:cs="Times New Roman"/>
                <w:kern w:val="0"/>
                <w:sz w:val="32"/>
                <w:szCs w:val="32"/>
                <w:vertAlign w:val="subscript"/>
              </w:rPr>
              <w:t>2</w:t>
            </w:r>
            <w:r>
              <w:rPr>
                <w:rFonts w:cs="Times New Roman"/>
                <w:kern w:val="0"/>
                <w:sz w:val="32"/>
                <w:szCs w:val="32"/>
              </w:rPr>
              <w:t>/pkm）</w:t>
            </w:r>
            <w:r>
              <w:rPr>
                <w:rFonts w:hint="eastAsia" w:cs="Times New Roman"/>
                <w:kern w:val="0"/>
                <w:sz w:val="32"/>
                <w:szCs w:val="32"/>
              </w:rPr>
              <w:t>。</w:t>
            </w:r>
          </w:p>
        </w:tc>
      </w:tr>
    </w:tbl>
    <w:p>
      <w:pPr>
        <w:pStyle w:val="3"/>
        <w:spacing w:before="156" w:beforeLines="50" w:after="156" w:afterLines="50" w:line="240" w:lineRule="auto"/>
        <w:rPr>
          <w:sz w:val="32"/>
          <w:szCs w:val="32"/>
        </w:rPr>
      </w:pPr>
      <w:bookmarkStart w:id="179" w:name="_Toc19411"/>
      <w:bookmarkStart w:id="180" w:name="_Toc3666"/>
      <w:bookmarkStart w:id="181" w:name="_Toc164769553"/>
      <w:bookmarkStart w:id="182" w:name="_Toc14037"/>
      <w:bookmarkStart w:id="183" w:name="_Toc172908913"/>
      <w:bookmarkStart w:id="184" w:name="_Toc27604"/>
      <w:bookmarkStart w:id="185" w:name="_Toc175934783"/>
      <w:bookmarkStart w:id="186" w:name="_Toc213947382"/>
      <w:bookmarkStart w:id="187" w:name="_Toc17467"/>
      <w:bookmarkStart w:id="188" w:name="_Toc15562"/>
      <w:bookmarkStart w:id="189" w:name="_Toc19885"/>
      <w:bookmarkStart w:id="190" w:name="_Toc9690"/>
      <w:bookmarkStart w:id="191" w:name="_Toc23694"/>
      <w:r>
        <w:rPr>
          <w:rFonts w:hint="eastAsia"/>
          <w:sz w:val="32"/>
          <w:szCs w:val="32"/>
        </w:rPr>
        <w:t xml:space="preserve">6.4  </w:t>
      </w:r>
      <w:bookmarkEnd w:id="179"/>
      <w:r>
        <w:rPr>
          <w:rFonts w:hint="eastAsia"/>
          <w:sz w:val="32"/>
          <w:szCs w:val="32"/>
        </w:rPr>
        <w:t>碳普惠情景排放计算</w:t>
      </w:r>
      <w:bookmarkEnd w:id="180"/>
      <w:bookmarkEnd w:id="181"/>
      <w:bookmarkEnd w:id="182"/>
      <w:bookmarkEnd w:id="183"/>
      <w:bookmarkEnd w:id="184"/>
      <w:bookmarkEnd w:id="185"/>
      <w:bookmarkEnd w:id="186"/>
    </w:p>
    <w:p>
      <w:pPr>
        <w:ind w:firstLine="420"/>
        <w:rPr>
          <w:rFonts w:cs="Times New Roman"/>
          <w:sz w:val="32"/>
          <w:szCs w:val="32"/>
        </w:rPr>
      </w:pPr>
      <w:r>
        <w:rPr>
          <w:rFonts w:hint="eastAsia" w:cs="Times New Roman"/>
          <w:kern w:val="0"/>
          <w:sz w:val="32"/>
          <w:szCs w:val="32"/>
        </w:rPr>
        <w:t>碳普惠情景</w:t>
      </w:r>
      <w:r>
        <w:rPr>
          <w:rFonts w:cs="Times New Roman"/>
          <w:kern w:val="0"/>
          <w:sz w:val="32"/>
          <w:szCs w:val="32"/>
        </w:rPr>
        <w:t>排放量</w:t>
      </w:r>
      <w:r>
        <w:rPr>
          <w:rFonts w:hint="eastAsia" w:cs="Times New Roman"/>
          <w:sz w:val="32"/>
          <w:szCs w:val="32"/>
        </w:rPr>
        <w:t>按照</w:t>
      </w:r>
      <w:r>
        <w:rPr>
          <w:rFonts w:cs="Times New Roman"/>
          <w:kern w:val="0"/>
          <w:sz w:val="32"/>
          <w:szCs w:val="32"/>
        </w:rPr>
        <w:t>计算公式（</w:t>
      </w:r>
      <w:r>
        <w:rPr>
          <w:rFonts w:hint="eastAsia" w:cs="Times New Roman"/>
          <w:kern w:val="0"/>
          <w:sz w:val="32"/>
          <w:szCs w:val="32"/>
        </w:rPr>
        <w:t>6</w:t>
      </w:r>
      <w:r>
        <w:rPr>
          <w:rFonts w:cs="Times New Roman"/>
          <w:kern w:val="0"/>
          <w:sz w:val="32"/>
          <w:szCs w:val="32"/>
        </w:rPr>
        <w:t>）</w:t>
      </w:r>
      <w:r>
        <w:rPr>
          <w:rFonts w:hint="eastAsia" w:cs="Times New Roman"/>
          <w:kern w:val="0"/>
          <w:sz w:val="32"/>
          <w:szCs w:val="32"/>
        </w:rPr>
        <w:t>计算</w:t>
      </w:r>
      <w:r>
        <w:rPr>
          <w:rFonts w:cs="Times New Roman"/>
          <w:kern w:val="0"/>
          <w:sz w:val="32"/>
          <w:szCs w:val="32"/>
        </w:rPr>
        <w:t>：</w:t>
      </w:r>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9"/>
        <w:gridCol w:w="726"/>
        <w:gridCol w:w="5955"/>
        <w:gridCol w:w="8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18" w:type="pct"/>
            <w:gridSpan w:val="3"/>
            <w:vAlign w:val="center"/>
          </w:tcPr>
          <w:p>
            <w:pPr>
              <w:spacing w:line="0" w:lineRule="atLeast"/>
              <w:ind w:firstLine="0" w:firstLineChars="0"/>
              <w:jc w:val="center"/>
              <w:rPr>
                <w:rFonts w:cs="Times New Roman"/>
                <w:i/>
                <w:iCs/>
                <w:kern w:val="0"/>
                <w:sz w:val="32"/>
                <w:szCs w:val="32"/>
              </w:rPr>
            </w:pPr>
            <m:oMathPara>
              <m:oMath>
                <m:r>
                  <m:rPr/>
                  <w:rPr>
                    <w:rFonts w:ascii="Cambria Math"/>
                    <w:sz w:val="32"/>
                    <w:szCs w:val="32"/>
                  </w:rPr>
                  <m:t>PE=</m:t>
                </m:r>
                <m:sSub>
                  <m:sSubPr>
                    <m:ctrlPr>
                      <w:rPr>
                        <w:rFonts w:ascii="Cambria Math" w:hAnsi="Cambria Math"/>
                        <w:i/>
                        <w:sz w:val="32"/>
                        <w:szCs w:val="32"/>
                      </w:rPr>
                    </m:ctrlPr>
                  </m:sSubPr>
                  <m:e>
                    <m:r>
                      <m:rPr/>
                      <w:rPr>
                        <w:rFonts w:ascii="Cambria Math"/>
                        <w:sz w:val="32"/>
                        <w:szCs w:val="32"/>
                      </w:rPr>
                      <m:t>D</m:t>
                    </m:r>
                    <m:ctrlPr>
                      <w:rPr>
                        <w:rFonts w:ascii="Cambria Math" w:hAnsi="Cambria Math"/>
                        <w:i/>
                        <w:sz w:val="32"/>
                        <w:szCs w:val="32"/>
                      </w:rPr>
                    </m:ctrlPr>
                  </m:e>
                  <m:sub>
                    <m:r>
                      <m:rPr/>
                      <w:rPr>
                        <w:rFonts w:ascii="Cambria Math"/>
                        <w:sz w:val="32"/>
                        <w:szCs w:val="32"/>
                      </w:rPr>
                      <m:t>B</m:t>
                    </m:r>
                    <m:ctrlPr>
                      <w:rPr>
                        <w:rFonts w:ascii="Cambria Math" w:hAnsi="Cambria Math"/>
                        <w:i/>
                        <w:sz w:val="32"/>
                        <w:szCs w:val="32"/>
                      </w:rPr>
                    </m:ctrlPr>
                  </m:sub>
                </m:sSub>
                <m:r>
                  <m:rPr/>
                  <w:rPr>
                    <w:rFonts w:ascii="Cambria Math"/>
                    <w:sz w:val="32"/>
                    <w:szCs w:val="32"/>
                  </w:rPr>
                  <m:t>×</m:t>
                </m:r>
                <m:r>
                  <m:rPr/>
                  <w:rPr>
                    <w:rFonts w:ascii="Cambria Math" w:hAnsi="Cambria Math"/>
                    <w:sz w:val="32"/>
                    <w:szCs w:val="32"/>
                  </w:rPr>
                  <m:t>E</m:t>
                </m:r>
                <m:sSub>
                  <m:sSubPr>
                    <m:ctrlPr>
                      <w:rPr>
                        <w:rFonts w:ascii="Cambria Math" w:hAnsi="Cambria Math"/>
                        <w:i/>
                        <w:sz w:val="32"/>
                        <w:szCs w:val="32"/>
                      </w:rPr>
                    </m:ctrlPr>
                  </m:sSubPr>
                  <m:e>
                    <m:r>
                      <m:rPr/>
                      <w:rPr>
                        <w:rFonts w:ascii="Cambria Math" w:hAnsi="Cambria Math"/>
                        <w:sz w:val="32"/>
                        <w:szCs w:val="32"/>
                      </w:rPr>
                      <m:t>F</m:t>
                    </m:r>
                    <m:ctrlPr>
                      <w:rPr>
                        <w:rFonts w:ascii="Cambria Math" w:hAnsi="Cambria Math"/>
                        <w:i/>
                        <w:sz w:val="32"/>
                        <w:szCs w:val="32"/>
                      </w:rPr>
                    </m:ctrlPr>
                  </m:e>
                  <m:sub>
                    <m:r>
                      <m:rPr/>
                      <w:rPr>
                        <w:rFonts w:ascii="Cambria Math" w:hAnsi="Cambria Math"/>
                        <w:sz w:val="32"/>
                        <w:szCs w:val="32"/>
                      </w:rPr>
                      <m:t>PKM,B</m:t>
                    </m:r>
                    <m:ctrlPr>
                      <w:rPr>
                        <w:rFonts w:ascii="Cambria Math" w:hAnsi="Cambria Math"/>
                        <w:i/>
                        <w:sz w:val="32"/>
                        <w:szCs w:val="32"/>
                      </w:rPr>
                    </m:ctrlPr>
                  </m:sub>
                </m:sSub>
              </m:oMath>
            </m:oMathPara>
          </w:p>
        </w:tc>
        <w:tc>
          <w:tcPr>
            <w:tcW w:w="482" w:type="pct"/>
            <w:vAlign w:val="center"/>
          </w:tcPr>
          <w:p>
            <w:pPr>
              <w:spacing w:line="0" w:lineRule="atLeast"/>
              <w:ind w:firstLine="0" w:firstLineChars="0"/>
              <w:jc w:val="right"/>
              <w:rPr>
                <w:rFonts w:cs="Times New Roman"/>
                <w:kern w:val="0"/>
                <w:sz w:val="32"/>
                <w:szCs w:val="32"/>
              </w:rPr>
            </w:pPr>
            <w:r>
              <w:rPr>
                <w:rFonts w:hint="eastAsia" w:cs="Times New Roman"/>
                <w:kern w:val="0"/>
                <w:sz w:val="32"/>
                <w:szCs w:val="3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98" w:type="pct"/>
            <w:vAlign w:val="center"/>
          </w:tcPr>
          <w:p>
            <w:pPr>
              <w:spacing w:line="0" w:lineRule="atLeast"/>
              <w:ind w:firstLine="0" w:firstLineChars="0"/>
              <w:rPr>
                <w:rFonts w:ascii="Cambria Math"/>
                <w:sz w:val="32"/>
                <w:szCs w:val="32"/>
                <w:oMath/>
              </w:rPr>
            </w:pPr>
            <w:r>
              <w:rPr>
                <w:rFonts w:hint="eastAsia" w:cs="Times New Roman"/>
                <w:sz w:val="32"/>
                <w:szCs w:val="32"/>
              </w:rPr>
              <w:t>式</w:t>
            </w:r>
            <w:r>
              <w:rPr>
                <w:rFonts w:cs="Times New Roman"/>
                <w:sz w:val="32"/>
                <w:szCs w:val="32"/>
              </w:rPr>
              <w:t>中：</w:t>
            </w:r>
          </w:p>
        </w:tc>
        <w:tc>
          <w:tcPr>
            <w:tcW w:w="426" w:type="pct"/>
            <w:vAlign w:val="center"/>
          </w:tcPr>
          <w:p>
            <w:pPr>
              <w:spacing w:line="0" w:lineRule="atLeast"/>
              <w:ind w:firstLine="0" w:firstLineChars="0"/>
              <w:rPr>
                <w:rFonts w:cs="Times New Roman"/>
                <w:i/>
                <w:iCs/>
                <w:kern w:val="0"/>
                <w:sz w:val="32"/>
                <w:szCs w:val="32"/>
              </w:rPr>
            </w:pPr>
          </w:p>
        </w:tc>
        <w:tc>
          <w:tcPr>
            <w:tcW w:w="3976" w:type="pct"/>
            <w:gridSpan w:val="2"/>
            <w:vAlign w:val="center"/>
          </w:tcPr>
          <w:p>
            <w:pPr>
              <w:spacing w:line="0" w:lineRule="atLeast"/>
              <w:ind w:firstLine="0" w:firstLineChars="0"/>
              <w:rPr>
                <w:rFonts w:cs="Times New Roman"/>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98" w:type="pct"/>
            <w:vAlign w:val="center"/>
          </w:tcPr>
          <w:p>
            <w:pPr>
              <w:spacing w:line="0" w:lineRule="atLeast"/>
              <w:ind w:firstLine="0" w:firstLineChars="0"/>
              <w:jc w:val="center"/>
              <w:rPr>
                <w:rFonts w:cs="Times New Roman"/>
                <w:i/>
                <w:iCs/>
                <w:kern w:val="0"/>
                <w:sz w:val="32"/>
                <w:szCs w:val="32"/>
              </w:rPr>
            </w:pPr>
            <m:oMathPara>
              <m:oMathParaPr>
                <m:jc m:val="left"/>
              </m:oMathParaPr>
              <m:oMath>
                <m:r>
                  <m:rPr/>
                  <w:rPr>
                    <w:rFonts w:ascii="Cambria Math"/>
                    <w:sz w:val="32"/>
                    <w:szCs w:val="32"/>
                  </w:rPr>
                  <m:t>PE</m:t>
                </m:r>
              </m:oMath>
            </m:oMathPara>
          </w:p>
        </w:tc>
        <w:tc>
          <w:tcPr>
            <w:tcW w:w="426" w:type="pct"/>
            <w:vAlign w:val="center"/>
          </w:tcPr>
          <w:p>
            <w:pPr>
              <w:spacing w:line="0" w:lineRule="atLeast"/>
              <w:ind w:firstLine="0" w:firstLineChars="0"/>
              <w:jc w:val="center"/>
              <w:rPr>
                <w:rFonts w:cs="Times New Roman"/>
                <w:i/>
                <w:iCs/>
                <w:kern w:val="0"/>
                <w:sz w:val="32"/>
                <w:szCs w:val="32"/>
              </w:rPr>
            </w:pPr>
            <w:r>
              <w:rPr>
                <w:rFonts w:cs="Times New Roman"/>
                <w:i/>
                <w:iCs/>
                <w:kern w:val="0"/>
                <w:sz w:val="32"/>
                <w:szCs w:val="32"/>
              </w:rPr>
              <w:t>——</w:t>
            </w:r>
          </w:p>
        </w:tc>
        <w:tc>
          <w:tcPr>
            <w:tcW w:w="3976" w:type="pct"/>
            <w:gridSpan w:val="2"/>
            <w:vAlign w:val="center"/>
          </w:tcPr>
          <w:p>
            <w:pPr>
              <w:spacing w:line="0" w:lineRule="atLeast"/>
              <w:ind w:firstLine="0" w:firstLineChars="0"/>
              <w:rPr>
                <w:rFonts w:cs="Times New Roman"/>
                <w:kern w:val="0"/>
                <w:sz w:val="32"/>
                <w:szCs w:val="32"/>
              </w:rPr>
            </w:pPr>
            <w:r>
              <w:rPr>
                <w:rFonts w:hint="eastAsia" w:cs="Times New Roman"/>
                <w:kern w:val="0"/>
                <w:sz w:val="32"/>
                <w:szCs w:val="32"/>
              </w:rPr>
              <w:t>碳普惠情景公共汽电车出行的排放量，单位为千克二氧化碳</w:t>
            </w:r>
            <w:r>
              <w:rPr>
                <w:rFonts w:cs="Times New Roman"/>
                <w:kern w:val="0"/>
                <w:sz w:val="32"/>
                <w:szCs w:val="32"/>
              </w:rPr>
              <w:t>（</w:t>
            </w:r>
            <w:r>
              <w:rPr>
                <w:rFonts w:hint="eastAsia" w:cs="Times New Roman"/>
                <w:kern w:val="0"/>
                <w:sz w:val="32"/>
                <w:szCs w:val="32"/>
              </w:rPr>
              <w:t>kgCO</w:t>
            </w:r>
            <w:r>
              <w:rPr>
                <w:rFonts w:hint="eastAsia" w:cs="Times New Roman"/>
                <w:kern w:val="0"/>
                <w:sz w:val="32"/>
                <w:szCs w:val="32"/>
                <w:vertAlign w:val="subscript"/>
              </w:rPr>
              <w:t>2</w:t>
            </w:r>
            <w:r>
              <w:rPr>
                <w:rFonts w:cs="Times New Roman"/>
                <w:kern w:val="0"/>
                <w:sz w:val="32"/>
                <w:szCs w:val="32"/>
              </w:rPr>
              <w:t>）</w:t>
            </w:r>
            <w:r>
              <w:rPr>
                <w:rFonts w:hint="eastAsia" w:cs="Times New Roman"/>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98" w:type="pct"/>
            <w:vAlign w:val="center"/>
          </w:tcPr>
          <w:p>
            <w:pPr>
              <w:spacing w:line="0" w:lineRule="atLeast"/>
              <w:ind w:firstLine="0" w:firstLineChars="0"/>
              <w:jc w:val="center"/>
              <w:rPr>
                <w:rFonts w:cs="Times New Roman"/>
                <w:i/>
                <w:iCs/>
                <w:kern w:val="0"/>
                <w:sz w:val="32"/>
                <w:szCs w:val="32"/>
              </w:rPr>
            </w:pPr>
            <m:oMathPara>
              <m:oMathParaPr>
                <m:jc m:val="left"/>
              </m:oMathParaPr>
              <m:oMath>
                <m:sSub>
                  <m:sSubPr>
                    <m:ctrlPr>
                      <w:rPr>
                        <w:rFonts w:ascii="Cambria Math" w:hAnsi="Cambria Math"/>
                        <w:i/>
                        <w:sz w:val="32"/>
                        <w:szCs w:val="32"/>
                      </w:rPr>
                    </m:ctrlPr>
                  </m:sSubPr>
                  <m:e>
                    <m:r>
                      <m:rPr/>
                      <w:rPr>
                        <w:rFonts w:ascii="Cambria Math"/>
                        <w:sz w:val="32"/>
                        <w:szCs w:val="32"/>
                      </w:rPr>
                      <m:t>D</m:t>
                    </m:r>
                    <m:ctrlPr>
                      <w:rPr>
                        <w:rFonts w:ascii="Cambria Math" w:hAnsi="Cambria Math"/>
                        <w:i/>
                        <w:sz w:val="32"/>
                        <w:szCs w:val="32"/>
                      </w:rPr>
                    </m:ctrlPr>
                  </m:e>
                  <m:sub>
                    <m:r>
                      <m:rPr/>
                      <w:rPr>
                        <w:rFonts w:ascii="Cambria Math"/>
                        <w:sz w:val="32"/>
                        <w:szCs w:val="32"/>
                      </w:rPr>
                      <m:t>B</m:t>
                    </m:r>
                    <m:ctrlPr>
                      <w:rPr>
                        <w:rFonts w:ascii="Cambria Math" w:hAnsi="Cambria Math"/>
                        <w:i/>
                        <w:sz w:val="32"/>
                        <w:szCs w:val="32"/>
                      </w:rPr>
                    </m:ctrlPr>
                  </m:sub>
                </m:sSub>
              </m:oMath>
            </m:oMathPara>
          </w:p>
        </w:tc>
        <w:tc>
          <w:tcPr>
            <w:tcW w:w="426" w:type="pct"/>
            <w:vAlign w:val="center"/>
          </w:tcPr>
          <w:p>
            <w:pPr>
              <w:spacing w:line="0" w:lineRule="atLeast"/>
              <w:ind w:firstLine="0" w:firstLineChars="0"/>
              <w:jc w:val="center"/>
              <w:rPr>
                <w:rFonts w:cs="Times New Roman"/>
                <w:i/>
                <w:iCs/>
                <w:kern w:val="0"/>
                <w:sz w:val="32"/>
                <w:szCs w:val="32"/>
              </w:rPr>
            </w:pPr>
            <w:r>
              <w:rPr>
                <w:rFonts w:cs="Times New Roman"/>
                <w:i/>
                <w:iCs/>
                <w:kern w:val="0"/>
                <w:sz w:val="32"/>
                <w:szCs w:val="32"/>
              </w:rPr>
              <w:t>——</w:t>
            </w:r>
          </w:p>
        </w:tc>
        <w:tc>
          <w:tcPr>
            <w:tcW w:w="3976" w:type="pct"/>
            <w:gridSpan w:val="2"/>
            <w:vAlign w:val="center"/>
          </w:tcPr>
          <w:p>
            <w:pPr>
              <w:spacing w:line="0" w:lineRule="atLeast"/>
              <w:ind w:firstLine="0" w:firstLineChars="0"/>
              <w:rPr>
                <w:rFonts w:cs="Times New Roman"/>
                <w:kern w:val="0"/>
                <w:sz w:val="32"/>
                <w:szCs w:val="32"/>
              </w:rPr>
            </w:pPr>
            <w:r>
              <w:rPr>
                <w:rFonts w:hint="eastAsia" w:cs="Times New Roman"/>
                <w:kern w:val="0"/>
                <w:sz w:val="32"/>
                <w:szCs w:val="32"/>
              </w:rPr>
              <w:t>单次乘坐公共汽电车的出行里程，单位为千米</w:t>
            </w:r>
            <w:r>
              <w:rPr>
                <w:rFonts w:cs="Times New Roman"/>
                <w:kern w:val="0"/>
                <w:sz w:val="32"/>
                <w:szCs w:val="32"/>
              </w:rPr>
              <w:t>（</w:t>
            </w:r>
            <w:r>
              <w:rPr>
                <w:rFonts w:hint="eastAsia" w:cs="Times New Roman"/>
                <w:kern w:val="0"/>
                <w:sz w:val="32"/>
                <w:szCs w:val="32"/>
              </w:rPr>
              <w:t>km</w:t>
            </w:r>
            <w:r>
              <w:rPr>
                <w:rFonts w:cs="Times New Roman"/>
                <w:kern w:val="0"/>
                <w:sz w:val="32"/>
                <w:szCs w:val="32"/>
              </w:rPr>
              <w:t>）</w:t>
            </w:r>
            <w:r>
              <w:rPr>
                <w:rFonts w:hint="eastAsia" w:cs="Times New Roman"/>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98" w:type="pct"/>
            <w:vAlign w:val="center"/>
          </w:tcPr>
          <w:p>
            <w:pPr>
              <w:spacing w:line="0" w:lineRule="atLeast"/>
              <w:ind w:firstLine="0" w:firstLineChars="0"/>
              <w:jc w:val="center"/>
              <w:rPr>
                <w:rFonts w:cs="Times New Roman"/>
                <w:kern w:val="0"/>
                <w:sz w:val="32"/>
                <w:szCs w:val="32"/>
              </w:rPr>
            </w:pPr>
            <m:oMathPara>
              <m:oMathParaPr>
                <m:jc m:val="left"/>
              </m:oMathParaPr>
              <m:oMath>
                <m:r>
                  <m:rPr/>
                  <w:rPr>
                    <w:rFonts w:ascii="Cambria Math" w:hAnsi="Cambria Math"/>
                    <w:sz w:val="32"/>
                    <w:szCs w:val="32"/>
                  </w:rPr>
                  <m:t>E</m:t>
                </m:r>
                <m:sSub>
                  <m:sSubPr>
                    <m:ctrlPr>
                      <w:rPr>
                        <w:rFonts w:ascii="Cambria Math" w:hAnsi="Cambria Math"/>
                        <w:i/>
                        <w:sz w:val="32"/>
                        <w:szCs w:val="32"/>
                      </w:rPr>
                    </m:ctrlPr>
                  </m:sSubPr>
                  <m:e>
                    <m:r>
                      <m:rPr/>
                      <w:rPr>
                        <w:rFonts w:ascii="Cambria Math" w:hAnsi="Cambria Math"/>
                        <w:sz w:val="32"/>
                        <w:szCs w:val="32"/>
                      </w:rPr>
                      <m:t>F</m:t>
                    </m:r>
                    <m:ctrlPr>
                      <w:rPr>
                        <w:rFonts w:ascii="Cambria Math" w:hAnsi="Cambria Math"/>
                        <w:i/>
                        <w:sz w:val="32"/>
                        <w:szCs w:val="32"/>
                      </w:rPr>
                    </m:ctrlPr>
                  </m:e>
                  <m:sub>
                    <m:r>
                      <m:rPr/>
                      <w:rPr>
                        <w:rFonts w:ascii="Cambria Math" w:hAnsi="Cambria Math"/>
                        <w:sz w:val="32"/>
                        <w:szCs w:val="32"/>
                      </w:rPr>
                      <m:t>PKM,B</m:t>
                    </m:r>
                    <m:ctrlPr>
                      <w:rPr>
                        <w:rFonts w:ascii="Cambria Math" w:hAnsi="Cambria Math"/>
                        <w:i/>
                        <w:sz w:val="32"/>
                        <w:szCs w:val="32"/>
                      </w:rPr>
                    </m:ctrlPr>
                  </m:sub>
                </m:sSub>
              </m:oMath>
            </m:oMathPara>
          </w:p>
        </w:tc>
        <w:tc>
          <w:tcPr>
            <w:tcW w:w="426" w:type="pct"/>
            <w:vAlign w:val="center"/>
          </w:tcPr>
          <w:p>
            <w:pPr>
              <w:spacing w:line="0" w:lineRule="atLeast"/>
              <w:ind w:firstLine="0" w:firstLineChars="0"/>
              <w:jc w:val="center"/>
              <w:rPr>
                <w:rFonts w:cs="Times New Roman"/>
                <w:i/>
                <w:iCs/>
                <w:kern w:val="0"/>
                <w:position w:val="-34"/>
                <w:sz w:val="32"/>
                <w:szCs w:val="32"/>
              </w:rPr>
            </w:pPr>
            <w:r>
              <w:rPr>
                <w:rFonts w:cs="Times New Roman"/>
                <w:i/>
                <w:iCs/>
                <w:kern w:val="0"/>
                <w:sz w:val="32"/>
                <w:szCs w:val="32"/>
              </w:rPr>
              <w:t>——</w:t>
            </w:r>
          </w:p>
        </w:tc>
        <w:tc>
          <w:tcPr>
            <w:tcW w:w="3976" w:type="pct"/>
            <w:gridSpan w:val="2"/>
            <w:vAlign w:val="center"/>
          </w:tcPr>
          <w:p>
            <w:pPr>
              <w:spacing w:line="0" w:lineRule="atLeast"/>
              <w:ind w:firstLine="0" w:firstLineChars="0"/>
              <w:rPr>
                <w:rFonts w:cs="Times New Roman"/>
                <w:kern w:val="0"/>
                <w:sz w:val="32"/>
                <w:szCs w:val="32"/>
              </w:rPr>
            </w:pPr>
            <w:r>
              <w:rPr>
                <w:rFonts w:hint="eastAsia" w:cs="Times New Roman"/>
                <w:kern w:val="0"/>
                <w:sz w:val="32"/>
                <w:szCs w:val="32"/>
              </w:rPr>
              <w:t>公共汽电车</w:t>
            </w:r>
            <w:r>
              <w:rPr>
                <w:rFonts w:cs="Times New Roman"/>
                <w:kern w:val="0"/>
                <w:sz w:val="32"/>
                <w:szCs w:val="32"/>
              </w:rPr>
              <w:t>出行的单位客运周转量排放因子</w:t>
            </w:r>
            <w:r>
              <w:rPr>
                <w:rFonts w:hint="eastAsia" w:cs="Times New Roman"/>
                <w:kern w:val="0"/>
                <w:sz w:val="32"/>
                <w:szCs w:val="32"/>
              </w:rPr>
              <w:t>，单位为千克二氧化碳每人公里</w:t>
            </w:r>
            <w:r>
              <w:rPr>
                <w:rFonts w:cs="Times New Roman"/>
                <w:kern w:val="0"/>
                <w:sz w:val="32"/>
                <w:szCs w:val="32"/>
              </w:rPr>
              <w:t>（</w:t>
            </w:r>
            <w:r>
              <w:rPr>
                <w:rFonts w:hint="eastAsia" w:cs="Times New Roman"/>
                <w:kern w:val="0"/>
                <w:sz w:val="32"/>
                <w:szCs w:val="32"/>
              </w:rPr>
              <w:t>kgCO</w:t>
            </w:r>
            <w:r>
              <w:rPr>
                <w:rFonts w:hint="eastAsia" w:cs="Times New Roman"/>
                <w:kern w:val="0"/>
                <w:sz w:val="32"/>
                <w:szCs w:val="32"/>
                <w:vertAlign w:val="subscript"/>
              </w:rPr>
              <w:t>2</w:t>
            </w:r>
            <w:r>
              <w:rPr>
                <w:rFonts w:cs="Times New Roman"/>
                <w:kern w:val="0"/>
                <w:sz w:val="32"/>
                <w:szCs w:val="32"/>
              </w:rPr>
              <w:t>/pkm）</w:t>
            </w:r>
            <w:r>
              <w:rPr>
                <w:rFonts w:hint="eastAsia" w:cs="Times New Roman"/>
                <w:kern w:val="0"/>
                <w:sz w:val="32"/>
                <w:szCs w:val="32"/>
              </w:rPr>
              <w:t>。</w:t>
            </w:r>
          </w:p>
        </w:tc>
      </w:tr>
    </w:tbl>
    <w:p>
      <w:pPr>
        <w:pStyle w:val="3"/>
        <w:spacing w:before="156" w:beforeLines="50" w:after="156" w:afterLines="50" w:line="240" w:lineRule="auto"/>
        <w:rPr>
          <w:sz w:val="32"/>
          <w:szCs w:val="32"/>
        </w:rPr>
      </w:pPr>
      <w:bookmarkStart w:id="192" w:name="_Toc26617"/>
      <w:bookmarkStart w:id="193" w:name="_Toc172908914"/>
      <w:bookmarkStart w:id="194" w:name="_Toc175934784"/>
      <w:bookmarkStart w:id="195" w:name="_Toc18416"/>
      <w:bookmarkStart w:id="196" w:name="_Toc164769554"/>
      <w:bookmarkStart w:id="197" w:name="_Toc213947383"/>
      <w:bookmarkStart w:id="198" w:name="_Toc12023"/>
      <w:bookmarkStart w:id="199" w:name="_Toc7889"/>
      <w:r>
        <w:rPr>
          <w:rFonts w:hint="eastAsia"/>
          <w:sz w:val="32"/>
          <w:szCs w:val="32"/>
        </w:rPr>
        <w:t>6.5</w:t>
      </w:r>
      <w:r>
        <w:rPr>
          <w:sz w:val="32"/>
          <w:szCs w:val="32"/>
        </w:rPr>
        <w:t xml:space="preserve"> </w:t>
      </w:r>
      <w:r>
        <w:rPr>
          <w:rFonts w:hint="eastAsia"/>
          <w:sz w:val="32"/>
          <w:szCs w:val="32"/>
        </w:rPr>
        <w:t>碳普惠</w:t>
      </w:r>
      <w:r>
        <w:rPr>
          <w:sz w:val="32"/>
          <w:szCs w:val="32"/>
        </w:rPr>
        <w:t>减排量</w:t>
      </w:r>
      <w:bookmarkEnd w:id="192"/>
      <w:r>
        <w:rPr>
          <w:rFonts w:hint="eastAsia"/>
          <w:sz w:val="32"/>
          <w:szCs w:val="32"/>
        </w:rPr>
        <w:t>核算</w:t>
      </w:r>
      <w:bookmarkEnd w:id="193"/>
      <w:bookmarkEnd w:id="194"/>
      <w:bookmarkEnd w:id="195"/>
      <w:bookmarkEnd w:id="196"/>
      <w:bookmarkEnd w:id="197"/>
      <w:bookmarkEnd w:id="198"/>
      <w:bookmarkEnd w:id="199"/>
    </w:p>
    <w:p>
      <w:pPr>
        <w:ind w:firstLine="420"/>
        <w:rPr>
          <w:rFonts w:cs="Times New Roman"/>
          <w:sz w:val="32"/>
          <w:szCs w:val="32"/>
        </w:rPr>
      </w:pPr>
      <w:r>
        <w:rPr>
          <w:rFonts w:hint="eastAsia" w:cs="Times New Roman"/>
          <w:sz w:val="32"/>
          <w:szCs w:val="32"/>
        </w:rPr>
        <w:t>碳普惠减排量</w:t>
      </w:r>
      <w:r>
        <w:rPr>
          <w:rFonts w:hint="eastAsia" w:cs="Times New Roman"/>
          <w:bCs/>
          <w:sz w:val="32"/>
          <w:szCs w:val="32"/>
        </w:rPr>
        <w:t>按照</w:t>
      </w:r>
      <w:r>
        <w:rPr>
          <w:rFonts w:cs="Times New Roman"/>
          <w:bCs/>
          <w:sz w:val="32"/>
          <w:szCs w:val="32"/>
        </w:rPr>
        <w:t>公式（</w:t>
      </w:r>
      <w:r>
        <w:rPr>
          <w:rFonts w:hint="eastAsia" w:cs="Times New Roman"/>
          <w:bCs/>
          <w:sz w:val="32"/>
          <w:szCs w:val="32"/>
        </w:rPr>
        <w:t>7</w:t>
      </w:r>
      <w:r>
        <w:rPr>
          <w:rFonts w:cs="Times New Roman"/>
          <w:bCs/>
          <w:sz w:val="32"/>
          <w:szCs w:val="32"/>
        </w:rPr>
        <w:t>）计算：</w:t>
      </w:r>
    </w:p>
    <w:tbl>
      <w:tblPr>
        <w:tblStyle w:val="3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9"/>
        <w:gridCol w:w="786"/>
        <w:gridCol w:w="5851"/>
        <w:gridCol w:w="10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23" w:type="pct"/>
            <w:gridSpan w:val="3"/>
            <w:vAlign w:val="center"/>
          </w:tcPr>
          <w:p>
            <w:pPr>
              <w:spacing w:line="0" w:lineRule="atLeast"/>
              <w:ind w:firstLine="0" w:firstLineChars="0"/>
              <w:jc w:val="center"/>
              <w:rPr>
                <w:rFonts w:cs="Times New Roman"/>
                <w:i/>
                <w:iCs/>
                <w:kern w:val="0"/>
                <w:sz w:val="32"/>
                <w:szCs w:val="32"/>
              </w:rPr>
            </w:pPr>
            <m:oMathPara>
              <m:oMath>
                <m:r>
                  <m:rPr/>
                  <w:rPr>
                    <w:rFonts w:ascii="Cambria Math"/>
                    <w:sz w:val="32"/>
                    <w:szCs w:val="32"/>
                  </w:rPr>
                  <m:t>ER=BE−PE</m:t>
                </m:r>
              </m:oMath>
            </m:oMathPara>
          </w:p>
        </w:tc>
        <w:tc>
          <w:tcPr>
            <w:tcW w:w="477" w:type="pct"/>
            <w:vAlign w:val="center"/>
          </w:tcPr>
          <w:p>
            <w:pPr>
              <w:spacing w:line="0" w:lineRule="atLeast"/>
              <w:ind w:firstLine="0" w:firstLineChars="0"/>
              <w:jc w:val="right"/>
              <w:rPr>
                <w:rFonts w:cs="Times New Roman"/>
                <w:kern w:val="0"/>
                <w:sz w:val="32"/>
                <w:szCs w:val="32"/>
              </w:rPr>
            </w:pPr>
            <w:r>
              <w:rPr>
                <w:rFonts w:hint="eastAsia" w:cs="Times New Roman"/>
                <w:kern w:val="0"/>
                <w:sz w:val="32"/>
                <w:szCs w:val="32"/>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6" w:type="pct"/>
            <w:vAlign w:val="center"/>
          </w:tcPr>
          <w:p>
            <w:pPr>
              <w:ind w:firstLine="0" w:firstLineChars="0"/>
              <w:jc w:val="left"/>
              <w:rPr>
                <w:rFonts w:cs="Times New Roman"/>
                <w:i/>
                <w:iCs/>
                <w:kern w:val="0"/>
                <w:sz w:val="32"/>
                <w:szCs w:val="32"/>
              </w:rPr>
            </w:pPr>
            <w:r>
              <w:rPr>
                <w:rFonts w:hint="eastAsia" w:cs="Times New Roman"/>
                <w:sz w:val="32"/>
                <w:szCs w:val="32"/>
              </w:rPr>
              <w:t>式</w:t>
            </w:r>
            <w:r>
              <w:rPr>
                <w:rFonts w:cs="Times New Roman"/>
                <w:sz w:val="32"/>
                <w:szCs w:val="32"/>
              </w:rPr>
              <w:t>中：</w:t>
            </w:r>
          </w:p>
        </w:tc>
        <w:tc>
          <w:tcPr>
            <w:tcW w:w="448" w:type="pct"/>
            <w:vAlign w:val="center"/>
          </w:tcPr>
          <w:p>
            <w:pPr>
              <w:spacing w:line="0" w:lineRule="atLeast"/>
              <w:ind w:firstLine="0" w:firstLineChars="0"/>
              <w:rPr>
                <w:rFonts w:cs="Times New Roman"/>
                <w:i/>
                <w:iCs/>
                <w:kern w:val="0"/>
                <w:sz w:val="32"/>
                <w:szCs w:val="32"/>
              </w:rPr>
            </w:pPr>
          </w:p>
        </w:tc>
        <w:tc>
          <w:tcPr>
            <w:tcW w:w="3976" w:type="pct"/>
            <w:gridSpan w:val="2"/>
            <w:vAlign w:val="center"/>
          </w:tcPr>
          <w:p>
            <w:pPr>
              <w:spacing w:line="0" w:lineRule="atLeast"/>
              <w:ind w:firstLine="0" w:firstLineChars="0"/>
              <w:rPr>
                <w:rFonts w:cs="Times New Roman"/>
                <w:kern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576" w:type="pct"/>
            <w:vAlign w:val="center"/>
          </w:tcPr>
          <w:p>
            <w:pPr>
              <w:spacing w:line="0" w:lineRule="atLeast"/>
              <w:ind w:firstLine="0" w:firstLineChars="0"/>
              <w:jc w:val="left"/>
              <w:rPr>
                <w:rFonts w:cs="Times New Roman"/>
                <w:i/>
                <w:iCs/>
                <w:kern w:val="0"/>
                <w:sz w:val="32"/>
                <w:szCs w:val="32"/>
              </w:rPr>
            </w:pPr>
            <w:r>
              <w:rPr>
                <w:rFonts w:hint="eastAsia" w:cs="Times New Roman"/>
                <w:i/>
                <w:iCs/>
                <w:kern w:val="0"/>
                <w:sz w:val="32"/>
                <w:szCs w:val="32"/>
              </w:rPr>
              <w:t>ER</w:t>
            </w:r>
          </w:p>
        </w:tc>
        <w:tc>
          <w:tcPr>
            <w:tcW w:w="448" w:type="pct"/>
            <w:vAlign w:val="center"/>
          </w:tcPr>
          <w:p>
            <w:pPr>
              <w:spacing w:line="0" w:lineRule="atLeast"/>
              <w:ind w:firstLine="0" w:firstLineChars="0"/>
              <w:jc w:val="center"/>
              <w:rPr>
                <w:rFonts w:cs="Times New Roman"/>
                <w:i/>
                <w:iCs/>
                <w:kern w:val="0"/>
                <w:sz w:val="32"/>
                <w:szCs w:val="32"/>
              </w:rPr>
            </w:pPr>
            <w:r>
              <w:rPr>
                <w:rFonts w:cs="Times New Roman"/>
                <w:i/>
                <w:iCs/>
                <w:kern w:val="0"/>
                <w:sz w:val="32"/>
                <w:szCs w:val="32"/>
              </w:rPr>
              <w:t>——</w:t>
            </w:r>
          </w:p>
        </w:tc>
        <w:tc>
          <w:tcPr>
            <w:tcW w:w="3976" w:type="pct"/>
            <w:gridSpan w:val="2"/>
            <w:vAlign w:val="center"/>
          </w:tcPr>
          <w:p>
            <w:pPr>
              <w:spacing w:line="0" w:lineRule="atLeast"/>
              <w:ind w:firstLine="0" w:firstLineChars="0"/>
              <w:rPr>
                <w:rFonts w:cs="Times New Roman"/>
                <w:kern w:val="0"/>
                <w:sz w:val="32"/>
                <w:szCs w:val="32"/>
              </w:rPr>
            </w:pPr>
            <w:r>
              <w:rPr>
                <w:rFonts w:hint="eastAsia" w:cs="Times New Roman"/>
                <w:kern w:val="0"/>
                <w:sz w:val="32"/>
                <w:szCs w:val="32"/>
              </w:rPr>
              <w:t>乘客每次乘坐公共汽电车出行的碳普惠减排量，单位为千克二氧化碳</w:t>
            </w:r>
            <w:r>
              <w:rPr>
                <w:rFonts w:cs="Times New Roman"/>
                <w:kern w:val="0"/>
                <w:sz w:val="32"/>
                <w:szCs w:val="32"/>
              </w:rPr>
              <w:t>（</w:t>
            </w:r>
            <w:r>
              <w:rPr>
                <w:rFonts w:hint="eastAsia" w:cs="Times New Roman"/>
                <w:kern w:val="0"/>
                <w:sz w:val="32"/>
                <w:szCs w:val="32"/>
              </w:rPr>
              <w:t>kgCO</w:t>
            </w:r>
            <w:r>
              <w:rPr>
                <w:rFonts w:hint="eastAsia" w:cs="Times New Roman"/>
                <w:kern w:val="0"/>
                <w:sz w:val="32"/>
                <w:szCs w:val="32"/>
                <w:vertAlign w:val="subscript"/>
              </w:rPr>
              <w:t>2</w:t>
            </w:r>
            <w:r>
              <w:rPr>
                <w:rFonts w:cs="Times New Roman"/>
                <w:kern w:val="0"/>
                <w:sz w:val="32"/>
                <w:szCs w:val="32"/>
              </w:rPr>
              <w:t>）</w:t>
            </w:r>
            <w:r>
              <w:rPr>
                <w:rFonts w:hint="eastAsia" w:cs="Times New Roman"/>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6" w:type="pct"/>
            <w:vAlign w:val="center"/>
          </w:tcPr>
          <w:p>
            <w:pPr>
              <w:spacing w:line="0" w:lineRule="atLeast"/>
              <w:ind w:firstLine="0" w:firstLineChars="0"/>
              <w:jc w:val="left"/>
              <w:rPr>
                <w:rFonts w:cs="Times New Roman"/>
                <w:i/>
                <w:iCs/>
                <w:kern w:val="0"/>
                <w:sz w:val="32"/>
                <w:szCs w:val="32"/>
              </w:rPr>
            </w:pPr>
            <w:r>
              <w:rPr>
                <w:rFonts w:hint="eastAsia" w:cs="Times New Roman"/>
                <w:i/>
                <w:iCs/>
                <w:kern w:val="0"/>
                <w:sz w:val="32"/>
                <w:szCs w:val="32"/>
              </w:rPr>
              <w:t>BE</w:t>
            </w:r>
          </w:p>
        </w:tc>
        <w:tc>
          <w:tcPr>
            <w:tcW w:w="448" w:type="pct"/>
            <w:vAlign w:val="center"/>
          </w:tcPr>
          <w:p>
            <w:pPr>
              <w:spacing w:line="0" w:lineRule="atLeast"/>
              <w:ind w:firstLine="0" w:firstLineChars="0"/>
              <w:jc w:val="center"/>
              <w:rPr>
                <w:rFonts w:cs="Times New Roman"/>
                <w:i/>
                <w:iCs/>
                <w:kern w:val="0"/>
                <w:sz w:val="32"/>
                <w:szCs w:val="32"/>
              </w:rPr>
            </w:pPr>
            <w:r>
              <w:rPr>
                <w:rFonts w:cs="Times New Roman"/>
                <w:i/>
                <w:iCs/>
                <w:kern w:val="0"/>
                <w:sz w:val="32"/>
                <w:szCs w:val="32"/>
              </w:rPr>
              <w:t>——</w:t>
            </w:r>
          </w:p>
        </w:tc>
        <w:tc>
          <w:tcPr>
            <w:tcW w:w="3976" w:type="pct"/>
            <w:gridSpan w:val="2"/>
            <w:vAlign w:val="center"/>
          </w:tcPr>
          <w:p>
            <w:pPr>
              <w:spacing w:line="0" w:lineRule="atLeast"/>
              <w:ind w:firstLine="0" w:firstLineChars="0"/>
              <w:rPr>
                <w:rFonts w:cs="Times New Roman"/>
                <w:kern w:val="0"/>
                <w:sz w:val="32"/>
                <w:szCs w:val="32"/>
              </w:rPr>
            </w:pPr>
            <w:r>
              <w:rPr>
                <w:rFonts w:hint="eastAsia" w:cs="Times New Roman"/>
                <w:kern w:val="0"/>
                <w:sz w:val="32"/>
                <w:szCs w:val="32"/>
              </w:rPr>
              <w:t>基准线情景的排放量，单位为千克二氧化碳</w:t>
            </w:r>
            <w:r>
              <w:rPr>
                <w:rFonts w:cs="Times New Roman"/>
                <w:kern w:val="0"/>
                <w:sz w:val="32"/>
                <w:szCs w:val="32"/>
              </w:rPr>
              <w:t>（</w:t>
            </w:r>
            <w:r>
              <w:rPr>
                <w:rFonts w:hint="eastAsia" w:cs="Times New Roman"/>
                <w:kern w:val="0"/>
                <w:sz w:val="32"/>
                <w:szCs w:val="32"/>
              </w:rPr>
              <w:t>kgCO</w:t>
            </w:r>
            <w:r>
              <w:rPr>
                <w:rFonts w:hint="eastAsia" w:cs="Times New Roman"/>
                <w:kern w:val="0"/>
                <w:sz w:val="32"/>
                <w:szCs w:val="32"/>
                <w:vertAlign w:val="subscript"/>
              </w:rPr>
              <w:t>2</w:t>
            </w:r>
            <w:r>
              <w:rPr>
                <w:rFonts w:cs="Times New Roman"/>
                <w:kern w:val="0"/>
                <w:sz w:val="32"/>
                <w:szCs w:val="32"/>
              </w:rPr>
              <w:t>）</w:t>
            </w:r>
            <w:r>
              <w:rPr>
                <w:rFonts w:hint="eastAsia" w:cs="Times New Roman"/>
                <w:kern w:val="0"/>
                <w:sz w:val="32"/>
                <w:szCs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76" w:type="pct"/>
            <w:vAlign w:val="center"/>
          </w:tcPr>
          <w:p>
            <w:pPr>
              <w:spacing w:line="0" w:lineRule="atLeast"/>
              <w:ind w:firstLine="0" w:firstLineChars="0"/>
              <w:jc w:val="left"/>
              <w:rPr>
                <w:rFonts w:cs="Times New Roman"/>
                <w:i/>
                <w:iCs/>
                <w:kern w:val="0"/>
                <w:sz w:val="32"/>
                <w:szCs w:val="32"/>
              </w:rPr>
            </w:pPr>
            <w:r>
              <w:rPr>
                <w:rFonts w:hint="eastAsia" w:cs="Times New Roman"/>
                <w:i/>
                <w:iCs/>
                <w:kern w:val="0"/>
                <w:sz w:val="32"/>
                <w:szCs w:val="32"/>
              </w:rPr>
              <w:t>PE</w:t>
            </w:r>
          </w:p>
        </w:tc>
        <w:tc>
          <w:tcPr>
            <w:tcW w:w="448" w:type="pct"/>
            <w:vAlign w:val="center"/>
          </w:tcPr>
          <w:p>
            <w:pPr>
              <w:spacing w:line="0" w:lineRule="atLeast"/>
              <w:ind w:firstLine="0" w:firstLineChars="0"/>
              <w:jc w:val="center"/>
              <w:rPr>
                <w:rFonts w:cs="Times New Roman"/>
                <w:i/>
                <w:iCs/>
                <w:kern w:val="0"/>
                <w:sz w:val="32"/>
                <w:szCs w:val="32"/>
              </w:rPr>
            </w:pPr>
            <w:r>
              <w:rPr>
                <w:rFonts w:cs="Times New Roman"/>
                <w:i/>
                <w:iCs/>
                <w:kern w:val="0"/>
                <w:sz w:val="32"/>
                <w:szCs w:val="32"/>
              </w:rPr>
              <w:t>——</w:t>
            </w:r>
          </w:p>
        </w:tc>
        <w:tc>
          <w:tcPr>
            <w:tcW w:w="3976" w:type="pct"/>
            <w:gridSpan w:val="2"/>
            <w:vAlign w:val="center"/>
          </w:tcPr>
          <w:p>
            <w:pPr>
              <w:spacing w:line="0" w:lineRule="atLeast"/>
              <w:ind w:firstLine="0" w:firstLineChars="0"/>
              <w:rPr>
                <w:rFonts w:cs="Times New Roman"/>
                <w:kern w:val="0"/>
                <w:sz w:val="32"/>
                <w:szCs w:val="32"/>
              </w:rPr>
            </w:pPr>
            <w:r>
              <w:rPr>
                <w:rFonts w:hint="eastAsia" w:cs="Times New Roman"/>
                <w:kern w:val="0"/>
                <w:sz w:val="32"/>
                <w:szCs w:val="32"/>
              </w:rPr>
              <w:t>碳普惠情景公共汽电车出行的排放量，单位为千克二氧化碳</w:t>
            </w:r>
            <w:r>
              <w:rPr>
                <w:rFonts w:cs="Times New Roman"/>
                <w:kern w:val="0"/>
                <w:sz w:val="32"/>
                <w:szCs w:val="32"/>
              </w:rPr>
              <w:t>（</w:t>
            </w:r>
            <w:r>
              <w:rPr>
                <w:rFonts w:hint="eastAsia" w:cs="Times New Roman"/>
                <w:kern w:val="0"/>
                <w:sz w:val="32"/>
                <w:szCs w:val="32"/>
              </w:rPr>
              <w:t>kgCO</w:t>
            </w:r>
            <w:r>
              <w:rPr>
                <w:rFonts w:hint="eastAsia" w:cs="Times New Roman"/>
                <w:kern w:val="0"/>
                <w:sz w:val="32"/>
                <w:szCs w:val="32"/>
                <w:vertAlign w:val="subscript"/>
              </w:rPr>
              <w:t>2</w:t>
            </w:r>
            <w:r>
              <w:rPr>
                <w:rFonts w:cs="Times New Roman"/>
                <w:kern w:val="0"/>
                <w:sz w:val="32"/>
                <w:szCs w:val="32"/>
              </w:rPr>
              <w:t>）</w:t>
            </w:r>
            <w:r>
              <w:rPr>
                <w:rFonts w:hint="eastAsia" w:cs="Times New Roman"/>
                <w:kern w:val="0"/>
                <w:sz w:val="32"/>
                <w:szCs w:val="32"/>
              </w:rPr>
              <w:t>。</w:t>
            </w:r>
          </w:p>
        </w:tc>
      </w:tr>
      <w:bookmarkEnd w:id="187"/>
      <w:bookmarkEnd w:id="188"/>
      <w:bookmarkEnd w:id="189"/>
      <w:bookmarkEnd w:id="190"/>
      <w:bookmarkEnd w:id="191"/>
    </w:tbl>
    <w:p>
      <w:pPr>
        <w:pStyle w:val="2"/>
        <w:numPr>
          <w:ilvl w:val="0"/>
          <w:numId w:val="8"/>
        </w:numPr>
        <w:spacing w:before="312" w:after="312"/>
        <w:rPr>
          <w:sz w:val="32"/>
          <w:szCs w:val="32"/>
        </w:rPr>
      </w:pPr>
      <w:bookmarkStart w:id="200" w:name="_Toc20203"/>
      <w:bookmarkStart w:id="201" w:name="_Toc18907"/>
      <w:bookmarkStart w:id="202" w:name="_Toc25284"/>
      <w:bookmarkStart w:id="203" w:name="_Toc172908915"/>
      <w:bookmarkStart w:id="204" w:name="_Toc13591"/>
      <w:bookmarkStart w:id="205" w:name="_Toc3110"/>
      <w:bookmarkStart w:id="206" w:name="_Toc213947384"/>
      <w:bookmarkStart w:id="207" w:name="_Toc10620"/>
      <w:bookmarkStart w:id="208" w:name="_Toc4253"/>
      <w:r>
        <w:rPr>
          <w:sz w:val="32"/>
          <w:szCs w:val="32"/>
        </w:rPr>
        <w:t>数据来源及监测</w:t>
      </w:r>
      <w:bookmarkEnd w:id="200"/>
      <w:bookmarkEnd w:id="201"/>
      <w:bookmarkEnd w:id="202"/>
      <w:bookmarkEnd w:id="203"/>
      <w:bookmarkEnd w:id="204"/>
      <w:bookmarkEnd w:id="205"/>
      <w:bookmarkEnd w:id="206"/>
      <w:bookmarkEnd w:id="207"/>
      <w:bookmarkEnd w:id="208"/>
    </w:p>
    <w:p>
      <w:pPr>
        <w:pStyle w:val="3"/>
        <w:spacing w:before="156" w:beforeLines="50" w:after="156" w:afterLines="50" w:line="240" w:lineRule="auto"/>
        <w:rPr>
          <w:sz w:val="32"/>
          <w:szCs w:val="32"/>
        </w:rPr>
      </w:pPr>
      <w:bookmarkStart w:id="209" w:name="_Toc4489"/>
      <w:bookmarkStart w:id="210" w:name="_Toc10553"/>
      <w:bookmarkStart w:id="211" w:name="_Toc31105"/>
      <w:bookmarkStart w:id="212" w:name="_Toc164769556"/>
      <w:bookmarkStart w:id="213" w:name="_Toc213947385"/>
      <w:bookmarkStart w:id="214" w:name="_Toc175934786"/>
      <w:bookmarkStart w:id="215" w:name="_Toc10648"/>
      <w:bookmarkStart w:id="216" w:name="_Toc14122"/>
      <w:bookmarkStart w:id="217" w:name="_Toc4322"/>
      <w:bookmarkStart w:id="218" w:name="_Toc3181"/>
      <w:bookmarkStart w:id="219" w:name="_Toc8900"/>
      <w:bookmarkStart w:id="220" w:name="_Toc8714"/>
      <w:bookmarkStart w:id="221" w:name="_Toc172908916"/>
      <w:r>
        <w:rPr>
          <w:rFonts w:hint="eastAsia"/>
          <w:sz w:val="32"/>
          <w:szCs w:val="32"/>
        </w:rPr>
        <w:t>7</w:t>
      </w:r>
      <w:r>
        <w:rPr>
          <w:sz w:val="32"/>
          <w:szCs w:val="32"/>
        </w:rPr>
        <w:t>.</w:t>
      </w:r>
      <w:r>
        <w:rPr>
          <w:rFonts w:hint="eastAsia"/>
          <w:sz w:val="32"/>
          <w:szCs w:val="32"/>
        </w:rPr>
        <w:t>1</w:t>
      </w:r>
      <w:r>
        <w:rPr>
          <w:sz w:val="32"/>
          <w:szCs w:val="32"/>
        </w:rPr>
        <w:t xml:space="preserve"> </w:t>
      </w:r>
      <w:r>
        <w:rPr>
          <w:rFonts w:hint="eastAsia"/>
          <w:sz w:val="32"/>
          <w:szCs w:val="32"/>
        </w:rPr>
        <w:t>事前需确定的参数和数据</w:t>
      </w:r>
      <w:bookmarkEnd w:id="209"/>
      <w:bookmarkEnd w:id="210"/>
      <w:bookmarkEnd w:id="211"/>
      <w:bookmarkEnd w:id="212"/>
      <w:bookmarkEnd w:id="213"/>
      <w:bookmarkEnd w:id="214"/>
      <w:bookmarkEnd w:id="215"/>
      <w:bookmarkEnd w:id="216"/>
      <w:bookmarkEnd w:id="217"/>
      <w:bookmarkEnd w:id="218"/>
      <w:bookmarkEnd w:id="219"/>
      <w:bookmarkEnd w:id="220"/>
      <w:bookmarkEnd w:id="221"/>
    </w:p>
    <w:p>
      <w:pPr>
        <w:ind w:firstLine="420"/>
        <w:rPr>
          <w:color w:val="000000" w:themeColor="text1"/>
          <w:sz w:val="32"/>
          <w:szCs w:val="32"/>
          <w14:textFill>
            <w14:solidFill>
              <w14:schemeClr w14:val="tx1"/>
            </w14:solidFill>
          </w14:textFill>
        </w:rPr>
      </w:pPr>
      <w:r>
        <w:rPr>
          <w:color w:val="000000" w:themeColor="text1"/>
          <w:sz w:val="32"/>
          <w:szCs w:val="32"/>
          <w:lang w:bidi="ar"/>
          <w14:textFill>
            <w14:solidFill>
              <w14:schemeClr w14:val="tx1"/>
            </w14:solidFill>
          </w14:textFill>
        </w:rPr>
        <w:t>事前需确定的参数和数据的技术内容和确定方法见表2-表</w:t>
      </w:r>
      <w:r>
        <w:rPr>
          <w:rFonts w:hint="eastAsia"/>
          <w:color w:val="000000" w:themeColor="text1"/>
          <w:sz w:val="32"/>
          <w:szCs w:val="32"/>
          <w:lang w:bidi="ar"/>
          <w14:textFill>
            <w14:solidFill>
              <w14:schemeClr w14:val="tx1"/>
            </w14:solidFill>
          </w14:textFill>
        </w:rPr>
        <w:t>6</w:t>
      </w:r>
      <w:r>
        <w:rPr>
          <w:color w:val="000000" w:themeColor="text1"/>
          <w:sz w:val="32"/>
          <w:szCs w:val="32"/>
          <w:lang w:bidi="ar"/>
          <w14:textFill>
            <w14:solidFill>
              <w14:schemeClr w14:val="tx1"/>
            </w14:solidFill>
          </w14:textFill>
        </w:rPr>
        <w:t>。</w:t>
      </w:r>
    </w:p>
    <w:p>
      <w:pPr>
        <w:keepNext/>
        <w:spacing w:before="120" w:after="120"/>
        <w:ind w:firstLine="0" w:firstLineChars="0"/>
        <w:jc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表</w:t>
      </w:r>
      <w:r>
        <w:rPr>
          <w:rFonts w:hint="eastAsia" w:eastAsia="黑体"/>
          <w:color w:val="000000" w:themeColor="text1"/>
          <w:sz w:val="32"/>
          <w:szCs w:val="32"/>
          <w14:textFill>
            <w14:solidFill>
              <w14:schemeClr w14:val="tx1"/>
            </w14:solidFill>
          </w14:textFill>
        </w:rPr>
        <w:t xml:space="preserve">2 </w:t>
      </w:r>
      <m:oMath>
        <m:r>
          <m:rPr/>
          <w:rPr>
            <w:rFonts w:ascii="Cambria Math" w:cs="Times New Roman"/>
            <w:sz w:val="32"/>
            <w:szCs w:val="32"/>
          </w:rPr>
          <m:t>SE</m:t>
        </m:r>
        <m:sSub>
          <m:sSubPr>
            <m:ctrlPr>
              <w:rPr>
                <w:rFonts w:ascii="Cambria Math" w:hAnsi="Cambria Math" w:cs="Times New Roman"/>
                <w:i/>
                <w:sz w:val="32"/>
                <w:szCs w:val="32"/>
              </w:rPr>
            </m:ctrlPr>
          </m:sSubPr>
          <m:e>
            <m:r>
              <m:rPr/>
              <w:rPr>
                <w:rFonts w:ascii="Cambria Math" w:cs="Times New Roman"/>
                <w:sz w:val="32"/>
                <w:szCs w:val="32"/>
              </w:rPr>
              <m:t>C</m:t>
            </m:r>
            <m:ctrlPr>
              <w:rPr>
                <w:rFonts w:ascii="Cambria Math" w:hAnsi="Cambria Math" w:cs="Times New Roman"/>
                <w:i/>
                <w:sz w:val="32"/>
                <w:szCs w:val="32"/>
              </w:rPr>
            </m:ctrlPr>
          </m:e>
          <m:sub>
            <m:r>
              <m:rPr/>
              <w:rPr>
                <w:rFonts w:ascii="Cambria Math" w:cs="Times New Roman"/>
                <w:sz w:val="32"/>
                <w:szCs w:val="32"/>
              </w:rPr>
              <m:t>i,j</m:t>
            </m:r>
            <m:ctrlPr>
              <w:rPr>
                <w:rFonts w:ascii="Cambria Math" w:hAnsi="Cambria Math" w:cs="Times New Roman"/>
                <w:i/>
                <w:sz w:val="32"/>
                <w:szCs w:val="32"/>
              </w:rPr>
            </m:ctrlPr>
          </m:sub>
        </m:sSub>
      </m:oMath>
      <w:r>
        <w:rPr>
          <w:rFonts w:eastAsia="黑体"/>
          <w:color w:val="000000" w:themeColor="text1"/>
          <w:sz w:val="32"/>
          <w:szCs w:val="32"/>
          <w14:textFill>
            <w14:solidFill>
              <w14:schemeClr w14:val="tx1"/>
            </w14:solidFill>
          </w14:textFill>
        </w:rPr>
        <w:t>的技术内容和确定方法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数据/参数</w:t>
            </w:r>
          </w:p>
        </w:tc>
        <w:tc>
          <w:tcPr>
            <w:tcW w:w="4072" w:type="pct"/>
            <w:vAlign w:val="center"/>
          </w:tcPr>
          <w:p>
            <w:pPr>
              <w:pStyle w:val="64"/>
              <w:rPr>
                <w:sz w:val="32"/>
                <w:szCs w:val="32"/>
              </w:rPr>
            </w:pPr>
            <m:oMathPara>
              <m:oMathParaPr>
                <m:jc m:val="left"/>
              </m:oMathParaPr>
              <m:oMath>
                <m:r>
                  <m:rPr/>
                  <w:rPr>
                    <w:rFonts w:ascii="Cambria Math" w:hAnsi="Cambria Math"/>
                    <w:sz w:val="32"/>
                    <w:szCs w:val="32"/>
                  </w:rPr>
                  <m:t>SE</m:t>
                </m:r>
                <m:sSub>
                  <m:sSubPr>
                    <m:ctrlPr>
                      <w:rPr>
                        <w:rFonts w:ascii="Cambria Math" w:hAnsi="Cambria Math"/>
                        <w:i/>
                        <w:iCs/>
                        <w:sz w:val="32"/>
                        <w:szCs w:val="32"/>
                      </w:rPr>
                    </m:ctrlPr>
                  </m:sSubPr>
                  <m:e>
                    <m:r>
                      <m:rPr/>
                      <w:rPr>
                        <w:rFonts w:ascii="Cambria Math" w:hAnsi="Cambria Math"/>
                        <w:sz w:val="32"/>
                        <w:szCs w:val="32"/>
                      </w:rPr>
                      <m:t>C</m:t>
                    </m:r>
                    <m:ctrlPr>
                      <w:rPr>
                        <w:rFonts w:ascii="Cambria Math" w:hAnsi="Cambria Math"/>
                        <w:i/>
                        <w:iCs/>
                        <w:sz w:val="32"/>
                        <w:szCs w:val="32"/>
                      </w:rPr>
                    </m:ctrlPr>
                  </m:e>
                  <m:sub>
                    <m:r>
                      <m:rPr/>
                      <w:rPr>
                        <w:rFonts w:ascii="Cambria Math" w:hAnsi="Cambria Math"/>
                        <w:sz w:val="32"/>
                        <w:szCs w:val="32"/>
                      </w:rPr>
                      <m:t>i,j</m:t>
                    </m:r>
                    <m:ctrlPr>
                      <w:rPr>
                        <w:rFonts w:ascii="Cambria Math" w:hAnsi="Cambria Math"/>
                        <w:i/>
                        <w:iCs/>
                        <w:sz w:val="32"/>
                        <w:szCs w:val="32"/>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应用的公式编号</w:t>
            </w:r>
          </w:p>
        </w:tc>
        <w:tc>
          <w:tcPr>
            <w:tcW w:w="4072" w:type="pct"/>
            <w:vAlign w:val="center"/>
          </w:tcPr>
          <w:p>
            <w:pPr>
              <w:pStyle w:val="64"/>
              <w:rPr>
                <w:sz w:val="32"/>
                <w:szCs w:val="32"/>
              </w:rPr>
            </w:pPr>
            <w:r>
              <w:rPr>
                <w:sz w:val="32"/>
                <w:szCs w:val="32"/>
              </w:rPr>
              <w:t>公式（1）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数据描述</w:t>
            </w:r>
          </w:p>
        </w:tc>
        <w:tc>
          <w:tcPr>
            <w:tcW w:w="4072" w:type="pct"/>
            <w:vAlign w:val="center"/>
          </w:tcPr>
          <w:p>
            <w:pPr>
              <w:pStyle w:val="64"/>
              <w:rPr>
                <w:sz w:val="32"/>
                <w:szCs w:val="32"/>
              </w:rPr>
            </w:pPr>
            <w:r>
              <w:rPr>
                <w:sz w:val="32"/>
                <w:szCs w:val="32"/>
              </w:rPr>
              <w:t>第i种出行方式使用第j类能源的单位里程消耗量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数据单位</w:t>
            </w:r>
          </w:p>
        </w:tc>
        <w:tc>
          <w:tcPr>
            <w:tcW w:w="4072" w:type="pct"/>
            <w:vAlign w:val="center"/>
          </w:tcPr>
          <w:p>
            <w:pPr>
              <w:pStyle w:val="64"/>
              <w:rPr>
                <w:sz w:val="32"/>
                <w:szCs w:val="32"/>
              </w:rPr>
            </w:pPr>
            <w:r>
              <w:rPr>
                <w:sz w:val="32"/>
                <w:szCs w:val="32"/>
              </w:rPr>
              <w:t>kg/km、kWh/km、Nm</w:t>
            </w:r>
            <w:r>
              <w:rPr>
                <w:sz w:val="32"/>
                <w:szCs w:val="32"/>
                <w:vertAlign w:val="superscript"/>
              </w:rPr>
              <w:t>3</w:t>
            </w:r>
            <w:r>
              <w:rPr>
                <w:sz w:val="32"/>
                <w:szCs w:val="32"/>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数据来源</w:t>
            </w:r>
          </w:p>
        </w:tc>
        <w:tc>
          <w:tcPr>
            <w:tcW w:w="4072" w:type="pct"/>
            <w:vAlign w:val="center"/>
          </w:tcPr>
          <w:p>
            <w:pPr>
              <w:pStyle w:val="64"/>
              <w:rPr>
                <w:sz w:val="32"/>
                <w:szCs w:val="32"/>
              </w:rPr>
            </w:pPr>
            <w:r>
              <w:rPr>
                <w:sz w:val="32"/>
                <w:szCs w:val="32"/>
              </w:rPr>
              <w:t>按照以下优先次序选取来源</w:t>
            </w:r>
            <w:r>
              <w:rPr>
                <w:rFonts w:hint="eastAsia"/>
                <w:sz w:val="32"/>
                <w:szCs w:val="32"/>
              </w:rPr>
              <w:t>:</w:t>
            </w:r>
          </w:p>
          <w:p>
            <w:pPr>
              <w:pStyle w:val="64"/>
              <w:rPr>
                <w:sz w:val="32"/>
                <w:szCs w:val="32"/>
              </w:rPr>
            </w:pPr>
            <w:r>
              <w:rPr>
                <w:sz w:val="32"/>
                <w:szCs w:val="32"/>
              </w:rPr>
              <w:t>1、</w:t>
            </w:r>
            <w:r>
              <w:rPr>
                <w:rFonts w:hint="eastAsia"/>
                <w:sz w:val="32"/>
                <w:szCs w:val="32"/>
              </w:rPr>
              <w:t>地方标准或</w:t>
            </w:r>
            <w:r>
              <w:rPr>
                <w:sz w:val="32"/>
                <w:szCs w:val="32"/>
              </w:rPr>
              <w:t>地方</w:t>
            </w:r>
            <w:r>
              <w:rPr>
                <w:rFonts w:hint="eastAsia"/>
                <w:sz w:val="32"/>
                <w:szCs w:val="32"/>
              </w:rPr>
              <w:t>调查统计数据</w:t>
            </w:r>
            <w:r>
              <w:rPr>
                <w:sz w:val="32"/>
                <w:szCs w:val="32"/>
              </w:rPr>
              <w:t>；</w:t>
            </w:r>
          </w:p>
          <w:p>
            <w:pPr>
              <w:pStyle w:val="64"/>
              <w:rPr>
                <w:sz w:val="32"/>
                <w:szCs w:val="32"/>
              </w:rPr>
            </w:pPr>
            <w:r>
              <w:rPr>
                <w:sz w:val="32"/>
                <w:szCs w:val="32"/>
              </w:rPr>
              <w:t>2、</w:t>
            </w:r>
            <w:r>
              <w:rPr>
                <w:rFonts w:hint="eastAsia"/>
                <w:sz w:val="32"/>
                <w:szCs w:val="32"/>
              </w:rPr>
              <w:t>国家标准或国家</w:t>
            </w:r>
            <w:r>
              <w:rPr>
                <w:sz w:val="32"/>
                <w:szCs w:val="32"/>
              </w:rPr>
              <w:t>政府部门公布的相关数据；</w:t>
            </w:r>
          </w:p>
          <w:p>
            <w:pPr>
              <w:pStyle w:val="64"/>
              <w:rPr>
                <w:sz w:val="32"/>
                <w:szCs w:val="32"/>
              </w:rPr>
            </w:pPr>
            <w:r>
              <w:rPr>
                <w:sz w:val="32"/>
                <w:szCs w:val="32"/>
              </w:rPr>
              <w:t>3、国内外文献及行业报告。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数值</w:t>
            </w:r>
          </w:p>
        </w:tc>
        <w:tc>
          <w:tcPr>
            <w:tcW w:w="4072" w:type="pct"/>
            <w:vAlign w:val="center"/>
          </w:tcPr>
          <w:p>
            <w:pPr>
              <w:pStyle w:val="64"/>
              <w:rPr>
                <w:sz w:val="32"/>
                <w:szCs w:val="32"/>
              </w:rPr>
            </w:pPr>
            <w:r>
              <w:rPr>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数据用途</w:t>
            </w:r>
          </w:p>
        </w:tc>
        <w:tc>
          <w:tcPr>
            <w:tcW w:w="4072" w:type="pct"/>
            <w:vAlign w:val="center"/>
          </w:tcPr>
          <w:p>
            <w:pPr>
              <w:pStyle w:val="64"/>
              <w:rPr>
                <w:sz w:val="32"/>
                <w:szCs w:val="32"/>
              </w:rPr>
            </w:pPr>
            <w:r>
              <w:rPr>
                <w:sz w:val="32"/>
                <w:szCs w:val="32"/>
              </w:rPr>
              <w:t>用于计算第i种出行方式的单位里程碳排放因子</w:t>
            </w:r>
            <m:oMath>
              <m:r>
                <m:rPr/>
                <w:rPr>
                  <w:rFonts w:ascii="Cambria Math" w:hAnsi="Cambria Math"/>
                  <w:sz w:val="32"/>
                  <w:szCs w:val="32"/>
                </w:rPr>
                <m:t>E</m:t>
              </m:r>
              <m:sSub>
                <m:sSubPr>
                  <m:ctrlPr>
                    <w:rPr>
                      <w:rFonts w:ascii="Cambria Math" w:hAnsi="Cambria Math"/>
                      <w:i/>
                      <w:iCs/>
                      <w:sz w:val="32"/>
                      <w:szCs w:val="32"/>
                    </w:rPr>
                  </m:ctrlPr>
                </m:sSubPr>
                <m:e>
                  <m:r>
                    <m:rPr/>
                    <w:rPr>
                      <w:rFonts w:ascii="Cambria Math" w:hAnsi="Cambria Math"/>
                      <w:sz w:val="32"/>
                      <w:szCs w:val="32"/>
                    </w:rPr>
                    <m:t>F</m:t>
                  </m:r>
                  <m:ctrlPr>
                    <w:rPr>
                      <w:rFonts w:ascii="Cambria Math" w:hAnsi="Cambria Math"/>
                      <w:i/>
                      <w:iCs/>
                      <w:sz w:val="32"/>
                      <w:szCs w:val="32"/>
                    </w:rPr>
                  </m:ctrlPr>
                </m:e>
                <m:sub>
                  <m:r>
                    <m:rPr/>
                    <w:rPr>
                      <w:rFonts w:ascii="Cambria Math" w:hAnsi="Cambria Math"/>
                      <w:sz w:val="32"/>
                      <w:szCs w:val="32"/>
                    </w:rPr>
                    <m:t>km,i</m:t>
                  </m:r>
                  <m:ctrlPr>
                    <w:rPr>
                      <w:rFonts w:ascii="Cambria Math" w:hAnsi="Cambria Math"/>
                      <w:i/>
                      <w:iCs/>
                      <w:sz w:val="32"/>
                      <w:szCs w:val="32"/>
                    </w:rPr>
                  </m:ctrlPr>
                </m:sub>
              </m:sSub>
            </m:oMath>
          </w:p>
        </w:tc>
      </w:tr>
    </w:tbl>
    <w:p>
      <w:pPr>
        <w:keepNext/>
        <w:spacing w:before="120" w:after="120"/>
        <w:ind w:firstLine="0" w:firstLineChars="0"/>
        <w:jc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表</w:t>
      </w:r>
      <w:r>
        <w:rPr>
          <w:rFonts w:hint="eastAsia" w:eastAsia="黑体"/>
          <w:color w:val="000000" w:themeColor="text1"/>
          <w:sz w:val="32"/>
          <w:szCs w:val="32"/>
          <w14:textFill>
            <w14:solidFill>
              <w14:schemeClr w14:val="tx1"/>
            </w14:solidFill>
          </w14:textFill>
        </w:rPr>
        <w:t>3</w:t>
      </w:r>
      <w:r>
        <w:rPr>
          <w:rFonts w:eastAsia="黑体"/>
          <w:color w:val="000000" w:themeColor="text1"/>
          <w:sz w:val="32"/>
          <w:szCs w:val="32"/>
          <w14:textFill>
            <w14:solidFill>
              <w14:schemeClr w14:val="tx1"/>
            </w14:solidFill>
          </w14:textFill>
        </w:rPr>
        <w:t xml:space="preserve"> </w:t>
      </w:r>
      <m:oMath>
        <m:r>
          <m:rPr/>
          <w:rPr>
            <w:rFonts w:eastAsia="黑体"/>
            <w:color w:val="000000" w:themeColor="text1"/>
            <w:sz w:val="32"/>
            <w:szCs w:val="32"/>
            <w14:textFill>
              <w14:solidFill>
                <w14:schemeClr w14:val="tx1"/>
              </w14:solidFill>
            </w14:textFill>
          </w:rPr>
          <m:t>E</m:t>
        </m:r>
        <m:sSub>
          <m:sSubPr>
            <m:ctrlPr>
              <w:rPr>
                <w:rFonts w:ascii="Cambria Math" w:hAnsi="Cambria Math" w:eastAsia="黑体"/>
                <w:i/>
                <w:iCs/>
                <w:color w:val="000000" w:themeColor="text1"/>
                <w:sz w:val="32"/>
                <w:szCs w:val="32"/>
                <w14:textFill>
                  <w14:solidFill>
                    <w14:schemeClr w14:val="tx1"/>
                  </w14:solidFill>
                </w14:textFill>
              </w:rPr>
            </m:ctrlPr>
          </m:sSubPr>
          <m:e>
            <m:r>
              <m:rPr/>
              <w:rPr>
                <w:rFonts w:eastAsia="黑体"/>
                <w:color w:val="000000" w:themeColor="text1"/>
                <w:sz w:val="32"/>
                <w:szCs w:val="32"/>
                <w14:textFill>
                  <w14:solidFill>
                    <w14:schemeClr w14:val="tx1"/>
                  </w14:solidFill>
                </w14:textFill>
              </w:rPr>
              <m:t>F</m:t>
            </m:r>
            <m:ctrlPr>
              <w:rPr>
                <w:rFonts w:ascii="Cambria Math" w:hAnsi="Cambria Math" w:eastAsia="黑体"/>
                <w:i/>
                <w:iCs/>
                <w:color w:val="000000" w:themeColor="text1"/>
                <w:sz w:val="32"/>
                <w:szCs w:val="32"/>
                <w14:textFill>
                  <w14:solidFill>
                    <w14:schemeClr w14:val="tx1"/>
                  </w14:solidFill>
                </w14:textFill>
              </w:rPr>
            </m:ctrlPr>
          </m:e>
          <m:sub>
            <m:r>
              <m:rPr/>
              <w:rPr>
                <w:rFonts w:eastAsia="黑体"/>
                <w:color w:val="000000" w:themeColor="text1"/>
                <w:sz w:val="32"/>
                <w:szCs w:val="32"/>
                <w14:textFill>
                  <w14:solidFill>
                    <w14:schemeClr w14:val="tx1"/>
                  </w14:solidFill>
                </w14:textFill>
              </w:rPr>
              <m:t>j</m:t>
            </m:r>
            <m:ctrlPr>
              <w:rPr>
                <w:rFonts w:ascii="Cambria Math" w:hAnsi="Cambria Math" w:eastAsia="黑体"/>
                <w:i/>
                <w:iCs/>
                <w:color w:val="000000" w:themeColor="text1"/>
                <w:sz w:val="32"/>
                <w:szCs w:val="32"/>
                <w14:textFill>
                  <w14:solidFill>
                    <w14:schemeClr w14:val="tx1"/>
                  </w14:solidFill>
                </w14:textFill>
              </w:rPr>
            </m:ctrlPr>
          </m:sub>
        </m:sSub>
      </m:oMath>
      <w:r>
        <w:rPr>
          <w:rFonts w:eastAsia="黑体"/>
          <w:color w:val="000000" w:themeColor="text1"/>
          <w:sz w:val="32"/>
          <w:szCs w:val="32"/>
          <w14:textFill>
            <w14:solidFill>
              <w14:schemeClr w14:val="tx1"/>
            </w14:solidFill>
          </w14:textFill>
        </w:rPr>
        <w:t>的技术内容和确定方法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数据/参数</w:t>
            </w:r>
          </w:p>
        </w:tc>
        <w:tc>
          <w:tcPr>
            <w:tcW w:w="4072" w:type="pct"/>
            <w:vAlign w:val="center"/>
          </w:tcPr>
          <w:p>
            <w:pPr>
              <w:pStyle w:val="64"/>
              <w:rPr>
                <w:sz w:val="32"/>
                <w:szCs w:val="32"/>
              </w:rPr>
            </w:pPr>
            <m:oMathPara>
              <m:oMathParaPr>
                <m:jc m:val="left"/>
              </m:oMathParaPr>
              <m:oMath>
                <m:r>
                  <m:rPr/>
                  <w:rPr>
                    <w:rFonts w:eastAsia="黑体"/>
                    <w:color w:val="000000" w:themeColor="text1"/>
                    <w:sz w:val="32"/>
                    <w:szCs w:val="32"/>
                    <w14:textFill>
                      <w14:solidFill>
                        <w14:schemeClr w14:val="tx1"/>
                      </w14:solidFill>
                    </w14:textFill>
                  </w:rPr>
                  <m:t>E</m:t>
                </m:r>
                <m:sSub>
                  <m:sSubPr>
                    <m:ctrlPr>
                      <w:rPr>
                        <w:rFonts w:ascii="Cambria Math" w:hAnsi="Cambria Math" w:eastAsia="黑体"/>
                        <w:i/>
                        <w:color w:val="000000" w:themeColor="text1"/>
                        <w:sz w:val="32"/>
                        <w:szCs w:val="32"/>
                        <w14:textFill>
                          <w14:solidFill>
                            <w14:schemeClr w14:val="tx1"/>
                          </w14:solidFill>
                        </w14:textFill>
                      </w:rPr>
                    </m:ctrlPr>
                  </m:sSubPr>
                  <m:e>
                    <m:r>
                      <m:rPr/>
                      <w:rPr>
                        <w:rFonts w:eastAsia="黑体"/>
                        <w:color w:val="000000" w:themeColor="text1"/>
                        <w:sz w:val="32"/>
                        <w:szCs w:val="32"/>
                        <w14:textFill>
                          <w14:solidFill>
                            <w14:schemeClr w14:val="tx1"/>
                          </w14:solidFill>
                        </w14:textFill>
                      </w:rPr>
                      <m:t>F</m:t>
                    </m:r>
                    <m:ctrlPr>
                      <w:rPr>
                        <w:rFonts w:ascii="Cambria Math" w:hAnsi="Cambria Math" w:eastAsia="黑体"/>
                        <w:i/>
                        <w:color w:val="000000" w:themeColor="text1"/>
                        <w:sz w:val="32"/>
                        <w:szCs w:val="32"/>
                        <w14:textFill>
                          <w14:solidFill>
                            <w14:schemeClr w14:val="tx1"/>
                          </w14:solidFill>
                        </w14:textFill>
                      </w:rPr>
                    </m:ctrlPr>
                  </m:e>
                  <m:sub>
                    <m:r>
                      <m:rPr/>
                      <w:rPr>
                        <w:rFonts w:eastAsia="黑体"/>
                        <w:color w:val="000000" w:themeColor="text1"/>
                        <w:sz w:val="32"/>
                        <w:szCs w:val="32"/>
                        <w14:textFill>
                          <w14:solidFill>
                            <w14:schemeClr w14:val="tx1"/>
                          </w14:solidFill>
                        </w14:textFill>
                      </w:rPr>
                      <m:t>j</m:t>
                    </m:r>
                    <m:ctrlPr>
                      <w:rPr>
                        <w:rFonts w:ascii="Cambria Math" w:hAnsi="Cambria Math" w:eastAsia="黑体"/>
                        <w:i/>
                        <w:color w:val="000000" w:themeColor="text1"/>
                        <w:sz w:val="32"/>
                        <w:szCs w:val="32"/>
                        <w14:textFill>
                          <w14:solidFill>
                            <w14:schemeClr w14:val="tx1"/>
                          </w14:solidFill>
                        </w14:textFill>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应用的公式编号</w:t>
            </w:r>
          </w:p>
        </w:tc>
        <w:tc>
          <w:tcPr>
            <w:tcW w:w="4072" w:type="pct"/>
            <w:vAlign w:val="center"/>
          </w:tcPr>
          <w:p>
            <w:pPr>
              <w:pStyle w:val="64"/>
              <w:rPr>
                <w:sz w:val="32"/>
                <w:szCs w:val="32"/>
              </w:rPr>
            </w:pPr>
            <w:r>
              <w:rPr>
                <w:sz w:val="32"/>
                <w:szCs w:val="32"/>
              </w:rPr>
              <w:t>公式（1）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数据描述</w:t>
            </w:r>
          </w:p>
        </w:tc>
        <w:tc>
          <w:tcPr>
            <w:tcW w:w="4072" w:type="pct"/>
            <w:vAlign w:val="center"/>
          </w:tcPr>
          <w:p>
            <w:pPr>
              <w:pStyle w:val="64"/>
              <w:rPr>
                <w:sz w:val="32"/>
                <w:szCs w:val="32"/>
              </w:rPr>
            </w:pPr>
            <w:r>
              <w:rPr>
                <w:rFonts w:hint="eastAsia" w:cs="Times New Roman"/>
                <w:kern w:val="0"/>
                <w:sz w:val="32"/>
                <w:szCs w:val="32"/>
              </w:rPr>
              <w:t>第j类能源的碳排放因子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数据单位</w:t>
            </w:r>
          </w:p>
        </w:tc>
        <w:tc>
          <w:tcPr>
            <w:tcW w:w="4072" w:type="pct"/>
            <w:vAlign w:val="center"/>
          </w:tcPr>
          <w:p>
            <w:pPr>
              <w:pStyle w:val="64"/>
              <w:rPr>
                <w:sz w:val="32"/>
                <w:szCs w:val="32"/>
              </w:rPr>
            </w:pPr>
            <w:r>
              <w:rPr>
                <w:rFonts w:hint="eastAsia" w:cs="Times New Roman"/>
                <w:kern w:val="0"/>
                <w:sz w:val="32"/>
                <w:szCs w:val="32"/>
              </w:rPr>
              <w:t>kgCO</w:t>
            </w:r>
            <w:r>
              <w:rPr>
                <w:rFonts w:hint="eastAsia" w:cs="Times New Roman"/>
                <w:kern w:val="0"/>
                <w:sz w:val="32"/>
                <w:szCs w:val="32"/>
                <w:vertAlign w:val="subscript"/>
              </w:rPr>
              <w:t>2</w:t>
            </w:r>
            <w:r>
              <w:rPr>
                <w:rFonts w:hint="eastAsia" w:cs="Times New Roman"/>
                <w:kern w:val="0"/>
                <w:sz w:val="32"/>
                <w:szCs w:val="32"/>
              </w:rPr>
              <w:t>/kg、kgCO</w:t>
            </w:r>
            <w:r>
              <w:rPr>
                <w:rFonts w:hint="eastAsia" w:cs="Times New Roman"/>
                <w:kern w:val="0"/>
                <w:sz w:val="32"/>
                <w:szCs w:val="32"/>
                <w:vertAlign w:val="subscript"/>
              </w:rPr>
              <w:t>2</w:t>
            </w:r>
            <w:r>
              <w:rPr>
                <w:rFonts w:hint="eastAsia" w:cs="Times New Roman"/>
                <w:kern w:val="0"/>
                <w:sz w:val="32"/>
                <w:szCs w:val="32"/>
              </w:rPr>
              <w:t>/kWh、kgCO</w:t>
            </w:r>
            <w:r>
              <w:rPr>
                <w:rFonts w:hint="eastAsia" w:cs="Times New Roman"/>
                <w:kern w:val="0"/>
                <w:sz w:val="32"/>
                <w:szCs w:val="32"/>
                <w:vertAlign w:val="subscript"/>
              </w:rPr>
              <w:t>2</w:t>
            </w:r>
            <w:r>
              <w:rPr>
                <w:rFonts w:hint="eastAsia" w:cs="Times New Roman"/>
                <w:kern w:val="0"/>
                <w:sz w:val="32"/>
                <w:szCs w:val="32"/>
              </w:rPr>
              <w:t>/Nm</w:t>
            </w:r>
            <w:r>
              <w:rPr>
                <w:rFonts w:hint="eastAsia" w:cs="Times New Roman"/>
                <w:kern w:val="0"/>
                <w:sz w:val="32"/>
                <w:szCs w:val="32"/>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927" w:type="pct"/>
            <w:vAlign w:val="center"/>
          </w:tcPr>
          <w:p>
            <w:pPr>
              <w:pStyle w:val="64"/>
              <w:rPr>
                <w:sz w:val="32"/>
                <w:szCs w:val="32"/>
              </w:rPr>
            </w:pPr>
            <w:r>
              <w:rPr>
                <w:sz w:val="32"/>
                <w:szCs w:val="32"/>
              </w:rPr>
              <w:t>数据来源</w:t>
            </w:r>
          </w:p>
        </w:tc>
        <w:tc>
          <w:tcPr>
            <w:tcW w:w="4072" w:type="pct"/>
            <w:vAlign w:val="center"/>
          </w:tcPr>
          <w:p>
            <w:pPr>
              <w:pStyle w:val="64"/>
              <w:numPr>
                <w:ilvl w:val="255"/>
                <w:numId w:val="0"/>
              </w:numPr>
              <w:rPr>
                <w:sz w:val="32"/>
                <w:szCs w:val="32"/>
              </w:rPr>
            </w:pPr>
            <w:r>
              <w:rPr>
                <w:rFonts w:hint="eastAsia"/>
                <w:sz w:val="32"/>
                <w:szCs w:val="32"/>
              </w:rPr>
              <w:t>化石燃料的</w:t>
            </w:r>
            <w:r>
              <w:rPr>
                <w:rFonts w:hint="eastAsia" w:cs="Times New Roman"/>
                <w:kern w:val="0"/>
                <w:sz w:val="32"/>
                <w:szCs w:val="32"/>
              </w:rPr>
              <w:t>碳排放因子</w:t>
            </w:r>
            <w:r>
              <w:rPr>
                <w:rFonts w:hint="eastAsia"/>
                <w:sz w:val="32"/>
                <w:szCs w:val="32"/>
              </w:rPr>
              <w:t>基于</w:t>
            </w:r>
            <w:r>
              <w:rPr>
                <w:sz w:val="32"/>
                <w:szCs w:val="32"/>
              </w:rPr>
              <w:t>《陆上交通运输企业温室气体核算方法与报告指南》</w:t>
            </w:r>
            <w:r>
              <w:rPr>
                <w:rFonts w:hint="eastAsia"/>
                <w:sz w:val="32"/>
                <w:szCs w:val="32"/>
              </w:rPr>
              <w:t>计算；</w:t>
            </w:r>
          </w:p>
          <w:p>
            <w:pPr>
              <w:pStyle w:val="64"/>
              <w:numPr>
                <w:ilvl w:val="255"/>
                <w:numId w:val="0"/>
              </w:numPr>
              <w:rPr>
                <w:sz w:val="32"/>
                <w:szCs w:val="32"/>
              </w:rPr>
            </w:pPr>
            <w:r>
              <w:rPr>
                <w:rFonts w:hint="eastAsia"/>
                <w:sz w:val="32"/>
                <w:szCs w:val="32"/>
              </w:rPr>
              <w:t>电力二氧化碳排放因子取生态环境部发布的湖北省级电力平均二氧化碳排放因子。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927" w:type="pct"/>
            <w:vAlign w:val="center"/>
          </w:tcPr>
          <w:p>
            <w:pPr>
              <w:pStyle w:val="64"/>
              <w:rPr>
                <w:sz w:val="32"/>
                <w:szCs w:val="32"/>
              </w:rPr>
            </w:pPr>
            <w:r>
              <w:rPr>
                <w:sz w:val="32"/>
                <w:szCs w:val="32"/>
              </w:rPr>
              <w:t>数值</w:t>
            </w:r>
          </w:p>
        </w:tc>
        <w:tc>
          <w:tcPr>
            <w:tcW w:w="4072" w:type="pct"/>
            <w:vAlign w:val="center"/>
          </w:tcPr>
          <w:p>
            <w:pPr>
              <w:pStyle w:val="64"/>
              <w:rPr>
                <w:sz w:val="32"/>
                <w:szCs w:val="32"/>
              </w:rPr>
            </w:pPr>
            <w:r>
              <w:rPr>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数据用途</w:t>
            </w:r>
          </w:p>
        </w:tc>
        <w:tc>
          <w:tcPr>
            <w:tcW w:w="4072" w:type="pct"/>
            <w:vAlign w:val="center"/>
          </w:tcPr>
          <w:p>
            <w:pPr>
              <w:pStyle w:val="64"/>
              <w:rPr>
                <w:sz w:val="32"/>
                <w:szCs w:val="32"/>
              </w:rPr>
            </w:pPr>
            <w:r>
              <w:rPr>
                <w:sz w:val="32"/>
                <w:szCs w:val="32"/>
              </w:rPr>
              <w:t>用于计算第i种出行方式的单位里程碳排放因子</w:t>
            </w:r>
            <m:oMath>
              <m:r>
                <m:rPr/>
                <w:rPr>
                  <w:rFonts w:ascii="Cambria Math" w:hAnsi="Cambria Math"/>
                  <w:sz w:val="32"/>
                  <w:szCs w:val="32"/>
                </w:rPr>
                <m:t>E</m:t>
              </m:r>
              <m:sSub>
                <m:sSubPr>
                  <m:ctrlPr>
                    <w:rPr>
                      <w:rFonts w:ascii="Cambria Math" w:hAnsi="Cambria Math"/>
                      <w:i/>
                      <w:iCs/>
                      <w:sz w:val="32"/>
                      <w:szCs w:val="32"/>
                    </w:rPr>
                  </m:ctrlPr>
                </m:sSubPr>
                <m:e>
                  <m:r>
                    <m:rPr/>
                    <w:rPr>
                      <w:rFonts w:ascii="Cambria Math" w:hAnsi="Cambria Math"/>
                      <w:sz w:val="32"/>
                      <w:szCs w:val="32"/>
                    </w:rPr>
                    <m:t>F</m:t>
                  </m:r>
                  <m:ctrlPr>
                    <w:rPr>
                      <w:rFonts w:ascii="Cambria Math" w:hAnsi="Cambria Math"/>
                      <w:i/>
                      <w:iCs/>
                      <w:sz w:val="32"/>
                      <w:szCs w:val="32"/>
                    </w:rPr>
                  </m:ctrlPr>
                </m:e>
                <m:sub>
                  <m:r>
                    <m:rPr/>
                    <w:rPr>
                      <w:rFonts w:ascii="Cambria Math" w:hAnsi="Cambria Math"/>
                      <w:sz w:val="32"/>
                      <w:szCs w:val="32"/>
                    </w:rPr>
                    <m:t>km,i</m:t>
                  </m:r>
                  <m:ctrlPr>
                    <w:rPr>
                      <w:rFonts w:ascii="Cambria Math" w:hAnsi="Cambria Math"/>
                      <w:i/>
                      <w:iCs/>
                      <w:sz w:val="32"/>
                      <w:szCs w:val="32"/>
                    </w:rPr>
                  </m:ctrlPr>
                </m:sub>
              </m:sSub>
            </m:oMath>
          </w:p>
        </w:tc>
      </w:tr>
    </w:tbl>
    <w:p>
      <w:pPr>
        <w:keepNext/>
        <w:spacing w:before="120" w:after="120"/>
        <w:ind w:firstLine="0" w:firstLineChars="0"/>
        <w:jc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表</w:t>
      </w:r>
      <w:r>
        <w:rPr>
          <w:rFonts w:hint="eastAsia" w:eastAsia="黑体"/>
          <w:color w:val="000000" w:themeColor="text1"/>
          <w:sz w:val="32"/>
          <w:szCs w:val="32"/>
          <w14:textFill>
            <w14:solidFill>
              <w14:schemeClr w14:val="tx1"/>
            </w14:solidFill>
          </w14:textFill>
        </w:rPr>
        <w:t xml:space="preserve">4 </w:t>
      </w:r>
      <m:oMath>
        <m:sSub>
          <m:sSubPr>
            <m:ctrlPr>
              <w:rPr>
                <w:rFonts w:ascii="Cambria Math" w:hAnsi="Cambria Math" w:cs="Times New Roman"/>
                <w:i/>
                <w:sz w:val="32"/>
                <w:szCs w:val="32"/>
              </w:rPr>
            </m:ctrlPr>
          </m:sSubPr>
          <m:e>
            <m:r>
              <m:rPr/>
              <w:rPr>
                <w:rFonts w:ascii="Cambria Math" w:cs="Times New Roman"/>
                <w:sz w:val="32"/>
                <w:szCs w:val="32"/>
              </w:rPr>
              <m:t>N</m:t>
            </m:r>
            <m:ctrlPr>
              <w:rPr>
                <w:rFonts w:ascii="Cambria Math" w:hAnsi="Cambria Math" w:cs="Times New Roman"/>
                <w:i/>
                <w:sz w:val="32"/>
                <w:szCs w:val="32"/>
              </w:rPr>
            </m:ctrlPr>
          </m:e>
          <m:sub>
            <m:r>
              <m:rPr/>
              <w:rPr>
                <w:rFonts w:ascii="Cambria Math" w:cs="Times New Roman"/>
                <w:sz w:val="32"/>
                <w:szCs w:val="32"/>
              </w:rPr>
              <m:t>i,j</m:t>
            </m:r>
            <m:ctrlPr>
              <w:rPr>
                <w:rFonts w:ascii="Cambria Math" w:hAnsi="Cambria Math" w:cs="Times New Roman"/>
                <w:i/>
                <w:sz w:val="32"/>
                <w:szCs w:val="32"/>
              </w:rPr>
            </m:ctrlPr>
          </m:sub>
        </m:sSub>
      </m:oMath>
      <w:r>
        <w:rPr>
          <w:rFonts w:eastAsia="黑体"/>
          <w:color w:val="000000" w:themeColor="text1"/>
          <w:sz w:val="32"/>
          <w:szCs w:val="32"/>
          <w14:textFill>
            <w14:solidFill>
              <w14:schemeClr w14:val="tx1"/>
            </w14:solidFill>
          </w14:textFill>
        </w:rPr>
        <w:t>的技术内容和确定方法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数据/参数</w:t>
            </w:r>
          </w:p>
        </w:tc>
        <w:tc>
          <w:tcPr>
            <w:tcW w:w="4072" w:type="pct"/>
            <w:vAlign w:val="center"/>
          </w:tcPr>
          <w:p>
            <w:pPr>
              <w:pStyle w:val="64"/>
              <w:jc w:val="both"/>
              <w:rPr>
                <w:sz w:val="32"/>
                <w:szCs w:val="32"/>
              </w:rPr>
            </w:pPr>
            <m:oMathPara>
              <m:oMathParaPr>
                <m:jc m:val="left"/>
              </m:oMathParaPr>
              <m:oMath>
                <m:sSub>
                  <m:sSubPr>
                    <m:ctrlPr>
                      <w:rPr>
                        <w:rFonts w:ascii="Cambria Math" w:hAnsi="Cambria Math" w:cs="Times New Roman"/>
                        <w:i/>
                        <w:sz w:val="32"/>
                        <w:szCs w:val="32"/>
                      </w:rPr>
                    </m:ctrlPr>
                  </m:sSubPr>
                  <m:e>
                    <m:r>
                      <m:rPr/>
                      <w:rPr>
                        <w:rFonts w:ascii="Cambria Math" w:hAnsi="Cambria Math" w:cs="Times New Roman"/>
                        <w:sz w:val="32"/>
                        <w:szCs w:val="32"/>
                      </w:rPr>
                      <m:t>N</m:t>
                    </m:r>
                    <m:ctrlPr>
                      <w:rPr>
                        <w:rFonts w:ascii="Cambria Math" w:hAnsi="Cambria Math" w:cs="Times New Roman"/>
                        <w:i/>
                        <w:sz w:val="32"/>
                        <w:szCs w:val="32"/>
                      </w:rPr>
                    </m:ctrlPr>
                  </m:e>
                  <m:sub>
                    <m:r>
                      <m:rPr/>
                      <w:rPr>
                        <w:rFonts w:ascii="Cambria Math" w:hAnsi="Cambria Math" w:cs="Times New Roman"/>
                        <w:sz w:val="32"/>
                        <w:szCs w:val="32"/>
                      </w:rPr>
                      <m:t>i,j</m:t>
                    </m:r>
                    <m:ctrlPr>
                      <w:rPr>
                        <w:rFonts w:ascii="Cambria Math" w:hAnsi="Cambria Math" w:cs="Times New Roman"/>
                        <w:i/>
                        <w:sz w:val="32"/>
                        <w:szCs w:val="32"/>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7" w:type="pct"/>
            <w:vAlign w:val="center"/>
          </w:tcPr>
          <w:p>
            <w:pPr>
              <w:pStyle w:val="64"/>
              <w:rPr>
                <w:sz w:val="32"/>
                <w:szCs w:val="32"/>
              </w:rPr>
            </w:pPr>
            <w:r>
              <w:rPr>
                <w:sz w:val="32"/>
                <w:szCs w:val="32"/>
              </w:rPr>
              <w:t>应用的公式编号</w:t>
            </w:r>
          </w:p>
        </w:tc>
        <w:tc>
          <w:tcPr>
            <w:tcW w:w="4072" w:type="pct"/>
            <w:vAlign w:val="center"/>
          </w:tcPr>
          <w:p>
            <w:pPr>
              <w:pStyle w:val="64"/>
              <w:jc w:val="both"/>
              <w:rPr>
                <w:sz w:val="32"/>
                <w:szCs w:val="32"/>
              </w:rPr>
            </w:pPr>
            <w:r>
              <w:rPr>
                <w:sz w:val="32"/>
                <w:szCs w:val="32"/>
              </w:rPr>
              <w:t>公式（1）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数据描述</w:t>
            </w:r>
          </w:p>
        </w:tc>
        <w:tc>
          <w:tcPr>
            <w:tcW w:w="4072" w:type="pct"/>
            <w:vAlign w:val="center"/>
          </w:tcPr>
          <w:p>
            <w:pPr>
              <w:pStyle w:val="64"/>
              <w:jc w:val="both"/>
              <w:rPr>
                <w:sz w:val="32"/>
                <w:szCs w:val="32"/>
              </w:rPr>
            </w:pPr>
            <w:r>
              <w:rPr>
                <w:rFonts w:hint="eastAsia" w:cs="Times New Roman"/>
                <w:kern w:val="0"/>
                <w:sz w:val="32"/>
                <w:szCs w:val="32"/>
              </w:rPr>
              <w:t>第i种出行方式使用第j类能源的行驶总里程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数据单位</w:t>
            </w:r>
          </w:p>
        </w:tc>
        <w:tc>
          <w:tcPr>
            <w:tcW w:w="4072" w:type="pct"/>
            <w:vAlign w:val="center"/>
          </w:tcPr>
          <w:p>
            <w:pPr>
              <w:pStyle w:val="64"/>
              <w:jc w:val="both"/>
              <w:rPr>
                <w:sz w:val="32"/>
                <w:szCs w:val="32"/>
              </w:rPr>
            </w:pPr>
            <w:r>
              <w:rPr>
                <w:rFonts w:hint="eastAsia"/>
                <w:sz w:val="32"/>
                <w:szCs w:val="32"/>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数据来源</w:t>
            </w:r>
          </w:p>
        </w:tc>
        <w:tc>
          <w:tcPr>
            <w:tcW w:w="4072" w:type="pct"/>
            <w:vAlign w:val="center"/>
          </w:tcPr>
          <w:p>
            <w:pPr>
              <w:pStyle w:val="64"/>
              <w:jc w:val="both"/>
              <w:rPr>
                <w:sz w:val="32"/>
                <w:szCs w:val="32"/>
              </w:rPr>
            </w:pPr>
            <w:r>
              <w:rPr>
                <w:sz w:val="32"/>
                <w:szCs w:val="32"/>
              </w:rPr>
              <w:t>地方</w:t>
            </w:r>
            <w:r>
              <w:rPr>
                <w:rFonts w:hint="eastAsia"/>
                <w:sz w:val="32"/>
                <w:szCs w:val="32"/>
              </w:rPr>
              <w:t>交通部门或交通运营公司调查统计数据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数值</w:t>
            </w:r>
          </w:p>
        </w:tc>
        <w:tc>
          <w:tcPr>
            <w:tcW w:w="4072" w:type="pct"/>
            <w:vAlign w:val="center"/>
          </w:tcPr>
          <w:p>
            <w:pPr>
              <w:pStyle w:val="64"/>
              <w:jc w:val="both"/>
              <w:rPr>
                <w:sz w:val="32"/>
                <w:szCs w:val="32"/>
              </w:rPr>
            </w:pPr>
            <w:r>
              <w:rPr>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数据用途</w:t>
            </w:r>
          </w:p>
        </w:tc>
        <w:tc>
          <w:tcPr>
            <w:tcW w:w="4072" w:type="pct"/>
            <w:vAlign w:val="center"/>
          </w:tcPr>
          <w:p>
            <w:pPr>
              <w:pStyle w:val="64"/>
              <w:jc w:val="both"/>
              <w:rPr>
                <w:sz w:val="32"/>
                <w:szCs w:val="32"/>
              </w:rPr>
            </w:pPr>
            <w:r>
              <w:rPr>
                <w:sz w:val="32"/>
                <w:szCs w:val="32"/>
              </w:rPr>
              <w:t>用于计算第i种出行方式的单位里程碳排放因子</w:t>
            </w:r>
            <m:oMath>
              <m:r>
                <m:rPr/>
                <w:rPr>
                  <w:rFonts w:ascii="Cambria Math" w:hAnsi="Cambria Math"/>
                  <w:sz w:val="32"/>
                  <w:szCs w:val="32"/>
                </w:rPr>
                <m:t>E</m:t>
              </m:r>
              <m:sSub>
                <m:sSubPr>
                  <m:ctrlPr>
                    <w:rPr>
                      <w:rFonts w:ascii="Cambria Math" w:hAnsi="Cambria Math"/>
                      <w:i/>
                      <w:iCs/>
                      <w:sz w:val="32"/>
                      <w:szCs w:val="32"/>
                    </w:rPr>
                  </m:ctrlPr>
                </m:sSubPr>
                <m:e>
                  <m:r>
                    <m:rPr/>
                    <w:rPr>
                      <w:rFonts w:ascii="Cambria Math" w:hAnsi="Cambria Math"/>
                      <w:sz w:val="32"/>
                      <w:szCs w:val="32"/>
                    </w:rPr>
                    <m:t>F</m:t>
                  </m:r>
                  <m:ctrlPr>
                    <w:rPr>
                      <w:rFonts w:ascii="Cambria Math" w:hAnsi="Cambria Math"/>
                      <w:i/>
                      <w:iCs/>
                      <w:sz w:val="32"/>
                      <w:szCs w:val="32"/>
                    </w:rPr>
                  </m:ctrlPr>
                </m:e>
                <m:sub>
                  <m:r>
                    <m:rPr/>
                    <w:rPr>
                      <w:rFonts w:ascii="Cambria Math" w:hAnsi="Cambria Math"/>
                      <w:sz w:val="32"/>
                      <w:szCs w:val="32"/>
                    </w:rPr>
                    <m:t>km,i</m:t>
                  </m:r>
                  <m:ctrlPr>
                    <w:rPr>
                      <w:rFonts w:ascii="Cambria Math" w:hAnsi="Cambria Math"/>
                      <w:i/>
                      <w:iCs/>
                      <w:sz w:val="32"/>
                      <w:szCs w:val="32"/>
                    </w:rPr>
                  </m:ctrlPr>
                </m:sub>
              </m:sSub>
            </m:oMath>
          </w:p>
        </w:tc>
      </w:tr>
    </w:tbl>
    <w:p>
      <w:pPr>
        <w:keepNext/>
        <w:spacing w:before="120" w:after="120"/>
        <w:ind w:firstLine="0" w:firstLineChars="0"/>
        <w:jc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表</w:t>
      </w:r>
      <w:r>
        <w:rPr>
          <w:rFonts w:hint="eastAsia" w:eastAsia="黑体"/>
          <w:color w:val="000000" w:themeColor="text1"/>
          <w:sz w:val="32"/>
          <w:szCs w:val="32"/>
          <w14:textFill>
            <w14:solidFill>
              <w14:schemeClr w14:val="tx1"/>
            </w14:solidFill>
          </w14:textFill>
        </w:rPr>
        <w:t xml:space="preserve">5 </w:t>
      </w:r>
      <m:oMath>
        <m:sSub>
          <m:sSubPr>
            <m:ctrlPr>
              <w:rPr>
                <w:rFonts w:ascii="Cambria Math" w:hAnsi="Cambria Math" w:cs="Times New Roman"/>
                <w:i/>
                <w:sz w:val="32"/>
                <w:szCs w:val="32"/>
              </w:rPr>
            </m:ctrlPr>
          </m:sSubPr>
          <m:e>
            <m:r>
              <m:rPr/>
              <w:rPr>
                <w:rFonts w:ascii="Cambria Math" w:cs="Times New Roman"/>
                <w:sz w:val="32"/>
                <w:szCs w:val="32"/>
              </w:rPr>
              <m:t>N</m:t>
            </m:r>
            <m:ctrlPr>
              <w:rPr>
                <w:rFonts w:ascii="Cambria Math" w:hAnsi="Cambria Math" w:cs="Times New Roman"/>
                <w:i/>
                <w:sz w:val="32"/>
                <w:szCs w:val="32"/>
              </w:rPr>
            </m:ctrlPr>
          </m:e>
          <m:sub>
            <m:r>
              <m:rPr/>
              <w:rPr>
                <w:rFonts w:ascii="Cambria Math" w:cs="Times New Roman"/>
                <w:sz w:val="32"/>
                <w:szCs w:val="32"/>
              </w:rPr>
              <m:t>i</m:t>
            </m:r>
            <m:ctrlPr>
              <w:rPr>
                <w:rFonts w:ascii="Cambria Math" w:hAnsi="Cambria Math" w:cs="Times New Roman"/>
                <w:i/>
                <w:sz w:val="32"/>
                <w:szCs w:val="32"/>
              </w:rPr>
            </m:ctrlPr>
          </m:sub>
        </m:sSub>
      </m:oMath>
      <w:r>
        <w:rPr>
          <w:rFonts w:eastAsia="黑体"/>
          <w:color w:val="000000" w:themeColor="text1"/>
          <w:sz w:val="32"/>
          <w:szCs w:val="32"/>
          <w14:textFill>
            <w14:solidFill>
              <w14:schemeClr w14:val="tx1"/>
            </w14:solidFill>
          </w14:textFill>
        </w:rPr>
        <w:t>的技术内容和确定方法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数据/参数</w:t>
            </w:r>
          </w:p>
        </w:tc>
        <w:tc>
          <w:tcPr>
            <w:tcW w:w="4072" w:type="pct"/>
            <w:vAlign w:val="center"/>
          </w:tcPr>
          <w:p>
            <w:pPr>
              <w:pStyle w:val="64"/>
              <w:jc w:val="both"/>
              <w:rPr>
                <w:sz w:val="32"/>
                <w:szCs w:val="32"/>
              </w:rPr>
            </w:pPr>
            <m:oMathPara>
              <m:oMathParaPr>
                <m:jc m:val="left"/>
              </m:oMathParaPr>
              <m:oMath>
                <m:sSub>
                  <m:sSubPr>
                    <m:ctrlPr>
                      <w:rPr>
                        <w:rFonts w:ascii="Cambria Math" w:hAnsi="Cambria Math" w:cs="Times New Roman"/>
                        <w:i/>
                        <w:sz w:val="32"/>
                        <w:szCs w:val="32"/>
                      </w:rPr>
                    </m:ctrlPr>
                  </m:sSubPr>
                  <m:e>
                    <m:r>
                      <m:rPr/>
                      <w:rPr>
                        <w:rFonts w:ascii="Cambria Math" w:cs="Times New Roman"/>
                        <w:sz w:val="32"/>
                        <w:szCs w:val="32"/>
                      </w:rPr>
                      <m:t>N</m:t>
                    </m:r>
                    <m:ctrlPr>
                      <w:rPr>
                        <w:rFonts w:ascii="Cambria Math" w:hAnsi="Cambria Math" w:cs="Times New Roman"/>
                        <w:i/>
                        <w:sz w:val="32"/>
                        <w:szCs w:val="32"/>
                      </w:rPr>
                    </m:ctrlPr>
                  </m:e>
                  <m:sub>
                    <m:r>
                      <m:rPr/>
                      <w:rPr>
                        <w:rFonts w:ascii="Cambria Math" w:cs="Times New Roman"/>
                        <w:sz w:val="32"/>
                        <w:szCs w:val="32"/>
                      </w:rPr>
                      <m:t>i</m:t>
                    </m:r>
                    <m:ctrlPr>
                      <w:rPr>
                        <w:rFonts w:ascii="Cambria Math" w:hAnsi="Cambria Math" w:cs="Times New Roman"/>
                        <w:i/>
                        <w:sz w:val="32"/>
                        <w:szCs w:val="32"/>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应用的公式编号</w:t>
            </w:r>
          </w:p>
        </w:tc>
        <w:tc>
          <w:tcPr>
            <w:tcW w:w="4072" w:type="pct"/>
            <w:vAlign w:val="center"/>
          </w:tcPr>
          <w:p>
            <w:pPr>
              <w:pStyle w:val="64"/>
              <w:jc w:val="both"/>
              <w:rPr>
                <w:sz w:val="32"/>
                <w:szCs w:val="32"/>
              </w:rPr>
            </w:pPr>
            <w:r>
              <w:rPr>
                <w:sz w:val="32"/>
                <w:szCs w:val="32"/>
              </w:rPr>
              <w:t>公式（1）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数据描述</w:t>
            </w:r>
          </w:p>
        </w:tc>
        <w:tc>
          <w:tcPr>
            <w:tcW w:w="4072" w:type="pct"/>
            <w:vAlign w:val="center"/>
          </w:tcPr>
          <w:p>
            <w:pPr>
              <w:pStyle w:val="64"/>
              <w:jc w:val="both"/>
              <w:rPr>
                <w:sz w:val="32"/>
                <w:szCs w:val="32"/>
              </w:rPr>
            </w:pPr>
            <w:r>
              <w:rPr>
                <w:rFonts w:hint="eastAsia" w:cs="Times New Roman"/>
                <w:kern w:val="0"/>
                <w:sz w:val="32"/>
                <w:szCs w:val="32"/>
              </w:rPr>
              <w:t>第i种</w:t>
            </w:r>
            <w:r>
              <w:rPr>
                <w:rFonts w:cs="Times New Roman"/>
                <w:kern w:val="0"/>
                <w:sz w:val="32"/>
                <w:szCs w:val="32"/>
              </w:rPr>
              <w:t>出行方式</w:t>
            </w:r>
            <w:r>
              <w:rPr>
                <w:rFonts w:hint="eastAsia" w:cs="Times New Roman"/>
                <w:kern w:val="0"/>
                <w:sz w:val="32"/>
                <w:szCs w:val="32"/>
              </w:rPr>
              <w:t>的行驶</w:t>
            </w:r>
            <w:r>
              <w:rPr>
                <w:rFonts w:cs="Times New Roman"/>
                <w:kern w:val="0"/>
                <w:sz w:val="32"/>
                <w:szCs w:val="32"/>
              </w:rPr>
              <w:t>总里程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数据单位</w:t>
            </w:r>
          </w:p>
        </w:tc>
        <w:tc>
          <w:tcPr>
            <w:tcW w:w="4072" w:type="pct"/>
            <w:vAlign w:val="center"/>
          </w:tcPr>
          <w:p>
            <w:pPr>
              <w:pStyle w:val="64"/>
              <w:jc w:val="both"/>
              <w:rPr>
                <w:sz w:val="32"/>
                <w:szCs w:val="32"/>
              </w:rPr>
            </w:pPr>
            <w:r>
              <w:rPr>
                <w:rFonts w:hint="eastAsia"/>
                <w:sz w:val="32"/>
                <w:szCs w:val="32"/>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数据来源</w:t>
            </w:r>
          </w:p>
        </w:tc>
        <w:tc>
          <w:tcPr>
            <w:tcW w:w="4072" w:type="pct"/>
            <w:vAlign w:val="center"/>
          </w:tcPr>
          <w:p>
            <w:pPr>
              <w:pStyle w:val="64"/>
              <w:jc w:val="both"/>
              <w:rPr>
                <w:sz w:val="32"/>
                <w:szCs w:val="32"/>
              </w:rPr>
            </w:pPr>
            <w:r>
              <w:rPr>
                <w:sz w:val="32"/>
                <w:szCs w:val="32"/>
              </w:rPr>
              <w:t>地方</w:t>
            </w:r>
            <w:r>
              <w:rPr>
                <w:rFonts w:hint="eastAsia"/>
                <w:sz w:val="32"/>
                <w:szCs w:val="32"/>
              </w:rPr>
              <w:t>交通部门或交通运营公司调查统计数据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数值</w:t>
            </w:r>
          </w:p>
        </w:tc>
        <w:tc>
          <w:tcPr>
            <w:tcW w:w="4072" w:type="pct"/>
            <w:vAlign w:val="center"/>
          </w:tcPr>
          <w:p>
            <w:pPr>
              <w:pStyle w:val="64"/>
              <w:jc w:val="both"/>
              <w:rPr>
                <w:sz w:val="32"/>
                <w:szCs w:val="32"/>
              </w:rPr>
            </w:pPr>
            <w:r>
              <w:rPr>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数据用途</w:t>
            </w:r>
          </w:p>
        </w:tc>
        <w:tc>
          <w:tcPr>
            <w:tcW w:w="4072" w:type="pct"/>
            <w:vAlign w:val="center"/>
          </w:tcPr>
          <w:p>
            <w:pPr>
              <w:pStyle w:val="64"/>
              <w:jc w:val="both"/>
              <w:rPr>
                <w:sz w:val="32"/>
                <w:szCs w:val="32"/>
              </w:rPr>
            </w:pPr>
            <w:r>
              <w:rPr>
                <w:sz w:val="32"/>
                <w:szCs w:val="32"/>
              </w:rPr>
              <w:t>用于计算第i种出行方式的单位里程碳排放因子</w:t>
            </w:r>
            <m:oMath>
              <m:r>
                <m:rPr/>
                <w:rPr>
                  <w:rFonts w:ascii="Cambria Math" w:hAnsi="Cambria Math"/>
                  <w:sz w:val="32"/>
                  <w:szCs w:val="32"/>
                </w:rPr>
                <m:t>E</m:t>
              </m:r>
              <m:sSub>
                <m:sSubPr>
                  <m:ctrlPr>
                    <w:rPr>
                      <w:rFonts w:ascii="Cambria Math" w:hAnsi="Cambria Math"/>
                      <w:i/>
                      <w:iCs/>
                      <w:sz w:val="32"/>
                      <w:szCs w:val="32"/>
                    </w:rPr>
                  </m:ctrlPr>
                </m:sSubPr>
                <m:e>
                  <m:r>
                    <m:rPr/>
                    <w:rPr>
                      <w:rFonts w:ascii="Cambria Math" w:hAnsi="Cambria Math"/>
                      <w:sz w:val="32"/>
                      <w:szCs w:val="32"/>
                    </w:rPr>
                    <m:t>F</m:t>
                  </m:r>
                  <m:ctrlPr>
                    <w:rPr>
                      <w:rFonts w:ascii="Cambria Math" w:hAnsi="Cambria Math"/>
                      <w:i/>
                      <w:iCs/>
                      <w:sz w:val="32"/>
                      <w:szCs w:val="32"/>
                    </w:rPr>
                  </m:ctrlPr>
                </m:e>
                <m:sub>
                  <m:r>
                    <m:rPr/>
                    <w:rPr>
                      <w:rFonts w:ascii="Cambria Math" w:hAnsi="Cambria Math"/>
                      <w:sz w:val="32"/>
                      <w:szCs w:val="32"/>
                    </w:rPr>
                    <m:t>km,i</m:t>
                  </m:r>
                  <m:ctrlPr>
                    <w:rPr>
                      <w:rFonts w:ascii="Cambria Math" w:hAnsi="Cambria Math"/>
                      <w:i/>
                      <w:iCs/>
                      <w:sz w:val="32"/>
                      <w:szCs w:val="32"/>
                    </w:rPr>
                  </m:ctrlPr>
                </m:sub>
              </m:sSub>
            </m:oMath>
          </w:p>
        </w:tc>
      </w:tr>
    </w:tbl>
    <w:p>
      <w:pPr>
        <w:keepNext/>
        <w:spacing w:before="120" w:after="120"/>
        <w:ind w:firstLine="0" w:firstLineChars="0"/>
        <w:jc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表</w:t>
      </w:r>
      <w:r>
        <w:rPr>
          <w:rFonts w:hint="eastAsia" w:eastAsia="黑体"/>
          <w:color w:val="000000" w:themeColor="text1"/>
          <w:sz w:val="32"/>
          <w:szCs w:val="32"/>
          <w14:textFill>
            <w14:solidFill>
              <w14:schemeClr w14:val="tx1"/>
            </w14:solidFill>
          </w14:textFill>
        </w:rPr>
        <w:t xml:space="preserve">6 </w:t>
      </w:r>
      <m:oMath>
        <m:sSub>
          <m:sSubPr>
            <m:ctrlPr>
              <w:rPr>
                <w:rFonts w:ascii="Cambria Math" w:hAnsi="Cambria Math" w:cs="Times New Roman"/>
                <w:i/>
                <w:iCs/>
                <w:sz w:val="32"/>
                <w:szCs w:val="32"/>
              </w:rPr>
            </m:ctrlPr>
          </m:sSubPr>
          <m:e>
            <m:r>
              <m:rPr/>
              <w:rPr>
                <w:rFonts w:ascii="Cambria Math" w:cs="Times New Roman"/>
                <w:sz w:val="32"/>
                <w:szCs w:val="32"/>
              </w:rPr>
              <m:t>P</m:t>
            </m:r>
            <m:ctrlPr>
              <w:rPr>
                <w:rFonts w:ascii="Cambria Math" w:hAnsi="Cambria Math" w:cs="Times New Roman"/>
                <w:i/>
                <w:iCs/>
                <w:sz w:val="32"/>
                <w:szCs w:val="32"/>
              </w:rPr>
            </m:ctrlPr>
          </m:e>
          <m:sub>
            <m:r>
              <m:rPr/>
              <w:rPr>
                <w:rFonts w:ascii="Cambria Math" w:cs="Times New Roman"/>
                <w:sz w:val="32"/>
                <w:szCs w:val="32"/>
              </w:rPr>
              <m:t>i</m:t>
            </m:r>
            <m:ctrlPr>
              <w:rPr>
                <w:rFonts w:ascii="Cambria Math" w:hAnsi="Cambria Math" w:cs="Times New Roman"/>
                <w:i/>
                <w:iCs/>
                <w:sz w:val="32"/>
                <w:szCs w:val="32"/>
              </w:rPr>
            </m:ctrlPr>
          </m:sub>
        </m:sSub>
      </m:oMath>
      <w:r>
        <w:rPr>
          <w:rFonts w:eastAsia="黑体"/>
          <w:color w:val="000000" w:themeColor="text1"/>
          <w:sz w:val="32"/>
          <w:szCs w:val="32"/>
          <w14:textFill>
            <w14:solidFill>
              <w14:schemeClr w14:val="tx1"/>
            </w14:solidFill>
          </w14:textFill>
        </w:rPr>
        <w:t>的技术内容和确定方法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trPr>
        <w:tc>
          <w:tcPr>
            <w:tcW w:w="927" w:type="pct"/>
            <w:vAlign w:val="center"/>
          </w:tcPr>
          <w:p>
            <w:pPr>
              <w:pStyle w:val="64"/>
              <w:rPr>
                <w:sz w:val="32"/>
                <w:szCs w:val="32"/>
              </w:rPr>
            </w:pPr>
            <w:r>
              <w:rPr>
                <w:sz w:val="32"/>
                <w:szCs w:val="32"/>
              </w:rPr>
              <w:t>数据/参数</w:t>
            </w:r>
          </w:p>
        </w:tc>
        <w:tc>
          <w:tcPr>
            <w:tcW w:w="4072" w:type="pct"/>
            <w:vAlign w:val="center"/>
          </w:tcPr>
          <w:p>
            <w:pPr>
              <w:pStyle w:val="64"/>
              <w:rPr>
                <w:sz w:val="32"/>
                <w:szCs w:val="32"/>
              </w:rPr>
            </w:pPr>
            <m:oMathPara>
              <m:oMathParaPr>
                <m:jc m:val="left"/>
              </m:oMathParaPr>
              <m:oMath>
                <m:sSub>
                  <m:sSubPr>
                    <m:ctrlPr>
                      <w:rPr>
                        <w:rFonts w:ascii="Cambria Math" w:hAnsi="Cambria Math" w:cs="Times New Roman"/>
                        <w:i/>
                        <w:iCs/>
                        <w:sz w:val="32"/>
                        <w:szCs w:val="32"/>
                      </w:rPr>
                    </m:ctrlPr>
                  </m:sSubPr>
                  <m:e>
                    <m:r>
                      <m:rPr/>
                      <w:rPr>
                        <w:rFonts w:ascii="Cambria Math" w:hAnsi="Cambria Math" w:cs="Times New Roman"/>
                        <w:sz w:val="32"/>
                        <w:szCs w:val="32"/>
                      </w:rPr>
                      <m:t>P</m:t>
                    </m:r>
                    <m:ctrlPr>
                      <w:rPr>
                        <w:rFonts w:ascii="Cambria Math" w:hAnsi="Cambria Math" w:cs="Times New Roman"/>
                        <w:i/>
                        <w:iCs/>
                        <w:sz w:val="32"/>
                        <w:szCs w:val="32"/>
                      </w:rPr>
                    </m:ctrlPr>
                  </m:e>
                  <m:sub>
                    <m:r>
                      <m:rPr/>
                      <w:rPr>
                        <w:rFonts w:ascii="Cambria Math" w:hAnsi="Cambria Math" w:cs="Times New Roman"/>
                        <w:sz w:val="32"/>
                        <w:szCs w:val="32"/>
                      </w:rPr>
                      <m:t>i</m:t>
                    </m:r>
                    <m:ctrlPr>
                      <w:rPr>
                        <w:rFonts w:ascii="Cambria Math" w:hAnsi="Cambria Math" w:cs="Times New Roman"/>
                        <w:i/>
                        <w:iCs/>
                        <w:sz w:val="32"/>
                        <w:szCs w:val="32"/>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7" w:type="pct"/>
            <w:vAlign w:val="center"/>
          </w:tcPr>
          <w:p>
            <w:pPr>
              <w:pStyle w:val="64"/>
              <w:rPr>
                <w:sz w:val="32"/>
                <w:szCs w:val="32"/>
              </w:rPr>
            </w:pPr>
            <w:r>
              <w:rPr>
                <w:sz w:val="32"/>
                <w:szCs w:val="32"/>
              </w:rPr>
              <w:t>应用的公式编号</w:t>
            </w:r>
          </w:p>
        </w:tc>
        <w:tc>
          <w:tcPr>
            <w:tcW w:w="4072" w:type="pct"/>
            <w:vAlign w:val="center"/>
          </w:tcPr>
          <w:p>
            <w:pPr>
              <w:pStyle w:val="64"/>
              <w:rPr>
                <w:sz w:val="32"/>
                <w:szCs w:val="32"/>
              </w:rPr>
            </w:pPr>
            <w:r>
              <w:rPr>
                <w:sz w:val="32"/>
                <w:szCs w:val="32"/>
              </w:rPr>
              <w:t>公式（2）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数据描述</w:t>
            </w:r>
          </w:p>
        </w:tc>
        <w:tc>
          <w:tcPr>
            <w:tcW w:w="4072" w:type="pct"/>
            <w:vAlign w:val="center"/>
          </w:tcPr>
          <w:p>
            <w:pPr>
              <w:pStyle w:val="64"/>
              <w:rPr>
                <w:sz w:val="32"/>
                <w:szCs w:val="32"/>
              </w:rPr>
            </w:pPr>
            <w:r>
              <w:rPr>
                <w:sz w:val="32"/>
                <w:szCs w:val="32"/>
              </w:rPr>
              <w:t>第i种出行方式的客运量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 w:hRule="atLeast"/>
        </w:trPr>
        <w:tc>
          <w:tcPr>
            <w:tcW w:w="927" w:type="pct"/>
            <w:vAlign w:val="center"/>
          </w:tcPr>
          <w:p>
            <w:pPr>
              <w:pStyle w:val="64"/>
              <w:rPr>
                <w:sz w:val="32"/>
                <w:szCs w:val="32"/>
              </w:rPr>
            </w:pPr>
            <w:r>
              <w:rPr>
                <w:sz w:val="32"/>
                <w:szCs w:val="32"/>
              </w:rPr>
              <w:t>数据单位</w:t>
            </w:r>
          </w:p>
        </w:tc>
        <w:tc>
          <w:tcPr>
            <w:tcW w:w="4072" w:type="pct"/>
            <w:vAlign w:val="center"/>
          </w:tcPr>
          <w:p>
            <w:pPr>
              <w:pStyle w:val="64"/>
              <w:rPr>
                <w:sz w:val="32"/>
                <w:szCs w:val="32"/>
              </w:rPr>
            </w:pPr>
            <w:r>
              <w:rPr>
                <w:sz w:val="32"/>
                <w:szCs w:val="32"/>
              </w:rPr>
              <w:t>人次（p）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数据来源</w:t>
            </w:r>
          </w:p>
        </w:tc>
        <w:tc>
          <w:tcPr>
            <w:tcW w:w="4072" w:type="pct"/>
            <w:vAlign w:val="center"/>
          </w:tcPr>
          <w:p>
            <w:pPr>
              <w:pStyle w:val="64"/>
              <w:rPr>
                <w:sz w:val="32"/>
                <w:szCs w:val="32"/>
              </w:rPr>
            </w:pPr>
            <w:r>
              <w:rPr>
                <w:sz w:val="32"/>
                <w:szCs w:val="32"/>
              </w:rPr>
              <w:t>地方</w:t>
            </w:r>
            <w:r>
              <w:rPr>
                <w:rFonts w:hint="eastAsia"/>
                <w:sz w:val="32"/>
                <w:szCs w:val="32"/>
              </w:rPr>
              <w:t>交通部门或交通运营公司调查统计数据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数值</w:t>
            </w:r>
          </w:p>
        </w:tc>
        <w:tc>
          <w:tcPr>
            <w:tcW w:w="4072" w:type="pct"/>
            <w:vAlign w:val="center"/>
          </w:tcPr>
          <w:p>
            <w:pPr>
              <w:pStyle w:val="64"/>
              <w:rPr>
                <w:sz w:val="32"/>
                <w:szCs w:val="32"/>
              </w:rPr>
            </w:pPr>
            <w:r>
              <w:rPr>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数据用途</w:t>
            </w:r>
          </w:p>
        </w:tc>
        <w:tc>
          <w:tcPr>
            <w:tcW w:w="4072" w:type="pct"/>
            <w:vAlign w:val="center"/>
          </w:tcPr>
          <w:p>
            <w:pPr>
              <w:pStyle w:val="64"/>
              <w:rPr>
                <w:sz w:val="32"/>
                <w:szCs w:val="32"/>
              </w:rPr>
            </w:pPr>
            <w:r>
              <w:rPr>
                <w:sz w:val="32"/>
                <w:szCs w:val="32"/>
              </w:rPr>
              <w:t>用于计算第i种出行方式的客运周转量</w:t>
            </w:r>
            <m:oMath>
              <m:sSub>
                <m:sSubPr>
                  <m:ctrlPr>
                    <w:rPr>
                      <w:rFonts w:ascii="Cambria Math" w:hAnsi="Cambria Math"/>
                      <w:i/>
                      <w:iCs/>
                      <w:sz w:val="32"/>
                      <w:szCs w:val="32"/>
                    </w:rPr>
                  </m:ctrlPr>
                </m:sSubPr>
                <m:e>
                  <m:r>
                    <m:rPr/>
                    <w:rPr>
                      <w:rFonts w:ascii="Cambria Math" w:hAnsi="Cambria Math"/>
                      <w:sz w:val="32"/>
                      <w:szCs w:val="32"/>
                    </w:rPr>
                    <m:t>PKM</m:t>
                  </m:r>
                  <m:ctrlPr>
                    <w:rPr>
                      <w:rFonts w:ascii="Cambria Math" w:hAnsi="Cambria Math"/>
                      <w:i/>
                      <w:iCs/>
                      <w:sz w:val="32"/>
                      <w:szCs w:val="32"/>
                    </w:rPr>
                  </m:ctrlPr>
                </m:e>
                <m:sub>
                  <m:r>
                    <m:rPr/>
                    <w:rPr>
                      <w:rFonts w:ascii="Cambria Math" w:hAnsi="Cambria Math"/>
                      <w:sz w:val="32"/>
                      <w:szCs w:val="32"/>
                    </w:rPr>
                    <m:t>i</m:t>
                  </m:r>
                  <m:ctrlPr>
                    <w:rPr>
                      <w:rFonts w:ascii="Cambria Math" w:hAnsi="Cambria Math"/>
                      <w:i/>
                      <w:iCs/>
                      <w:sz w:val="32"/>
                      <w:szCs w:val="32"/>
                    </w:rPr>
                  </m:ctrlPr>
                </m:sub>
              </m:sSub>
            </m:oMath>
          </w:p>
        </w:tc>
      </w:tr>
    </w:tbl>
    <w:p>
      <w:pPr>
        <w:keepNext/>
        <w:spacing w:before="120" w:after="120"/>
        <w:ind w:firstLine="0" w:firstLineChars="0"/>
        <w:jc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表</w:t>
      </w:r>
      <w:r>
        <w:rPr>
          <w:rFonts w:hint="eastAsia" w:eastAsia="黑体"/>
          <w:color w:val="000000" w:themeColor="text1"/>
          <w:sz w:val="32"/>
          <w:szCs w:val="32"/>
          <w14:textFill>
            <w14:solidFill>
              <w14:schemeClr w14:val="tx1"/>
            </w14:solidFill>
          </w14:textFill>
        </w:rPr>
        <w:t xml:space="preserve">7 </w:t>
      </w:r>
      <m:oMath>
        <m:sSub>
          <m:sSubPr>
            <m:ctrlPr>
              <w:rPr>
                <w:rFonts w:ascii="Cambria Math" w:hAnsi="Cambria Math" w:cs="Times New Roman"/>
                <w:i/>
                <w:iCs/>
                <w:sz w:val="32"/>
                <w:szCs w:val="32"/>
              </w:rPr>
            </m:ctrlPr>
          </m:sSubPr>
          <m:e>
            <m:r>
              <m:rPr/>
              <w:rPr>
                <w:rFonts w:ascii="Cambria Math" w:hAnsi="Cambria Math" w:cs="Times New Roman"/>
                <w:sz w:val="32"/>
                <w:szCs w:val="32"/>
              </w:rPr>
              <m:t>TD</m:t>
            </m:r>
            <m:ctrlPr>
              <w:rPr>
                <w:rFonts w:ascii="Cambria Math" w:hAnsi="Cambria Math" w:cs="Times New Roman"/>
                <w:i/>
                <w:iCs/>
                <w:sz w:val="32"/>
                <w:szCs w:val="32"/>
              </w:rPr>
            </m:ctrlPr>
          </m:e>
          <m:sub>
            <m:r>
              <m:rPr/>
              <w:rPr>
                <w:rFonts w:ascii="Cambria Math" w:cs="Times New Roman"/>
                <w:sz w:val="32"/>
                <w:szCs w:val="32"/>
              </w:rPr>
              <m:t>i</m:t>
            </m:r>
            <m:ctrlPr>
              <w:rPr>
                <w:rFonts w:ascii="Cambria Math" w:hAnsi="Cambria Math" w:cs="Times New Roman"/>
                <w:i/>
                <w:iCs/>
                <w:sz w:val="32"/>
                <w:szCs w:val="32"/>
              </w:rPr>
            </m:ctrlPr>
          </m:sub>
        </m:sSub>
      </m:oMath>
      <w:r>
        <w:rPr>
          <w:rFonts w:eastAsia="黑体"/>
          <w:color w:val="000000" w:themeColor="text1"/>
          <w:sz w:val="32"/>
          <w:szCs w:val="32"/>
          <w14:textFill>
            <w14:solidFill>
              <w14:schemeClr w14:val="tx1"/>
            </w14:solidFill>
          </w14:textFill>
        </w:rPr>
        <w:t>的技术内容和确定方法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数据/参数</w:t>
            </w:r>
          </w:p>
        </w:tc>
        <w:tc>
          <w:tcPr>
            <w:tcW w:w="4072" w:type="pct"/>
            <w:vAlign w:val="center"/>
          </w:tcPr>
          <w:p>
            <w:pPr>
              <w:pStyle w:val="64"/>
              <w:jc w:val="both"/>
              <w:rPr>
                <w:sz w:val="32"/>
                <w:szCs w:val="32"/>
              </w:rPr>
            </w:pPr>
            <m:oMathPara>
              <m:oMathParaPr>
                <m:jc m:val="left"/>
              </m:oMathParaPr>
              <m:oMath>
                <m:sSub>
                  <m:sSubPr>
                    <m:ctrlPr>
                      <w:rPr>
                        <w:rFonts w:ascii="Cambria Math" w:hAnsi="Cambria Math" w:cs="Times New Roman"/>
                        <w:i/>
                        <w:sz w:val="32"/>
                        <w:szCs w:val="32"/>
                      </w:rPr>
                    </m:ctrlPr>
                  </m:sSubPr>
                  <m:e>
                    <m:r>
                      <m:rPr/>
                      <w:rPr>
                        <w:rFonts w:ascii="Cambria Math" w:hAnsi="Cambria Math" w:cs="Times New Roman"/>
                        <w:sz w:val="32"/>
                        <w:szCs w:val="32"/>
                      </w:rPr>
                      <m:t>TD</m:t>
                    </m:r>
                    <m:ctrlPr>
                      <w:rPr>
                        <w:rFonts w:ascii="Cambria Math" w:hAnsi="Cambria Math" w:cs="Times New Roman"/>
                        <w:i/>
                        <w:sz w:val="32"/>
                        <w:szCs w:val="32"/>
                      </w:rPr>
                    </m:ctrlPr>
                  </m:e>
                  <m:sub>
                    <m:r>
                      <m:rPr/>
                      <w:rPr>
                        <w:rFonts w:ascii="Cambria Math" w:cs="Times New Roman"/>
                        <w:sz w:val="32"/>
                        <w:szCs w:val="32"/>
                      </w:rPr>
                      <m:t>i</m:t>
                    </m:r>
                    <m:ctrlPr>
                      <w:rPr>
                        <w:rFonts w:ascii="Cambria Math" w:hAnsi="Cambria Math" w:cs="Times New Roman"/>
                        <w:i/>
                        <w:sz w:val="32"/>
                        <w:szCs w:val="32"/>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应用的公式编号</w:t>
            </w:r>
          </w:p>
        </w:tc>
        <w:tc>
          <w:tcPr>
            <w:tcW w:w="4072" w:type="pct"/>
            <w:vAlign w:val="center"/>
          </w:tcPr>
          <w:p>
            <w:pPr>
              <w:pStyle w:val="64"/>
              <w:jc w:val="both"/>
              <w:rPr>
                <w:sz w:val="32"/>
                <w:szCs w:val="32"/>
              </w:rPr>
            </w:pPr>
            <w:r>
              <w:rPr>
                <w:sz w:val="32"/>
                <w:szCs w:val="32"/>
              </w:rPr>
              <w:t>公式（</w:t>
            </w:r>
            <w:r>
              <w:rPr>
                <w:rFonts w:hint="eastAsia"/>
                <w:sz w:val="32"/>
                <w:szCs w:val="32"/>
              </w:rPr>
              <w:t>2</w:t>
            </w:r>
            <w:r>
              <w:rPr>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数据描述</w:t>
            </w:r>
          </w:p>
        </w:tc>
        <w:tc>
          <w:tcPr>
            <w:tcW w:w="4072" w:type="pct"/>
            <w:vAlign w:val="center"/>
          </w:tcPr>
          <w:p>
            <w:pPr>
              <w:pStyle w:val="64"/>
              <w:jc w:val="both"/>
              <w:rPr>
                <w:sz w:val="32"/>
                <w:szCs w:val="32"/>
              </w:rPr>
            </w:pPr>
            <w:r>
              <w:rPr>
                <w:rFonts w:hint="eastAsia" w:cs="Times New Roman"/>
                <w:kern w:val="0"/>
                <w:sz w:val="32"/>
                <w:szCs w:val="32"/>
              </w:rPr>
              <w:t>第i种出行方式平均出行里程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数据单位</w:t>
            </w:r>
          </w:p>
        </w:tc>
        <w:tc>
          <w:tcPr>
            <w:tcW w:w="4072" w:type="pct"/>
            <w:vAlign w:val="center"/>
          </w:tcPr>
          <w:p>
            <w:pPr>
              <w:pStyle w:val="64"/>
              <w:jc w:val="both"/>
              <w:rPr>
                <w:sz w:val="32"/>
                <w:szCs w:val="32"/>
              </w:rPr>
            </w:pPr>
            <w:r>
              <w:rPr>
                <w:rFonts w:hint="eastAsia"/>
                <w:sz w:val="32"/>
                <w:szCs w:val="32"/>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数据来源</w:t>
            </w:r>
          </w:p>
        </w:tc>
        <w:tc>
          <w:tcPr>
            <w:tcW w:w="4072" w:type="pct"/>
            <w:vAlign w:val="center"/>
          </w:tcPr>
          <w:p>
            <w:pPr>
              <w:pStyle w:val="64"/>
              <w:jc w:val="both"/>
              <w:rPr>
                <w:sz w:val="32"/>
                <w:szCs w:val="32"/>
              </w:rPr>
            </w:pPr>
            <w:r>
              <w:rPr>
                <w:sz w:val="32"/>
                <w:szCs w:val="32"/>
              </w:rPr>
              <w:t>按照以下优先次序选取来源</w:t>
            </w:r>
            <w:r>
              <w:rPr>
                <w:rFonts w:hint="eastAsia"/>
                <w:sz w:val="32"/>
                <w:szCs w:val="32"/>
              </w:rPr>
              <w:t>：</w:t>
            </w:r>
          </w:p>
          <w:p>
            <w:pPr>
              <w:pStyle w:val="64"/>
              <w:jc w:val="both"/>
              <w:rPr>
                <w:sz w:val="32"/>
                <w:szCs w:val="32"/>
              </w:rPr>
            </w:pPr>
            <w:r>
              <w:rPr>
                <w:sz w:val="32"/>
                <w:szCs w:val="32"/>
              </w:rPr>
              <w:t>1、地方</w:t>
            </w:r>
            <w:r>
              <w:rPr>
                <w:rFonts w:hint="eastAsia"/>
                <w:sz w:val="32"/>
                <w:szCs w:val="32"/>
              </w:rPr>
              <w:t>交通部门或交通运营公司调查统计数据</w:t>
            </w:r>
          </w:p>
          <w:p>
            <w:pPr>
              <w:pStyle w:val="64"/>
              <w:jc w:val="both"/>
              <w:rPr>
                <w:sz w:val="32"/>
                <w:szCs w:val="32"/>
              </w:rPr>
            </w:pPr>
            <w:r>
              <w:rPr>
                <w:sz w:val="32"/>
                <w:szCs w:val="32"/>
              </w:rPr>
              <w:t>2、</w:t>
            </w:r>
            <w:r>
              <w:rPr>
                <w:rFonts w:hint="eastAsia"/>
                <w:sz w:val="32"/>
                <w:szCs w:val="32"/>
              </w:rPr>
              <w:t>国家</w:t>
            </w:r>
            <w:r>
              <w:rPr>
                <w:sz w:val="32"/>
                <w:szCs w:val="32"/>
              </w:rPr>
              <w:t>政府部门公布的相关数据；</w:t>
            </w:r>
          </w:p>
          <w:p>
            <w:pPr>
              <w:pStyle w:val="64"/>
              <w:jc w:val="both"/>
              <w:rPr>
                <w:rFonts w:cs="Times New Roman"/>
                <w:kern w:val="0"/>
                <w:sz w:val="32"/>
                <w:szCs w:val="32"/>
              </w:rPr>
            </w:pPr>
            <w:r>
              <w:rPr>
                <w:sz w:val="32"/>
                <w:szCs w:val="32"/>
              </w:rPr>
              <w:t>3、国内外文献及行业报告。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数值</w:t>
            </w:r>
          </w:p>
        </w:tc>
        <w:tc>
          <w:tcPr>
            <w:tcW w:w="4072" w:type="pct"/>
            <w:vAlign w:val="center"/>
          </w:tcPr>
          <w:p>
            <w:pPr>
              <w:pStyle w:val="64"/>
              <w:jc w:val="both"/>
              <w:rPr>
                <w:sz w:val="32"/>
                <w:szCs w:val="32"/>
              </w:rPr>
            </w:pPr>
            <w:r>
              <w:rPr>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数据用途</w:t>
            </w:r>
          </w:p>
        </w:tc>
        <w:tc>
          <w:tcPr>
            <w:tcW w:w="4072" w:type="pct"/>
            <w:vAlign w:val="center"/>
          </w:tcPr>
          <w:p>
            <w:pPr>
              <w:pStyle w:val="64"/>
              <w:jc w:val="both"/>
              <w:rPr>
                <w:sz w:val="32"/>
                <w:szCs w:val="32"/>
              </w:rPr>
            </w:pPr>
            <w:r>
              <w:rPr>
                <w:sz w:val="32"/>
                <w:szCs w:val="32"/>
              </w:rPr>
              <w:t>用于计算</w:t>
            </w:r>
            <w:r>
              <w:rPr>
                <w:rFonts w:hint="eastAsia" w:cs="Times New Roman"/>
                <w:kern w:val="0"/>
                <w:sz w:val="32"/>
                <w:szCs w:val="32"/>
              </w:rPr>
              <w:t>第i种出行方式的客运周转量</w:t>
            </w:r>
            <m:oMath>
              <m:sSub>
                <m:sSubPr>
                  <m:ctrlPr>
                    <w:rPr>
                      <w:rFonts w:ascii="Cambria Math" w:hAnsi="Cambria Math"/>
                      <w:i/>
                      <w:iCs/>
                      <w:sz w:val="32"/>
                      <w:szCs w:val="32"/>
                    </w:rPr>
                  </m:ctrlPr>
                </m:sSubPr>
                <m:e>
                  <m:r>
                    <m:rPr/>
                    <w:rPr>
                      <w:rFonts w:ascii="Cambria Math" w:hAnsi="Cambria Math"/>
                      <w:sz w:val="32"/>
                      <w:szCs w:val="32"/>
                    </w:rPr>
                    <m:t>PKM</m:t>
                  </m:r>
                  <m:ctrlPr>
                    <w:rPr>
                      <w:rFonts w:ascii="Cambria Math" w:hAnsi="Cambria Math"/>
                      <w:i/>
                      <w:iCs/>
                      <w:sz w:val="32"/>
                      <w:szCs w:val="32"/>
                    </w:rPr>
                  </m:ctrlPr>
                </m:e>
                <m:sub>
                  <m:r>
                    <m:rPr/>
                    <w:rPr>
                      <w:rFonts w:ascii="Cambria Math" w:hAnsi="Cambria Math"/>
                      <w:sz w:val="32"/>
                      <w:szCs w:val="32"/>
                    </w:rPr>
                    <m:t>i</m:t>
                  </m:r>
                  <m:ctrlPr>
                    <w:rPr>
                      <w:rFonts w:ascii="Cambria Math" w:hAnsi="Cambria Math"/>
                      <w:i/>
                      <w:iCs/>
                      <w:sz w:val="32"/>
                      <w:szCs w:val="32"/>
                    </w:rPr>
                  </m:ctrlPr>
                </m:sub>
              </m:sSub>
            </m:oMath>
          </w:p>
        </w:tc>
      </w:tr>
    </w:tbl>
    <w:p>
      <w:pPr>
        <w:keepNext/>
        <w:spacing w:before="120" w:after="120"/>
        <w:ind w:firstLine="0" w:firstLineChars="0"/>
        <w:jc w:val="center"/>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表</w:t>
      </w:r>
      <w:r>
        <w:rPr>
          <w:rFonts w:hint="eastAsia" w:eastAsia="黑体"/>
          <w:color w:val="000000" w:themeColor="text1"/>
          <w:sz w:val="32"/>
          <w:szCs w:val="32"/>
          <w14:textFill>
            <w14:solidFill>
              <w14:schemeClr w14:val="tx1"/>
            </w14:solidFill>
          </w14:textFill>
        </w:rPr>
        <w:t xml:space="preserve">8 </w:t>
      </w:r>
      <m:oMath>
        <m:sSub>
          <m:sSubPr>
            <m:ctrlPr>
              <w:rPr>
                <w:rFonts w:ascii="Cambria Math" w:hAnsi="Cambria Math" w:cs="Times New Roman"/>
                <w:i/>
                <w:iCs/>
                <w:sz w:val="32"/>
                <w:szCs w:val="32"/>
              </w:rPr>
            </m:ctrlPr>
          </m:sSubPr>
          <m:e>
            <m:r>
              <m:rPr/>
              <w:rPr>
                <w:rFonts w:ascii="Cambria Math" w:hAnsi="Cambria Math" w:cs="Times New Roman"/>
                <w:sz w:val="32"/>
                <w:szCs w:val="32"/>
              </w:rPr>
              <m:t>OC</m:t>
            </m:r>
            <m:ctrlPr>
              <w:rPr>
                <w:rFonts w:ascii="Cambria Math" w:hAnsi="Cambria Math" w:cs="Times New Roman"/>
                <w:i/>
                <w:iCs/>
                <w:sz w:val="32"/>
                <w:szCs w:val="32"/>
              </w:rPr>
            </m:ctrlPr>
          </m:e>
          <m:sub>
            <m:r>
              <m:rPr/>
              <w:rPr>
                <w:rFonts w:ascii="Cambria Math" w:cs="Times New Roman"/>
                <w:sz w:val="32"/>
                <w:szCs w:val="32"/>
              </w:rPr>
              <m:t>i</m:t>
            </m:r>
            <m:ctrlPr>
              <w:rPr>
                <w:rFonts w:ascii="Cambria Math" w:hAnsi="Cambria Math" w:cs="Times New Roman"/>
                <w:i/>
                <w:iCs/>
                <w:sz w:val="32"/>
                <w:szCs w:val="32"/>
              </w:rPr>
            </m:ctrlPr>
          </m:sub>
        </m:sSub>
      </m:oMath>
      <w:r>
        <w:rPr>
          <w:rFonts w:eastAsia="黑体"/>
          <w:color w:val="000000" w:themeColor="text1"/>
          <w:sz w:val="32"/>
          <w:szCs w:val="32"/>
          <w14:textFill>
            <w14:solidFill>
              <w14:schemeClr w14:val="tx1"/>
            </w14:solidFill>
          </w14:textFill>
        </w:rPr>
        <w:t>的技术内容和确定方法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6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数据/参数</w:t>
            </w:r>
          </w:p>
        </w:tc>
        <w:tc>
          <w:tcPr>
            <w:tcW w:w="4072" w:type="pct"/>
            <w:vAlign w:val="center"/>
          </w:tcPr>
          <w:p>
            <w:pPr>
              <w:pStyle w:val="64"/>
              <w:jc w:val="both"/>
              <w:rPr>
                <w:sz w:val="32"/>
                <w:szCs w:val="32"/>
              </w:rPr>
            </w:pPr>
            <m:oMathPara>
              <m:oMathParaPr>
                <m:jc m:val="left"/>
              </m:oMathParaPr>
              <m:oMath>
                <m:sSub>
                  <m:sSubPr>
                    <m:ctrlPr>
                      <w:rPr>
                        <w:rFonts w:ascii="Cambria Math" w:hAnsi="Cambria Math" w:cs="Times New Roman"/>
                        <w:i/>
                        <w:sz w:val="32"/>
                        <w:szCs w:val="32"/>
                      </w:rPr>
                    </m:ctrlPr>
                  </m:sSubPr>
                  <m:e>
                    <m:r>
                      <m:rPr/>
                      <w:rPr>
                        <w:rFonts w:ascii="Cambria Math" w:hAnsi="Cambria Math" w:cs="Times New Roman"/>
                        <w:sz w:val="32"/>
                        <w:szCs w:val="32"/>
                      </w:rPr>
                      <m:t>OC</m:t>
                    </m:r>
                    <m:ctrlPr>
                      <w:rPr>
                        <w:rFonts w:ascii="Cambria Math" w:hAnsi="Cambria Math" w:cs="Times New Roman"/>
                        <w:i/>
                        <w:sz w:val="32"/>
                        <w:szCs w:val="32"/>
                      </w:rPr>
                    </m:ctrlPr>
                  </m:e>
                  <m:sub>
                    <m:r>
                      <m:rPr/>
                      <w:rPr>
                        <w:rFonts w:ascii="Cambria Math" w:cs="Times New Roman"/>
                        <w:sz w:val="32"/>
                        <w:szCs w:val="32"/>
                      </w:rPr>
                      <m:t>i</m:t>
                    </m:r>
                    <m:ctrlPr>
                      <w:rPr>
                        <w:rFonts w:ascii="Cambria Math" w:hAnsi="Cambria Math" w:cs="Times New Roman"/>
                        <w:i/>
                        <w:sz w:val="32"/>
                        <w:szCs w:val="32"/>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应用的公式编号</w:t>
            </w:r>
          </w:p>
        </w:tc>
        <w:tc>
          <w:tcPr>
            <w:tcW w:w="4072" w:type="pct"/>
            <w:vAlign w:val="center"/>
          </w:tcPr>
          <w:p>
            <w:pPr>
              <w:pStyle w:val="64"/>
              <w:jc w:val="both"/>
              <w:rPr>
                <w:sz w:val="32"/>
                <w:szCs w:val="32"/>
              </w:rPr>
            </w:pPr>
            <w:r>
              <w:rPr>
                <w:sz w:val="32"/>
                <w:szCs w:val="32"/>
              </w:rPr>
              <w:t>公式（</w:t>
            </w:r>
            <w:r>
              <w:rPr>
                <w:rFonts w:hint="eastAsia"/>
                <w:sz w:val="32"/>
                <w:szCs w:val="32"/>
              </w:rPr>
              <w:t>3</w:t>
            </w:r>
            <w:r>
              <w:rPr>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数据描述</w:t>
            </w:r>
          </w:p>
        </w:tc>
        <w:tc>
          <w:tcPr>
            <w:tcW w:w="4072" w:type="pct"/>
            <w:vAlign w:val="center"/>
          </w:tcPr>
          <w:p>
            <w:pPr>
              <w:pStyle w:val="64"/>
              <w:jc w:val="both"/>
              <w:rPr>
                <w:sz w:val="32"/>
                <w:szCs w:val="32"/>
              </w:rPr>
            </w:pPr>
            <w:r>
              <w:rPr>
                <w:rFonts w:hint="eastAsia" w:cs="Times New Roman"/>
                <w:kern w:val="0"/>
                <w:sz w:val="32"/>
                <w:szCs w:val="32"/>
              </w:rPr>
              <w:t>第i种出行方式</w:t>
            </w:r>
            <w:r>
              <w:rPr>
                <w:rFonts w:cs="Times New Roman"/>
                <w:kern w:val="0"/>
                <w:sz w:val="32"/>
                <w:szCs w:val="32"/>
              </w:rPr>
              <w:t>的平均载客人数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数据单位</w:t>
            </w:r>
          </w:p>
        </w:tc>
        <w:tc>
          <w:tcPr>
            <w:tcW w:w="4072" w:type="pct"/>
            <w:vAlign w:val="center"/>
          </w:tcPr>
          <w:p>
            <w:pPr>
              <w:pStyle w:val="64"/>
              <w:jc w:val="both"/>
              <w:rPr>
                <w:sz w:val="32"/>
                <w:szCs w:val="32"/>
              </w:rPr>
            </w:pPr>
            <w:r>
              <w:rPr>
                <w:rFonts w:hint="eastAsia"/>
                <w:sz w:val="32"/>
                <w:szCs w:val="3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数据来源</w:t>
            </w:r>
          </w:p>
        </w:tc>
        <w:tc>
          <w:tcPr>
            <w:tcW w:w="4072" w:type="pct"/>
            <w:vAlign w:val="center"/>
          </w:tcPr>
          <w:p>
            <w:pPr>
              <w:pStyle w:val="64"/>
              <w:jc w:val="both"/>
              <w:rPr>
                <w:sz w:val="32"/>
                <w:szCs w:val="32"/>
              </w:rPr>
            </w:pPr>
            <w:r>
              <w:rPr>
                <w:sz w:val="32"/>
                <w:szCs w:val="32"/>
              </w:rPr>
              <w:t>按照以下优先次序选取来源</w:t>
            </w:r>
            <w:r>
              <w:rPr>
                <w:rFonts w:hint="eastAsia"/>
                <w:sz w:val="32"/>
                <w:szCs w:val="32"/>
              </w:rPr>
              <w:t>：</w:t>
            </w:r>
          </w:p>
          <w:p>
            <w:pPr>
              <w:pStyle w:val="64"/>
              <w:jc w:val="both"/>
              <w:rPr>
                <w:sz w:val="32"/>
                <w:szCs w:val="32"/>
              </w:rPr>
            </w:pPr>
            <w:r>
              <w:rPr>
                <w:sz w:val="32"/>
                <w:szCs w:val="32"/>
              </w:rPr>
              <w:t>1、地方</w:t>
            </w:r>
            <w:r>
              <w:rPr>
                <w:rFonts w:hint="eastAsia"/>
                <w:sz w:val="32"/>
                <w:szCs w:val="32"/>
              </w:rPr>
              <w:t>交通部门或交通运营公司调查统计数据</w:t>
            </w:r>
          </w:p>
          <w:p>
            <w:pPr>
              <w:pStyle w:val="64"/>
              <w:jc w:val="both"/>
              <w:rPr>
                <w:sz w:val="32"/>
                <w:szCs w:val="32"/>
              </w:rPr>
            </w:pPr>
            <w:r>
              <w:rPr>
                <w:sz w:val="32"/>
                <w:szCs w:val="32"/>
              </w:rPr>
              <w:t>2、</w:t>
            </w:r>
            <w:r>
              <w:rPr>
                <w:rFonts w:hint="eastAsia"/>
                <w:sz w:val="32"/>
                <w:szCs w:val="32"/>
              </w:rPr>
              <w:t>国家</w:t>
            </w:r>
            <w:r>
              <w:rPr>
                <w:sz w:val="32"/>
                <w:szCs w:val="32"/>
              </w:rPr>
              <w:t>政府部门公布的相关数据；</w:t>
            </w:r>
          </w:p>
          <w:p>
            <w:pPr>
              <w:pStyle w:val="64"/>
              <w:jc w:val="both"/>
              <w:rPr>
                <w:sz w:val="32"/>
                <w:szCs w:val="32"/>
              </w:rPr>
            </w:pPr>
            <w:r>
              <w:rPr>
                <w:sz w:val="32"/>
                <w:szCs w:val="32"/>
              </w:rPr>
              <w:t>3、国内外文献及行业报告。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数值</w:t>
            </w:r>
          </w:p>
        </w:tc>
        <w:tc>
          <w:tcPr>
            <w:tcW w:w="4072" w:type="pct"/>
            <w:vAlign w:val="center"/>
          </w:tcPr>
          <w:p>
            <w:pPr>
              <w:pStyle w:val="64"/>
              <w:jc w:val="both"/>
              <w:rPr>
                <w:sz w:val="32"/>
                <w:szCs w:val="32"/>
              </w:rPr>
            </w:pPr>
            <w:r>
              <w:rPr>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trPr>
        <w:tc>
          <w:tcPr>
            <w:tcW w:w="927" w:type="pct"/>
            <w:vAlign w:val="center"/>
          </w:tcPr>
          <w:p>
            <w:pPr>
              <w:pStyle w:val="64"/>
              <w:rPr>
                <w:sz w:val="32"/>
                <w:szCs w:val="32"/>
              </w:rPr>
            </w:pPr>
            <w:r>
              <w:rPr>
                <w:sz w:val="32"/>
                <w:szCs w:val="32"/>
              </w:rPr>
              <w:t>数据用途</w:t>
            </w:r>
          </w:p>
        </w:tc>
        <w:tc>
          <w:tcPr>
            <w:tcW w:w="4072" w:type="pct"/>
            <w:vAlign w:val="center"/>
          </w:tcPr>
          <w:p>
            <w:pPr>
              <w:pStyle w:val="64"/>
              <w:jc w:val="both"/>
              <w:rPr>
                <w:sz w:val="32"/>
                <w:szCs w:val="32"/>
              </w:rPr>
            </w:pPr>
            <w:r>
              <w:rPr>
                <w:sz w:val="32"/>
                <w:szCs w:val="32"/>
              </w:rPr>
              <w:t>用于计算</w:t>
            </w:r>
            <w:r>
              <w:rPr>
                <w:rFonts w:hint="eastAsia" w:cs="Times New Roman"/>
                <w:kern w:val="0"/>
                <w:sz w:val="32"/>
                <w:szCs w:val="32"/>
              </w:rPr>
              <w:t>第i种出行方式</w:t>
            </w:r>
            <w:r>
              <w:rPr>
                <w:rFonts w:cs="Times New Roman"/>
                <w:kern w:val="0"/>
                <w:sz w:val="32"/>
                <w:szCs w:val="32"/>
              </w:rPr>
              <w:t>的单位客运周转量排放因子</w:t>
            </w:r>
            <m:oMath>
              <m:r>
                <m:rPr/>
                <w:rPr>
                  <w:rFonts w:ascii="Cambria Math" w:hAnsi="Cambria Math" w:cs="Times New Roman"/>
                  <w:sz w:val="32"/>
                  <w:szCs w:val="32"/>
                </w:rPr>
                <m:t>E</m:t>
              </m:r>
              <m:sSub>
                <m:sSubPr>
                  <m:ctrlPr>
                    <w:rPr>
                      <w:rFonts w:ascii="Cambria Math" w:hAnsi="Cambria Math" w:cs="Times New Roman"/>
                      <w:i/>
                      <w:iCs/>
                      <w:sz w:val="32"/>
                      <w:szCs w:val="32"/>
                    </w:rPr>
                  </m:ctrlPr>
                </m:sSubPr>
                <m:e>
                  <m:r>
                    <m:rPr/>
                    <w:rPr>
                      <w:rFonts w:ascii="Cambria Math" w:hAnsi="Cambria Math" w:cs="Times New Roman"/>
                      <w:sz w:val="32"/>
                      <w:szCs w:val="32"/>
                    </w:rPr>
                    <m:t>F</m:t>
                  </m:r>
                  <m:ctrlPr>
                    <w:rPr>
                      <w:rFonts w:ascii="Cambria Math" w:hAnsi="Cambria Math" w:cs="Times New Roman"/>
                      <w:i/>
                      <w:iCs/>
                      <w:sz w:val="32"/>
                      <w:szCs w:val="32"/>
                    </w:rPr>
                  </m:ctrlPr>
                </m:e>
                <m:sub>
                  <m:r>
                    <m:rPr/>
                    <w:rPr>
                      <w:rFonts w:ascii="Cambria Math" w:hAnsi="Cambria Math" w:cs="Times New Roman"/>
                      <w:sz w:val="32"/>
                      <w:szCs w:val="32"/>
                    </w:rPr>
                    <m:t>PKM,i</m:t>
                  </m:r>
                  <m:ctrlPr>
                    <w:rPr>
                      <w:rFonts w:ascii="Cambria Math" w:hAnsi="Cambria Math" w:cs="Times New Roman"/>
                      <w:i/>
                      <w:iCs/>
                      <w:sz w:val="32"/>
                      <w:szCs w:val="32"/>
                    </w:rPr>
                  </m:ctrlPr>
                </m:sub>
              </m:sSub>
            </m:oMath>
          </w:p>
        </w:tc>
      </w:tr>
    </w:tbl>
    <w:p>
      <w:pPr>
        <w:pStyle w:val="3"/>
        <w:spacing w:before="156" w:beforeLines="50" w:after="156" w:afterLines="50" w:line="240" w:lineRule="auto"/>
        <w:rPr>
          <w:sz w:val="32"/>
          <w:szCs w:val="32"/>
        </w:rPr>
      </w:pPr>
      <w:bookmarkStart w:id="222" w:name="_Toc11868"/>
      <w:bookmarkStart w:id="223" w:name="_Toc31088"/>
      <w:bookmarkStart w:id="224" w:name="_Toc213947386"/>
      <w:bookmarkStart w:id="225" w:name="_Toc164769557"/>
      <w:bookmarkStart w:id="226" w:name="_Toc1568"/>
      <w:bookmarkStart w:id="227" w:name="_Toc172908917"/>
      <w:bookmarkStart w:id="228" w:name="_Toc4587"/>
      <w:bookmarkStart w:id="229" w:name="_Toc175934787"/>
      <w:bookmarkStart w:id="230" w:name="_Toc26106"/>
      <w:bookmarkStart w:id="231" w:name="_Toc27681"/>
      <w:bookmarkStart w:id="232" w:name="_Toc2298"/>
      <w:bookmarkStart w:id="233" w:name="_Toc10339"/>
      <w:bookmarkStart w:id="234" w:name="_Toc31717"/>
      <w:r>
        <w:rPr>
          <w:rFonts w:hint="eastAsia"/>
          <w:sz w:val="32"/>
          <w:szCs w:val="32"/>
        </w:rPr>
        <w:t>7</w:t>
      </w:r>
      <w:r>
        <w:rPr>
          <w:sz w:val="32"/>
          <w:szCs w:val="32"/>
        </w:rPr>
        <w:t>.</w:t>
      </w:r>
      <w:r>
        <w:rPr>
          <w:rFonts w:hint="eastAsia"/>
          <w:sz w:val="32"/>
          <w:szCs w:val="32"/>
        </w:rPr>
        <w:t>2</w:t>
      </w:r>
      <w:r>
        <w:rPr>
          <w:sz w:val="32"/>
          <w:szCs w:val="32"/>
        </w:rPr>
        <w:t xml:space="preserve"> 实施阶段需监测</w:t>
      </w:r>
      <w:r>
        <w:rPr>
          <w:rFonts w:hint="eastAsia"/>
          <w:sz w:val="32"/>
          <w:szCs w:val="32"/>
        </w:rPr>
        <w:t>和确定</w:t>
      </w:r>
      <w:r>
        <w:rPr>
          <w:sz w:val="32"/>
          <w:szCs w:val="32"/>
        </w:rPr>
        <w:t>的参数和数据</w:t>
      </w:r>
      <w:bookmarkEnd w:id="222"/>
      <w:bookmarkEnd w:id="223"/>
      <w:bookmarkEnd w:id="224"/>
      <w:bookmarkEnd w:id="225"/>
      <w:bookmarkEnd w:id="226"/>
      <w:bookmarkEnd w:id="227"/>
      <w:bookmarkEnd w:id="228"/>
      <w:bookmarkEnd w:id="229"/>
      <w:bookmarkEnd w:id="230"/>
      <w:bookmarkEnd w:id="231"/>
      <w:bookmarkEnd w:id="232"/>
      <w:bookmarkEnd w:id="233"/>
      <w:bookmarkEnd w:id="234"/>
    </w:p>
    <w:p>
      <w:pPr>
        <w:ind w:firstLine="420"/>
        <w:rPr>
          <w:color w:val="000000" w:themeColor="text1"/>
          <w:sz w:val="32"/>
          <w:szCs w:val="32"/>
          <w14:textFill>
            <w14:solidFill>
              <w14:schemeClr w14:val="tx1"/>
            </w14:solidFill>
          </w14:textFill>
        </w:rPr>
      </w:pPr>
      <w:r>
        <w:rPr>
          <w:color w:val="000000" w:themeColor="text1"/>
          <w:sz w:val="32"/>
          <w:szCs w:val="32"/>
          <w14:textFill>
            <w14:solidFill>
              <w14:schemeClr w14:val="tx1"/>
            </w14:solidFill>
          </w14:textFill>
        </w:rPr>
        <w:t>碳普惠行为实施阶段所需监测的参数和数据见表</w:t>
      </w:r>
      <w:r>
        <w:rPr>
          <w:rFonts w:hint="eastAsia"/>
          <w:color w:val="000000" w:themeColor="text1"/>
          <w:sz w:val="32"/>
          <w:szCs w:val="32"/>
          <w14:textFill>
            <w14:solidFill>
              <w14:schemeClr w14:val="tx1"/>
            </w14:solidFill>
          </w14:textFill>
        </w:rPr>
        <w:t>9</w:t>
      </w:r>
      <w:r>
        <w:rPr>
          <w:color w:val="000000" w:themeColor="text1"/>
          <w:sz w:val="32"/>
          <w:szCs w:val="32"/>
          <w14:textFill>
            <w14:solidFill>
              <w14:schemeClr w14:val="tx1"/>
            </w14:solidFill>
          </w14:textFill>
        </w:rPr>
        <w:t>。</w:t>
      </w:r>
    </w:p>
    <w:p>
      <w:pPr>
        <w:keepNext/>
        <w:spacing w:before="120" w:after="120"/>
        <w:ind w:firstLine="0" w:firstLineChars="0"/>
        <w:jc w:val="center"/>
        <w:rPr>
          <w:rFonts w:eastAsia="黑体"/>
          <w:color w:val="000000" w:themeColor="text1"/>
          <w:sz w:val="32"/>
          <w:szCs w:val="32"/>
          <w14:textFill>
            <w14:solidFill>
              <w14:schemeClr w14:val="tx1"/>
            </w14:solidFill>
          </w14:textFill>
        </w:rPr>
      </w:pPr>
      <w:bookmarkStart w:id="235" w:name="_Toc6852"/>
      <w:bookmarkStart w:id="236" w:name="_Toc326"/>
      <w:bookmarkStart w:id="237" w:name="_Toc27903"/>
      <w:bookmarkStart w:id="238" w:name="_Toc164769558"/>
      <w:bookmarkStart w:id="239" w:name="_Toc26072"/>
      <w:bookmarkStart w:id="240" w:name="_Toc21141"/>
      <w:bookmarkStart w:id="241" w:name="_Toc13505"/>
      <w:bookmarkStart w:id="242" w:name="_Toc22870"/>
      <w:bookmarkStart w:id="243" w:name="_Toc7009"/>
      <w:r>
        <w:rPr>
          <w:rFonts w:eastAsia="黑体"/>
          <w:color w:val="000000" w:themeColor="text1"/>
          <w:sz w:val="32"/>
          <w:szCs w:val="32"/>
          <w14:textFill>
            <w14:solidFill>
              <w14:schemeClr w14:val="tx1"/>
            </w14:solidFill>
          </w14:textFill>
        </w:rPr>
        <w:t>表</w:t>
      </w:r>
      <w:r>
        <w:rPr>
          <w:rFonts w:hint="eastAsia" w:eastAsia="黑体"/>
          <w:color w:val="000000" w:themeColor="text1"/>
          <w:sz w:val="32"/>
          <w:szCs w:val="32"/>
          <w14:textFill>
            <w14:solidFill>
              <w14:schemeClr w14:val="tx1"/>
            </w14:solidFill>
          </w14:textFill>
        </w:rPr>
        <w:t>9</w:t>
      </w:r>
      <w:r>
        <w:rPr>
          <w:rFonts w:eastAsia="黑体"/>
          <w:color w:val="000000" w:themeColor="text1"/>
          <w:sz w:val="32"/>
          <w:szCs w:val="32"/>
          <w14:textFill>
            <w14:solidFill>
              <w14:schemeClr w14:val="tx1"/>
            </w14:solidFill>
          </w14:textFill>
        </w:rPr>
        <w:t xml:space="preserve"> </w:t>
      </w:r>
      <m:oMath>
        <m:sSub>
          <m:sSubPr>
            <m:ctrlPr>
              <w:rPr>
                <w:rFonts w:ascii="Cambria Math" w:hAnsi="Cambria Math"/>
                <w:i/>
                <w:sz w:val="32"/>
                <w:szCs w:val="32"/>
              </w:rPr>
            </m:ctrlPr>
          </m:sSubPr>
          <m:e>
            <m:r>
              <m:rPr/>
              <w:rPr>
                <w:rFonts w:ascii="Cambria Math"/>
                <w:sz w:val="32"/>
                <w:szCs w:val="32"/>
              </w:rPr>
              <m:t>D</m:t>
            </m:r>
            <m:ctrlPr>
              <w:rPr>
                <w:rFonts w:ascii="Cambria Math" w:hAnsi="Cambria Math"/>
                <w:i/>
                <w:sz w:val="32"/>
                <w:szCs w:val="32"/>
              </w:rPr>
            </m:ctrlPr>
          </m:e>
          <m:sub>
            <m:r>
              <m:rPr/>
              <w:rPr>
                <w:rFonts w:ascii="Cambria Math"/>
                <w:sz w:val="32"/>
                <w:szCs w:val="32"/>
              </w:rPr>
              <m:t>B</m:t>
            </m:r>
            <m:ctrlPr>
              <w:rPr>
                <w:rFonts w:ascii="Cambria Math" w:hAnsi="Cambria Math"/>
                <w:i/>
                <w:sz w:val="32"/>
                <w:szCs w:val="32"/>
              </w:rPr>
            </m:ctrlPr>
          </m:sub>
        </m:sSub>
      </m:oMath>
      <w:r>
        <w:rPr>
          <w:rFonts w:eastAsia="黑体"/>
          <w:color w:val="000000" w:themeColor="text1"/>
          <w:sz w:val="32"/>
          <w:szCs w:val="32"/>
          <w14:textFill>
            <w14:solidFill>
              <w14:schemeClr w14:val="tx1"/>
            </w14:solidFill>
          </w14:textFill>
        </w:rPr>
        <w:t>的技术内容和确定方法</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6"/>
        <w:gridCol w:w="6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7" w:type="pct"/>
            <w:vAlign w:val="center"/>
          </w:tcPr>
          <w:p>
            <w:pPr>
              <w:spacing w:line="240" w:lineRule="atLeast"/>
              <w:ind w:firstLine="0" w:firstLineChars="0"/>
              <w:jc w:val="left"/>
              <w:rPr>
                <w:rFonts w:cs="Times New Roman"/>
                <w:kern w:val="0"/>
                <w:sz w:val="32"/>
                <w:szCs w:val="32"/>
              </w:rPr>
            </w:pPr>
            <w:r>
              <w:rPr>
                <w:rFonts w:cs="Times New Roman"/>
                <w:kern w:val="0"/>
                <w:sz w:val="32"/>
                <w:szCs w:val="32"/>
              </w:rPr>
              <w:t>数据/参数</w:t>
            </w:r>
          </w:p>
        </w:tc>
        <w:tc>
          <w:tcPr>
            <w:tcW w:w="3922" w:type="pct"/>
            <w:vAlign w:val="center"/>
          </w:tcPr>
          <w:p>
            <w:pPr>
              <w:spacing w:line="240" w:lineRule="atLeast"/>
              <w:ind w:firstLine="0" w:firstLineChars="0"/>
              <w:jc w:val="left"/>
              <w:rPr>
                <w:rFonts w:cs="Times New Roman"/>
                <w:i/>
                <w:iCs/>
                <w:kern w:val="0"/>
                <w:sz w:val="32"/>
                <w:szCs w:val="32"/>
              </w:rPr>
            </w:pPr>
            <m:oMathPara>
              <m:oMathParaPr>
                <m:jc m:val="left"/>
              </m:oMathParaPr>
              <m:oMath>
                <m:sSub>
                  <m:sSubPr>
                    <m:ctrlPr>
                      <w:rPr>
                        <w:rFonts w:ascii="Cambria Math" w:hAnsi="Cambria Math"/>
                        <w:i/>
                        <w:sz w:val="32"/>
                        <w:szCs w:val="32"/>
                      </w:rPr>
                    </m:ctrlPr>
                  </m:sSubPr>
                  <m:e>
                    <m:r>
                      <m:rPr/>
                      <w:rPr>
                        <w:rFonts w:ascii="Cambria Math" w:hAnsi="Cambria Math"/>
                        <w:sz w:val="32"/>
                        <w:szCs w:val="32"/>
                      </w:rPr>
                      <m:t>D</m:t>
                    </m:r>
                    <m:ctrlPr>
                      <w:rPr>
                        <w:rFonts w:ascii="Cambria Math" w:hAnsi="Cambria Math"/>
                        <w:i/>
                        <w:sz w:val="32"/>
                        <w:szCs w:val="32"/>
                      </w:rPr>
                    </m:ctrlPr>
                  </m:e>
                  <m:sub>
                    <m:r>
                      <m:rPr/>
                      <w:rPr>
                        <w:rFonts w:ascii="Cambria Math" w:hAnsi="Cambria Math"/>
                        <w:sz w:val="32"/>
                        <w:szCs w:val="32"/>
                      </w:rPr>
                      <m:t>B</m:t>
                    </m:r>
                    <m:ctrlPr>
                      <w:rPr>
                        <w:rFonts w:ascii="Cambria Math" w:hAnsi="Cambria Math"/>
                        <w:i/>
                        <w:sz w:val="32"/>
                        <w:szCs w:val="32"/>
                      </w:rPr>
                    </m:ctrlPr>
                  </m:sub>
                </m:sSub>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7" w:type="pct"/>
            <w:vAlign w:val="center"/>
          </w:tcPr>
          <w:p>
            <w:pPr>
              <w:spacing w:line="240" w:lineRule="atLeast"/>
              <w:ind w:firstLine="0" w:firstLineChars="0"/>
              <w:jc w:val="left"/>
              <w:rPr>
                <w:rFonts w:cs="Times New Roman"/>
                <w:kern w:val="0"/>
                <w:sz w:val="32"/>
                <w:szCs w:val="32"/>
              </w:rPr>
            </w:pPr>
            <w:r>
              <w:rPr>
                <w:rFonts w:hint="eastAsia" w:cs="Times New Roman"/>
                <w:kern w:val="0"/>
                <w:sz w:val="32"/>
                <w:szCs w:val="32"/>
              </w:rPr>
              <w:t>应用公式</w:t>
            </w:r>
          </w:p>
        </w:tc>
        <w:tc>
          <w:tcPr>
            <w:tcW w:w="3922" w:type="pct"/>
            <w:vAlign w:val="center"/>
          </w:tcPr>
          <w:p>
            <w:pPr>
              <w:spacing w:line="240" w:lineRule="atLeast"/>
              <w:ind w:firstLine="0" w:firstLineChars="0"/>
              <w:jc w:val="left"/>
              <w:rPr>
                <w:rFonts w:cs="Times New Roman"/>
                <w:kern w:val="0"/>
                <w:sz w:val="32"/>
                <w:szCs w:val="32"/>
              </w:rPr>
            </w:pPr>
            <w:r>
              <w:rPr>
                <w:rFonts w:hint="eastAsia" w:cs="Times New Roman"/>
                <w:kern w:val="0"/>
                <w:sz w:val="32"/>
                <w:szCs w:val="32"/>
              </w:rPr>
              <w:t>公式（5）、公式（6）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7" w:type="pct"/>
            <w:vAlign w:val="center"/>
          </w:tcPr>
          <w:p>
            <w:pPr>
              <w:spacing w:line="240" w:lineRule="atLeast"/>
              <w:ind w:firstLine="0" w:firstLineChars="0"/>
              <w:jc w:val="left"/>
              <w:rPr>
                <w:rFonts w:cs="Times New Roman"/>
                <w:kern w:val="0"/>
                <w:sz w:val="32"/>
                <w:szCs w:val="32"/>
              </w:rPr>
            </w:pPr>
            <w:r>
              <w:rPr>
                <w:rFonts w:hint="eastAsia" w:cs="Times New Roman"/>
                <w:kern w:val="0"/>
                <w:sz w:val="32"/>
                <w:szCs w:val="32"/>
              </w:rPr>
              <w:t>数据</w:t>
            </w:r>
            <w:r>
              <w:rPr>
                <w:rFonts w:cs="Times New Roman"/>
                <w:kern w:val="0"/>
                <w:sz w:val="32"/>
                <w:szCs w:val="32"/>
              </w:rPr>
              <w:t>单位</w:t>
            </w:r>
          </w:p>
        </w:tc>
        <w:tc>
          <w:tcPr>
            <w:tcW w:w="3922" w:type="pct"/>
            <w:vAlign w:val="center"/>
          </w:tcPr>
          <w:p>
            <w:pPr>
              <w:spacing w:line="240" w:lineRule="atLeast"/>
              <w:ind w:firstLine="0" w:firstLineChars="0"/>
              <w:jc w:val="left"/>
              <w:rPr>
                <w:rFonts w:cs="Times New Roman"/>
                <w:kern w:val="0"/>
                <w:sz w:val="32"/>
                <w:szCs w:val="32"/>
              </w:rPr>
            </w:pPr>
            <w:r>
              <w:rPr>
                <w:rFonts w:cs="Times New Roman"/>
                <w:kern w:val="0"/>
                <w:sz w:val="32"/>
                <w:szCs w:val="32"/>
              </w:rPr>
              <w:t>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7" w:type="pct"/>
            <w:vAlign w:val="center"/>
          </w:tcPr>
          <w:p>
            <w:pPr>
              <w:spacing w:line="240" w:lineRule="atLeast"/>
              <w:ind w:firstLine="0" w:firstLineChars="0"/>
              <w:jc w:val="left"/>
              <w:rPr>
                <w:rFonts w:cs="Times New Roman"/>
                <w:kern w:val="0"/>
                <w:sz w:val="32"/>
                <w:szCs w:val="32"/>
              </w:rPr>
            </w:pPr>
            <w:r>
              <w:rPr>
                <w:rFonts w:cs="Times New Roman"/>
                <w:kern w:val="0"/>
                <w:sz w:val="32"/>
                <w:szCs w:val="32"/>
              </w:rPr>
              <w:t>描述</w:t>
            </w:r>
          </w:p>
        </w:tc>
        <w:tc>
          <w:tcPr>
            <w:tcW w:w="3922" w:type="pct"/>
            <w:vAlign w:val="center"/>
          </w:tcPr>
          <w:p>
            <w:pPr>
              <w:spacing w:line="240" w:lineRule="atLeast"/>
              <w:ind w:firstLine="0" w:firstLineChars="0"/>
              <w:jc w:val="left"/>
              <w:rPr>
                <w:rFonts w:cs="Times New Roman"/>
                <w:i/>
                <w:iCs/>
                <w:kern w:val="0"/>
                <w:sz w:val="32"/>
                <w:szCs w:val="32"/>
              </w:rPr>
            </w:pPr>
            <w:r>
              <w:rPr>
                <w:rFonts w:hint="eastAsia" w:cs="Times New Roman"/>
                <w:kern w:val="0"/>
                <w:sz w:val="32"/>
                <w:szCs w:val="32"/>
              </w:rPr>
              <w:t>单次乘坐公共汽电车的出行里程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7" w:type="pct"/>
            <w:vAlign w:val="center"/>
          </w:tcPr>
          <w:p>
            <w:pPr>
              <w:spacing w:line="240" w:lineRule="atLeast"/>
              <w:ind w:firstLine="0" w:firstLineChars="0"/>
              <w:jc w:val="left"/>
              <w:rPr>
                <w:rFonts w:cs="Times New Roman"/>
                <w:kern w:val="0"/>
                <w:sz w:val="32"/>
                <w:szCs w:val="32"/>
              </w:rPr>
            </w:pPr>
            <w:r>
              <w:rPr>
                <w:rFonts w:hint="eastAsia" w:cs="Times New Roman"/>
                <w:kern w:val="0"/>
                <w:sz w:val="32"/>
                <w:szCs w:val="32"/>
              </w:rPr>
              <w:t>数据来源</w:t>
            </w:r>
          </w:p>
        </w:tc>
        <w:tc>
          <w:tcPr>
            <w:tcW w:w="3922" w:type="pct"/>
            <w:vAlign w:val="center"/>
          </w:tcPr>
          <w:p>
            <w:pPr>
              <w:spacing w:line="240" w:lineRule="atLeast"/>
              <w:ind w:firstLine="0" w:firstLineChars="0"/>
              <w:jc w:val="left"/>
              <w:rPr>
                <w:rFonts w:cs="Times New Roman"/>
                <w:kern w:val="0"/>
                <w:sz w:val="32"/>
                <w:szCs w:val="32"/>
              </w:rPr>
            </w:pPr>
            <w:r>
              <w:rPr>
                <w:rFonts w:hint="eastAsia" w:cs="Times New Roman"/>
                <w:kern w:val="0"/>
                <w:sz w:val="32"/>
                <w:szCs w:val="32"/>
              </w:rPr>
              <w:t>公共汽电车运营机构或公共交通支付平台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7" w:type="pct"/>
            <w:vAlign w:val="center"/>
          </w:tcPr>
          <w:p>
            <w:pPr>
              <w:pStyle w:val="64"/>
              <w:spacing w:line="340" w:lineRule="exact"/>
              <w:rPr>
                <w:rFonts w:cs="Times New Roman"/>
                <w:kern w:val="0"/>
                <w:sz w:val="32"/>
                <w:szCs w:val="32"/>
              </w:rPr>
            </w:pPr>
            <w:r>
              <w:rPr>
                <w:rFonts w:hint="eastAsia" w:cs="Times New Roman"/>
                <w:bCs w:val="0"/>
                <w:kern w:val="0"/>
                <w:sz w:val="32"/>
                <w:szCs w:val="32"/>
              </w:rPr>
              <w:t>监测点要求</w:t>
            </w:r>
          </w:p>
        </w:tc>
        <w:tc>
          <w:tcPr>
            <w:tcW w:w="3922" w:type="pct"/>
            <w:vAlign w:val="center"/>
          </w:tcPr>
          <w:p>
            <w:pPr>
              <w:spacing w:line="240" w:lineRule="atLeast"/>
              <w:ind w:firstLine="0" w:firstLineChars="0"/>
              <w:jc w:val="left"/>
              <w:rPr>
                <w:rFonts w:cs="Times New Roman"/>
                <w:kern w:val="0"/>
                <w:sz w:val="32"/>
                <w:szCs w:val="32"/>
              </w:rPr>
            </w:pPr>
            <w:r>
              <w:rPr>
                <w:rFonts w:hint="eastAsia" w:cs="Times New Roman"/>
                <w:bCs/>
                <w:kern w:val="0"/>
                <w:sz w:val="32"/>
                <w:szCs w:val="32"/>
              </w:rPr>
              <w:t>公共汽电车的支付读写终端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7" w:type="pct"/>
            <w:vAlign w:val="center"/>
          </w:tcPr>
          <w:p>
            <w:pPr>
              <w:pStyle w:val="64"/>
              <w:rPr>
                <w:rFonts w:cs="Times New Roman"/>
                <w:kern w:val="0"/>
                <w:sz w:val="32"/>
                <w:szCs w:val="32"/>
              </w:rPr>
            </w:pPr>
            <w:r>
              <w:rPr>
                <w:rFonts w:hint="eastAsia" w:cs="Times New Roman"/>
                <w:bCs w:val="0"/>
                <w:kern w:val="0"/>
                <w:sz w:val="32"/>
                <w:szCs w:val="32"/>
              </w:rPr>
              <w:t>监测仪表要求</w:t>
            </w:r>
          </w:p>
        </w:tc>
        <w:tc>
          <w:tcPr>
            <w:tcW w:w="3922" w:type="pct"/>
            <w:vAlign w:val="center"/>
          </w:tcPr>
          <w:p>
            <w:pPr>
              <w:spacing w:line="240" w:lineRule="atLeast"/>
              <w:ind w:firstLine="0" w:firstLineChars="0"/>
              <w:jc w:val="left"/>
              <w:rPr>
                <w:rFonts w:cs="Times New Roman"/>
                <w:kern w:val="0"/>
                <w:sz w:val="32"/>
                <w:szCs w:val="32"/>
              </w:rPr>
            </w:pPr>
            <w:r>
              <w:rPr>
                <w:rFonts w:hint="eastAsia" w:cs="Times New Roman"/>
                <w:bCs/>
                <w:kern w:val="0"/>
                <w:sz w:val="32"/>
                <w:szCs w:val="32"/>
              </w:rPr>
              <w:t>终端</w:t>
            </w:r>
            <w:r>
              <w:rPr>
                <w:rFonts w:hint="eastAsia" w:cs="Times New Roman"/>
                <w:sz w:val="32"/>
                <w:szCs w:val="32"/>
              </w:rPr>
              <w:t>按照JT/T 978、JT/T1059等要求进行安装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7" w:type="pct"/>
            <w:vAlign w:val="center"/>
          </w:tcPr>
          <w:p>
            <w:pPr>
              <w:pStyle w:val="64"/>
              <w:rPr>
                <w:rFonts w:cs="Times New Roman"/>
                <w:kern w:val="0"/>
                <w:sz w:val="32"/>
                <w:szCs w:val="32"/>
              </w:rPr>
            </w:pPr>
            <w:r>
              <w:rPr>
                <w:rFonts w:hint="eastAsia" w:cs="Times New Roman"/>
                <w:bCs w:val="0"/>
                <w:kern w:val="0"/>
                <w:sz w:val="32"/>
                <w:szCs w:val="32"/>
              </w:rPr>
              <w:t>监测程序与方法要求</w:t>
            </w:r>
          </w:p>
        </w:tc>
        <w:tc>
          <w:tcPr>
            <w:tcW w:w="3922" w:type="pct"/>
            <w:vAlign w:val="center"/>
          </w:tcPr>
          <w:p>
            <w:pPr>
              <w:spacing w:line="240" w:lineRule="atLeast"/>
              <w:ind w:firstLine="0" w:firstLineChars="0"/>
              <w:jc w:val="left"/>
              <w:rPr>
                <w:sz w:val="32"/>
                <w:szCs w:val="32"/>
              </w:rPr>
            </w:pPr>
            <w:r>
              <w:rPr>
                <w:rFonts w:hint="eastAsia" w:cs="Times New Roman"/>
                <w:kern w:val="0"/>
                <w:sz w:val="32"/>
                <w:szCs w:val="32"/>
              </w:rPr>
              <w:t>根据个人用户上下车记录与公交路线进行距离计算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7" w:type="pct"/>
            <w:vAlign w:val="center"/>
          </w:tcPr>
          <w:p>
            <w:pPr>
              <w:pStyle w:val="64"/>
              <w:rPr>
                <w:rFonts w:cs="Times New Roman"/>
                <w:kern w:val="0"/>
                <w:sz w:val="32"/>
                <w:szCs w:val="32"/>
              </w:rPr>
            </w:pPr>
            <w:r>
              <w:rPr>
                <w:rFonts w:hint="eastAsia"/>
                <w:kern w:val="0"/>
                <w:sz w:val="32"/>
                <w:szCs w:val="32"/>
              </w:rPr>
              <w:t>监测频次与记录要求</w:t>
            </w:r>
          </w:p>
        </w:tc>
        <w:tc>
          <w:tcPr>
            <w:tcW w:w="3922" w:type="pct"/>
            <w:vAlign w:val="center"/>
          </w:tcPr>
          <w:p>
            <w:pPr>
              <w:spacing w:line="240" w:lineRule="atLeast"/>
              <w:ind w:firstLine="0" w:firstLineChars="0"/>
              <w:jc w:val="left"/>
              <w:rPr>
                <w:rFonts w:cs="Times New Roman"/>
                <w:kern w:val="0"/>
                <w:sz w:val="32"/>
                <w:szCs w:val="32"/>
              </w:rPr>
            </w:pPr>
            <w:r>
              <w:rPr>
                <w:rFonts w:hint="eastAsia"/>
                <w:kern w:val="0"/>
                <w:sz w:val="32"/>
                <w:szCs w:val="32"/>
              </w:rPr>
              <w:t>每次乘车</w:t>
            </w:r>
            <w:r>
              <w:rPr>
                <w:kern w:val="0"/>
                <w:sz w:val="32"/>
                <w:szCs w:val="32"/>
              </w:rPr>
              <w:t>监测，每</w:t>
            </w:r>
            <w:r>
              <w:rPr>
                <w:rFonts w:hint="eastAsia"/>
                <w:kern w:val="0"/>
                <w:sz w:val="32"/>
                <w:szCs w:val="32"/>
              </w:rPr>
              <w:t>次乘车</w:t>
            </w:r>
            <w:r>
              <w:rPr>
                <w:kern w:val="0"/>
                <w:sz w:val="32"/>
                <w:szCs w:val="32"/>
              </w:rPr>
              <w:t>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077" w:type="pct"/>
            <w:vAlign w:val="center"/>
          </w:tcPr>
          <w:p>
            <w:pPr>
              <w:pStyle w:val="64"/>
              <w:rPr>
                <w:kern w:val="0"/>
                <w:sz w:val="32"/>
                <w:szCs w:val="32"/>
              </w:rPr>
            </w:pPr>
            <w:r>
              <w:rPr>
                <w:rFonts w:hint="eastAsia"/>
                <w:kern w:val="0"/>
                <w:sz w:val="32"/>
                <w:szCs w:val="32"/>
              </w:rPr>
              <w:t>质量保证/质量控制</w:t>
            </w:r>
          </w:p>
          <w:p>
            <w:pPr>
              <w:pStyle w:val="64"/>
              <w:rPr>
                <w:rFonts w:cs="Times New Roman"/>
                <w:kern w:val="0"/>
                <w:sz w:val="32"/>
                <w:szCs w:val="32"/>
              </w:rPr>
            </w:pPr>
            <w:r>
              <w:rPr>
                <w:rFonts w:hint="eastAsia"/>
                <w:kern w:val="0"/>
                <w:sz w:val="32"/>
                <w:szCs w:val="32"/>
              </w:rPr>
              <w:t>程序要求</w:t>
            </w:r>
          </w:p>
        </w:tc>
        <w:tc>
          <w:tcPr>
            <w:tcW w:w="3922" w:type="pct"/>
            <w:vAlign w:val="center"/>
          </w:tcPr>
          <w:p>
            <w:pPr>
              <w:ind w:firstLine="0" w:firstLineChars="0"/>
              <w:jc w:val="left"/>
              <w:rPr>
                <w:rFonts w:cs="Times New Roman"/>
                <w:kern w:val="0"/>
                <w:sz w:val="32"/>
                <w:szCs w:val="32"/>
              </w:rPr>
            </w:pPr>
            <w:r>
              <w:rPr>
                <w:rFonts w:hint="eastAsia"/>
                <w:kern w:val="0"/>
                <w:sz w:val="32"/>
                <w:szCs w:val="32"/>
              </w:rPr>
              <w:t>若</w:t>
            </w:r>
            <w:r>
              <w:rPr>
                <w:rFonts w:hint="eastAsia" w:cs="Times New Roman"/>
                <w:kern w:val="0"/>
                <w:sz w:val="32"/>
                <w:szCs w:val="32"/>
              </w:rPr>
              <w:t>出行里程数据不可得（包括起讫点及出行轨迹）</w:t>
            </w:r>
            <w:r>
              <w:rPr>
                <w:rFonts w:hint="eastAsia"/>
                <w:kern w:val="0"/>
                <w:sz w:val="32"/>
                <w:szCs w:val="32"/>
              </w:rPr>
              <w:t>，可用宜昌市公共公交单程平均乘距缺省值5.0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077" w:type="pct"/>
            <w:vAlign w:val="center"/>
          </w:tcPr>
          <w:p>
            <w:pPr>
              <w:pStyle w:val="64"/>
              <w:spacing w:line="240" w:lineRule="atLeast"/>
              <w:rPr>
                <w:kern w:val="0"/>
                <w:sz w:val="32"/>
                <w:szCs w:val="32"/>
              </w:rPr>
            </w:pPr>
            <w:r>
              <w:rPr>
                <w:rFonts w:hint="eastAsia"/>
                <w:kern w:val="0"/>
                <w:sz w:val="32"/>
                <w:szCs w:val="32"/>
              </w:rPr>
              <w:t>数据用途</w:t>
            </w:r>
          </w:p>
        </w:tc>
        <w:tc>
          <w:tcPr>
            <w:tcW w:w="3922" w:type="pct"/>
            <w:vAlign w:val="center"/>
          </w:tcPr>
          <w:p>
            <w:pPr>
              <w:pStyle w:val="64"/>
              <w:spacing w:line="240" w:lineRule="atLeast"/>
              <w:rPr>
                <w:kern w:val="0"/>
                <w:sz w:val="32"/>
                <w:szCs w:val="32"/>
              </w:rPr>
            </w:pPr>
            <w:r>
              <w:rPr>
                <w:kern w:val="0"/>
                <w:sz w:val="32"/>
                <w:szCs w:val="32"/>
              </w:rPr>
              <w:t>用于计算</w:t>
            </w:r>
            <w:r>
              <w:rPr>
                <w:rFonts w:hint="eastAsia"/>
                <w:kern w:val="0"/>
                <w:sz w:val="32"/>
                <w:szCs w:val="32"/>
              </w:rPr>
              <w:t>基准线情景排放量</w:t>
            </w:r>
            <m:oMath>
              <m:r>
                <m:rPr/>
                <w:rPr>
                  <w:rFonts w:ascii="Cambria Math" w:hAnsi="Cambria Math"/>
                  <w:sz w:val="32"/>
                  <w:szCs w:val="32"/>
                </w:rPr>
                <m:t>BE</m:t>
              </m:r>
            </m:oMath>
            <w:r>
              <w:rPr>
                <w:kern w:val="0"/>
                <w:sz w:val="32"/>
                <w:szCs w:val="32"/>
              </w:rPr>
              <w:t>、碳普惠</w:t>
            </w:r>
            <w:r>
              <w:rPr>
                <w:rFonts w:hint="eastAsia"/>
                <w:kern w:val="0"/>
                <w:sz w:val="32"/>
                <w:szCs w:val="32"/>
              </w:rPr>
              <w:t>情景排放量</w:t>
            </w:r>
            <m:oMath>
              <m:r>
                <m:rPr/>
                <w:rPr>
                  <w:rFonts w:ascii="Cambria Math" w:hAnsi="Cambria Math"/>
                  <w:kern w:val="0"/>
                  <w:sz w:val="32"/>
                  <w:szCs w:val="32"/>
                </w:rPr>
                <m:t>P</m:t>
              </m:r>
              <m:r>
                <m:rPr/>
                <w:rPr>
                  <w:rFonts w:ascii="Cambria Math" w:hAnsi="Cambria Math"/>
                  <w:sz w:val="32"/>
                  <w:szCs w:val="32"/>
                </w:rPr>
                <m:t>E</m:t>
              </m:r>
            </m:oMath>
          </w:p>
        </w:tc>
      </w:tr>
    </w:tbl>
    <w:p>
      <w:pPr>
        <w:pStyle w:val="3"/>
        <w:spacing w:before="156" w:beforeLines="50" w:after="156" w:afterLines="50" w:line="240" w:lineRule="auto"/>
        <w:rPr>
          <w:sz w:val="32"/>
          <w:szCs w:val="32"/>
        </w:rPr>
      </w:pPr>
      <w:bookmarkStart w:id="244" w:name="_Toc175934788"/>
      <w:bookmarkStart w:id="245" w:name="_Toc6755"/>
      <w:bookmarkStart w:id="246" w:name="_Toc172908918"/>
      <w:bookmarkStart w:id="247" w:name="_Toc213947387"/>
      <w:r>
        <w:rPr>
          <w:rFonts w:hint="eastAsia"/>
          <w:sz w:val="32"/>
          <w:szCs w:val="32"/>
        </w:rPr>
        <w:t>7.3</w:t>
      </w:r>
      <w:r>
        <w:rPr>
          <w:sz w:val="32"/>
          <w:szCs w:val="32"/>
        </w:rPr>
        <w:t xml:space="preserve"> 实施及监测的数据管理要求</w:t>
      </w:r>
      <w:bookmarkEnd w:id="235"/>
      <w:bookmarkEnd w:id="236"/>
      <w:bookmarkEnd w:id="237"/>
      <w:bookmarkEnd w:id="238"/>
      <w:bookmarkEnd w:id="244"/>
      <w:bookmarkEnd w:id="245"/>
      <w:bookmarkEnd w:id="246"/>
      <w:bookmarkEnd w:id="247"/>
    </w:p>
    <w:bookmarkEnd w:id="239"/>
    <w:bookmarkEnd w:id="240"/>
    <w:bookmarkEnd w:id="241"/>
    <w:bookmarkEnd w:id="242"/>
    <w:bookmarkEnd w:id="243"/>
    <w:p>
      <w:pPr>
        <w:pStyle w:val="24"/>
        <w:ind w:firstLine="420"/>
        <w:rPr>
          <w:rFonts w:ascii="Times New Roman"/>
          <w:sz w:val="32"/>
          <w:szCs w:val="32"/>
        </w:rPr>
      </w:pPr>
      <w:bookmarkStart w:id="248" w:name="_Hlk211069555"/>
      <w:bookmarkStart w:id="249" w:name="_Hlk176198264"/>
      <w:bookmarkStart w:id="250" w:name="_Toc19157"/>
      <w:bookmarkStart w:id="251" w:name="_Toc161867145"/>
      <w:bookmarkStart w:id="252" w:name="_Toc172908919"/>
      <w:bookmarkStart w:id="253" w:name="_Toc16209"/>
      <w:r>
        <w:rPr>
          <w:sz w:val="32"/>
          <w:szCs w:val="32"/>
        </w:rPr>
        <w:t>申报方</w:t>
      </w:r>
      <w:r>
        <w:rPr>
          <w:sz w:val="32"/>
          <w:szCs w:val="32"/>
          <w:lang w:eastAsia="zh-Hans"/>
        </w:rPr>
        <w:t>应</w:t>
      </w:r>
      <w:r>
        <w:rPr>
          <w:sz w:val="32"/>
          <w:szCs w:val="32"/>
        </w:rPr>
        <w:t>建立健全的数据管理体系，</w:t>
      </w:r>
      <w:r>
        <w:rPr>
          <w:sz w:val="32"/>
          <w:szCs w:val="32"/>
          <w:lang w:eastAsia="zh-Hans"/>
        </w:rPr>
        <w:t>负责实施</w:t>
      </w:r>
      <w:r>
        <w:rPr>
          <w:sz w:val="32"/>
          <w:szCs w:val="32"/>
        </w:rPr>
        <w:t>项目</w:t>
      </w:r>
      <w:r>
        <w:rPr>
          <w:sz w:val="32"/>
          <w:szCs w:val="32"/>
          <w:lang w:eastAsia="zh-Hans"/>
        </w:rPr>
        <w:t>监测计划</w:t>
      </w:r>
      <w:r>
        <w:rPr>
          <w:sz w:val="32"/>
          <w:szCs w:val="32"/>
        </w:rPr>
        <w:t>。</w:t>
      </w:r>
      <w:r>
        <w:rPr>
          <w:sz w:val="32"/>
          <w:szCs w:val="32"/>
          <w:lang w:eastAsia="zh-Hans"/>
        </w:rPr>
        <w:t>采取下列数据质量与管理</w:t>
      </w:r>
      <w:r>
        <w:rPr>
          <w:rFonts w:ascii="Times New Roman"/>
          <w:sz w:val="32"/>
          <w:szCs w:val="32"/>
          <w:lang w:eastAsia="zh-Hans"/>
        </w:rPr>
        <w:t>措施，确保数据的真实可靠</w:t>
      </w:r>
      <w:r>
        <w:rPr>
          <w:rFonts w:ascii="Times New Roman"/>
          <w:sz w:val="32"/>
          <w:szCs w:val="32"/>
        </w:rPr>
        <w:t>。</w:t>
      </w:r>
      <w:bookmarkEnd w:id="248"/>
    </w:p>
    <w:p>
      <w:pPr>
        <w:pStyle w:val="24"/>
        <w:ind w:firstLine="420"/>
        <w:rPr>
          <w:rFonts w:ascii="Times New Roman"/>
          <w:sz w:val="32"/>
          <w:szCs w:val="32"/>
        </w:rPr>
      </w:pPr>
      <w:r>
        <w:rPr>
          <w:rFonts w:ascii="Times New Roman"/>
          <w:sz w:val="32"/>
          <w:szCs w:val="32"/>
        </w:rPr>
        <w:t>1）</w:t>
      </w:r>
      <w:bookmarkStart w:id="254" w:name="_Hlk211069583"/>
      <w:r>
        <w:rPr>
          <w:rFonts w:ascii="Times New Roman"/>
          <w:sz w:val="32"/>
          <w:szCs w:val="32"/>
        </w:rPr>
        <w:t>与本方法学对应的碳普惠行为基础数据来源平台应当遵守相关法律法规，保护个人隐私，在用户授权允许的前提下，合法收集、使用、加工、传输用户的碳普惠行为数据。</w:t>
      </w:r>
      <w:bookmarkEnd w:id="254"/>
    </w:p>
    <w:p>
      <w:pPr>
        <w:pStyle w:val="24"/>
        <w:ind w:firstLine="420"/>
        <w:rPr>
          <w:rFonts w:ascii="Times New Roman"/>
          <w:sz w:val="32"/>
          <w:szCs w:val="32"/>
        </w:rPr>
      </w:pPr>
      <w:r>
        <w:rPr>
          <w:rFonts w:ascii="Times New Roman"/>
          <w:sz w:val="32"/>
          <w:szCs w:val="32"/>
        </w:rPr>
        <w:t>2）碳普惠行为基础数据来源平台应对碳普惠行为分用户、分订单记录与储存，并确保数据</w:t>
      </w:r>
      <w:bookmarkStart w:id="255" w:name="_Hlk211069653"/>
      <w:r>
        <w:rPr>
          <w:rFonts w:ascii="Times New Roman"/>
          <w:sz w:val="32"/>
          <w:szCs w:val="32"/>
        </w:rPr>
        <w:t>具备真实、唯一、可追溯、不可篡改等特性</w:t>
      </w:r>
      <w:bookmarkEnd w:id="255"/>
      <w:r>
        <w:rPr>
          <w:rFonts w:ascii="Times New Roman"/>
          <w:sz w:val="32"/>
          <w:szCs w:val="32"/>
        </w:rPr>
        <w:t>。</w:t>
      </w:r>
    </w:p>
    <w:p>
      <w:pPr>
        <w:pStyle w:val="24"/>
        <w:ind w:firstLine="420"/>
        <w:rPr>
          <w:rFonts w:ascii="Times New Roman"/>
          <w:sz w:val="32"/>
          <w:szCs w:val="32"/>
        </w:rPr>
      </w:pPr>
      <w:r>
        <w:rPr>
          <w:rFonts w:ascii="Times New Roman"/>
          <w:sz w:val="32"/>
          <w:szCs w:val="32"/>
        </w:rPr>
        <w:t>3）碳普惠行为基础数据来源平台应避免环境权益的重复申请，及减排量重复计算。</w:t>
      </w:r>
    </w:p>
    <w:p>
      <w:pPr>
        <w:pStyle w:val="24"/>
        <w:ind w:firstLine="420"/>
        <w:rPr>
          <w:rFonts w:ascii="Times New Roman"/>
          <w:sz w:val="32"/>
          <w:szCs w:val="32"/>
        </w:rPr>
      </w:pPr>
      <w:r>
        <w:rPr>
          <w:rFonts w:ascii="Times New Roman"/>
          <w:sz w:val="32"/>
          <w:szCs w:val="32"/>
        </w:rPr>
        <w:t>4）碳普惠行为基础数据来源平台及碳普惠平台应对所有监测数据进行存档、备份，并至少保存3年。除法律、行政法规等另有规定外，未经用户同意，平台不得将数据提供给第三方。</w:t>
      </w:r>
    </w:p>
    <w:p>
      <w:pPr>
        <w:pStyle w:val="2"/>
        <w:numPr>
          <w:ilvl w:val="0"/>
          <w:numId w:val="8"/>
        </w:numPr>
        <w:spacing w:before="312" w:after="312"/>
        <w:rPr>
          <w:sz w:val="32"/>
          <w:szCs w:val="32"/>
        </w:rPr>
      </w:pPr>
      <w:bookmarkStart w:id="256" w:name="_Toc213947388"/>
      <w:bookmarkStart w:id="257" w:name="_Toc32216"/>
      <w:bookmarkStart w:id="258" w:name="_Toc210126853"/>
      <w:r>
        <w:rPr>
          <w:sz w:val="32"/>
          <w:szCs w:val="32"/>
        </w:rPr>
        <w:t>核查要点及方法</w:t>
      </w:r>
      <w:bookmarkEnd w:id="256"/>
      <w:bookmarkEnd w:id="257"/>
      <w:bookmarkEnd w:id="258"/>
    </w:p>
    <w:p>
      <w:pPr>
        <w:pStyle w:val="3"/>
        <w:numPr>
          <w:ilvl w:val="1"/>
          <w:numId w:val="8"/>
        </w:numPr>
        <w:tabs>
          <w:tab w:val="left" w:pos="0"/>
        </w:tabs>
        <w:spacing w:before="156" w:beforeLines="50" w:after="156" w:afterLines="50" w:line="240" w:lineRule="auto"/>
        <w:rPr>
          <w:sz w:val="32"/>
          <w:szCs w:val="32"/>
        </w:rPr>
      </w:pPr>
      <w:bookmarkStart w:id="259" w:name="_Toc213947389"/>
      <w:r>
        <w:rPr>
          <w:sz w:val="32"/>
          <w:szCs w:val="32"/>
        </w:rPr>
        <w:t>核查流程要点</w:t>
      </w:r>
      <w:bookmarkEnd w:id="259"/>
    </w:p>
    <w:p>
      <w:pPr>
        <w:widowControl/>
        <w:numPr>
          <w:ilvl w:val="0"/>
          <w:numId w:val="9"/>
        </w:numPr>
        <w:ind w:firstLine="420" w:firstLineChars="0"/>
        <w:rPr>
          <w:rFonts w:cs="Times New Roman"/>
          <w:sz w:val="32"/>
          <w:szCs w:val="32"/>
        </w:rPr>
      </w:pPr>
      <w:r>
        <w:rPr>
          <w:rFonts w:cs="Times New Roman"/>
          <w:sz w:val="32"/>
          <w:szCs w:val="32"/>
        </w:rPr>
        <w:t>当碳普惠减排量采用</w:t>
      </w:r>
      <w:r>
        <w:rPr>
          <w:rFonts w:hint="eastAsia" w:ascii="宋体" w:hAnsi="宋体" w:cs="宋体"/>
          <w:sz w:val="32"/>
          <w:szCs w:val="32"/>
        </w:rPr>
        <w:t>“</w:t>
      </w:r>
      <w:r>
        <w:rPr>
          <w:rFonts w:cs="Times New Roman"/>
          <w:sz w:val="32"/>
          <w:szCs w:val="32"/>
        </w:rPr>
        <w:t>平台归集</w:t>
      </w:r>
      <w:r>
        <w:rPr>
          <w:rFonts w:hint="eastAsia" w:cs="Times New Roman"/>
          <w:sz w:val="32"/>
          <w:szCs w:val="32"/>
        </w:rPr>
        <w:t>”</w:t>
      </w:r>
      <w:r>
        <w:rPr>
          <w:rFonts w:cs="Times New Roman"/>
          <w:sz w:val="32"/>
          <w:szCs w:val="32"/>
        </w:rPr>
        <w:t>的形式进行登记时，核查机构应受碳普惠行为申报主体的委托对减排量进行核查。</w:t>
      </w:r>
    </w:p>
    <w:p>
      <w:pPr>
        <w:widowControl/>
        <w:numPr>
          <w:ilvl w:val="0"/>
          <w:numId w:val="9"/>
        </w:numPr>
        <w:ind w:firstLine="420" w:firstLineChars="0"/>
        <w:rPr>
          <w:rFonts w:cs="Times New Roman"/>
          <w:sz w:val="32"/>
          <w:szCs w:val="32"/>
        </w:rPr>
      </w:pPr>
      <w:r>
        <w:rPr>
          <w:rFonts w:cs="Times New Roman"/>
          <w:sz w:val="32"/>
          <w:szCs w:val="32"/>
        </w:rPr>
        <w:t>核查机构应基于碳普惠行为的核算周期与订单规模，科学合理制定抽样方案。文件评审时进行首次抽样，分别从</w:t>
      </w:r>
      <w:r>
        <w:rPr>
          <w:rFonts w:hint="eastAsia" w:cs="Times New Roman"/>
          <w:sz w:val="32"/>
          <w:szCs w:val="32"/>
        </w:rPr>
        <w:t>“</w:t>
      </w:r>
      <w:r>
        <w:rPr>
          <w:rFonts w:cs="Times New Roman"/>
          <w:color w:val="000000" w:themeColor="text1"/>
          <w:sz w:val="32"/>
          <w:szCs w:val="32"/>
          <w14:textFill>
            <w14:solidFill>
              <w14:schemeClr w14:val="tx1"/>
            </w14:solidFill>
          </w14:textFill>
        </w:rPr>
        <w:t>基础数据来源平台</w:t>
      </w:r>
      <w:r>
        <w:rPr>
          <w:rStyle w:val="40"/>
          <w:rFonts w:cs="Times New Roman"/>
          <w:sz w:val="32"/>
          <w:szCs w:val="32"/>
        </w:rPr>
        <w:footnoteReference w:id="1"/>
      </w:r>
      <w:r>
        <w:rPr>
          <w:rFonts w:hint="eastAsia" w:cs="Times New Roman"/>
          <w:sz w:val="32"/>
          <w:szCs w:val="32"/>
        </w:rPr>
        <w:t>”</w:t>
      </w:r>
      <w:r>
        <w:rPr>
          <w:rFonts w:cs="Times New Roman"/>
          <w:sz w:val="32"/>
          <w:szCs w:val="32"/>
        </w:rPr>
        <w:t>和</w:t>
      </w:r>
      <w:r>
        <w:rPr>
          <w:rFonts w:hint="eastAsia" w:cs="Times New Roman"/>
          <w:sz w:val="32"/>
          <w:szCs w:val="32"/>
        </w:rPr>
        <w:t>“</w:t>
      </w:r>
      <w:r>
        <w:rPr>
          <w:rFonts w:cs="Times New Roman"/>
          <w:sz w:val="32"/>
          <w:szCs w:val="32"/>
        </w:rPr>
        <w:t>碳普惠平台</w:t>
      </w:r>
      <w:r>
        <w:rPr>
          <w:rFonts w:hint="eastAsia" w:cs="Times New Roman"/>
          <w:sz w:val="32"/>
          <w:szCs w:val="32"/>
        </w:rPr>
        <w:t>”</w:t>
      </w:r>
      <w:r>
        <w:rPr>
          <w:rFonts w:cs="Times New Roman"/>
          <w:sz w:val="32"/>
          <w:szCs w:val="32"/>
        </w:rPr>
        <w:t>的生产环境中导出样本数据，交叉核对并提出不符合项清单</w:t>
      </w:r>
      <w:r>
        <w:rPr>
          <w:rStyle w:val="40"/>
          <w:rFonts w:cs="Times New Roman"/>
          <w:sz w:val="32"/>
          <w:szCs w:val="32"/>
        </w:rPr>
        <w:footnoteReference w:id="2"/>
      </w:r>
      <w:r>
        <w:rPr>
          <w:rFonts w:cs="Times New Roman"/>
          <w:sz w:val="32"/>
          <w:szCs w:val="32"/>
        </w:rPr>
        <w:t>。</w:t>
      </w:r>
    </w:p>
    <w:p>
      <w:pPr>
        <w:widowControl/>
        <w:numPr>
          <w:ilvl w:val="0"/>
          <w:numId w:val="9"/>
        </w:numPr>
        <w:ind w:firstLine="420" w:firstLineChars="0"/>
        <w:rPr>
          <w:rFonts w:cs="Times New Roman"/>
          <w:sz w:val="32"/>
          <w:szCs w:val="32"/>
        </w:rPr>
      </w:pPr>
      <w:r>
        <w:rPr>
          <w:rFonts w:cs="Times New Roman"/>
          <w:sz w:val="32"/>
          <w:szCs w:val="32"/>
        </w:rPr>
        <w:t>核查机构应在收到申报主体提供的盖章《数据真实性承诺函》后进行现场评审。现场评审时，查看</w:t>
      </w:r>
      <w:r>
        <w:rPr>
          <w:rFonts w:hint="eastAsia" w:cs="Times New Roman"/>
          <w:sz w:val="32"/>
          <w:szCs w:val="32"/>
        </w:rPr>
        <w:t>“</w:t>
      </w:r>
      <w:r>
        <w:rPr>
          <w:rFonts w:cs="Times New Roman"/>
          <w:sz w:val="32"/>
          <w:szCs w:val="32"/>
        </w:rPr>
        <w:t>基础数据来源平台</w:t>
      </w:r>
      <w:r>
        <w:rPr>
          <w:rFonts w:hint="eastAsia" w:cs="Times New Roman"/>
          <w:sz w:val="32"/>
          <w:szCs w:val="32"/>
        </w:rPr>
        <w:t>”</w:t>
      </w:r>
      <w:r>
        <w:rPr>
          <w:rFonts w:cs="Times New Roman"/>
          <w:sz w:val="32"/>
          <w:szCs w:val="32"/>
        </w:rPr>
        <w:t>的生产环境是否正常运行，排查不符合项清单的问题原因。</w:t>
      </w:r>
    </w:p>
    <w:p>
      <w:pPr>
        <w:widowControl/>
        <w:numPr>
          <w:ilvl w:val="0"/>
          <w:numId w:val="9"/>
        </w:numPr>
        <w:ind w:firstLine="420" w:firstLineChars="0"/>
        <w:rPr>
          <w:rFonts w:cs="Times New Roman"/>
          <w:sz w:val="32"/>
          <w:szCs w:val="32"/>
        </w:rPr>
      </w:pPr>
      <w:r>
        <w:rPr>
          <w:rFonts w:cs="Times New Roman"/>
          <w:sz w:val="32"/>
          <w:szCs w:val="32"/>
        </w:rPr>
        <w:t>核查机构应在申报主体完成不符合项清单整改后进行复核抽样，再次交叉核对从</w:t>
      </w:r>
      <w:r>
        <w:rPr>
          <w:rFonts w:hint="eastAsia" w:cs="Times New Roman"/>
          <w:sz w:val="32"/>
          <w:szCs w:val="32"/>
        </w:rPr>
        <w:t>“</w:t>
      </w:r>
      <w:r>
        <w:rPr>
          <w:rFonts w:cs="Times New Roman"/>
          <w:color w:val="000000" w:themeColor="text1"/>
          <w:sz w:val="32"/>
          <w:szCs w:val="32"/>
          <w14:textFill>
            <w14:solidFill>
              <w14:schemeClr w14:val="tx1"/>
            </w14:solidFill>
          </w14:textFill>
        </w:rPr>
        <w:t>基础数据来源平台</w:t>
      </w:r>
      <w:r>
        <w:rPr>
          <w:rFonts w:hint="eastAsia" w:cs="Times New Roman"/>
          <w:sz w:val="32"/>
          <w:szCs w:val="32"/>
        </w:rPr>
        <w:t>”</w:t>
      </w:r>
      <w:r>
        <w:rPr>
          <w:rFonts w:cs="Times New Roman"/>
          <w:sz w:val="32"/>
          <w:szCs w:val="32"/>
        </w:rPr>
        <w:t>和</w:t>
      </w:r>
      <w:r>
        <w:rPr>
          <w:rFonts w:hint="eastAsia" w:cs="Times New Roman"/>
          <w:sz w:val="32"/>
          <w:szCs w:val="32"/>
        </w:rPr>
        <w:t>“</w:t>
      </w:r>
      <w:r>
        <w:rPr>
          <w:rFonts w:cs="Times New Roman"/>
          <w:sz w:val="32"/>
          <w:szCs w:val="32"/>
        </w:rPr>
        <w:t>碳普惠平台</w:t>
      </w:r>
      <w:r>
        <w:rPr>
          <w:rFonts w:hint="eastAsia" w:cs="Times New Roman"/>
          <w:sz w:val="32"/>
          <w:szCs w:val="32"/>
        </w:rPr>
        <w:t>”</w:t>
      </w:r>
      <w:r>
        <w:rPr>
          <w:rFonts w:cs="Times New Roman"/>
          <w:sz w:val="32"/>
          <w:szCs w:val="32"/>
        </w:rPr>
        <w:t>的生产环境中导出样本数据。</w:t>
      </w:r>
    </w:p>
    <w:p>
      <w:pPr>
        <w:pStyle w:val="3"/>
        <w:numPr>
          <w:ilvl w:val="1"/>
          <w:numId w:val="8"/>
        </w:numPr>
        <w:tabs>
          <w:tab w:val="left" w:pos="0"/>
        </w:tabs>
        <w:spacing w:before="156" w:beforeLines="50" w:after="156" w:afterLines="50" w:line="240" w:lineRule="auto"/>
        <w:rPr>
          <w:sz w:val="32"/>
          <w:szCs w:val="32"/>
        </w:rPr>
      </w:pPr>
      <w:bookmarkStart w:id="260" w:name="_Toc213947390"/>
      <w:r>
        <w:rPr>
          <w:sz w:val="32"/>
          <w:szCs w:val="32"/>
        </w:rPr>
        <w:t>适用条件的核查要点</w:t>
      </w:r>
      <w:bookmarkEnd w:id="260"/>
    </w:p>
    <w:p>
      <w:pPr>
        <w:ind w:firstLine="420"/>
        <w:rPr>
          <w:rFonts w:cs="Times New Roman"/>
          <w:sz w:val="32"/>
          <w:szCs w:val="32"/>
        </w:rPr>
      </w:pPr>
      <w:bookmarkStart w:id="261" w:name="_Hlk211069909"/>
      <w:r>
        <w:rPr>
          <w:rFonts w:cs="Times New Roman"/>
          <w:sz w:val="32"/>
          <w:szCs w:val="32"/>
        </w:rPr>
        <w:t>核查机构</w:t>
      </w:r>
      <w:bookmarkEnd w:id="261"/>
      <w:r>
        <w:rPr>
          <w:rFonts w:cs="Times New Roman"/>
          <w:sz w:val="32"/>
          <w:szCs w:val="32"/>
        </w:rPr>
        <w:t>可通过</w:t>
      </w:r>
      <w:bookmarkStart w:id="262" w:name="_Hlk211069987"/>
      <w:r>
        <w:rPr>
          <w:rFonts w:cs="Times New Roman"/>
          <w:sz w:val="32"/>
          <w:szCs w:val="32"/>
        </w:rPr>
        <w:t>查阅样本数据中的</w:t>
      </w:r>
      <w:bookmarkEnd w:id="262"/>
      <w:r>
        <w:rPr>
          <w:rFonts w:hint="eastAsia" w:cs="Times New Roman"/>
          <w:sz w:val="32"/>
          <w:szCs w:val="32"/>
        </w:rPr>
        <w:t>乘坐公共汽电车的上下车记录、起讫点及出行轨迹</w:t>
      </w:r>
      <w:r>
        <w:rPr>
          <w:rFonts w:cs="Times New Roman"/>
          <w:sz w:val="32"/>
          <w:szCs w:val="32"/>
        </w:rPr>
        <w:t>等内容，确认是否符合本方法学适用条件部分的具体要求。</w:t>
      </w:r>
    </w:p>
    <w:p>
      <w:pPr>
        <w:pStyle w:val="3"/>
        <w:numPr>
          <w:ilvl w:val="1"/>
          <w:numId w:val="8"/>
        </w:numPr>
        <w:tabs>
          <w:tab w:val="left" w:pos="0"/>
        </w:tabs>
        <w:spacing w:before="156" w:beforeLines="50" w:after="156" w:afterLines="50" w:line="240" w:lineRule="auto"/>
        <w:rPr>
          <w:sz w:val="32"/>
          <w:szCs w:val="32"/>
        </w:rPr>
      </w:pPr>
      <w:bookmarkStart w:id="263" w:name="_Toc213947391"/>
      <w:r>
        <w:rPr>
          <w:sz w:val="32"/>
          <w:szCs w:val="32"/>
        </w:rPr>
        <w:t>开始时间的核查要点</w:t>
      </w:r>
      <w:bookmarkEnd w:id="263"/>
    </w:p>
    <w:p>
      <w:pPr>
        <w:ind w:firstLine="420"/>
        <w:rPr>
          <w:rFonts w:cs="Times New Roman"/>
          <w:sz w:val="32"/>
          <w:szCs w:val="32"/>
        </w:rPr>
      </w:pPr>
      <w:r>
        <w:rPr>
          <w:rFonts w:cs="Times New Roman"/>
          <w:sz w:val="32"/>
          <w:szCs w:val="32"/>
        </w:rPr>
        <w:t>核查机构可通过</w:t>
      </w:r>
      <w:bookmarkStart w:id="264" w:name="_Hlk211070010"/>
      <w:r>
        <w:rPr>
          <w:rFonts w:cs="Times New Roman"/>
          <w:sz w:val="32"/>
          <w:szCs w:val="32"/>
        </w:rPr>
        <w:t>查阅样本数据中</w:t>
      </w:r>
      <w:bookmarkEnd w:id="264"/>
      <w:r>
        <w:rPr>
          <w:rFonts w:cs="Times New Roman"/>
          <w:sz w:val="32"/>
          <w:szCs w:val="32"/>
        </w:rPr>
        <w:t>，个人授权时间和</w:t>
      </w:r>
      <w:r>
        <w:rPr>
          <w:rFonts w:hint="eastAsia" w:cs="Times New Roman"/>
          <w:sz w:val="32"/>
          <w:szCs w:val="32"/>
        </w:rPr>
        <w:t>上下车记录</w:t>
      </w:r>
      <w:r>
        <w:rPr>
          <w:rFonts w:cs="Times New Roman"/>
          <w:sz w:val="32"/>
          <w:szCs w:val="32"/>
        </w:rPr>
        <w:t>时间，确认开始时间是否符合本方法学的要求。</w:t>
      </w:r>
    </w:p>
    <w:p>
      <w:pPr>
        <w:pStyle w:val="3"/>
        <w:numPr>
          <w:ilvl w:val="1"/>
          <w:numId w:val="8"/>
        </w:numPr>
        <w:tabs>
          <w:tab w:val="left" w:pos="0"/>
        </w:tabs>
        <w:spacing w:before="156" w:beforeLines="50" w:after="156" w:afterLines="50" w:line="240" w:lineRule="auto"/>
        <w:rPr>
          <w:sz w:val="32"/>
          <w:szCs w:val="32"/>
        </w:rPr>
      </w:pPr>
      <w:bookmarkStart w:id="265" w:name="_Toc213947392"/>
      <w:r>
        <w:rPr>
          <w:sz w:val="32"/>
          <w:szCs w:val="32"/>
        </w:rPr>
        <w:t>边界的核查要点</w:t>
      </w:r>
      <w:bookmarkEnd w:id="265"/>
    </w:p>
    <w:p>
      <w:pPr>
        <w:ind w:firstLine="420"/>
        <w:rPr>
          <w:rFonts w:cs="Times New Roman"/>
          <w:sz w:val="32"/>
          <w:szCs w:val="32"/>
        </w:rPr>
      </w:pPr>
      <w:r>
        <w:rPr>
          <w:rFonts w:cs="Times New Roman"/>
          <w:sz w:val="32"/>
          <w:szCs w:val="32"/>
        </w:rPr>
        <w:t>核查机构可通过查阅样本数据中，</w:t>
      </w:r>
      <w:r>
        <w:rPr>
          <w:rFonts w:hint="eastAsia" w:cs="Times New Roman"/>
          <w:sz w:val="32"/>
          <w:szCs w:val="32"/>
        </w:rPr>
        <w:t>乘坐公共汽电车的上下车记录、起讫点及出行轨迹等内容</w:t>
      </w:r>
      <w:r>
        <w:rPr>
          <w:rFonts w:cs="Times New Roman"/>
          <w:sz w:val="32"/>
          <w:szCs w:val="32"/>
        </w:rPr>
        <w:t>，确定边界是否被正确地描述。</w:t>
      </w:r>
    </w:p>
    <w:p>
      <w:pPr>
        <w:pStyle w:val="3"/>
        <w:numPr>
          <w:ilvl w:val="1"/>
          <w:numId w:val="8"/>
        </w:numPr>
        <w:tabs>
          <w:tab w:val="left" w:pos="0"/>
        </w:tabs>
        <w:spacing w:before="156" w:beforeLines="50" w:after="156" w:afterLines="50" w:line="240" w:lineRule="auto"/>
        <w:rPr>
          <w:sz w:val="32"/>
          <w:szCs w:val="32"/>
        </w:rPr>
      </w:pPr>
      <w:bookmarkStart w:id="266" w:name="_Toc213947393"/>
      <w:r>
        <w:rPr>
          <w:sz w:val="32"/>
          <w:szCs w:val="32"/>
        </w:rPr>
        <w:t>参数的核查要点及方法</w:t>
      </w:r>
      <w:bookmarkEnd w:id="266"/>
    </w:p>
    <w:p>
      <w:pPr>
        <w:pStyle w:val="24"/>
        <w:ind w:firstLine="420"/>
        <w:rPr>
          <w:sz w:val="32"/>
          <w:szCs w:val="32"/>
        </w:rPr>
      </w:pPr>
      <w:r>
        <w:rPr>
          <w:sz w:val="32"/>
          <w:szCs w:val="32"/>
        </w:rPr>
        <w:t>参数的核查要点及方法见表</w:t>
      </w:r>
      <w:r>
        <w:rPr>
          <w:rFonts w:hint="eastAsia" w:ascii="Times New Roman"/>
          <w:sz w:val="32"/>
          <w:szCs w:val="32"/>
        </w:rPr>
        <w:t>1</w:t>
      </w:r>
      <w:r>
        <w:rPr>
          <w:rFonts w:ascii="Times New Roman"/>
          <w:sz w:val="32"/>
          <w:szCs w:val="32"/>
        </w:rPr>
        <w:t>0</w:t>
      </w:r>
      <w:r>
        <w:rPr>
          <w:sz w:val="32"/>
          <w:szCs w:val="32"/>
        </w:rPr>
        <w:t>。</w:t>
      </w:r>
    </w:p>
    <w:p>
      <w:pPr>
        <w:pStyle w:val="24"/>
        <w:ind w:firstLine="0" w:firstLineChars="0"/>
        <w:jc w:val="center"/>
        <w:rPr>
          <w:sz w:val="32"/>
          <w:szCs w:val="32"/>
        </w:rPr>
      </w:pPr>
      <w:r>
        <w:rPr>
          <w:rFonts w:ascii="黑体" w:hAnsi="黑体" w:eastAsia="黑体"/>
          <w:sz w:val="32"/>
          <w:szCs w:val="32"/>
        </w:rPr>
        <w:t>表</w:t>
      </w:r>
      <w:r>
        <w:rPr>
          <w:rFonts w:hint="eastAsia" w:ascii="Times New Roman" w:eastAsia="黑体"/>
          <w:sz w:val="32"/>
          <w:szCs w:val="32"/>
        </w:rPr>
        <w:t>10</w:t>
      </w:r>
      <w:r>
        <w:rPr>
          <w:rFonts w:ascii="黑体" w:hAnsi="黑体" w:eastAsia="黑体"/>
          <w:sz w:val="32"/>
          <w:szCs w:val="32"/>
        </w:rPr>
        <w:t xml:space="preserve"> 参数的核查要点及方法</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823"/>
        <w:gridCol w:w="4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Align w:val="center"/>
          </w:tcPr>
          <w:p>
            <w:pPr>
              <w:ind w:firstLine="0" w:firstLineChars="0"/>
              <w:jc w:val="center"/>
              <w:rPr>
                <w:rFonts w:cs="Times New Roman"/>
                <w:sz w:val="32"/>
                <w:szCs w:val="32"/>
              </w:rPr>
            </w:pPr>
            <w:r>
              <w:rPr>
                <w:rFonts w:cs="Times New Roman"/>
                <w:sz w:val="32"/>
                <w:szCs w:val="32"/>
              </w:rPr>
              <w:t>序号</w:t>
            </w:r>
          </w:p>
        </w:tc>
        <w:tc>
          <w:tcPr>
            <w:tcW w:w="2823" w:type="dxa"/>
            <w:vAlign w:val="center"/>
          </w:tcPr>
          <w:p>
            <w:pPr>
              <w:ind w:firstLine="0" w:firstLineChars="0"/>
              <w:jc w:val="center"/>
              <w:rPr>
                <w:rFonts w:cs="Times New Roman"/>
                <w:sz w:val="32"/>
                <w:szCs w:val="32"/>
              </w:rPr>
            </w:pPr>
            <w:r>
              <w:rPr>
                <w:rFonts w:cs="Times New Roman"/>
                <w:sz w:val="32"/>
                <w:szCs w:val="32"/>
              </w:rPr>
              <w:t>内容</w:t>
            </w:r>
          </w:p>
        </w:tc>
        <w:tc>
          <w:tcPr>
            <w:tcW w:w="4989" w:type="dxa"/>
            <w:vAlign w:val="center"/>
          </w:tcPr>
          <w:p>
            <w:pPr>
              <w:ind w:firstLine="0" w:firstLineChars="0"/>
              <w:jc w:val="center"/>
              <w:rPr>
                <w:rFonts w:cs="Times New Roman"/>
                <w:sz w:val="32"/>
                <w:szCs w:val="32"/>
              </w:rPr>
            </w:pPr>
            <w:r>
              <w:rPr>
                <w:rFonts w:cs="Times New Roman"/>
                <w:sz w:val="32"/>
                <w:szCs w:val="32"/>
              </w:rPr>
              <w:t>核查要点及方法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0" w:type="dxa"/>
            <w:vAlign w:val="center"/>
          </w:tcPr>
          <w:p>
            <w:pPr>
              <w:ind w:firstLine="0" w:firstLineChars="0"/>
              <w:jc w:val="center"/>
              <w:rPr>
                <w:rFonts w:cs="Times New Roman"/>
                <w:iCs/>
                <w:sz w:val="32"/>
                <w:szCs w:val="32"/>
              </w:rPr>
            </w:pPr>
            <w:r>
              <w:rPr>
                <w:rFonts w:hint="eastAsia" w:cs="Times New Roman"/>
                <w:iCs/>
                <w:sz w:val="32"/>
                <w:szCs w:val="32"/>
              </w:rPr>
              <w:t>1</w:t>
            </w:r>
          </w:p>
        </w:tc>
        <w:tc>
          <w:tcPr>
            <w:tcW w:w="2823" w:type="dxa"/>
            <w:vAlign w:val="center"/>
          </w:tcPr>
          <w:p>
            <w:pPr>
              <w:ind w:firstLine="0" w:firstLineChars="0"/>
              <w:rPr>
                <w:rFonts w:cs="Times New Roman"/>
                <w:bCs/>
                <w:kern w:val="0"/>
                <w:sz w:val="32"/>
                <w:szCs w:val="32"/>
              </w:rPr>
            </w:pPr>
            <w:r>
              <w:rPr>
                <w:rFonts w:hint="eastAsia" w:cs="Times New Roman"/>
                <w:kern w:val="0"/>
                <w:sz w:val="32"/>
                <w:szCs w:val="32"/>
              </w:rPr>
              <w:t>单次乘坐公共汽电车的出行里程（</w:t>
            </w:r>
            <m:oMath>
              <m:sSub>
                <m:sSubPr>
                  <m:ctrlPr>
                    <w:rPr>
                      <w:rFonts w:ascii="Cambria Math" w:hAnsi="Cambria Math"/>
                      <w:i/>
                      <w:sz w:val="32"/>
                      <w:szCs w:val="32"/>
                    </w:rPr>
                  </m:ctrlPr>
                </m:sSubPr>
                <m:e>
                  <m:r>
                    <m:rPr/>
                    <w:rPr>
                      <w:rFonts w:ascii="Cambria Math"/>
                      <w:sz w:val="32"/>
                      <w:szCs w:val="32"/>
                    </w:rPr>
                    <m:t>D</m:t>
                  </m:r>
                  <m:ctrlPr>
                    <w:rPr>
                      <w:rFonts w:ascii="Cambria Math" w:hAnsi="Cambria Math"/>
                      <w:i/>
                      <w:sz w:val="32"/>
                      <w:szCs w:val="32"/>
                    </w:rPr>
                  </m:ctrlPr>
                </m:e>
                <m:sub>
                  <m:r>
                    <m:rPr/>
                    <w:rPr>
                      <w:rFonts w:ascii="Cambria Math"/>
                      <w:sz w:val="32"/>
                      <w:szCs w:val="32"/>
                    </w:rPr>
                    <m:t>B</m:t>
                  </m:r>
                  <m:ctrlPr>
                    <w:rPr>
                      <w:rFonts w:ascii="Cambria Math" w:hAnsi="Cambria Math"/>
                      <w:i/>
                      <w:sz w:val="32"/>
                      <w:szCs w:val="32"/>
                    </w:rPr>
                  </m:ctrlPr>
                </m:sub>
              </m:sSub>
            </m:oMath>
            <w:r>
              <w:rPr>
                <w:rFonts w:hint="eastAsia" w:cs="Times New Roman"/>
                <w:kern w:val="0"/>
                <w:sz w:val="32"/>
                <w:szCs w:val="32"/>
              </w:rPr>
              <w:t>）</w:t>
            </w:r>
          </w:p>
        </w:tc>
        <w:tc>
          <w:tcPr>
            <w:tcW w:w="4989" w:type="dxa"/>
            <w:vAlign w:val="center"/>
          </w:tcPr>
          <w:p>
            <w:pPr>
              <w:numPr>
                <w:ilvl w:val="0"/>
                <w:numId w:val="10"/>
              </w:numPr>
              <w:ind w:firstLine="0" w:firstLineChars="0"/>
              <w:rPr>
                <w:rFonts w:cs="Times New Roman Regular"/>
                <w:iCs/>
                <w:sz w:val="32"/>
                <w:szCs w:val="32"/>
                <w:lang w:eastAsia="zh-Hans"/>
              </w:rPr>
            </w:pPr>
            <w:r>
              <w:rPr>
                <w:rFonts w:cs="Times New Roman Regular"/>
                <w:iCs/>
                <w:sz w:val="32"/>
                <w:szCs w:val="32"/>
                <w:lang w:eastAsia="zh-Hans"/>
              </w:rPr>
              <w:t>查阅</w:t>
            </w:r>
            <w:r>
              <w:rPr>
                <w:rFonts w:hint="eastAsia" w:ascii="宋体" w:hAnsi="宋体" w:cs="宋体"/>
                <w:iCs/>
                <w:sz w:val="32"/>
                <w:szCs w:val="32"/>
                <w:lang w:eastAsia="zh-Hans"/>
              </w:rPr>
              <w:t>“基础数据来源平台”和“碳普惠平台”的</w:t>
            </w:r>
            <w:r>
              <w:rPr>
                <w:rFonts w:cs="Times New Roman Regular"/>
                <w:iCs/>
                <w:sz w:val="32"/>
                <w:szCs w:val="32"/>
                <w:lang w:eastAsia="zh-Hans"/>
              </w:rPr>
              <w:t>样本数据取值</w:t>
            </w:r>
            <w:r>
              <w:rPr>
                <w:rFonts w:hint="eastAsia" w:cs="Times New Roman Regular"/>
                <w:iCs/>
                <w:sz w:val="32"/>
                <w:szCs w:val="32"/>
              </w:rPr>
              <w:t>，</w:t>
            </w:r>
            <w:r>
              <w:rPr>
                <w:rFonts w:cs="Times New Roman Regular"/>
                <w:iCs/>
                <w:sz w:val="32"/>
                <w:szCs w:val="32"/>
                <w:lang w:eastAsia="zh-Hans"/>
              </w:rPr>
              <w:t>交叉核对</w:t>
            </w:r>
            <w:r>
              <w:rPr>
                <w:rFonts w:cs="Times New Roman Regular"/>
                <w:iCs/>
                <w:sz w:val="32"/>
                <w:szCs w:val="32"/>
                <w:lang w:eastAsia="zh-Hans" w:bidi="ar"/>
              </w:rPr>
              <w:t>取值是否</w:t>
            </w:r>
            <w:r>
              <w:rPr>
                <w:rFonts w:hint="eastAsia" w:cs="Times New Roman Regular"/>
                <w:iCs/>
                <w:sz w:val="32"/>
                <w:szCs w:val="32"/>
              </w:rPr>
              <w:t>一致；</w:t>
            </w:r>
          </w:p>
          <w:p>
            <w:pPr>
              <w:numPr>
                <w:ilvl w:val="0"/>
                <w:numId w:val="10"/>
              </w:numPr>
              <w:ind w:firstLine="0" w:firstLineChars="0"/>
              <w:rPr>
                <w:sz w:val="32"/>
                <w:szCs w:val="32"/>
                <w:lang w:eastAsia="zh-Hans"/>
              </w:rPr>
            </w:pPr>
            <w:r>
              <w:rPr>
                <w:rFonts w:cs="Times New Roman Regular"/>
                <w:iCs/>
                <w:sz w:val="32"/>
                <w:szCs w:val="32"/>
                <w:lang w:eastAsia="zh-Hans"/>
              </w:rPr>
              <w:t>查阅样本数据的起讫点</w:t>
            </w:r>
            <w:r>
              <w:rPr>
                <w:rFonts w:hint="eastAsia" w:cs="Times New Roman Regular"/>
                <w:iCs/>
                <w:sz w:val="32"/>
                <w:szCs w:val="32"/>
              </w:rPr>
              <w:t>记录</w:t>
            </w:r>
            <w:r>
              <w:rPr>
                <w:rFonts w:cs="Times New Roman Regular"/>
                <w:iCs/>
                <w:sz w:val="32"/>
                <w:szCs w:val="32"/>
                <w:lang w:eastAsia="zh-Hans"/>
              </w:rPr>
              <w:t>和出行轨迹，是否位于</w:t>
            </w:r>
            <w:r>
              <w:rPr>
                <w:rFonts w:hint="eastAsia" w:cs="Times New Roman Regular"/>
                <w:iCs/>
                <w:sz w:val="32"/>
                <w:szCs w:val="32"/>
              </w:rPr>
              <w:t>宜昌市</w:t>
            </w:r>
            <w:r>
              <w:rPr>
                <w:rFonts w:cs="Times New Roman Regular"/>
                <w:iCs/>
                <w:sz w:val="32"/>
                <w:szCs w:val="32"/>
                <w:lang w:eastAsia="zh-Hans"/>
              </w:rPr>
              <w:t>行政区域内。</w:t>
            </w:r>
          </w:p>
        </w:tc>
      </w:tr>
      <w:bookmarkEnd w:id="249"/>
    </w:tbl>
    <w:p>
      <w:pPr>
        <w:pStyle w:val="2"/>
        <w:numPr>
          <w:ilvl w:val="0"/>
          <w:numId w:val="8"/>
        </w:numPr>
        <w:spacing w:before="312" w:after="312"/>
        <w:rPr>
          <w:sz w:val="32"/>
          <w:szCs w:val="32"/>
        </w:rPr>
      </w:pPr>
      <w:bookmarkStart w:id="267" w:name="_Toc213947394"/>
      <w:r>
        <w:rPr>
          <w:sz w:val="32"/>
          <w:szCs w:val="32"/>
        </w:rPr>
        <w:t>方法学编制</w:t>
      </w:r>
      <w:bookmarkEnd w:id="250"/>
      <w:bookmarkEnd w:id="251"/>
      <w:r>
        <w:rPr>
          <w:sz w:val="32"/>
          <w:szCs w:val="32"/>
        </w:rPr>
        <w:t>单位</w:t>
      </w:r>
      <w:bookmarkEnd w:id="252"/>
      <w:bookmarkEnd w:id="253"/>
      <w:bookmarkEnd w:id="267"/>
    </w:p>
    <w:p>
      <w:pPr>
        <w:pStyle w:val="24"/>
        <w:ind w:firstLine="420"/>
        <w:rPr>
          <w:sz w:val="32"/>
          <w:szCs w:val="32"/>
        </w:rPr>
      </w:pPr>
      <w:r>
        <w:rPr>
          <w:rFonts w:hint="eastAsia" w:ascii="Times New Roman"/>
          <w:color w:val="000000" w:themeColor="text1"/>
          <w:sz w:val="32"/>
          <w:szCs w:val="32"/>
          <w:highlight w:val="yellow"/>
          <w14:textFill>
            <w14:solidFill>
              <w14:schemeClr w14:val="tx1"/>
            </w14:solidFill>
          </w14:textFill>
        </w:rPr>
        <w:t>在本方法学编制工作中，</w:t>
      </w:r>
      <w:r>
        <w:rPr>
          <w:rFonts w:ascii="Times New Roman"/>
          <w:color w:val="000000" w:themeColor="text1"/>
          <w:sz w:val="32"/>
          <w:szCs w:val="32"/>
          <w:highlight w:val="yellow"/>
          <w14:textFill>
            <w14:solidFill>
              <w14:schemeClr w14:val="tx1"/>
            </w14:solidFill>
          </w14:textFill>
        </w:rPr>
        <w:t>X</w:t>
      </w:r>
      <w:r>
        <w:rPr>
          <w:rFonts w:hint="eastAsia" w:ascii="Times New Roman"/>
          <w:color w:val="000000" w:themeColor="text1"/>
          <w:sz w:val="32"/>
          <w:szCs w:val="32"/>
          <w:highlight w:val="yellow"/>
          <w14:textFill>
            <w14:solidFill>
              <w14:schemeClr w14:val="tx1"/>
            </w14:solidFill>
          </w14:textFill>
        </w:rPr>
        <w:t>单位</w:t>
      </w:r>
      <w:r>
        <w:rPr>
          <w:rFonts w:hint="eastAsia" w:ascii="Times New Roman"/>
          <w:color w:val="000000" w:themeColor="text1"/>
          <w:sz w:val="32"/>
          <w:szCs w:val="32"/>
          <w:highlight w:val="yellow"/>
          <w:lang w:eastAsia="zh"/>
          <w14:textFill>
            <w14:solidFill>
              <w14:schemeClr w14:val="tx1"/>
            </w14:solidFill>
          </w14:textFill>
        </w:rPr>
        <w:t>作</w:t>
      </w:r>
      <w:r>
        <w:rPr>
          <w:rFonts w:hint="eastAsia" w:ascii="Times New Roman"/>
          <w:color w:val="000000" w:themeColor="text1"/>
          <w:sz w:val="32"/>
          <w:szCs w:val="32"/>
          <w:highlight w:val="yellow"/>
          <w14:textFill>
            <w14:solidFill>
              <w14:schemeClr w14:val="tx1"/>
            </w14:solidFill>
          </w14:textFill>
        </w:rPr>
        <w:t>出积极贡献。</w:t>
      </w:r>
    </w:p>
    <w:p>
      <w:pPr>
        <w:ind w:firstLine="420"/>
        <w:jc w:val="left"/>
        <w:rPr>
          <w:rFonts w:cs="Times New Roman"/>
          <w:sz w:val="32"/>
          <w:szCs w:val="32"/>
        </w:rPr>
      </w:pPr>
      <w:r>
        <w:rPr>
          <w:rFonts w:cs="Times New Roman"/>
          <w:sz w:val="32"/>
          <w:szCs w:val="32"/>
        </w:rPr>
        <w:br w:type="page"/>
      </w:r>
    </w:p>
    <w:p>
      <w:pPr>
        <w:pStyle w:val="130"/>
        <w:numPr>
          <w:ilvl w:val="0"/>
          <w:numId w:val="0"/>
        </w:numPr>
        <w:spacing w:before="0" w:after="0" w:line="360" w:lineRule="auto"/>
        <w:rPr>
          <w:rFonts w:hint="eastAsia" w:hAnsi="黑体"/>
          <w:sz w:val="32"/>
          <w:szCs w:val="32"/>
        </w:rPr>
      </w:pPr>
      <w:bookmarkStart w:id="268" w:name="_Toc213947395"/>
      <w:bookmarkStart w:id="269" w:name="_Toc172908921"/>
      <w:bookmarkStart w:id="270" w:name="_Toc20891"/>
      <w:bookmarkStart w:id="271" w:name="_Toc164769573"/>
      <w:bookmarkStart w:id="272" w:name="_Toc7787"/>
      <w:bookmarkStart w:id="273" w:name="_Toc8544"/>
      <w:bookmarkStart w:id="274" w:name="_Toc13126"/>
      <w:bookmarkStart w:id="275" w:name="_Toc27935"/>
      <w:bookmarkStart w:id="276" w:name="_Toc17407"/>
      <w:bookmarkStart w:id="277" w:name="_Toc21449"/>
      <w:r>
        <w:rPr>
          <w:rFonts w:hint="eastAsia" w:hAnsi="黑体"/>
          <w:sz w:val="32"/>
          <w:szCs w:val="32"/>
          <w:lang w:eastAsia="zh-Hans"/>
        </w:rPr>
        <w:t>附</w:t>
      </w:r>
      <w:r>
        <w:rPr>
          <w:rFonts w:hint="eastAsia" w:hAnsi="黑体"/>
          <w:sz w:val="32"/>
          <w:szCs w:val="32"/>
        </w:rPr>
        <w:t xml:space="preserve">  </w:t>
      </w:r>
      <w:r>
        <w:rPr>
          <w:rFonts w:hint="eastAsia" w:hAnsi="黑体"/>
          <w:sz w:val="32"/>
          <w:szCs w:val="32"/>
          <w:lang w:eastAsia="zh-Hans"/>
        </w:rPr>
        <w:t>录</w:t>
      </w:r>
      <w:r>
        <w:rPr>
          <w:rFonts w:hint="eastAsia" w:hAnsi="黑体"/>
          <w:sz w:val="32"/>
          <w:szCs w:val="32"/>
        </w:rPr>
        <w:t xml:space="preserve">  A</w:t>
      </w:r>
      <w:bookmarkEnd w:id="268"/>
      <w:r>
        <w:rPr>
          <w:rFonts w:hint="eastAsia" w:hAnsi="黑体"/>
          <w:sz w:val="32"/>
          <w:szCs w:val="32"/>
        </w:rPr>
        <w:t xml:space="preserve">  </w:t>
      </w:r>
    </w:p>
    <w:p>
      <w:pPr>
        <w:spacing w:line="360" w:lineRule="auto"/>
        <w:ind w:firstLine="0" w:firstLineChars="0"/>
        <w:jc w:val="center"/>
        <w:rPr>
          <w:rFonts w:hint="eastAsia" w:ascii="黑体" w:hAnsi="黑体" w:eastAsia="黑体" w:cs="黑体"/>
          <w:sz w:val="32"/>
          <w:szCs w:val="32"/>
          <w:lang w:eastAsia="zh-Hans"/>
        </w:rPr>
      </w:pPr>
      <w:r>
        <w:rPr>
          <w:rFonts w:hint="eastAsia" w:ascii="黑体" w:hAnsi="黑体" w:eastAsia="黑体" w:cs="黑体"/>
          <w:sz w:val="32"/>
          <w:szCs w:val="32"/>
        </w:rPr>
        <w:t>不同出行方式碳排放因子</w:t>
      </w:r>
    </w:p>
    <w:bookmarkEnd w:id="269"/>
    <w:bookmarkEnd w:id="270"/>
    <w:bookmarkEnd w:id="271"/>
    <w:bookmarkEnd w:id="272"/>
    <w:bookmarkEnd w:id="273"/>
    <w:bookmarkEnd w:id="274"/>
    <w:bookmarkEnd w:id="275"/>
    <w:bookmarkEnd w:id="276"/>
    <w:bookmarkEnd w:id="277"/>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pPr>
              <w:ind w:firstLine="0" w:firstLineChars="0"/>
              <w:jc w:val="center"/>
              <w:rPr>
                <w:rFonts w:cs="Times New Roman"/>
                <w:kern w:val="0"/>
                <w:sz w:val="32"/>
                <w:szCs w:val="32"/>
              </w:rPr>
            </w:pPr>
            <w:r>
              <w:rPr>
                <w:rFonts w:cs="Times New Roman"/>
                <w:kern w:val="0"/>
                <w:sz w:val="32"/>
                <w:szCs w:val="32"/>
              </w:rPr>
              <w:t>类型</w:t>
            </w:r>
          </w:p>
        </w:tc>
        <w:tc>
          <w:tcPr>
            <w:tcW w:w="2500" w:type="pct"/>
            <w:vAlign w:val="center"/>
          </w:tcPr>
          <w:p>
            <w:pPr>
              <w:ind w:firstLine="0" w:firstLineChars="0"/>
              <w:jc w:val="center"/>
              <w:rPr>
                <w:rFonts w:cs="Times New Roman"/>
                <w:kern w:val="0"/>
                <w:sz w:val="32"/>
                <w:szCs w:val="32"/>
              </w:rPr>
            </w:pPr>
            <w:r>
              <w:rPr>
                <w:rFonts w:cs="Times New Roman"/>
                <w:color w:val="000000"/>
                <w:kern w:val="0"/>
                <w:sz w:val="32"/>
                <w:szCs w:val="32"/>
              </w:rPr>
              <w:t>排放因子（kgCO</w:t>
            </w:r>
            <w:r>
              <w:rPr>
                <w:rFonts w:cs="Times New Roman"/>
                <w:color w:val="000000"/>
                <w:kern w:val="0"/>
                <w:sz w:val="32"/>
                <w:szCs w:val="32"/>
                <w:vertAlign w:val="subscript"/>
              </w:rPr>
              <w:t>2</w:t>
            </w:r>
            <w:r>
              <w:rPr>
                <w:rFonts w:cs="Times New Roman"/>
                <w:color w:val="000000"/>
                <w:kern w:val="0"/>
                <w:sz w:val="32"/>
                <w:szCs w:val="32"/>
              </w:rPr>
              <w:t>/PKM）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500" w:type="pct"/>
            <w:vAlign w:val="center"/>
          </w:tcPr>
          <w:p>
            <w:pPr>
              <w:ind w:firstLine="0" w:firstLineChars="0"/>
              <w:jc w:val="center"/>
              <w:rPr>
                <w:rFonts w:cs="Times New Roman"/>
                <w:color w:val="000000"/>
                <w:kern w:val="0"/>
                <w:sz w:val="32"/>
                <w:szCs w:val="32"/>
              </w:rPr>
            </w:pPr>
            <w:r>
              <w:rPr>
                <w:rFonts w:cs="Times New Roman"/>
                <w:color w:val="000000"/>
                <w:kern w:val="0"/>
                <w:sz w:val="32"/>
                <w:szCs w:val="32"/>
              </w:rPr>
              <w:t>公共汽</w:t>
            </w:r>
            <w:r>
              <w:rPr>
                <w:rFonts w:hint="eastAsia" w:cs="Times New Roman"/>
                <w:color w:val="000000"/>
                <w:kern w:val="0"/>
                <w:sz w:val="32"/>
                <w:szCs w:val="32"/>
              </w:rPr>
              <w:t>电</w:t>
            </w:r>
            <w:r>
              <w:rPr>
                <w:rFonts w:cs="Times New Roman"/>
                <w:color w:val="000000"/>
                <w:kern w:val="0"/>
                <w:sz w:val="32"/>
                <w:szCs w:val="32"/>
              </w:rPr>
              <w:t>车B</w:t>
            </w:r>
          </w:p>
        </w:tc>
        <w:tc>
          <w:tcPr>
            <w:tcW w:w="2500" w:type="pct"/>
            <w:vAlign w:val="center"/>
          </w:tcPr>
          <w:p>
            <w:pPr>
              <w:ind w:firstLine="0" w:firstLineChars="0"/>
              <w:jc w:val="center"/>
              <w:rPr>
                <w:rFonts w:cs="Times New Roman"/>
                <w:kern w:val="0"/>
                <w:sz w:val="32"/>
                <w:szCs w:val="32"/>
              </w:rPr>
            </w:pPr>
            <w:r>
              <w:rPr>
                <w:rFonts w:cs="Times New Roman"/>
                <w:kern w:val="0"/>
                <w:sz w:val="32"/>
                <w:szCs w:val="32"/>
              </w:rPr>
              <w:t>0.0</w:t>
            </w:r>
            <w:r>
              <w:rPr>
                <w:rFonts w:hint="eastAsia" w:cs="Times New Roman"/>
                <w:kern w:val="0"/>
                <w:sz w:val="32"/>
                <w:szCs w:val="32"/>
              </w:rPr>
              <w:t>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pPr>
              <w:ind w:firstLine="0" w:firstLineChars="0"/>
              <w:jc w:val="center"/>
              <w:rPr>
                <w:rFonts w:cs="Times New Roman"/>
                <w:color w:val="000000"/>
                <w:kern w:val="0"/>
                <w:sz w:val="32"/>
                <w:szCs w:val="32"/>
              </w:rPr>
            </w:pPr>
            <w:r>
              <w:rPr>
                <w:rFonts w:cs="Times New Roman"/>
                <w:color w:val="000000"/>
                <w:kern w:val="0"/>
                <w:sz w:val="32"/>
                <w:szCs w:val="32"/>
              </w:rPr>
              <w:t>私家车P</w:t>
            </w:r>
          </w:p>
        </w:tc>
        <w:tc>
          <w:tcPr>
            <w:tcW w:w="2500" w:type="pct"/>
            <w:vAlign w:val="center"/>
          </w:tcPr>
          <w:p>
            <w:pPr>
              <w:ind w:firstLine="0" w:firstLineChars="0"/>
              <w:jc w:val="center"/>
              <w:rPr>
                <w:rFonts w:cs="Times New Roman"/>
                <w:kern w:val="0"/>
                <w:sz w:val="32"/>
                <w:szCs w:val="32"/>
              </w:rPr>
            </w:pPr>
            <w:r>
              <w:rPr>
                <w:rFonts w:cs="Times New Roman"/>
                <w:kern w:val="0"/>
                <w:sz w:val="32"/>
                <w:szCs w:val="32"/>
              </w:rPr>
              <w:t>0.11</w:t>
            </w:r>
            <w:r>
              <w:rPr>
                <w:rFonts w:hint="eastAsia" w:cs="Times New Roman"/>
                <w:kern w:val="0"/>
                <w:sz w:val="32"/>
                <w:szCs w:val="3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2500" w:type="pct"/>
            <w:vAlign w:val="center"/>
          </w:tcPr>
          <w:p>
            <w:pPr>
              <w:ind w:firstLine="0" w:firstLineChars="0"/>
              <w:jc w:val="center"/>
              <w:rPr>
                <w:rFonts w:cs="Times New Roman"/>
                <w:color w:val="000000"/>
                <w:kern w:val="0"/>
                <w:sz w:val="32"/>
                <w:szCs w:val="32"/>
              </w:rPr>
            </w:pPr>
            <w:r>
              <w:rPr>
                <w:rFonts w:cs="Times New Roman"/>
                <w:color w:val="000000"/>
                <w:kern w:val="0"/>
                <w:sz w:val="32"/>
                <w:szCs w:val="32"/>
              </w:rPr>
              <w:t>出租车</w:t>
            </w:r>
            <w:r>
              <w:rPr>
                <w:rFonts w:hint="eastAsia" w:cs="Times New Roman"/>
                <w:color w:val="000000"/>
                <w:kern w:val="0"/>
                <w:sz w:val="32"/>
                <w:szCs w:val="32"/>
              </w:rPr>
              <w:t>（含网约车）</w:t>
            </w:r>
            <w:r>
              <w:rPr>
                <w:rFonts w:cs="Times New Roman"/>
                <w:color w:val="000000"/>
                <w:kern w:val="0"/>
                <w:sz w:val="32"/>
                <w:szCs w:val="32"/>
              </w:rPr>
              <w:t>T</w:t>
            </w:r>
          </w:p>
        </w:tc>
        <w:tc>
          <w:tcPr>
            <w:tcW w:w="2500" w:type="pct"/>
            <w:vAlign w:val="center"/>
          </w:tcPr>
          <w:p>
            <w:pPr>
              <w:ind w:firstLine="0" w:firstLineChars="0"/>
              <w:jc w:val="center"/>
              <w:rPr>
                <w:rFonts w:cs="Times New Roman"/>
                <w:kern w:val="0"/>
                <w:sz w:val="32"/>
                <w:szCs w:val="32"/>
              </w:rPr>
            </w:pPr>
            <w:r>
              <w:rPr>
                <w:rFonts w:cs="Times New Roman"/>
                <w:kern w:val="0"/>
                <w:sz w:val="32"/>
                <w:szCs w:val="32"/>
              </w:rPr>
              <w:t>0.</w:t>
            </w:r>
            <w:r>
              <w:rPr>
                <w:rFonts w:hint="eastAsia" w:cs="Times New Roman"/>
                <w:kern w:val="0"/>
                <w:sz w:val="32"/>
                <w:szCs w:val="32"/>
              </w:rPr>
              <w:t>0838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pPr>
              <w:ind w:firstLine="0" w:firstLineChars="0"/>
              <w:jc w:val="center"/>
              <w:rPr>
                <w:rFonts w:cs="Times New Roman"/>
                <w:color w:val="000000"/>
                <w:kern w:val="0"/>
                <w:sz w:val="32"/>
                <w:szCs w:val="32"/>
              </w:rPr>
            </w:pPr>
            <w:r>
              <w:rPr>
                <w:rFonts w:hint="eastAsia" w:cs="Times New Roman"/>
                <w:color w:val="000000"/>
                <w:kern w:val="0"/>
                <w:sz w:val="32"/>
                <w:szCs w:val="32"/>
              </w:rPr>
              <w:t>电动自行车E</w:t>
            </w:r>
          </w:p>
        </w:tc>
        <w:tc>
          <w:tcPr>
            <w:tcW w:w="2500" w:type="pct"/>
            <w:vAlign w:val="center"/>
          </w:tcPr>
          <w:p>
            <w:pPr>
              <w:ind w:firstLine="0" w:firstLineChars="0"/>
              <w:jc w:val="center"/>
              <w:rPr>
                <w:rFonts w:cs="Times New Roman"/>
                <w:kern w:val="0"/>
                <w:sz w:val="32"/>
                <w:szCs w:val="32"/>
              </w:rPr>
            </w:pPr>
            <w:r>
              <w:rPr>
                <w:rFonts w:cs="Times New Roman"/>
                <w:kern w:val="0"/>
                <w:sz w:val="32"/>
                <w:szCs w:val="32"/>
              </w:rPr>
              <w:t>0.00</w:t>
            </w:r>
            <w:r>
              <w:rPr>
                <w:rFonts w:hint="eastAsia" w:cs="Times New Roman"/>
                <w:kern w:val="0"/>
                <w:sz w:val="32"/>
                <w:szCs w:val="32"/>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500" w:type="pct"/>
            <w:vAlign w:val="center"/>
          </w:tcPr>
          <w:p>
            <w:pPr>
              <w:ind w:firstLine="0" w:firstLineChars="0"/>
              <w:jc w:val="center"/>
              <w:rPr>
                <w:rFonts w:hint="eastAsia" w:cs="Times New Roman"/>
                <w:color w:val="000000"/>
                <w:kern w:val="0"/>
                <w:sz w:val="32"/>
                <w:szCs w:val="32"/>
              </w:rPr>
            </w:pPr>
            <w:r>
              <w:rPr>
                <w:rFonts w:hint="eastAsia" w:cs="Times New Roman"/>
                <w:color w:val="000000"/>
                <w:kern w:val="0"/>
                <w:sz w:val="32"/>
                <w:szCs w:val="32"/>
              </w:rPr>
              <w:t>摩托车M</w:t>
            </w:r>
          </w:p>
        </w:tc>
        <w:tc>
          <w:tcPr>
            <w:tcW w:w="2500" w:type="pct"/>
            <w:vAlign w:val="center"/>
          </w:tcPr>
          <w:p>
            <w:pPr>
              <w:ind w:firstLine="0" w:firstLineChars="0"/>
              <w:jc w:val="center"/>
              <w:rPr>
                <w:rFonts w:cs="Times New Roman"/>
                <w:kern w:val="0"/>
                <w:sz w:val="32"/>
                <w:szCs w:val="32"/>
              </w:rPr>
            </w:pPr>
            <w:r>
              <w:rPr>
                <w:rFonts w:hint="eastAsia" w:cs="Times New Roman"/>
                <w:kern w:val="0"/>
                <w:sz w:val="32"/>
                <w:szCs w:val="32"/>
              </w:rPr>
              <w:t>0.0620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500" w:type="pct"/>
            <w:vAlign w:val="center"/>
          </w:tcPr>
          <w:p>
            <w:pPr>
              <w:ind w:firstLine="0" w:firstLineChars="0"/>
              <w:jc w:val="center"/>
              <w:rPr>
                <w:rFonts w:cs="Times New Roman"/>
                <w:color w:val="000000"/>
                <w:kern w:val="0"/>
                <w:sz w:val="32"/>
                <w:szCs w:val="32"/>
              </w:rPr>
            </w:pPr>
            <w:r>
              <w:rPr>
                <w:rFonts w:hint="eastAsia" w:cs="Times New Roman"/>
                <w:color w:val="000000"/>
                <w:kern w:val="0"/>
                <w:sz w:val="32"/>
                <w:szCs w:val="32"/>
              </w:rPr>
              <w:t>机动化</w:t>
            </w:r>
            <w:r>
              <w:rPr>
                <w:rFonts w:cs="Times New Roman"/>
                <w:color w:val="000000"/>
                <w:kern w:val="0"/>
                <w:sz w:val="32"/>
                <w:szCs w:val="32"/>
              </w:rPr>
              <w:t>出行的加权排放因子</w:t>
            </w:r>
          </w:p>
        </w:tc>
        <w:tc>
          <w:tcPr>
            <w:tcW w:w="2500" w:type="pct"/>
            <w:vAlign w:val="center"/>
          </w:tcPr>
          <w:p>
            <w:pPr>
              <w:ind w:firstLine="0" w:firstLineChars="0"/>
              <w:jc w:val="center"/>
              <w:rPr>
                <w:rFonts w:cs="Times New Roman"/>
                <w:kern w:val="0"/>
                <w:sz w:val="32"/>
                <w:szCs w:val="32"/>
              </w:rPr>
            </w:pPr>
            <w:r>
              <w:rPr>
                <w:rFonts w:hint="eastAsia" w:cs="Times New Roman"/>
                <w:kern w:val="0"/>
                <w:sz w:val="32"/>
                <w:szCs w:val="32"/>
              </w:rPr>
              <w:t>0.0572</w:t>
            </w:r>
          </w:p>
        </w:tc>
      </w:tr>
    </w:tbl>
    <w:p>
      <w:pPr>
        <w:ind w:firstLine="0" w:firstLineChars="0"/>
        <w:rPr>
          <w:rFonts w:cs="Times New Roman"/>
          <w:sz w:val="32"/>
          <w:szCs w:val="32"/>
        </w:rPr>
      </w:pPr>
      <w:r>
        <w:rPr>
          <w:rFonts w:cs="Times New Roman"/>
          <w:sz w:val="32"/>
          <w:szCs w:val="32"/>
        </w:rPr>
        <w:t>注：以上排放因子缺省值基于20</w:t>
      </w:r>
      <w:r>
        <w:rPr>
          <w:rFonts w:hint="eastAsia" w:cs="Times New Roman"/>
          <w:sz w:val="32"/>
          <w:szCs w:val="32"/>
        </w:rPr>
        <w:t>22</w:t>
      </w:r>
      <w:r>
        <w:rPr>
          <w:rFonts w:cs="Times New Roman"/>
          <w:sz w:val="32"/>
          <w:szCs w:val="32"/>
        </w:rPr>
        <w:t>年公开发布的交通统计数据</w:t>
      </w:r>
      <w:r>
        <w:rPr>
          <w:rFonts w:hint="eastAsia" w:cs="Times New Roman"/>
          <w:sz w:val="32"/>
          <w:szCs w:val="32"/>
        </w:rPr>
        <w:t>、2024年宜昌市</w:t>
      </w:r>
      <w:r>
        <w:rPr>
          <w:rFonts w:cs="Times New Roman"/>
          <w:sz w:val="32"/>
          <w:szCs w:val="32"/>
        </w:rPr>
        <w:t>交通统计数据核算得出，每年各项指标均会发生变化。仅作为减排量开发阶段某项数据缺失无法完成计算时的参考值和实测计算值的比对值。</w:t>
      </w:r>
      <w:bookmarkEnd w:id="0"/>
    </w:p>
    <w:p>
      <w:pPr>
        <w:ind w:firstLine="0" w:firstLineChars="0"/>
        <w:rPr>
          <w:rFonts w:cs="Times New Roman"/>
          <w:sz w:val="32"/>
          <w:szCs w:val="32"/>
        </w:rPr>
      </w:pPr>
      <w:r>
        <w:rPr>
          <w:rFonts w:cs="Times New Roman"/>
          <w:sz w:val="32"/>
          <w:szCs w:val="32"/>
        </w:rPr>
        <w:br w:type="page"/>
      </w:r>
    </w:p>
    <w:p>
      <w:pPr>
        <w:ind w:firstLine="0" w:firstLineChars="0"/>
        <w:jc w:val="center"/>
        <w:rPr>
          <w:rFonts w:cs="Times New Roman"/>
          <w:b/>
          <w:bCs/>
          <w:sz w:val="32"/>
          <w:szCs w:val="32"/>
        </w:rPr>
      </w:pPr>
      <w:r>
        <w:rPr>
          <w:rFonts w:hint="eastAsia" w:cs="Times New Roman"/>
          <w:b/>
          <w:bCs/>
          <w:sz w:val="32"/>
          <w:szCs w:val="32"/>
        </w:rPr>
        <w:t>《公共汽电车出行碳普惠方法学》编制说明</w:t>
      </w:r>
    </w:p>
    <w:p>
      <w:pPr>
        <w:ind w:firstLine="420"/>
        <w:rPr>
          <w:sz w:val="32"/>
          <w:szCs w:val="32"/>
        </w:rPr>
      </w:pPr>
    </w:p>
    <w:p>
      <w:pPr>
        <w:ind w:firstLine="420"/>
        <w:rPr>
          <w:sz w:val="32"/>
          <w:szCs w:val="32"/>
        </w:rPr>
      </w:pPr>
      <w:r>
        <w:rPr>
          <w:rFonts w:hint="eastAsia"/>
          <w:sz w:val="32"/>
          <w:szCs w:val="32"/>
        </w:rPr>
        <w:t>为构建完善宜昌市碳普惠方法学体系，推动交通领域绿色转型、</w:t>
      </w:r>
      <w:r>
        <w:rPr>
          <w:rFonts w:cs="Times New Roman"/>
          <w:sz w:val="32"/>
          <w:szCs w:val="32"/>
        </w:rPr>
        <w:t>减少化石燃料消费</w:t>
      </w:r>
      <w:r>
        <w:rPr>
          <w:rFonts w:hint="eastAsia"/>
          <w:sz w:val="32"/>
          <w:szCs w:val="32"/>
        </w:rPr>
        <w:t>，助力全市碳达峰碳中和目标实现，宜昌市生态环境局组织编制了《公共汽电车出行碳普惠方法学》，有关情况说明如下。</w:t>
      </w:r>
    </w:p>
    <w:p>
      <w:pPr>
        <w:pStyle w:val="2"/>
        <w:numPr>
          <w:ilvl w:val="0"/>
          <w:numId w:val="11"/>
        </w:numPr>
        <w:spacing w:before="156" w:beforeLines="50" w:after="156" w:afterLines="50"/>
        <w:rPr>
          <w:rFonts w:cstheme="minorBidi"/>
          <w:kern w:val="2"/>
          <w:sz w:val="32"/>
          <w:szCs w:val="32"/>
          <w:lang w:bidi="ar"/>
        </w:rPr>
      </w:pPr>
      <w:bookmarkStart w:id="278" w:name="_Toc213947396"/>
      <w:r>
        <w:rPr>
          <w:sz w:val="32"/>
          <w:szCs w:val="32"/>
        </w:rPr>
        <w:t>编制背景</w:t>
      </w:r>
      <w:r>
        <w:rPr>
          <w:rFonts w:hint="eastAsia"/>
          <w:sz w:val="32"/>
          <w:szCs w:val="32"/>
        </w:rPr>
        <w:t>和意义</w:t>
      </w:r>
      <w:bookmarkEnd w:id="278"/>
    </w:p>
    <w:p>
      <w:pPr>
        <w:widowControl/>
        <w:ind w:firstLine="420"/>
        <w:jc w:val="left"/>
        <w:rPr>
          <w:sz w:val="32"/>
          <w:szCs w:val="32"/>
          <w:lang w:bidi="ar"/>
        </w:rPr>
      </w:pPr>
      <w:r>
        <w:rPr>
          <w:rFonts w:hint="eastAsia"/>
          <w:sz w:val="32"/>
          <w:szCs w:val="32"/>
          <w:lang w:bidi="ar"/>
        </w:rPr>
        <w:t>公共汽电车是城市居民日常出行的重要方式之一。相比私人燃油车出行，公共汽电车通过多人共享出行，可显著降低人均碳排放强度，是建设绿色低碳交通体系的重要组成部分。然而，目前仍存在居民绿色出行意识不足、公共交通吸引力不强等问题，导致私家车出行比例偏高，增加了交通领域的碳排放压力。本方法学倡导居民以公共交通替代私家车出行，鼓励城市公交系统绿色化、智能化升级，推动形成绿色出行新风尚，提升公共交通服务水平，助力宜昌市碳普惠体系建设与城市绿色低碳发展。</w:t>
      </w:r>
    </w:p>
    <w:p>
      <w:pPr>
        <w:pStyle w:val="2"/>
        <w:numPr>
          <w:ilvl w:val="0"/>
          <w:numId w:val="11"/>
        </w:numPr>
        <w:spacing w:before="156" w:beforeLines="50" w:after="156" w:afterLines="50"/>
        <w:rPr>
          <w:sz w:val="32"/>
          <w:szCs w:val="32"/>
        </w:rPr>
      </w:pPr>
      <w:bookmarkStart w:id="279" w:name="_Toc213947397"/>
      <w:r>
        <w:rPr>
          <w:sz w:val="32"/>
          <w:szCs w:val="32"/>
        </w:rPr>
        <w:t>编制</w:t>
      </w:r>
      <w:r>
        <w:rPr>
          <w:rFonts w:hint="eastAsia"/>
          <w:sz w:val="32"/>
          <w:szCs w:val="32"/>
        </w:rPr>
        <w:t>过程</w:t>
      </w:r>
      <w:bookmarkEnd w:id="279"/>
    </w:p>
    <w:p>
      <w:pPr>
        <w:widowControl/>
        <w:ind w:firstLine="420"/>
        <w:jc w:val="left"/>
        <w:rPr>
          <w:sz w:val="32"/>
          <w:szCs w:val="32"/>
          <w:lang w:bidi="ar"/>
        </w:rPr>
      </w:pPr>
      <w:r>
        <w:rPr>
          <w:rFonts w:hint="eastAsia"/>
          <w:sz w:val="32"/>
          <w:szCs w:val="32"/>
          <w:lang w:bidi="ar"/>
        </w:rPr>
        <w:t>通过收集调研宜昌市交通运营情况及绿色出行的比例，完善方法学参数设置，确保减排量核算的科学性与可操作性。2025年11月，完成方法学及编制说明文件。</w:t>
      </w:r>
    </w:p>
    <w:p>
      <w:pPr>
        <w:pStyle w:val="2"/>
        <w:numPr>
          <w:ilvl w:val="0"/>
          <w:numId w:val="11"/>
        </w:numPr>
        <w:spacing w:before="156" w:beforeLines="50" w:after="156" w:afterLines="50"/>
        <w:rPr>
          <w:sz w:val="32"/>
          <w:szCs w:val="32"/>
        </w:rPr>
      </w:pPr>
      <w:bookmarkStart w:id="280" w:name="_Toc213947398"/>
      <w:r>
        <w:rPr>
          <w:rFonts w:hint="eastAsia"/>
          <w:sz w:val="32"/>
          <w:szCs w:val="32"/>
        </w:rPr>
        <w:t>主要内容</w:t>
      </w:r>
      <w:bookmarkEnd w:id="280"/>
    </w:p>
    <w:p>
      <w:pPr>
        <w:widowControl/>
        <w:ind w:firstLine="420"/>
        <w:jc w:val="left"/>
        <w:rPr>
          <w:sz w:val="32"/>
          <w:szCs w:val="32"/>
        </w:rPr>
      </w:pPr>
      <w:r>
        <w:rPr>
          <w:rFonts w:hint="eastAsia"/>
          <w:sz w:val="32"/>
          <w:szCs w:val="32"/>
        </w:rPr>
        <w:t>本方法学共包括9个章节。</w:t>
      </w:r>
    </w:p>
    <w:p>
      <w:pPr>
        <w:widowControl/>
        <w:ind w:firstLine="420"/>
        <w:jc w:val="left"/>
        <w:rPr>
          <w:sz w:val="32"/>
          <w:szCs w:val="32"/>
        </w:rPr>
      </w:pPr>
      <w:r>
        <w:rPr>
          <w:rFonts w:hint="eastAsia"/>
          <w:sz w:val="32"/>
          <w:szCs w:val="32"/>
        </w:rPr>
        <w:t>第 1 章“引言”，说明本方法学的减排机理为鼓励居民选择公共汽电车出行方式，以多人共享出行替代高排放的私人燃油车出行，从而有效减少单位出行碳排放量，实现温室气体减排。同时，明确本方法学适用于宜昌市碳普惠体系，属于交通运输领域方法学。</w:t>
      </w:r>
    </w:p>
    <w:p>
      <w:pPr>
        <w:pStyle w:val="29"/>
        <w:spacing w:before="0" w:beforeLines="0" w:beforeAutospacing="0" w:after="0" w:afterLines="0" w:afterAutospacing="0"/>
        <w:ind w:firstLine="640" w:firstLineChars="200"/>
        <w:rPr>
          <w:rFonts w:hint="eastAsia"/>
          <w:sz w:val="32"/>
          <w:szCs w:val="32"/>
        </w:rPr>
      </w:pPr>
      <w:r>
        <w:rPr>
          <w:rFonts w:hint="eastAsia" w:ascii="Times New Roman" w:hAnsi="Times New Roman" w:cstheme="minorBidi"/>
          <w:kern w:val="2"/>
          <w:sz w:val="32"/>
          <w:szCs w:val="32"/>
        </w:rPr>
        <w:t>第 2 章“适用条件”，明确本方法学适用于宜昌市行政区域内居民个人乘坐公共汽电车出行减排量归个人。出行记录数据采集可源于公共汽电车运营机构、公共交通支付平台等。</w:t>
      </w:r>
    </w:p>
    <w:p>
      <w:pPr>
        <w:widowControl/>
        <w:ind w:firstLine="420"/>
        <w:jc w:val="left"/>
        <w:rPr>
          <w:sz w:val="32"/>
          <w:szCs w:val="32"/>
        </w:rPr>
      </w:pPr>
      <w:r>
        <w:rPr>
          <w:rFonts w:hint="eastAsia"/>
          <w:sz w:val="32"/>
          <w:szCs w:val="32"/>
        </w:rPr>
        <w:t>第 3 章“规范性引用文件”，列出了本方法学引用的国家标准和行业标准。</w:t>
      </w:r>
    </w:p>
    <w:p>
      <w:pPr>
        <w:widowControl/>
        <w:ind w:firstLine="420"/>
        <w:jc w:val="left"/>
        <w:rPr>
          <w:sz w:val="32"/>
          <w:szCs w:val="32"/>
        </w:rPr>
      </w:pPr>
      <w:r>
        <w:rPr>
          <w:rFonts w:hint="eastAsia"/>
          <w:sz w:val="32"/>
          <w:szCs w:val="32"/>
        </w:rPr>
        <w:t>第 4 章“术语和定义”，规定了 8 个主要术语及定义，主要参考国家和交通行业的推荐性标准。</w:t>
      </w:r>
    </w:p>
    <w:p>
      <w:pPr>
        <w:ind w:firstLine="420"/>
        <w:jc w:val="left"/>
        <w:rPr>
          <w:sz w:val="32"/>
          <w:szCs w:val="32"/>
        </w:rPr>
      </w:pPr>
      <w:r>
        <w:rPr>
          <w:rFonts w:hint="eastAsia"/>
          <w:sz w:val="32"/>
          <w:szCs w:val="32"/>
        </w:rPr>
        <w:t>第 5 章“项目边界、计入期和温室气体排放源”，以文字描述本方法学的核算边界为</w:t>
      </w:r>
      <w:r>
        <w:rPr>
          <w:rFonts w:cs="Times New Roman"/>
          <w:sz w:val="32"/>
          <w:szCs w:val="32"/>
        </w:rPr>
        <w:t>个人</w:t>
      </w:r>
      <w:r>
        <w:rPr>
          <w:rFonts w:hint="eastAsia" w:cs="Times New Roman"/>
          <w:sz w:val="32"/>
          <w:szCs w:val="32"/>
        </w:rPr>
        <w:t>乘坐公共汽电车出行涉及的公共汽电车和出行轨迹。</w:t>
      </w:r>
      <w:r>
        <w:rPr>
          <w:rFonts w:hint="eastAsia"/>
          <w:sz w:val="32"/>
          <w:szCs w:val="32"/>
        </w:rPr>
        <w:t>规定了计入期为个人用户注册且授权碳普惠平台获取相关行为数据的当日开始，至解除绑定之日结束。</w:t>
      </w:r>
    </w:p>
    <w:p>
      <w:pPr>
        <w:ind w:firstLine="420"/>
        <w:jc w:val="left"/>
        <w:rPr>
          <w:sz w:val="32"/>
          <w:szCs w:val="32"/>
        </w:rPr>
      </w:pPr>
      <w:r>
        <w:rPr>
          <w:rFonts w:hint="eastAsia"/>
          <w:sz w:val="32"/>
          <w:szCs w:val="32"/>
        </w:rPr>
        <w:t>第 6 章“项目减排量核算方法”，规定了</w:t>
      </w:r>
      <w:r>
        <w:rPr>
          <w:rFonts w:cs="Times New Roman"/>
          <w:sz w:val="32"/>
          <w:szCs w:val="32"/>
        </w:rPr>
        <w:t>个人</w:t>
      </w:r>
      <w:r>
        <w:rPr>
          <w:rFonts w:hint="eastAsia" w:cs="Times New Roman"/>
          <w:sz w:val="32"/>
          <w:szCs w:val="32"/>
        </w:rPr>
        <w:t>乘坐公共汽电车出行</w:t>
      </w:r>
      <w:r>
        <w:rPr>
          <w:rFonts w:hint="eastAsia"/>
          <w:sz w:val="32"/>
          <w:szCs w:val="32"/>
        </w:rPr>
        <w:t>的基准线情景、额外性论证方式和减排量计算方法。</w:t>
      </w:r>
    </w:p>
    <w:p>
      <w:pPr>
        <w:ind w:firstLine="420"/>
        <w:jc w:val="left"/>
        <w:rPr>
          <w:sz w:val="32"/>
          <w:szCs w:val="32"/>
        </w:rPr>
      </w:pPr>
      <w:r>
        <w:rPr>
          <w:rFonts w:hint="eastAsia"/>
          <w:sz w:val="32"/>
          <w:szCs w:val="32"/>
        </w:rPr>
        <w:t>第 7 章“数据来源及监测”，列举了</w:t>
      </w:r>
      <w:r>
        <w:rPr>
          <w:rFonts w:cs="Times New Roman"/>
          <w:sz w:val="32"/>
          <w:szCs w:val="32"/>
        </w:rPr>
        <w:t>个人</w:t>
      </w:r>
      <w:r>
        <w:rPr>
          <w:rFonts w:hint="eastAsia" w:cs="Times New Roman"/>
          <w:sz w:val="32"/>
          <w:szCs w:val="32"/>
        </w:rPr>
        <w:t>乘坐公共汽电车出行</w:t>
      </w:r>
      <w:r>
        <w:rPr>
          <w:rFonts w:hint="eastAsia"/>
          <w:sz w:val="32"/>
          <w:szCs w:val="32"/>
        </w:rPr>
        <w:t>在前期阶段应确定的参数，以及行为实施阶段应开展监测的参数，并说明数据来源、数据单位、监测位置与频次、质量保证与控制程序要求、数据管理要求等内容。</w:t>
      </w:r>
    </w:p>
    <w:p>
      <w:pPr>
        <w:ind w:firstLine="420"/>
        <w:jc w:val="left"/>
        <w:rPr>
          <w:sz w:val="32"/>
          <w:szCs w:val="32"/>
        </w:rPr>
      </w:pPr>
      <w:r>
        <w:rPr>
          <w:rFonts w:hint="eastAsia"/>
          <w:sz w:val="32"/>
          <w:szCs w:val="32"/>
        </w:rPr>
        <w:t>第 8 章“核查要点及方法”，针对碳普惠行为的适用条件、核算边界以及各监测参数，说明核查要点及方法，规定了项目减排量的交叉核对方法。</w:t>
      </w:r>
    </w:p>
    <w:p>
      <w:pPr>
        <w:ind w:firstLine="420"/>
        <w:jc w:val="left"/>
        <w:rPr>
          <w:sz w:val="32"/>
          <w:szCs w:val="32"/>
        </w:rPr>
      </w:pPr>
      <w:r>
        <w:rPr>
          <w:rFonts w:hint="eastAsia"/>
          <w:sz w:val="32"/>
          <w:szCs w:val="32"/>
        </w:rPr>
        <w:t>第 9 章“方法学编制单位”，列举了对本方法学编制作出积极贡献的单位名称。</w:t>
      </w:r>
    </w:p>
    <w:p>
      <w:pPr>
        <w:pStyle w:val="2"/>
        <w:numPr>
          <w:ilvl w:val="0"/>
          <w:numId w:val="11"/>
        </w:numPr>
        <w:spacing w:before="156" w:beforeLines="50" w:after="156" w:afterLines="50"/>
        <w:rPr>
          <w:sz w:val="32"/>
          <w:szCs w:val="32"/>
        </w:rPr>
      </w:pPr>
      <w:bookmarkStart w:id="281" w:name="_Toc213947399"/>
      <w:r>
        <w:rPr>
          <w:rFonts w:hint="eastAsia"/>
          <w:sz w:val="32"/>
          <w:szCs w:val="32"/>
        </w:rPr>
        <w:t>需要重点说明的问题</w:t>
      </w:r>
      <w:bookmarkEnd w:id="281"/>
    </w:p>
    <w:p>
      <w:pPr>
        <w:pStyle w:val="3"/>
        <w:numPr>
          <w:ilvl w:val="0"/>
          <w:numId w:val="12"/>
        </w:numPr>
        <w:spacing w:before="156" w:beforeLines="50" w:after="156" w:afterLines="50" w:line="240" w:lineRule="auto"/>
        <w:jc w:val="left"/>
        <w:rPr>
          <w:rFonts w:hint="eastAsia" w:ascii="黑体" w:hAnsi="黑体" w:cs="黑体"/>
          <w:sz w:val="32"/>
          <w:szCs w:val="32"/>
        </w:rPr>
      </w:pPr>
      <w:bookmarkStart w:id="282" w:name="_Toc213947400"/>
      <w:r>
        <w:rPr>
          <w:rFonts w:hint="eastAsia" w:ascii="黑体" w:hAnsi="黑体" w:cs="黑体"/>
          <w:sz w:val="32"/>
          <w:szCs w:val="32"/>
        </w:rPr>
        <w:t>关于基准线情景设置</w:t>
      </w:r>
      <w:bookmarkEnd w:id="282"/>
    </w:p>
    <w:p>
      <w:pPr>
        <w:widowControl/>
        <w:ind w:firstLine="420"/>
        <w:jc w:val="left"/>
        <w:rPr>
          <w:sz w:val="32"/>
          <w:szCs w:val="32"/>
          <w:lang w:bidi="ar"/>
        </w:rPr>
      </w:pPr>
      <w:r>
        <w:rPr>
          <w:rFonts w:hint="eastAsia"/>
          <w:sz w:val="32"/>
          <w:szCs w:val="32"/>
        </w:rPr>
        <w:t>本方法学的基准线情景设定为居民在未受到碳普惠激励时的常规出行排放水平，即个人在相同出行需求下选择私家车、出租车（含网约车）等常见机动化交通方式时的平均碳排放量。该基准线反映了居民出行结构中较高排放的现实状况，体现公共汽电车出行所实现的减排相对于传统出行方式的差异。通过将实际公共汽电车出行的碳排放量与基准线情景进行对比，可计算出因居民选择公共交通出行所实现的温室气体减排量，从而科学、合理地评估公共交通出行碳普惠项目的减排贡献。</w:t>
      </w:r>
    </w:p>
    <w:p>
      <w:pPr>
        <w:pStyle w:val="3"/>
        <w:numPr>
          <w:ilvl w:val="0"/>
          <w:numId w:val="12"/>
        </w:numPr>
        <w:spacing w:before="156" w:beforeLines="50" w:after="156" w:afterLines="50" w:line="240" w:lineRule="auto"/>
        <w:jc w:val="left"/>
        <w:rPr>
          <w:rFonts w:hint="eastAsia" w:ascii="黑体" w:hAnsi="黑体" w:cs="黑体"/>
          <w:sz w:val="32"/>
          <w:szCs w:val="32"/>
        </w:rPr>
      </w:pPr>
      <w:bookmarkStart w:id="283" w:name="_Toc213947401"/>
      <w:r>
        <w:rPr>
          <w:rFonts w:hint="eastAsia" w:ascii="黑体" w:hAnsi="黑体" w:cs="黑体"/>
          <w:sz w:val="32"/>
          <w:szCs w:val="32"/>
        </w:rPr>
        <w:t>关于减排量计算方法</w:t>
      </w:r>
      <w:bookmarkEnd w:id="283"/>
    </w:p>
    <w:p>
      <w:pPr>
        <w:widowControl/>
        <w:ind w:firstLine="420"/>
        <w:jc w:val="left"/>
        <w:rPr>
          <w:sz w:val="32"/>
          <w:szCs w:val="32"/>
          <w:lang w:bidi="ar"/>
        </w:rPr>
      </w:pPr>
      <w:r>
        <w:rPr>
          <w:rFonts w:hint="eastAsia"/>
          <w:sz w:val="32"/>
          <w:szCs w:val="32"/>
          <w:lang w:bidi="ar"/>
        </w:rPr>
        <w:t>本方法学采用排放因子法计算公共交通出行的温室气体减排量。其核心思路是通过对比公共汽电车出行与所有机动化出行方式的碳排放差异，量化居民选择公交出行所带来的碳减排效益。确定各类出行方式（如私家车、出租车、轨道交通、电动自行车、摩托车等）的单位客运周转量碳排放因子，结合城市客运出行结构，计算所有机动化出行方式的加权平均排放因子，作为基准线排放水平；再以公共汽电车出行的排放因子作为项目情景排放水平，二者差值即为单位出行的减排量。</w:t>
      </w:r>
    </w:p>
    <w:p>
      <w:pPr>
        <w:pStyle w:val="3"/>
        <w:spacing w:before="156" w:beforeLines="50" w:after="156" w:afterLines="50" w:line="240" w:lineRule="auto"/>
        <w:rPr>
          <w:rFonts w:hint="eastAsia" w:ascii="黑体" w:hAnsi="黑体" w:cs="黑体"/>
          <w:sz w:val="32"/>
          <w:szCs w:val="32"/>
        </w:rPr>
      </w:pPr>
      <w:bookmarkStart w:id="284" w:name="_Toc213947402"/>
      <w:r>
        <w:rPr>
          <w:rFonts w:hint="eastAsia" w:ascii="黑体" w:hAnsi="黑体" w:cs="黑体"/>
          <w:sz w:val="32"/>
          <w:szCs w:val="32"/>
        </w:rPr>
        <w:t>（三）关于额外性论证方式</w:t>
      </w:r>
      <w:bookmarkEnd w:id="284"/>
    </w:p>
    <w:p>
      <w:pPr>
        <w:widowControl/>
        <w:ind w:firstLine="420"/>
        <w:jc w:val="left"/>
        <w:rPr>
          <w:sz w:val="32"/>
          <w:szCs w:val="32"/>
          <w:lang w:bidi="ar"/>
        </w:rPr>
      </w:pPr>
      <w:r>
        <w:rPr>
          <w:rFonts w:hint="eastAsia"/>
          <w:sz w:val="32"/>
          <w:szCs w:val="32"/>
          <w:lang w:bidi="ar"/>
        </w:rPr>
        <w:t>公共交通作为政府提供的重要公共服务，具有覆盖面广、公益性强、盈利水平低的特点。多数城市公交运营单位依赖财政补贴维持正常运行，难以通过票价调整实现收益平衡。在此背景下，鼓励公众选择公共交通出行，不仅能有效降低单位出行碳排放量，还能促进绿色出行方式在社会层面的普及与固化，具有显著的社会效益和环境价值。</w:t>
      </w:r>
    </w:p>
    <w:p>
      <w:pPr>
        <w:widowControl/>
        <w:ind w:firstLine="420"/>
        <w:jc w:val="left"/>
        <w:rPr>
          <w:sz w:val="32"/>
          <w:szCs w:val="32"/>
          <w:lang w:bidi="ar"/>
        </w:rPr>
      </w:pPr>
      <w:r>
        <w:rPr>
          <w:rFonts w:hint="eastAsia"/>
          <w:sz w:val="32"/>
          <w:szCs w:val="32"/>
          <w:lang w:bidi="ar"/>
        </w:rPr>
        <w:t>由于公共交通出行属于政府主导的基础公共服务，其推广和运行本身并非以盈利为目的，而是服务于公共利益。因此，其温室气体减排效果并非市场自发行为，具有额外性，无需另行论证。推动公共交通出行碳减排项目的开展，有助于充分发挥公共资源的绿色效能，引导公众形成低碳生活方式，助力宜昌市交通领域碳达峰与碳中和目标的实现。</w:t>
      </w:r>
    </w:p>
    <w:p>
      <w:pPr>
        <w:pStyle w:val="3"/>
        <w:numPr>
          <w:ilvl w:val="255"/>
          <w:numId w:val="0"/>
        </w:numPr>
        <w:spacing w:before="156" w:beforeLines="50" w:after="156" w:afterLines="50" w:line="240" w:lineRule="auto"/>
        <w:rPr>
          <w:rFonts w:hint="eastAsia" w:ascii="黑体" w:hAnsi="黑体" w:cs="黑体"/>
          <w:sz w:val="32"/>
          <w:szCs w:val="32"/>
        </w:rPr>
      </w:pPr>
      <w:bookmarkStart w:id="285" w:name="_Toc213947403"/>
      <w:r>
        <w:rPr>
          <w:rFonts w:hint="eastAsia" w:ascii="黑体" w:hAnsi="黑体" w:cs="黑体"/>
          <w:sz w:val="32"/>
          <w:szCs w:val="32"/>
        </w:rPr>
        <w:t>（四）关于数据质量保障问题</w:t>
      </w:r>
      <w:bookmarkEnd w:id="285"/>
    </w:p>
    <w:p>
      <w:pPr>
        <w:widowControl/>
        <w:ind w:firstLine="420"/>
        <w:jc w:val="left"/>
        <w:rPr>
          <w:sz w:val="32"/>
          <w:szCs w:val="32"/>
        </w:rPr>
      </w:pPr>
      <w:r>
        <w:rPr>
          <w:rFonts w:hint="eastAsia"/>
          <w:sz w:val="32"/>
          <w:szCs w:val="32"/>
        </w:rPr>
        <w:t>本方法学中共涉及参数8个，其中前期阶段需确定的参数和数据共计7项，项目实施阶段需监测和确定的参数和数据共计1项。</w:t>
      </w:r>
    </w:p>
    <w:p>
      <w:pPr>
        <w:widowControl/>
        <w:ind w:firstLine="420"/>
        <w:jc w:val="left"/>
        <w:rPr>
          <w:sz w:val="32"/>
          <w:szCs w:val="32"/>
          <w:lang w:bidi="ar"/>
        </w:rPr>
      </w:pPr>
      <w:r>
        <w:rPr>
          <w:rFonts w:hint="eastAsia"/>
          <w:sz w:val="32"/>
          <w:szCs w:val="32"/>
        </w:rPr>
        <w:t>前期阶段的参数缺省值通过调研宜昌市出行数据，查阅统计年鉴和行业报告，国家标准及政府部门公布的相关数据，及参考国内外文献及行业报告，根据客运量、客运周转量、出行分摊率、排放强度等数据综合得出</w:t>
      </w:r>
      <w:r>
        <w:rPr>
          <w:rFonts w:hint="eastAsia"/>
          <w:sz w:val="32"/>
          <w:szCs w:val="32"/>
          <w:lang w:bidi="ar"/>
        </w:rPr>
        <w:t>，来源清晰准确可溯源。</w:t>
      </w:r>
    </w:p>
    <w:p>
      <w:pPr>
        <w:widowControl/>
        <w:ind w:firstLine="420"/>
        <w:jc w:val="left"/>
        <w:rPr>
          <w:sz w:val="32"/>
          <w:szCs w:val="32"/>
        </w:rPr>
      </w:pPr>
      <w:r>
        <w:rPr>
          <w:rFonts w:hint="eastAsia"/>
          <w:sz w:val="32"/>
          <w:szCs w:val="32"/>
        </w:rPr>
        <w:t>实际需要监测的出行里程数据，主要源于公共汽电车运营机构或公共交通支付平台。实际监测均需符合行业标准要求，确保数据具有可追溯、不可篡改的唯一性和真实性</w:t>
      </w:r>
      <w:r>
        <w:rPr>
          <w:rFonts w:hint="eastAsia"/>
          <w:sz w:val="32"/>
          <w:szCs w:val="32"/>
          <w:lang w:bidi="ar"/>
        </w:rPr>
        <w:t>。</w:t>
      </w:r>
    </w:p>
    <w:p>
      <w:pPr>
        <w:ind w:firstLine="0" w:firstLineChars="0"/>
        <w:rPr>
          <w:rFonts w:cs="Times New Roman"/>
          <w:sz w:val="32"/>
          <w:szCs w:val="32"/>
        </w:rPr>
      </w:pPr>
    </w:p>
    <w:sectPr>
      <w:footerReference r:id="rId12" w:type="default"/>
      <w:footnotePr>
        <w:numRestart w:val="eachSect"/>
      </w:footnotePr>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微软雅黑"/>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0" w:usb3="00000000" w:csb0="00000000" w:csb1="00000000"/>
  </w:font>
  <w:font w:name="楷体">
    <w:altName w:val="方正楷体_GBK"/>
    <w:panose1 w:val="02010609060101010101"/>
    <w:charset w:val="86"/>
    <w:family w:val="modern"/>
    <w:pitch w:val="default"/>
    <w:sig w:usb0="00000000" w:usb1="00000000" w:usb2="00000016" w:usb3="00000000" w:csb0="00040001" w:csb1="00000000"/>
  </w:font>
  <w:font w:name="Helvetica">
    <w:altName w:val="Arial"/>
    <w:panose1 w:val="020B0604020202020204"/>
    <w:charset w:val="00"/>
    <w:family w:val="swiss"/>
    <w:pitch w:val="default"/>
    <w:sig w:usb0="00000000" w:usb1="00000000" w:usb2="00000000" w:usb3="00000000" w:csb0="000001FF" w:csb1="00000000"/>
  </w:font>
  <w:font w:name="Cambria Math">
    <w:panose1 w:val="02040503050406030204"/>
    <w:charset w:val="00"/>
    <w:family w:val="roman"/>
    <w:pitch w:val="default"/>
    <w:sig w:usb0="E00006FF" w:usb1="420024FF" w:usb2="02000000" w:usb3="00000000" w:csb0="2000019F" w:csb1="00000000"/>
  </w:font>
  <w:font w:name="Times New Roman Regular">
    <w:altName w:val="Times New Roman"/>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8306"/>
      </w:tabs>
      <w:ind w:firstLine="360"/>
      <w:rPr>
        <w:rFonts w:cs="Times New Roman"/>
      </w:rPr>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92735" cy="1377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92735" cy="13779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ind w:firstLine="360"/>
                            <w:rPr>
                              <w:rFonts w:cs="Times New Roman"/>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23.05pt;mso-position-horizontal:center;mso-position-horizontal-relative:margin;mso-wrap-style:none;z-index:251659264;mso-width-relative:page;mso-height-relative:page;" filled="f" stroked="f" coordsize="21600,21600" o:gfxdata="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C6fCzSAAAAAwEAAA8AAAAAAAAAAQAgAAAAIgAAAGRycy9kb3ducmV2LnhtbFBLAQIUABQA&#10;AAAIAIdO4kAL1RSxLwIAAFMEAAAOAAAAAAAAAAEAIAAAACEBAABkcnMvZTJvRG9jLnhtbFBLBQYA&#10;AAAABgAGAFkBAADCBQAAAAA=&#10;">
              <v:fill on="f" focussize="0,0"/>
              <v:stroke on="f" weight="0.5pt"/>
              <v:imagedata o:title=""/>
              <o:lock v:ext="edit" aspectratio="f"/>
              <v:textbox inset="0mm,0mm,0mm,0mm" style="mso-fit-shape-to-text:t;">
                <w:txbxContent>
                  <w:p>
                    <w:pPr>
                      <w:pStyle w:val="17"/>
                      <w:ind w:firstLine="360"/>
                      <w:rPr>
                        <w:rFonts w:cs="Times New Roman"/>
                      </w:rPr>
                    </w:pPr>
                  </w:p>
                </w:txbxContent>
              </v:textbox>
            </v:shape>
          </w:pict>
        </mc:Fallback>
      </mc:AlternateContent>
    </w:r>
    <w:r>
      <w:rPr>
        <w:rFonts w:cs="Times New Roman"/>
      </w:rPr>
      <w:tab/>
    </w:r>
    <w:r>
      <w:rPr>
        <w:rFonts w:hint="eastAsia" w:cs="Times New Roma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2400051"/>
    </w:sdtPr>
    <w:sdtContent>
      <w:p>
        <w:pPr>
          <w:pStyle w:val="17"/>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ind w:firstLine="420"/>
      </w:pPr>
      <w:r>
        <w:separator/>
      </w:r>
    </w:p>
  </w:footnote>
  <w:footnote w:type="continuationSeparator" w:id="7">
    <w:p>
      <w:pPr>
        <w:ind w:firstLine="420"/>
      </w:pPr>
      <w:r>
        <w:continuationSeparator/>
      </w:r>
    </w:p>
  </w:footnote>
  <w:footnote w:id="0">
    <w:p>
      <w:pPr>
        <w:pStyle w:val="25"/>
        <w:ind w:firstLine="360"/>
      </w:pPr>
      <w:r>
        <w:rPr>
          <w:rStyle w:val="40"/>
        </w:rPr>
        <w:footnoteRef/>
      </w:r>
      <w:r>
        <w:t xml:space="preserve"> </w:t>
      </w:r>
      <w:r>
        <w:rPr>
          <w:rFonts w:hint="eastAsia"/>
        </w:rPr>
        <w:t>基线不考虑非机动化出行方式，如步行。因利用机动化出行可实现较远距离的位移，并不能由非机动化出行完全替代。且基线不考虑低碳的非机动化出行方式也符合保守性原则。</w:t>
      </w:r>
    </w:p>
  </w:footnote>
  <w:footnote w:id="1">
    <w:p>
      <w:pPr>
        <w:pStyle w:val="25"/>
        <w:ind w:firstLine="0" w:firstLineChars="0"/>
      </w:pPr>
      <w:r>
        <w:rPr>
          <w:rStyle w:val="40"/>
        </w:rPr>
        <w:footnoteRef/>
      </w:r>
      <w:r>
        <w:t xml:space="preserve"> </w:t>
      </w:r>
      <w:r>
        <w:rPr>
          <w:rFonts w:hint="eastAsia"/>
        </w:rPr>
        <w:t>本方法学中指公共汽电车</w:t>
      </w:r>
      <w:r>
        <w:t>运营机构</w:t>
      </w:r>
      <w:r>
        <w:rPr>
          <w:rFonts w:hint="eastAsia"/>
        </w:rPr>
        <w:t>和公共交通支付平台</w:t>
      </w:r>
    </w:p>
  </w:footnote>
  <w:footnote w:id="2">
    <w:p>
      <w:pPr>
        <w:pStyle w:val="25"/>
        <w:ind w:firstLine="0" w:firstLineChars="0"/>
      </w:pPr>
      <w:r>
        <w:rPr>
          <w:rStyle w:val="40"/>
        </w:rPr>
        <w:footnoteRef/>
      </w:r>
      <w:r>
        <w:t xml:space="preserve"> 发现的不符合事项、错误陈述、遗漏等问题，要求</w:t>
      </w:r>
      <w:r>
        <w:rPr>
          <w:rFonts w:hint="eastAsia"/>
        </w:rPr>
        <w:t>申报主体</w:t>
      </w:r>
      <w:r>
        <w:t>采取消除和更正措施，或者对相关事实进一步阐述和解释说明</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418702"/>
    <w:multiLevelType w:val="singleLevel"/>
    <w:tmpl w:val="A1418702"/>
    <w:lvl w:ilvl="0" w:tentative="0">
      <w:start w:val="1"/>
      <w:numFmt w:val="decimal"/>
      <w:pStyle w:val="73"/>
      <w:lvlText w:val="%1"/>
      <w:lvlJc w:val="left"/>
      <w:pPr>
        <w:ind w:left="440" w:hanging="440"/>
      </w:pPr>
      <w:rPr>
        <w:rFonts w:hint="eastAsia"/>
      </w:rPr>
    </w:lvl>
  </w:abstractNum>
  <w:abstractNum w:abstractNumId="1">
    <w:nsid w:val="A1AC7929"/>
    <w:multiLevelType w:val="singleLevel"/>
    <w:tmpl w:val="A1AC7929"/>
    <w:lvl w:ilvl="0" w:tentative="0">
      <w:start w:val="1"/>
      <w:numFmt w:val="chineseCounting"/>
      <w:suff w:val="nothing"/>
      <w:lvlText w:val="%1、"/>
      <w:lvlJc w:val="left"/>
      <w:rPr>
        <w:rFonts w:hint="eastAsia"/>
      </w:rPr>
    </w:lvl>
  </w:abstractNum>
  <w:abstractNum w:abstractNumId="2">
    <w:nsid w:val="00000004"/>
    <w:multiLevelType w:val="multilevel"/>
    <w:tmpl w:val="00000004"/>
    <w:lvl w:ilvl="0" w:tentative="0">
      <w:start w:val="1"/>
      <w:numFmt w:val="decimal"/>
      <w:lvlText w:val="%1"/>
      <w:lvlJc w:val="left"/>
      <w:pPr>
        <w:ind w:left="425" w:hanging="425"/>
      </w:pPr>
    </w:lvl>
    <w:lvl w:ilvl="1" w:tentative="0">
      <w:start w:val="1"/>
      <w:numFmt w:val="decimal"/>
      <w:pStyle w:val="89"/>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3">
    <w:nsid w:val="00000008"/>
    <w:multiLevelType w:val="multilevel"/>
    <w:tmpl w:val="00000008"/>
    <w:lvl w:ilvl="0" w:tentative="0">
      <w:start w:val="1"/>
      <w:numFmt w:val="upperLetter"/>
      <w:pStyle w:val="13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C"/>
    <w:multiLevelType w:val="multilevel"/>
    <w:tmpl w:val="0000000C"/>
    <w:lvl w:ilvl="0" w:tentative="0">
      <w:start w:val="1"/>
      <w:numFmt w:val="none"/>
      <w:pStyle w:val="8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
    <w:nsid w:val="03449384"/>
    <w:multiLevelType w:val="singleLevel"/>
    <w:tmpl w:val="03449384"/>
    <w:lvl w:ilvl="0" w:tentative="0">
      <w:start w:val="1"/>
      <w:numFmt w:val="decimal"/>
      <w:suff w:val="nothing"/>
      <w:lvlText w:val="%1）"/>
      <w:lvlJc w:val="left"/>
    </w:lvl>
  </w:abstractNum>
  <w:abstractNum w:abstractNumId="6">
    <w:nsid w:val="1194103E"/>
    <w:multiLevelType w:val="singleLevel"/>
    <w:tmpl w:val="1194103E"/>
    <w:lvl w:ilvl="0" w:tentative="0">
      <w:start w:val="1"/>
      <w:numFmt w:val="chineseCounting"/>
      <w:suff w:val="nothing"/>
      <w:lvlText w:val="（%1）"/>
      <w:lvlJc w:val="left"/>
      <w:rPr>
        <w:rFonts w:hint="eastAsia"/>
      </w:rPr>
    </w:lvl>
  </w:abstractNum>
  <w:abstractNum w:abstractNumId="7">
    <w:nsid w:val="20B44A9E"/>
    <w:multiLevelType w:val="multilevel"/>
    <w:tmpl w:val="20B44A9E"/>
    <w:lvl w:ilvl="0" w:tentative="0">
      <w:start w:val="1"/>
      <w:numFmt w:val="upperRoman"/>
      <w:suff w:val="space"/>
      <w:lvlText w:val="PART %1. "/>
      <w:lvlJc w:val="left"/>
      <w:pPr>
        <w:ind w:left="0" w:firstLine="0"/>
      </w:pPr>
      <w:rPr>
        <w:rFonts w:hint="default"/>
      </w:rPr>
    </w:lvl>
    <w:lvl w:ilvl="1" w:tentative="0">
      <w:start w:val="1"/>
      <w:numFmt w:val="upperLetter"/>
      <w:suff w:val="space"/>
      <w:lvlText w:val="%2部分"/>
      <w:lvlJc w:val="left"/>
      <w:pPr>
        <w:ind w:left="0" w:firstLine="0"/>
      </w:pPr>
      <w:rPr>
        <w:rFonts w:hint="default" w:ascii="Times New Roman" w:hAnsi="Times New Roman" w:eastAsia="宋体"/>
      </w:rPr>
    </w:lvl>
    <w:lvl w:ilvl="2" w:tentative="0">
      <w:start w:val="1"/>
      <w:numFmt w:val="decimal"/>
      <w:pStyle w:val="93"/>
      <w:suff w:val="space"/>
      <w:lvlText w:val="%2.%3."/>
      <w:lvlJc w:val="left"/>
      <w:pPr>
        <w:ind w:left="0" w:firstLine="0"/>
      </w:pPr>
      <w:rPr>
        <w:rFonts w:hint="default"/>
        <w:i w:val="0"/>
      </w:rPr>
    </w:lvl>
    <w:lvl w:ilvl="3" w:tentative="0">
      <w:start w:val="1"/>
      <w:numFmt w:val="decimal"/>
      <w:suff w:val="space"/>
      <w:lvlText w:val="%2.%3.%4."/>
      <w:lvlJc w:val="left"/>
      <w:pPr>
        <w:ind w:left="568" w:firstLine="0"/>
      </w:pPr>
      <w:rPr>
        <w:rFonts w:hint="default"/>
      </w:rPr>
    </w:lvl>
    <w:lvl w:ilvl="4" w:tentative="0">
      <w:start w:val="1"/>
      <w:numFmt w:val="decimal"/>
      <w:suff w:val="space"/>
      <w:lvlText w:val="%2.%3.%4.%5."/>
      <w:lvlJc w:val="left"/>
      <w:pPr>
        <w:ind w:left="0" w:firstLine="0"/>
      </w:pPr>
      <w:rPr>
        <w:rFonts w:hint="default"/>
      </w:rPr>
    </w:lvl>
    <w:lvl w:ilvl="5" w:tentative="0">
      <w:start w:val="1"/>
      <w:numFmt w:val="decimal"/>
      <w:suff w:val="space"/>
      <w:lvlText w:val="%2.%3.%4.%5.%6."/>
      <w:lvlJc w:val="left"/>
      <w:pPr>
        <w:ind w:left="0" w:firstLine="0"/>
      </w:pPr>
      <w:rPr>
        <w:rFonts w:hint="default"/>
      </w:rPr>
    </w:lvl>
    <w:lvl w:ilvl="6" w:tentative="0">
      <w:start w:val="1"/>
      <w:numFmt w:val="decimal"/>
      <w:suff w:val="space"/>
      <w:lvlText w:val="%2.%3.%4.%5.%6.%7."/>
      <w:lvlJc w:val="left"/>
      <w:pPr>
        <w:ind w:left="1296" w:hanging="1296"/>
      </w:pPr>
      <w:rPr>
        <w:rFonts w:hint="default"/>
      </w:rPr>
    </w:lvl>
    <w:lvl w:ilvl="7" w:tentative="0">
      <w:start w:val="1"/>
      <w:numFmt w:val="decimal"/>
      <w:suff w:val="space"/>
      <w:lvlText w:val="%2.%3.%4.%5.%6.%7.%8."/>
      <w:lvlJc w:val="left"/>
      <w:pPr>
        <w:ind w:left="0" w:firstLine="0"/>
      </w:pPr>
      <w:rPr>
        <w:rFonts w:hint="default"/>
      </w:rPr>
    </w:lvl>
    <w:lvl w:ilvl="8" w:tentative="0">
      <w:start w:val="1"/>
      <w:numFmt w:val="decimal"/>
      <w:pStyle w:val="101"/>
      <w:suff w:val="space"/>
      <w:lvlText w:val="%2.%3.%4.%5.%6.%7.%8.%9."/>
      <w:lvlJc w:val="left"/>
      <w:pPr>
        <w:ind w:left="0" w:firstLine="0"/>
      </w:pPr>
      <w:rPr>
        <w:rFonts w:hint="default"/>
      </w:rPr>
    </w:lvl>
  </w:abstractNum>
  <w:abstractNum w:abstractNumId="8">
    <w:nsid w:val="3D4FEEE3"/>
    <w:multiLevelType w:val="multilevel"/>
    <w:tmpl w:val="3D4FEEE3"/>
    <w:lvl w:ilvl="0" w:tentative="0">
      <w:start w:val="1"/>
      <w:numFmt w:val="decimal"/>
      <w:suff w:val="space"/>
      <w:lvlText w:val="%1"/>
      <w:lvlJc w:val="left"/>
      <w:pPr>
        <w:tabs>
          <w:tab w:val="left" w:pos="0"/>
        </w:tabs>
        <w:ind w:left="0" w:firstLine="0"/>
      </w:pPr>
      <w:rPr>
        <w:rFonts w:hint="default" w:ascii="黑体" w:hAnsi="黑体" w:eastAsia="黑体" w:cs="黑体"/>
      </w:rPr>
    </w:lvl>
    <w:lvl w:ilvl="1" w:tentative="0">
      <w:start w:val="1"/>
      <w:numFmt w:val="decimal"/>
      <w:suff w:val="space"/>
      <w:lvlText w:val="%1.%2"/>
      <w:lvlJc w:val="left"/>
      <w:pPr>
        <w:ind w:left="0" w:firstLine="0"/>
      </w:pPr>
      <w:rPr>
        <w:rFonts w:hint="default" w:ascii="黑体" w:hAnsi="黑体" w:eastAsia="黑体" w:cs="黑体"/>
        <w:sz w:val="21"/>
        <w:szCs w:val="21"/>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9">
    <w:nsid w:val="474017D7"/>
    <w:multiLevelType w:val="multilevel"/>
    <w:tmpl w:val="474017D7"/>
    <w:lvl w:ilvl="0" w:tentative="0">
      <w:start w:val="1"/>
      <w:numFmt w:val="lowerLetter"/>
      <w:lvlText w:val="%1)"/>
      <w:lvlJc w:val="left"/>
      <w:pPr>
        <w:tabs>
          <w:tab w:val="left" w:pos="840"/>
        </w:tabs>
        <w:ind w:left="839" w:hanging="419"/>
      </w:pPr>
      <w:rPr>
        <w:rFonts w:hint="eastAsia" w:ascii="宋体" w:eastAsia="宋体"/>
        <w:b w:val="0"/>
        <w:i w:val="0"/>
        <w:sz w:val="21"/>
        <w:szCs w:val="21"/>
      </w:rPr>
    </w:lvl>
    <w:lvl w:ilvl="1" w:tentative="0">
      <w:start w:val="1"/>
      <w:numFmt w:val="decimal"/>
      <w:pStyle w:val="8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0">
    <w:nsid w:val="6CEA2025"/>
    <w:multiLevelType w:val="multilevel"/>
    <w:tmpl w:val="6CEA2025"/>
    <w:lvl w:ilvl="0" w:tentative="0">
      <w:start w:val="1"/>
      <w:numFmt w:val="none"/>
      <w:suff w:val="nothing"/>
      <w:lvlText w:val="%1"/>
      <w:lvlJc w:val="left"/>
      <w:pPr>
        <w:ind w:left="0" w:firstLine="0"/>
      </w:pPr>
      <w:rPr>
        <w:rFonts w:hint="default" w:ascii="Times New Roman" w:hAnsi="Times New Roman" w:cs="Times New Roman"/>
        <w:b/>
        <w:bCs/>
        <w:i w:val="0"/>
        <w:iCs w:val="0"/>
        <w:sz w:val="21"/>
        <w:szCs w:val="21"/>
      </w:rPr>
    </w:lvl>
    <w:lvl w:ilvl="1" w:tentative="0">
      <w:start w:val="1"/>
      <w:numFmt w:val="decimal"/>
      <w:suff w:val="nothing"/>
      <w:lvlText w:val="%1%2　"/>
      <w:lvlJc w:val="left"/>
      <w:pPr>
        <w:ind w:left="0" w:firstLine="0"/>
      </w:pPr>
      <w:rPr>
        <w:rFonts w:hint="eastAsia" w:ascii="黑体" w:hAnsi="Times New Roman" w:eastAsia="黑体"/>
        <w:b w:val="0"/>
        <w:bCs w:val="0"/>
        <w:i w:val="0"/>
        <w:iCs w:val="0"/>
        <w:sz w:val="21"/>
        <w:szCs w:val="21"/>
      </w:rPr>
    </w:lvl>
    <w:lvl w:ilvl="2" w:tentative="0">
      <w:start w:val="1"/>
      <w:numFmt w:val="decimal"/>
      <w:suff w:val="nothing"/>
      <w:lvlText w:val="%1%2.%3　"/>
      <w:lvlJc w:val="left"/>
      <w:pPr>
        <w:ind w:left="0" w:firstLine="0"/>
      </w:pPr>
      <w:rPr>
        <w:rFonts w:hint="eastAsia" w:ascii="黑体" w:hAnsi="Times New Roman" w:eastAsia="黑体"/>
        <w:b w:val="0"/>
        <w:bCs w:val="0"/>
        <w:i w:val="0"/>
        <w:iCs w:val="0"/>
        <w:sz w:val="21"/>
        <w:szCs w:val="21"/>
      </w:rPr>
    </w:lvl>
    <w:lvl w:ilvl="3" w:tentative="0">
      <w:start w:val="1"/>
      <w:numFmt w:val="decimal"/>
      <w:suff w:val="nothing"/>
      <w:lvlText w:val="%1%2.%3.%4　"/>
      <w:lvlJc w:val="left"/>
      <w:pPr>
        <w:ind w:left="0" w:firstLine="0"/>
      </w:pPr>
      <w:rPr>
        <w:rFonts w:hint="eastAsia" w:ascii="黑体" w:hAnsi="Times New Roman" w:eastAsia="黑体"/>
        <w:b w:val="0"/>
        <w:bCs w:val="0"/>
        <w:i w:val="0"/>
        <w:iCs w:val="0"/>
        <w:sz w:val="21"/>
        <w:szCs w:val="21"/>
      </w:rPr>
    </w:lvl>
    <w:lvl w:ilvl="4" w:tentative="0">
      <w:start w:val="1"/>
      <w:numFmt w:val="decimal"/>
      <w:pStyle w:val="117"/>
      <w:suff w:val="nothing"/>
      <w:lvlText w:val="%1%2.%3.%4.%5　"/>
      <w:lvlJc w:val="left"/>
      <w:pPr>
        <w:ind w:left="0" w:firstLine="0"/>
      </w:pPr>
      <w:rPr>
        <w:rFonts w:hint="eastAsia" w:ascii="黑体" w:hAnsi="Times New Roman" w:eastAsia="黑体"/>
        <w:b w:val="0"/>
        <w:bCs w:val="0"/>
        <w:i w:val="0"/>
        <w:iCs w:val="0"/>
        <w:sz w:val="21"/>
        <w:szCs w:val="21"/>
      </w:rPr>
    </w:lvl>
    <w:lvl w:ilvl="5" w:tentative="0">
      <w:start w:val="1"/>
      <w:numFmt w:val="decimal"/>
      <w:pStyle w:val="115"/>
      <w:suff w:val="nothing"/>
      <w:lvlText w:val="%1%2.%3.%4.%5.%6　"/>
      <w:lvlJc w:val="left"/>
      <w:pPr>
        <w:ind w:left="0" w:firstLine="0"/>
      </w:pPr>
      <w:rPr>
        <w:rFonts w:hint="eastAsia" w:ascii="黑体" w:hAnsi="Times New Roman" w:eastAsia="黑体"/>
        <w:b w:val="0"/>
        <w:bCs w:val="0"/>
        <w:i w:val="0"/>
        <w:iCs w:val="0"/>
        <w:sz w:val="21"/>
        <w:szCs w:val="21"/>
      </w:rPr>
    </w:lvl>
    <w:lvl w:ilvl="6" w:tentative="0">
      <w:start w:val="1"/>
      <w:numFmt w:val="decimal"/>
      <w:pStyle w:val="116"/>
      <w:suff w:val="nothing"/>
      <w:lvlText w:val="%1%2.%3.%4.%5.%6.%7　"/>
      <w:lvlJc w:val="left"/>
      <w:pPr>
        <w:ind w:left="0" w:firstLine="0"/>
      </w:pPr>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lvl>
    <w:lvl w:ilvl="8" w:tentative="0">
      <w:start w:val="1"/>
      <w:numFmt w:val="decimal"/>
      <w:lvlText w:val="%1.%2.%3.%4.%5.%6.%7.%8.%9"/>
      <w:lvlJc w:val="left"/>
      <w:pPr>
        <w:tabs>
          <w:tab w:val="left" w:pos="4777"/>
        </w:tabs>
        <w:ind w:left="4677" w:hanging="1700"/>
      </w:pPr>
    </w:lvl>
  </w:abstractNum>
  <w:abstractNum w:abstractNumId="11">
    <w:nsid w:val="6D00A517"/>
    <w:multiLevelType w:val="singleLevel"/>
    <w:tmpl w:val="6D00A517"/>
    <w:lvl w:ilvl="0" w:tentative="0">
      <w:start w:val="1"/>
      <w:numFmt w:val="lowerLetter"/>
      <w:suff w:val="space"/>
      <w:lvlText w:val="%1)"/>
      <w:lvlJc w:val="left"/>
    </w:lvl>
  </w:abstractNum>
  <w:num w:numId="1">
    <w:abstractNumId w:val="0"/>
  </w:num>
  <w:num w:numId="2">
    <w:abstractNumId w:val="4"/>
  </w:num>
  <w:num w:numId="3">
    <w:abstractNumId w:val="9"/>
  </w:num>
  <w:num w:numId="4">
    <w:abstractNumId w:val="2"/>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5"/>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numRestart w:val="eachSect"/>
    <w:footnote w:id="6"/>
    <w:footnote w:id="7"/>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hYzFhMDk4MWQ0ZGUwMjE5ZGFjYzAxOTk2YzQ0N2UifQ=="/>
    <w:docVar w:name="KSO_WPS_MARK_KEY" w:val="b3ccf4e2-2c81-41b5-97a6-e6f9872328e0"/>
  </w:docVars>
  <w:rsids>
    <w:rsidRoot w:val="00C51A96"/>
    <w:rsid w:val="00007997"/>
    <w:rsid w:val="00077EA6"/>
    <w:rsid w:val="000B081D"/>
    <w:rsid w:val="000B1748"/>
    <w:rsid w:val="000C438E"/>
    <w:rsid w:val="001041C3"/>
    <w:rsid w:val="00123AE0"/>
    <w:rsid w:val="00153084"/>
    <w:rsid w:val="0018677B"/>
    <w:rsid w:val="001A2AB2"/>
    <w:rsid w:val="001E62C4"/>
    <w:rsid w:val="001F2C18"/>
    <w:rsid w:val="002200A2"/>
    <w:rsid w:val="0022189D"/>
    <w:rsid w:val="00245784"/>
    <w:rsid w:val="0024779E"/>
    <w:rsid w:val="00270CF4"/>
    <w:rsid w:val="00271045"/>
    <w:rsid w:val="002849D4"/>
    <w:rsid w:val="0029181A"/>
    <w:rsid w:val="00297384"/>
    <w:rsid w:val="002C508A"/>
    <w:rsid w:val="002D4893"/>
    <w:rsid w:val="00300AFF"/>
    <w:rsid w:val="00304D6A"/>
    <w:rsid w:val="003238D4"/>
    <w:rsid w:val="003640A2"/>
    <w:rsid w:val="00371178"/>
    <w:rsid w:val="0038407B"/>
    <w:rsid w:val="00396693"/>
    <w:rsid w:val="003A310A"/>
    <w:rsid w:val="003A5E5E"/>
    <w:rsid w:val="003C5BCC"/>
    <w:rsid w:val="003D4E4C"/>
    <w:rsid w:val="003D6408"/>
    <w:rsid w:val="00426335"/>
    <w:rsid w:val="00462C11"/>
    <w:rsid w:val="00463F41"/>
    <w:rsid w:val="00466AA8"/>
    <w:rsid w:val="004C321F"/>
    <w:rsid w:val="00516F03"/>
    <w:rsid w:val="00532E17"/>
    <w:rsid w:val="0056166C"/>
    <w:rsid w:val="005775C5"/>
    <w:rsid w:val="005A2684"/>
    <w:rsid w:val="005C736F"/>
    <w:rsid w:val="005D0302"/>
    <w:rsid w:val="005E5F3E"/>
    <w:rsid w:val="006118D9"/>
    <w:rsid w:val="00612603"/>
    <w:rsid w:val="00621A13"/>
    <w:rsid w:val="00664070"/>
    <w:rsid w:val="006C47BB"/>
    <w:rsid w:val="00710106"/>
    <w:rsid w:val="00722D38"/>
    <w:rsid w:val="00756D19"/>
    <w:rsid w:val="007626E9"/>
    <w:rsid w:val="007E1006"/>
    <w:rsid w:val="007F2A52"/>
    <w:rsid w:val="008327C5"/>
    <w:rsid w:val="008343A2"/>
    <w:rsid w:val="00836851"/>
    <w:rsid w:val="0083757A"/>
    <w:rsid w:val="0084557C"/>
    <w:rsid w:val="00850EE7"/>
    <w:rsid w:val="00853D28"/>
    <w:rsid w:val="00870713"/>
    <w:rsid w:val="00870BAD"/>
    <w:rsid w:val="00875793"/>
    <w:rsid w:val="00880F55"/>
    <w:rsid w:val="008E5C26"/>
    <w:rsid w:val="00907BB0"/>
    <w:rsid w:val="00917EBA"/>
    <w:rsid w:val="00925089"/>
    <w:rsid w:val="00935F37"/>
    <w:rsid w:val="00936402"/>
    <w:rsid w:val="0095117A"/>
    <w:rsid w:val="009D2D28"/>
    <w:rsid w:val="009D40D1"/>
    <w:rsid w:val="009E1461"/>
    <w:rsid w:val="009E5EF2"/>
    <w:rsid w:val="009F0B10"/>
    <w:rsid w:val="009F39E6"/>
    <w:rsid w:val="00A17420"/>
    <w:rsid w:val="00A31846"/>
    <w:rsid w:val="00A40915"/>
    <w:rsid w:val="00A61DB9"/>
    <w:rsid w:val="00A848F1"/>
    <w:rsid w:val="00A87214"/>
    <w:rsid w:val="00A903BB"/>
    <w:rsid w:val="00A97F9A"/>
    <w:rsid w:val="00AA3D38"/>
    <w:rsid w:val="00AB2E3D"/>
    <w:rsid w:val="00AB7352"/>
    <w:rsid w:val="00AC2A03"/>
    <w:rsid w:val="00AE01D3"/>
    <w:rsid w:val="00AE1BBD"/>
    <w:rsid w:val="00AE7AFB"/>
    <w:rsid w:val="00AF0812"/>
    <w:rsid w:val="00AF56C2"/>
    <w:rsid w:val="00B01C3A"/>
    <w:rsid w:val="00B06F5E"/>
    <w:rsid w:val="00B242D4"/>
    <w:rsid w:val="00B279E1"/>
    <w:rsid w:val="00B40BFA"/>
    <w:rsid w:val="00B616B0"/>
    <w:rsid w:val="00B61FE0"/>
    <w:rsid w:val="00B668AD"/>
    <w:rsid w:val="00B77DA7"/>
    <w:rsid w:val="00B954A5"/>
    <w:rsid w:val="00BA0308"/>
    <w:rsid w:val="00BB3257"/>
    <w:rsid w:val="00BB37EC"/>
    <w:rsid w:val="00BE7B95"/>
    <w:rsid w:val="00C51A96"/>
    <w:rsid w:val="00C60D16"/>
    <w:rsid w:val="00CC1D1B"/>
    <w:rsid w:val="00CD49CC"/>
    <w:rsid w:val="00CF72A2"/>
    <w:rsid w:val="00D014F9"/>
    <w:rsid w:val="00D17415"/>
    <w:rsid w:val="00D41455"/>
    <w:rsid w:val="00D655FE"/>
    <w:rsid w:val="00D71EF6"/>
    <w:rsid w:val="00D7288C"/>
    <w:rsid w:val="00D83385"/>
    <w:rsid w:val="00D863A9"/>
    <w:rsid w:val="00D93052"/>
    <w:rsid w:val="00DA45B9"/>
    <w:rsid w:val="00DB771D"/>
    <w:rsid w:val="00DF1ECC"/>
    <w:rsid w:val="00E0371C"/>
    <w:rsid w:val="00E34D18"/>
    <w:rsid w:val="00E430BC"/>
    <w:rsid w:val="00E4627A"/>
    <w:rsid w:val="00E6281D"/>
    <w:rsid w:val="00E72EF7"/>
    <w:rsid w:val="00E75E21"/>
    <w:rsid w:val="00E834E5"/>
    <w:rsid w:val="00EA4175"/>
    <w:rsid w:val="00EF0671"/>
    <w:rsid w:val="00EF2FF6"/>
    <w:rsid w:val="00EF4A8C"/>
    <w:rsid w:val="00F16929"/>
    <w:rsid w:val="00F30230"/>
    <w:rsid w:val="00F60B37"/>
    <w:rsid w:val="00FA05D0"/>
    <w:rsid w:val="00FC3C40"/>
    <w:rsid w:val="00FD4C54"/>
    <w:rsid w:val="058C1C12"/>
    <w:rsid w:val="08BF40AC"/>
    <w:rsid w:val="09233FB6"/>
    <w:rsid w:val="0A044349"/>
    <w:rsid w:val="0C6D2071"/>
    <w:rsid w:val="0F7A6273"/>
    <w:rsid w:val="139F6FB4"/>
    <w:rsid w:val="14D1683F"/>
    <w:rsid w:val="1A200723"/>
    <w:rsid w:val="247402EF"/>
    <w:rsid w:val="27AF7407"/>
    <w:rsid w:val="2A385615"/>
    <w:rsid w:val="2BCD8E4F"/>
    <w:rsid w:val="2BDFCC0F"/>
    <w:rsid w:val="2BFFD8B1"/>
    <w:rsid w:val="323009D5"/>
    <w:rsid w:val="34BF26A4"/>
    <w:rsid w:val="35FBEABB"/>
    <w:rsid w:val="3BF7FCD7"/>
    <w:rsid w:val="400C2DA8"/>
    <w:rsid w:val="406B1888"/>
    <w:rsid w:val="44BF7AC3"/>
    <w:rsid w:val="44E006AC"/>
    <w:rsid w:val="45F49A95"/>
    <w:rsid w:val="47151946"/>
    <w:rsid w:val="47667291"/>
    <w:rsid w:val="48123C4D"/>
    <w:rsid w:val="48A979B2"/>
    <w:rsid w:val="49380D36"/>
    <w:rsid w:val="49575660"/>
    <w:rsid w:val="4BBE1001"/>
    <w:rsid w:val="4F277882"/>
    <w:rsid w:val="51EAD1A9"/>
    <w:rsid w:val="57BEFA1B"/>
    <w:rsid w:val="5CDC6202"/>
    <w:rsid w:val="5EBDEB6B"/>
    <w:rsid w:val="5F5D21E7"/>
    <w:rsid w:val="5FA943CA"/>
    <w:rsid w:val="5FDFBEA9"/>
    <w:rsid w:val="5FEFE276"/>
    <w:rsid w:val="617058E0"/>
    <w:rsid w:val="61821A90"/>
    <w:rsid w:val="6412753D"/>
    <w:rsid w:val="66FF646D"/>
    <w:rsid w:val="67B65445"/>
    <w:rsid w:val="68EB4731"/>
    <w:rsid w:val="69161CF0"/>
    <w:rsid w:val="69BF5DBD"/>
    <w:rsid w:val="6B181844"/>
    <w:rsid w:val="6CD46CE0"/>
    <w:rsid w:val="6D774B4B"/>
    <w:rsid w:val="6D94212F"/>
    <w:rsid w:val="6F02382D"/>
    <w:rsid w:val="71337136"/>
    <w:rsid w:val="739403C3"/>
    <w:rsid w:val="73E57241"/>
    <w:rsid w:val="74DDEC80"/>
    <w:rsid w:val="769F6DF0"/>
    <w:rsid w:val="77AA503C"/>
    <w:rsid w:val="78C04C5C"/>
    <w:rsid w:val="7B3D2FE4"/>
    <w:rsid w:val="7BCFD70E"/>
    <w:rsid w:val="7C392F81"/>
    <w:rsid w:val="7CFFD23E"/>
    <w:rsid w:val="7D4982A6"/>
    <w:rsid w:val="7DBBC1C8"/>
    <w:rsid w:val="7E1075B0"/>
    <w:rsid w:val="7F974972"/>
    <w:rsid w:val="7FC588F2"/>
    <w:rsid w:val="7FEF48BE"/>
    <w:rsid w:val="91EE6207"/>
    <w:rsid w:val="946F6198"/>
    <w:rsid w:val="997F0EA7"/>
    <w:rsid w:val="9BBF1C3E"/>
    <w:rsid w:val="9D627A80"/>
    <w:rsid w:val="9DD79BA8"/>
    <w:rsid w:val="9E8F7E42"/>
    <w:rsid w:val="9F7FDC5F"/>
    <w:rsid w:val="9FED78C5"/>
    <w:rsid w:val="B5ADDD15"/>
    <w:rsid w:val="B5F2EA4F"/>
    <w:rsid w:val="B79E7168"/>
    <w:rsid w:val="B7FA6EBF"/>
    <w:rsid w:val="B9FCE6E3"/>
    <w:rsid w:val="BC7F33CE"/>
    <w:rsid w:val="BEEA43DE"/>
    <w:rsid w:val="BFFDFB8A"/>
    <w:rsid w:val="BFFF426E"/>
    <w:rsid w:val="C7FFE7B7"/>
    <w:rsid w:val="D5AFAFFA"/>
    <w:rsid w:val="DE7C6469"/>
    <w:rsid w:val="DEDFC46E"/>
    <w:rsid w:val="DEF5126E"/>
    <w:rsid w:val="DFEC379A"/>
    <w:rsid w:val="E34B54BE"/>
    <w:rsid w:val="E78F9431"/>
    <w:rsid w:val="EBFF3341"/>
    <w:rsid w:val="ED76DDB3"/>
    <w:rsid w:val="EDEF4616"/>
    <w:rsid w:val="EE5F6F33"/>
    <w:rsid w:val="EFFDC56E"/>
    <w:rsid w:val="F5BB0B4B"/>
    <w:rsid w:val="F97CBF73"/>
    <w:rsid w:val="FDD6CCB8"/>
    <w:rsid w:val="FDF65D32"/>
    <w:rsid w:val="FE72691D"/>
    <w:rsid w:val="FF7BE80C"/>
    <w:rsid w:val="FF7DDD2A"/>
    <w:rsid w:val="FF8D5068"/>
    <w:rsid w:val="FFDD50C0"/>
    <w:rsid w:val="FFFC240A"/>
    <w:rsid w:val="FFFFFFF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3"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3"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3"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3"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560" w:firstLineChars="200"/>
      <w:jc w:val="both"/>
    </w:pPr>
    <w:rPr>
      <w:rFonts w:ascii="Times New Roman" w:hAnsi="Times New Roman" w:eastAsia="宋体" w:cstheme="minorBidi"/>
      <w:kern w:val="2"/>
      <w:sz w:val="21"/>
      <w:szCs w:val="21"/>
      <w:lang w:val="en-US" w:eastAsia="zh-CN" w:bidi="ar-SA"/>
    </w:rPr>
  </w:style>
  <w:style w:type="paragraph" w:styleId="2">
    <w:name w:val="heading 1"/>
    <w:basedOn w:val="1"/>
    <w:next w:val="1"/>
    <w:link w:val="43"/>
    <w:qFormat/>
    <w:uiPriority w:val="0"/>
    <w:pPr>
      <w:keepNext/>
      <w:keepLines/>
      <w:spacing w:before="100" w:beforeLines="100" w:after="100" w:afterLines="100"/>
      <w:ind w:firstLine="0" w:firstLineChars="0"/>
      <w:outlineLvl w:val="0"/>
    </w:pPr>
    <w:rPr>
      <w:rFonts w:eastAsia="黑体" w:cs="Times New Roman"/>
      <w:kern w:val="44"/>
    </w:rPr>
  </w:style>
  <w:style w:type="paragraph" w:styleId="3">
    <w:name w:val="heading 2"/>
    <w:basedOn w:val="2"/>
    <w:next w:val="1"/>
    <w:link w:val="44"/>
    <w:unhideWhenUsed/>
    <w:qFormat/>
    <w:uiPriority w:val="0"/>
    <w:pPr>
      <w:spacing w:line="360" w:lineRule="auto"/>
      <w:outlineLvl w:val="1"/>
    </w:pPr>
  </w:style>
  <w:style w:type="paragraph" w:styleId="4">
    <w:name w:val="heading 3"/>
    <w:basedOn w:val="1"/>
    <w:next w:val="1"/>
    <w:link w:val="45"/>
    <w:unhideWhenUsed/>
    <w:qFormat/>
    <w:uiPriority w:val="0"/>
    <w:pPr>
      <w:keepNext/>
      <w:keepLines/>
      <w:spacing w:line="360" w:lineRule="auto"/>
      <w:ind w:firstLine="0" w:firstLineChars="0"/>
      <w:outlineLvl w:val="2"/>
    </w:pPr>
    <w:rPr>
      <w:rFonts w:eastAsia="黑体" w:cs="Times New Roman"/>
    </w:rPr>
  </w:style>
  <w:style w:type="paragraph" w:styleId="5">
    <w:name w:val="heading 4"/>
    <w:basedOn w:val="1"/>
    <w:next w:val="1"/>
    <w:link w:val="46"/>
    <w:unhideWhenUsed/>
    <w:qFormat/>
    <w:uiPriority w:val="0"/>
    <w:pPr>
      <w:keepNext/>
      <w:keepLines/>
      <w:spacing w:before="50" w:beforeLines="50" w:after="50" w:afterLines="50" w:line="372" w:lineRule="auto"/>
      <w:outlineLvl w:val="3"/>
    </w:pPr>
    <w:rPr>
      <w:b/>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ind w:left="2520" w:leftChars="1200" w:firstLine="0" w:firstLineChars="0"/>
    </w:pPr>
    <w:rPr>
      <w:rFonts w:asciiTheme="minorHAnsi" w:hAnsiTheme="minorHAnsi" w:eastAsiaTheme="minorEastAsia"/>
      <w:szCs w:val="22"/>
      <w14:ligatures w14:val="standardContextual"/>
    </w:rPr>
  </w:style>
  <w:style w:type="paragraph" w:styleId="7">
    <w:name w:val="Normal Indent"/>
    <w:basedOn w:val="1"/>
    <w:unhideWhenUsed/>
    <w:qFormat/>
    <w:uiPriority w:val="0"/>
    <w:pPr>
      <w:adjustRightInd w:val="0"/>
      <w:spacing w:before="50" w:beforeLines="50" w:after="50" w:afterLines="50" w:line="360" w:lineRule="auto"/>
      <w:ind w:firstLine="420"/>
    </w:pPr>
    <w:rPr>
      <w:rFonts w:ascii="Calibri" w:hAnsi="Calibri" w:cs="Calibri"/>
    </w:rPr>
  </w:style>
  <w:style w:type="paragraph" w:styleId="8">
    <w:name w:val="caption"/>
    <w:basedOn w:val="1"/>
    <w:next w:val="1"/>
    <w:unhideWhenUsed/>
    <w:qFormat/>
    <w:uiPriority w:val="35"/>
    <w:rPr>
      <w:rFonts w:ascii="Arial" w:hAnsi="Arial" w:eastAsia="黑体"/>
      <w:sz w:val="20"/>
    </w:rPr>
  </w:style>
  <w:style w:type="paragraph" w:styleId="9">
    <w:name w:val="Document Map"/>
    <w:basedOn w:val="1"/>
    <w:link w:val="83"/>
    <w:unhideWhenUsed/>
    <w:qFormat/>
    <w:uiPriority w:val="99"/>
    <w:pPr>
      <w:widowControl/>
      <w:spacing w:before="163" w:beforeLines="50" w:after="163" w:afterLines="50"/>
      <w:ind w:firstLine="420"/>
    </w:pPr>
    <w:rPr>
      <w:rFonts w:ascii="宋体" w:cs="Times New Roman"/>
      <w:kern w:val="0"/>
      <w:szCs w:val="24"/>
    </w:rPr>
  </w:style>
  <w:style w:type="paragraph" w:styleId="10">
    <w:name w:val="annotation text"/>
    <w:basedOn w:val="1"/>
    <w:link w:val="47"/>
    <w:qFormat/>
    <w:uiPriority w:val="3"/>
    <w:pPr>
      <w:jc w:val="left"/>
    </w:pPr>
  </w:style>
  <w:style w:type="paragraph" w:styleId="11">
    <w:name w:val="Body Text"/>
    <w:basedOn w:val="1"/>
    <w:link w:val="48"/>
    <w:qFormat/>
    <w:uiPriority w:val="99"/>
    <w:rPr>
      <w:sz w:val="24"/>
      <w:szCs w:val="24"/>
    </w:rPr>
  </w:style>
  <w:style w:type="paragraph" w:styleId="12">
    <w:name w:val="toc 5"/>
    <w:basedOn w:val="1"/>
    <w:next w:val="1"/>
    <w:unhideWhenUsed/>
    <w:qFormat/>
    <w:uiPriority w:val="39"/>
    <w:pPr>
      <w:ind w:left="1680" w:leftChars="800" w:firstLine="0" w:firstLineChars="0"/>
    </w:pPr>
    <w:rPr>
      <w:rFonts w:asciiTheme="minorHAnsi" w:hAnsiTheme="minorHAnsi" w:eastAsiaTheme="minorEastAsia"/>
      <w:szCs w:val="22"/>
      <w14:ligatures w14:val="standardContextual"/>
    </w:rPr>
  </w:style>
  <w:style w:type="paragraph" w:styleId="13">
    <w:name w:val="toc 3"/>
    <w:basedOn w:val="1"/>
    <w:next w:val="1"/>
    <w:qFormat/>
    <w:uiPriority w:val="39"/>
    <w:pPr>
      <w:tabs>
        <w:tab w:val="right" w:leader="dot" w:pos="8296"/>
      </w:tabs>
      <w:ind w:left="1120" w:leftChars="400"/>
    </w:pPr>
  </w:style>
  <w:style w:type="paragraph" w:styleId="14">
    <w:name w:val="toc 8"/>
    <w:basedOn w:val="1"/>
    <w:next w:val="1"/>
    <w:unhideWhenUsed/>
    <w:qFormat/>
    <w:uiPriority w:val="39"/>
    <w:pPr>
      <w:ind w:left="2940" w:leftChars="1400" w:firstLine="0" w:firstLineChars="0"/>
    </w:pPr>
    <w:rPr>
      <w:rFonts w:asciiTheme="minorHAnsi" w:hAnsiTheme="minorHAnsi" w:eastAsiaTheme="minorEastAsia"/>
      <w:szCs w:val="22"/>
      <w14:ligatures w14:val="standardContextual"/>
    </w:rPr>
  </w:style>
  <w:style w:type="paragraph" w:styleId="15">
    <w:name w:val="Date"/>
    <w:basedOn w:val="1"/>
    <w:next w:val="1"/>
    <w:link w:val="125"/>
    <w:semiHidden/>
    <w:unhideWhenUsed/>
    <w:qFormat/>
    <w:uiPriority w:val="99"/>
    <w:pPr>
      <w:spacing w:line="560" w:lineRule="exact"/>
      <w:ind w:left="100" w:leftChars="2500" w:firstLine="0" w:firstLineChars="0"/>
    </w:pPr>
    <w:rPr>
      <w:rFonts w:ascii="仿宋" w:hAnsi="仿宋" w:eastAsia="仿宋"/>
      <w:sz w:val="32"/>
      <w:szCs w:val="24"/>
    </w:rPr>
  </w:style>
  <w:style w:type="paragraph" w:styleId="16">
    <w:name w:val="Balloon Text"/>
    <w:basedOn w:val="1"/>
    <w:link w:val="49"/>
    <w:qFormat/>
    <w:uiPriority w:val="99"/>
    <w:rPr>
      <w:sz w:val="18"/>
      <w:szCs w:val="18"/>
    </w:rPr>
  </w:style>
  <w:style w:type="paragraph" w:styleId="17">
    <w:name w:val="footer"/>
    <w:basedOn w:val="1"/>
    <w:link w:val="42"/>
    <w:unhideWhenUsed/>
    <w:qFormat/>
    <w:uiPriority w:val="99"/>
    <w:pPr>
      <w:tabs>
        <w:tab w:val="center" w:pos="4153"/>
        <w:tab w:val="right" w:pos="8306"/>
      </w:tabs>
      <w:snapToGrid w:val="0"/>
      <w:jc w:val="left"/>
    </w:pPr>
    <w:rPr>
      <w:sz w:val="18"/>
      <w:szCs w:val="18"/>
    </w:rPr>
  </w:style>
  <w:style w:type="paragraph" w:styleId="18">
    <w:name w:val="header"/>
    <w:basedOn w:val="1"/>
    <w:link w:val="41"/>
    <w:unhideWhenUsed/>
    <w:qFormat/>
    <w:uiPriority w:val="0"/>
    <w:pPr>
      <w:tabs>
        <w:tab w:val="center" w:pos="4153"/>
        <w:tab w:val="right" w:pos="8306"/>
      </w:tabs>
      <w:snapToGrid w:val="0"/>
      <w:jc w:val="center"/>
    </w:pPr>
    <w:rPr>
      <w:sz w:val="18"/>
      <w:szCs w:val="18"/>
    </w:rPr>
  </w:style>
  <w:style w:type="paragraph" w:styleId="19">
    <w:name w:val="toc 1"/>
    <w:basedOn w:val="1"/>
    <w:next w:val="1"/>
    <w:qFormat/>
    <w:uiPriority w:val="39"/>
    <w:pPr>
      <w:spacing w:line="360" w:lineRule="auto"/>
    </w:pPr>
    <w:rPr>
      <w:rFonts w:eastAsia="黑体"/>
    </w:rPr>
  </w:style>
  <w:style w:type="paragraph" w:styleId="20">
    <w:name w:val="toc 4"/>
    <w:basedOn w:val="1"/>
    <w:next w:val="1"/>
    <w:unhideWhenUsed/>
    <w:qFormat/>
    <w:uiPriority w:val="39"/>
    <w:pPr>
      <w:ind w:left="1260" w:leftChars="600" w:firstLine="0" w:firstLineChars="0"/>
    </w:pPr>
    <w:rPr>
      <w:rFonts w:asciiTheme="minorHAnsi" w:hAnsiTheme="minorHAnsi" w:eastAsiaTheme="minorEastAsia"/>
      <w:szCs w:val="22"/>
      <w14:ligatures w14:val="standardContextual"/>
    </w:rPr>
  </w:style>
  <w:style w:type="paragraph" w:styleId="21">
    <w:name w:val="Subtitle"/>
    <w:basedOn w:val="22"/>
    <w:next w:val="1"/>
    <w:link w:val="84"/>
    <w:qFormat/>
    <w:uiPriority w:val="1"/>
    <w:pPr>
      <w:spacing w:before="240" w:beforeLines="0" w:after="240" w:afterLines="0"/>
      <w:outlineLvl w:val="9"/>
    </w:pPr>
    <w:rPr>
      <w:rFonts w:ascii="Times New Roman" w:hAnsi="Times New Roman" w:cs="Times New Roman"/>
      <w:bCs w:val="0"/>
      <w:sz w:val="40"/>
      <w:szCs w:val="50"/>
    </w:rPr>
  </w:style>
  <w:style w:type="paragraph" w:customStyle="1" w:styleId="22">
    <w:name w:val="目次、前言、引言"/>
    <w:basedOn w:val="23"/>
    <w:next w:val="24"/>
    <w:link w:val="72"/>
    <w:qFormat/>
    <w:uiPriority w:val="3"/>
    <w:pPr>
      <w:adjustRightInd w:val="0"/>
      <w:spacing w:before="851" w:after="680"/>
    </w:pPr>
    <w:rPr>
      <w:rFonts w:eastAsia="黑体"/>
      <w:b w:val="0"/>
      <w:sz w:val="32"/>
      <w14:ligatures w14:val="standardContextual"/>
    </w:rPr>
  </w:style>
  <w:style w:type="paragraph" w:styleId="23">
    <w:name w:val="Title"/>
    <w:basedOn w:val="1"/>
    <w:next w:val="1"/>
    <w:link w:val="70"/>
    <w:qFormat/>
    <w:uiPriority w:val="1"/>
    <w:pPr>
      <w:spacing w:before="240" w:beforeLines="50" w:after="60" w:afterLines="50"/>
      <w:ind w:firstLine="200"/>
      <w:jc w:val="center"/>
      <w:outlineLvl w:val="0"/>
    </w:pPr>
    <w:rPr>
      <w:rFonts w:asciiTheme="majorHAnsi" w:hAnsiTheme="majorHAnsi" w:eastAsiaTheme="majorEastAsia" w:cstheme="majorBidi"/>
      <w:b/>
      <w:bCs/>
      <w:szCs w:val="32"/>
    </w:rPr>
  </w:style>
  <w:style w:type="paragraph" w:customStyle="1" w:styleId="24">
    <w:name w:val="段"/>
    <w:link w:val="6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25">
    <w:name w:val="footnote text"/>
    <w:basedOn w:val="1"/>
    <w:link w:val="50"/>
    <w:qFormat/>
    <w:uiPriority w:val="0"/>
    <w:pPr>
      <w:snapToGrid w:val="0"/>
      <w:jc w:val="left"/>
    </w:pPr>
    <w:rPr>
      <w:sz w:val="18"/>
    </w:rPr>
  </w:style>
  <w:style w:type="paragraph" w:styleId="26">
    <w:name w:val="toc 6"/>
    <w:basedOn w:val="1"/>
    <w:next w:val="1"/>
    <w:unhideWhenUsed/>
    <w:qFormat/>
    <w:uiPriority w:val="39"/>
    <w:pPr>
      <w:ind w:left="2100" w:leftChars="1000" w:firstLine="0" w:firstLineChars="0"/>
    </w:pPr>
    <w:rPr>
      <w:rFonts w:asciiTheme="minorHAnsi" w:hAnsiTheme="minorHAnsi" w:eastAsiaTheme="minorEastAsia"/>
      <w:szCs w:val="22"/>
      <w14:ligatures w14:val="standardContextual"/>
    </w:rPr>
  </w:style>
  <w:style w:type="paragraph" w:styleId="27">
    <w:name w:val="toc 2"/>
    <w:basedOn w:val="1"/>
    <w:next w:val="1"/>
    <w:qFormat/>
    <w:uiPriority w:val="39"/>
    <w:pPr>
      <w:spacing w:line="360" w:lineRule="auto"/>
      <w:ind w:left="420" w:leftChars="200"/>
    </w:pPr>
    <w:rPr>
      <w:rFonts w:eastAsia="黑体"/>
    </w:rPr>
  </w:style>
  <w:style w:type="paragraph" w:styleId="28">
    <w:name w:val="toc 9"/>
    <w:basedOn w:val="1"/>
    <w:next w:val="1"/>
    <w:unhideWhenUsed/>
    <w:qFormat/>
    <w:uiPriority w:val="39"/>
    <w:pPr>
      <w:ind w:left="3360" w:leftChars="1600" w:firstLine="0" w:firstLineChars="0"/>
    </w:pPr>
    <w:rPr>
      <w:rFonts w:asciiTheme="minorHAnsi" w:hAnsiTheme="minorHAnsi" w:eastAsiaTheme="minorEastAsia"/>
      <w:szCs w:val="22"/>
      <w14:ligatures w14:val="standardContextual"/>
    </w:rPr>
  </w:style>
  <w:style w:type="paragraph" w:styleId="29">
    <w:name w:val="Normal (Web)"/>
    <w:basedOn w:val="1"/>
    <w:unhideWhenUsed/>
    <w:qFormat/>
    <w:uiPriority w:val="99"/>
    <w:pPr>
      <w:widowControl/>
      <w:spacing w:before="100" w:beforeLines="50" w:beforeAutospacing="1" w:after="100" w:afterLines="50" w:afterAutospacing="1"/>
      <w:ind w:firstLine="0" w:firstLineChars="0"/>
      <w:jc w:val="left"/>
    </w:pPr>
    <w:rPr>
      <w:rFonts w:ascii="宋体" w:hAnsi="宋体" w:cs="宋体"/>
      <w:kern w:val="0"/>
      <w:sz w:val="24"/>
      <w:szCs w:val="24"/>
    </w:rPr>
  </w:style>
  <w:style w:type="paragraph" w:styleId="30">
    <w:name w:val="annotation subject"/>
    <w:basedOn w:val="10"/>
    <w:next w:val="10"/>
    <w:link w:val="51"/>
    <w:qFormat/>
    <w:uiPriority w:val="3"/>
    <w:rPr>
      <w:b/>
      <w:bCs/>
    </w:rPr>
  </w:style>
  <w:style w:type="paragraph" w:styleId="31">
    <w:name w:val="Body Text First Indent"/>
    <w:basedOn w:val="11"/>
    <w:link w:val="67"/>
    <w:unhideWhenUsed/>
    <w:qFormat/>
    <w:uiPriority w:val="99"/>
    <w:pPr>
      <w:spacing w:after="120" w:line="560" w:lineRule="exact"/>
      <w:ind w:firstLine="420" w:firstLineChars="100"/>
    </w:pPr>
    <w:rPr>
      <w:rFonts w:ascii="仿宋" w:hAnsi="仿宋" w:eastAsia="仿宋"/>
      <w:sz w:val="32"/>
    </w:rPr>
  </w:style>
  <w:style w:type="table" w:styleId="33">
    <w:name w:val="Table Grid"/>
    <w:basedOn w:val="3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FollowedHyperlink"/>
    <w:qFormat/>
    <w:uiPriority w:val="3"/>
    <w:rPr>
      <w:color w:val="800080"/>
      <w:u w:val="single"/>
    </w:rPr>
  </w:style>
  <w:style w:type="character" w:styleId="37">
    <w:name w:val="Emphasis"/>
    <w:basedOn w:val="34"/>
    <w:qFormat/>
    <w:uiPriority w:val="20"/>
    <w:rPr>
      <w:i/>
      <w:iCs/>
    </w:rPr>
  </w:style>
  <w:style w:type="character" w:styleId="38">
    <w:name w:val="Hyperlink"/>
    <w:basedOn w:val="34"/>
    <w:qFormat/>
    <w:uiPriority w:val="99"/>
    <w:rPr>
      <w:color w:val="0000FF"/>
      <w:u w:val="single"/>
    </w:rPr>
  </w:style>
  <w:style w:type="character" w:styleId="39">
    <w:name w:val="annotation reference"/>
    <w:basedOn w:val="34"/>
    <w:qFormat/>
    <w:uiPriority w:val="3"/>
    <w:rPr>
      <w:sz w:val="21"/>
      <w:szCs w:val="21"/>
    </w:rPr>
  </w:style>
  <w:style w:type="character" w:styleId="40">
    <w:name w:val="footnote reference"/>
    <w:basedOn w:val="34"/>
    <w:qFormat/>
    <w:uiPriority w:val="0"/>
    <w:rPr>
      <w:vertAlign w:val="superscript"/>
    </w:rPr>
  </w:style>
  <w:style w:type="character" w:customStyle="1" w:styleId="41">
    <w:name w:val="页眉 字符"/>
    <w:basedOn w:val="34"/>
    <w:link w:val="18"/>
    <w:qFormat/>
    <w:uiPriority w:val="0"/>
    <w:rPr>
      <w:sz w:val="18"/>
      <w:szCs w:val="18"/>
    </w:rPr>
  </w:style>
  <w:style w:type="character" w:customStyle="1" w:styleId="42">
    <w:name w:val="页脚 字符"/>
    <w:basedOn w:val="34"/>
    <w:link w:val="17"/>
    <w:qFormat/>
    <w:uiPriority w:val="99"/>
    <w:rPr>
      <w:sz w:val="18"/>
      <w:szCs w:val="18"/>
    </w:rPr>
  </w:style>
  <w:style w:type="character" w:customStyle="1" w:styleId="43">
    <w:name w:val="标题 1 字符"/>
    <w:basedOn w:val="34"/>
    <w:link w:val="2"/>
    <w:qFormat/>
    <w:uiPriority w:val="0"/>
    <w:rPr>
      <w:rFonts w:ascii="Times New Roman" w:hAnsi="Times New Roman" w:eastAsia="黑体" w:cs="Times New Roman"/>
      <w:kern w:val="44"/>
      <w:szCs w:val="21"/>
      <w14:ligatures w14:val="none"/>
    </w:rPr>
  </w:style>
  <w:style w:type="character" w:customStyle="1" w:styleId="44">
    <w:name w:val="标题 2 字符"/>
    <w:basedOn w:val="34"/>
    <w:link w:val="3"/>
    <w:qFormat/>
    <w:uiPriority w:val="0"/>
    <w:rPr>
      <w:rFonts w:ascii="Times New Roman" w:hAnsi="Times New Roman" w:eastAsia="黑体" w:cs="Times New Roman"/>
      <w:szCs w:val="21"/>
      <w14:ligatures w14:val="none"/>
    </w:rPr>
  </w:style>
  <w:style w:type="character" w:customStyle="1" w:styleId="45">
    <w:name w:val="标题 3 字符"/>
    <w:basedOn w:val="34"/>
    <w:link w:val="4"/>
    <w:qFormat/>
    <w:uiPriority w:val="0"/>
    <w:rPr>
      <w:rFonts w:ascii="Times New Roman" w:hAnsi="Times New Roman" w:eastAsia="黑体" w:cs="Times New Roman"/>
      <w:szCs w:val="21"/>
      <w14:ligatures w14:val="none"/>
    </w:rPr>
  </w:style>
  <w:style w:type="character" w:customStyle="1" w:styleId="46">
    <w:name w:val="标题 4 字符"/>
    <w:basedOn w:val="34"/>
    <w:link w:val="5"/>
    <w:qFormat/>
    <w:uiPriority w:val="0"/>
    <w:rPr>
      <w:rFonts w:ascii="Times New Roman" w:hAnsi="Times New Roman" w:eastAsia="宋体"/>
      <w:b/>
      <w:szCs w:val="21"/>
      <w14:ligatures w14:val="none"/>
    </w:rPr>
  </w:style>
  <w:style w:type="character" w:customStyle="1" w:styleId="47">
    <w:name w:val="批注文字 字符"/>
    <w:basedOn w:val="34"/>
    <w:link w:val="10"/>
    <w:qFormat/>
    <w:uiPriority w:val="3"/>
    <w:rPr>
      <w:rFonts w:ascii="Times New Roman" w:hAnsi="Times New Roman" w:eastAsia="宋体"/>
      <w:szCs w:val="21"/>
      <w14:ligatures w14:val="none"/>
    </w:rPr>
  </w:style>
  <w:style w:type="character" w:customStyle="1" w:styleId="48">
    <w:name w:val="正文文本 字符"/>
    <w:basedOn w:val="34"/>
    <w:link w:val="11"/>
    <w:qFormat/>
    <w:uiPriority w:val="99"/>
    <w:rPr>
      <w:rFonts w:ascii="Times New Roman" w:hAnsi="Times New Roman" w:eastAsia="宋体"/>
      <w:sz w:val="24"/>
      <w:szCs w:val="24"/>
      <w14:ligatures w14:val="none"/>
    </w:rPr>
  </w:style>
  <w:style w:type="character" w:customStyle="1" w:styleId="49">
    <w:name w:val="批注框文本 字符"/>
    <w:basedOn w:val="34"/>
    <w:link w:val="16"/>
    <w:qFormat/>
    <w:uiPriority w:val="99"/>
    <w:rPr>
      <w:rFonts w:ascii="Times New Roman" w:hAnsi="Times New Roman" w:eastAsia="宋体"/>
      <w:sz w:val="18"/>
      <w:szCs w:val="18"/>
      <w14:ligatures w14:val="none"/>
    </w:rPr>
  </w:style>
  <w:style w:type="character" w:customStyle="1" w:styleId="50">
    <w:name w:val="脚注文本 字符"/>
    <w:basedOn w:val="34"/>
    <w:link w:val="25"/>
    <w:qFormat/>
    <w:uiPriority w:val="0"/>
    <w:rPr>
      <w:rFonts w:ascii="Times New Roman" w:hAnsi="Times New Roman" w:eastAsia="宋体"/>
      <w:sz w:val="18"/>
      <w:szCs w:val="21"/>
      <w14:ligatures w14:val="none"/>
    </w:rPr>
  </w:style>
  <w:style w:type="character" w:customStyle="1" w:styleId="51">
    <w:name w:val="批注主题 字符"/>
    <w:basedOn w:val="47"/>
    <w:link w:val="30"/>
    <w:qFormat/>
    <w:uiPriority w:val="3"/>
    <w:rPr>
      <w:rFonts w:ascii="Times New Roman" w:hAnsi="Times New Roman" w:eastAsia="宋体"/>
      <w:b/>
      <w:bCs/>
      <w:szCs w:val="21"/>
      <w14:ligatures w14:val="none"/>
    </w:rPr>
  </w:style>
  <w:style w:type="paragraph" w:customStyle="1" w:styleId="52">
    <w:name w:val="大标题"/>
    <w:basedOn w:val="1"/>
    <w:qFormat/>
    <w:uiPriority w:val="0"/>
    <w:pPr>
      <w:spacing w:before="100" w:beforeLines="100" w:after="100" w:afterLines="100" w:line="640" w:lineRule="exact"/>
      <w:ind w:firstLine="0" w:firstLineChars="0"/>
      <w:jc w:val="center"/>
    </w:pPr>
    <w:rPr>
      <w:rFonts w:eastAsia="黑体" w:cs="Times New Roman"/>
      <w:sz w:val="48"/>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5">
    <w:name w:val="修订1"/>
    <w:hidden/>
    <w:qFormat/>
    <w:uiPriority w:val="99"/>
    <w:rPr>
      <w:rFonts w:ascii="宋体" w:hAnsi="宋体" w:eastAsia="仿宋_GB2312" w:cstheme="minorBidi"/>
      <w:kern w:val="2"/>
      <w:sz w:val="28"/>
      <w:szCs w:val="32"/>
      <w:lang w:val="en-US" w:eastAsia="zh-CN" w:bidi="ar-SA"/>
    </w:rPr>
  </w:style>
  <w:style w:type="paragraph" w:customStyle="1" w:styleId="56">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7">
    <w:name w:val="征文格式"/>
    <w:basedOn w:val="1"/>
    <w:qFormat/>
    <w:uiPriority w:val="0"/>
    <w:pPr>
      <w:spacing w:line="360" w:lineRule="exact"/>
      <w:ind w:firstLine="420"/>
    </w:pPr>
    <w:rPr>
      <w:rFonts w:cs="Times New Roman"/>
      <w:szCs w:val="24"/>
    </w:rPr>
  </w:style>
  <w:style w:type="paragraph" w:styleId="58">
    <w:name w:val="List Paragraph"/>
    <w:basedOn w:val="1"/>
    <w:qFormat/>
    <w:uiPriority w:val="1"/>
    <w:pPr>
      <w:ind w:left="640" w:hanging="361"/>
    </w:pPr>
  </w:style>
  <w:style w:type="paragraph" w:customStyle="1" w:styleId="59">
    <w:name w:val="表格内容"/>
    <w:basedOn w:val="1"/>
    <w:qFormat/>
    <w:uiPriority w:val="0"/>
    <w:pPr>
      <w:spacing w:line="240" w:lineRule="atLeast"/>
      <w:ind w:firstLine="0" w:firstLineChars="0"/>
      <w:jc w:val="left"/>
    </w:pPr>
    <w:rPr>
      <w:rFonts w:cs="Times New Roman"/>
      <w:sz w:val="18"/>
      <w:szCs w:val="18"/>
    </w:rPr>
  </w:style>
  <w:style w:type="paragraph" w:customStyle="1" w:styleId="60">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table" w:customStyle="1" w:styleId="61">
    <w:name w:val="Table Normal"/>
    <w:semiHidden/>
    <w:unhideWhenUsed/>
    <w:qFormat/>
    <w:uiPriority w:val="0"/>
    <w:rPr>
      <w:rFonts w:ascii="Arial" w:hAnsi="Arial" w:cs="Arial"/>
    </w:rPr>
    <w:tblPr>
      <w:tblCellMar>
        <w:top w:w="0" w:type="dxa"/>
        <w:left w:w="0" w:type="dxa"/>
        <w:bottom w:w="0" w:type="dxa"/>
        <w:right w:w="0" w:type="dxa"/>
      </w:tblCellMar>
    </w:tblPr>
  </w:style>
  <w:style w:type="character" w:customStyle="1" w:styleId="62">
    <w:name w:val="段 字符"/>
    <w:basedOn w:val="34"/>
    <w:link w:val="24"/>
    <w:qFormat/>
    <w:locked/>
    <w:uiPriority w:val="0"/>
    <w:rPr>
      <w:rFonts w:ascii="宋体" w:hAnsi="Times New Roman" w:eastAsia="宋体" w:cs="Times New Roman"/>
      <w:kern w:val="0"/>
      <w:szCs w:val="20"/>
      <w14:ligatures w14:val="none"/>
    </w:rPr>
  </w:style>
  <w:style w:type="paragraph" w:customStyle="1" w:styleId="63">
    <w:name w:val="TOC 标题1"/>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F5597" w:themeColor="accent1" w:themeShade="BF"/>
      <w:kern w:val="0"/>
      <w:sz w:val="32"/>
      <w:szCs w:val="32"/>
    </w:rPr>
  </w:style>
  <w:style w:type="paragraph" w:customStyle="1" w:styleId="64">
    <w:name w:val="表格文字"/>
    <w:qFormat/>
    <w:uiPriority w:val="0"/>
    <w:pPr>
      <w:adjustRightInd w:val="0"/>
      <w:snapToGrid w:val="0"/>
    </w:pPr>
    <w:rPr>
      <w:rFonts w:ascii="Times New Roman" w:hAnsi="Times New Roman" w:eastAsia="宋体" w:cs="仿宋"/>
      <w:bCs/>
      <w:kern w:val="2"/>
      <w:sz w:val="21"/>
      <w:szCs w:val="21"/>
      <w:lang w:val="en-US" w:eastAsia="zh-CN" w:bidi="ar-SA"/>
    </w:rPr>
  </w:style>
  <w:style w:type="paragraph" w:customStyle="1" w:styleId="65">
    <w:name w:val="修订2"/>
    <w:hidden/>
    <w:unhideWhenUsed/>
    <w:qFormat/>
    <w:uiPriority w:val="99"/>
    <w:rPr>
      <w:rFonts w:ascii="Times New Roman" w:hAnsi="Times New Roman" w:eastAsia="宋体" w:cstheme="minorBidi"/>
      <w:kern w:val="2"/>
      <w:sz w:val="21"/>
      <w:szCs w:val="21"/>
      <w:lang w:val="en-US" w:eastAsia="zh-CN" w:bidi="ar-SA"/>
    </w:rPr>
  </w:style>
  <w:style w:type="paragraph" w:customStyle="1" w:styleId="66">
    <w:name w:val="修订3"/>
    <w:hidden/>
    <w:unhideWhenUsed/>
    <w:qFormat/>
    <w:uiPriority w:val="99"/>
    <w:rPr>
      <w:rFonts w:ascii="Times New Roman" w:hAnsi="Times New Roman" w:eastAsia="宋体" w:cstheme="minorBidi"/>
      <w:kern w:val="2"/>
      <w:sz w:val="21"/>
      <w:szCs w:val="21"/>
      <w:lang w:val="en-US" w:eastAsia="zh-CN" w:bidi="ar-SA"/>
    </w:rPr>
  </w:style>
  <w:style w:type="character" w:customStyle="1" w:styleId="67">
    <w:name w:val="正文文本首行缩进 字符"/>
    <w:basedOn w:val="48"/>
    <w:link w:val="31"/>
    <w:qFormat/>
    <w:uiPriority w:val="99"/>
    <w:rPr>
      <w:rFonts w:ascii="仿宋" w:hAnsi="仿宋" w:eastAsia="仿宋"/>
      <w:sz w:val="32"/>
      <w:szCs w:val="24"/>
      <w14:ligatures w14:val="none"/>
    </w:rPr>
  </w:style>
  <w:style w:type="paragraph" w:customStyle="1" w:styleId="68">
    <w:name w:val="公文标题"/>
    <w:basedOn w:val="1"/>
    <w:next w:val="1"/>
    <w:qFormat/>
    <w:uiPriority w:val="0"/>
    <w:pPr>
      <w:spacing w:line="560" w:lineRule="exact"/>
      <w:ind w:firstLine="0" w:firstLineChars="0"/>
      <w:jc w:val="center"/>
    </w:pPr>
    <w:rPr>
      <w:rFonts w:ascii="方正小标宋简体" w:hAnsi="方正小标宋简体" w:eastAsia="方正小标宋简体"/>
      <w:sz w:val="44"/>
      <w:szCs w:val="24"/>
    </w:rPr>
  </w:style>
  <w:style w:type="paragraph" w:customStyle="1" w:styleId="69">
    <w:name w:val="术语"/>
    <w:basedOn w:val="24"/>
    <w:next w:val="24"/>
    <w:link w:val="75"/>
    <w:qFormat/>
    <w:uiPriority w:val="0"/>
    <w:rPr>
      <w:rFonts w:eastAsia="黑体"/>
    </w:rPr>
  </w:style>
  <w:style w:type="character" w:customStyle="1" w:styleId="70">
    <w:name w:val="标题 字符"/>
    <w:basedOn w:val="34"/>
    <w:link w:val="23"/>
    <w:qFormat/>
    <w:uiPriority w:val="1"/>
    <w:rPr>
      <w:rFonts w:asciiTheme="majorHAnsi" w:hAnsiTheme="majorHAnsi" w:eastAsiaTheme="majorEastAsia" w:cstheme="majorBidi"/>
      <w:b/>
      <w:bCs/>
      <w:szCs w:val="32"/>
      <w14:ligatures w14:val="none"/>
    </w:rPr>
  </w:style>
  <w:style w:type="character" w:customStyle="1" w:styleId="71">
    <w:name w:val="标准正文"/>
    <w:qFormat/>
    <w:uiPriority w:val="0"/>
    <w:rPr>
      <w:rFonts w:eastAsia="宋体"/>
      <w:sz w:val="28"/>
    </w:rPr>
  </w:style>
  <w:style w:type="character" w:customStyle="1" w:styleId="72">
    <w:name w:val="目次、前言、引言 字符"/>
    <w:basedOn w:val="34"/>
    <w:link w:val="22"/>
    <w:qFormat/>
    <w:locked/>
    <w:uiPriority w:val="3"/>
    <w:rPr>
      <w:rFonts w:eastAsia="黑体" w:asciiTheme="majorHAnsi" w:hAnsiTheme="majorHAnsi" w:cstheme="majorBidi"/>
      <w:bCs/>
      <w:sz w:val="32"/>
      <w:szCs w:val="32"/>
    </w:rPr>
  </w:style>
  <w:style w:type="paragraph" w:customStyle="1" w:styleId="73">
    <w:name w:val="章标题"/>
    <w:next w:val="1"/>
    <w:link w:val="74"/>
    <w:qFormat/>
    <w:uiPriority w:val="0"/>
    <w:pPr>
      <w:numPr>
        <w:ilvl w:val="0"/>
        <w:numId w:val="1"/>
      </w:numPr>
      <w:spacing w:beforeLines="100" w:afterLines="100"/>
      <w:outlineLvl w:val="0"/>
    </w:pPr>
    <w:rPr>
      <w:rFonts w:ascii="Times New Roman" w:hAnsi="Times New Roman" w:eastAsia="黑体" w:cs="黑体"/>
      <w:sz w:val="21"/>
      <w:szCs w:val="21"/>
      <w:lang w:val="en-US" w:eastAsia="zh-CN" w:bidi="ar-SA"/>
    </w:rPr>
  </w:style>
  <w:style w:type="character" w:customStyle="1" w:styleId="74">
    <w:name w:val="章标题 字符"/>
    <w:basedOn w:val="34"/>
    <w:link w:val="73"/>
    <w:qFormat/>
    <w:uiPriority w:val="0"/>
    <w:rPr>
      <w:rFonts w:ascii="Times New Roman" w:hAnsi="Times New Roman" w:eastAsia="黑体" w:cs="黑体"/>
      <w:kern w:val="0"/>
      <w:szCs w:val="21"/>
      <w14:ligatures w14:val="none"/>
    </w:rPr>
  </w:style>
  <w:style w:type="character" w:customStyle="1" w:styleId="75">
    <w:name w:val="术语 字符"/>
    <w:basedOn w:val="62"/>
    <w:link w:val="69"/>
    <w:qFormat/>
    <w:uiPriority w:val="0"/>
    <w:rPr>
      <w:rFonts w:ascii="宋体" w:hAnsi="Times New Roman" w:eastAsia="黑体" w:cs="Times New Roman"/>
      <w:kern w:val="0"/>
      <w:szCs w:val="20"/>
      <w14:ligatures w14:val="none"/>
    </w:rPr>
  </w:style>
  <w:style w:type="character" w:customStyle="1" w:styleId="76">
    <w:name w:val="cf01"/>
    <w:basedOn w:val="34"/>
    <w:qFormat/>
    <w:uiPriority w:val="0"/>
    <w:rPr>
      <w:rFonts w:hint="eastAsia" w:ascii="Microsoft YaHei UI" w:hAnsi="Microsoft YaHei UI" w:eastAsia="Microsoft YaHei UI"/>
      <w:sz w:val="18"/>
      <w:szCs w:val="18"/>
    </w:rPr>
  </w:style>
  <w:style w:type="paragraph" w:customStyle="1" w:styleId="77">
    <w:name w:val="修订31"/>
    <w:hidden/>
    <w:qFormat/>
    <w:uiPriority w:val="99"/>
    <w:rPr>
      <w:rFonts w:ascii="Times New Roman" w:hAnsi="Times New Roman" w:cs="Arial" w:eastAsiaTheme="minorEastAsia"/>
      <w:kern w:val="2"/>
      <w:sz w:val="21"/>
      <w:szCs w:val="32"/>
      <w:lang w:val="en-US" w:eastAsia="zh-CN" w:bidi="ar-SA"/>
    </w:rPr>
  </w:style>
  <w:style w:type="table" w:customStyle="1" w:styleId="78">
    <w:name w:val="网格型1"/>
    <w:basedOn w:val="32"/>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9">
    <w:name w:val="修订4"/>
    <w:hidden/>
    <w:unhideWhenUsed/>
    <w:qFormat/>
    <w:uiPriority w:val="99"/>
    <w:rPr>
      <w:rFonts w:ascii="Times New Roman" w:hAnsi="Times New Roman" w:cs="Arial" w:eastAsiaTheme="minorEastAsia"/>
      <w:kern w:val="2"/>
      <w:sz w:val="21"/>
      <w:szCs w:val="32"/>
      <w:lang w:val="en-US" w:eastAsia="zh-CN" w:bidi="ar-SA"/>
    </w:rPr>
  </w:style>
  <w:style w:type="paragraph" w:customStyle="1" w:styleId="80">
    <w:name w:val="修订5"/>
    <w:hidden/>
    <w:unhideWhenUsed/>
    <w:qFormat/>
    <w:uiPriority w:val="99"/>
    <w:rPr>
      <w:rFonts w:ascii="Times New Roman" w:hAnsi="Times New Roman" w:cs="Arial" w:eastAsiaTheme="minorEastAsia"/>
      <w:kern w:val="2"/>
      <w:sz w:val="21"/>
      <w:szCs w:val="32"/>
      <w:lang w:val="en-US" w:eastAsia="zh-CN" w:bidi="ar-SA"/>
    </w:rPr>
  </w:style>
  <w:style w:type="paragraph" w:customStyle="1" w:styleId="81">
    <w:name w:val="修订6"/>
    <w:hidden/>
    <w:qFormat/>
    <w:uiPriority w:val="99"/>
    <w:rPr>
      <w:rFonts w:ascii="Times New Roman" w:hAnsi="Times New Roman" w:cs="Arial" w:eastAsiaTheme="minorEastAsia"/>
      <w:kern w:val="2"/>
      <w:sz w:val="21"/>
      <w:szCs w:val="32"/>
      <w:lang w:val="en-US" w:eastAsia="zh-CN" w:bidi="ar-SA"/>
    </w:rPr>
  </w:style>
  <w:style w:type="paragraph" w:customStyle="1" w:styleId="82">
    <w:name w:val="修订7"/>
    <w:hidden/>
    <w:unhideWhenUsed/>
    <w:qFormat/>
    <w:uiPriority w:val="99"/>
    <w:rPr>
      <w:rFonts w:ascii="Times New Roman" w:hAnsi="Times New Roman" w:cs="Arial" w:eastAsiaTheme="minorEastAsia"/>
      <w:kern w:val="2"/>
      <w:sz w:val="21"/>
      <w:szCs w:val="32"/>
      <w:lang w:val="en-US" w:eastAsia="zh-CN" w:bidi="ar-SA"/>
    </w:rPr>
  </w:style>
  <w:style w:type="character" w:customStyle="1" w:styleId="83">
    <w:name w:val="文档结构图 字符"/>
    <w:basedOn w:val="34"/>
    <w:link w:val="9"/>
    <w:qFormat/>
    <w:uiPriority w:val="99"/>
    <w:rPr>
      <w:rFonts w:ascii="宋体" w:hAnsi="Times New Roman" w:eastAsia="宋体" w:cs="Times New Roman"/>
      <w:kern w:val="0"/>
      <w:szCs w:val="24"/>
      <w14:ligatures w14:val="none"/>
    </w:rPr>
  </w:style>
  <w:style w:type="character" w:customStyle="1" w:styleId="84">
    <w:name w:val="副标题 字符"/>
    <w:basedOn w:val="34"/>
    <w:link w:val="21"/>
    <w:qFormat/>
    <w:uiPriority w:val="1"/>
    <w:rPr>
      <w:rFonts w:ascii="Times New Roman" w:hAnsi="Times New Roman" w:eastAsia="黑体" w:cs="Times New Roman"/>
      <w:sz w:val="40"/>
      <w:szCs w:val="50"/>
    </w:rPr>
  </w:style>
  <w:style w:type="character" w:customStyle="1" w:styleId="85">
    <w:name w:val="彩色列表 - 着色 2 字符"/>
    <w:link w:val="86"/>
    <w:qFormat/>
    <w:uiPriority w:val="3"/>
    <w:rPr>
      <w:rFonts w:ascii="Calibri" w:hAnsi="Calibri"/>
      <w:sz w:val="22"/>
    </w:rPr>
  </w:style>
  <w:style w:type="paragraph" w:customStyle="1" w:styleId="86">
    <w:name w:val="彩色列表 - 着色 21"/>
    <w:link w:val="85"/>
    <w:qFormat/>
    <w:uiPriority w:val="3"/>
    <w:rPr>
      <w:rFonts w:ascii="Calibri" w:hAnsi="Calibri" w:eastAsiaTheme="minorEastAsia" w:cstheme="minorBidi"/>
      <w:kern w:val="2"/>
      <w:sz w:val="22"/>
      <w:szCs w:val="22"/>
      <w:lang w:val="en-US" w:eastAsia="zh-CN" w:bidi="ar-SA"/>
      <w14:ligatures w14:val="standardContextual"/>
    </w:rPr>
  </w:style>
  <w:style w:type="paragraph" w:customStyle="1" w:styleId="87">
    <w:name w:val="注："/>
    <w:next w:val="24"/>
    <w:qFormat/>
    <w:uiPriority w:val="3"/>
    <w:pPr>
      <w:widowControl w:val="0"/>
      <w:numPr>
        <w:ilvl w:val="0"/>
        <w:numId w:val="2"/>
      </w:numPr>
      <w:autoSpaceDE w:val="0"/>
      <w:autoSpaceDN w:val="0"/>
      <w:ind w:left="1129" w:hanging="420"/>
      <w:jc w:val="both"/>
    </w:pPr>
    <w:rPr>
      <w:rFonts w:ascii="宋体" w:hAnsi="Calibri" w:eastAsia="宋体" w:cs="Times New Roman"/>
      <w:sz w:val="18"/>
      <w:szCs w:val="18"/>
      <w:lang w:val="en-US" w:eastAsia="zh-CN" w:bidi="ar-SA"/>
    </w:rPr>
  </w:style>
  <w:style w:type="paragraph" w:customStyle="1" w:styleId="88">
    <w:name w:val="数字编号列项（二级）"/>
    <w:qFormat/>
    <w:uiPriority w:val="3"/>
    <w:pPr>
      <w:numPr>
        <w:ilvl w:val="1"/>
        <w:numId w:val="3"/>
      </w:numPr>
      <w:tabs>
        <w:tab w:val="clear" w:pos="1260"/>
      </w:tabs>
      <w:ind w:left="992" w:hanging="567"/>
      <w:jc w:val="both"/>
    </w:pPr>
    <w:rPr>
      <w:rFonts w:ascii="宋体" w:hAnsi="Calibri" w:eastAsia="宋体" w:cs="Times New Roman"/>
      <w:sz w:val="21"/>
      <w:szCs w:val="22"/>
      <w:lang w:val="en-US" w:eastAsia="zh-CN" w:bidi="ar-SA"/>
    </w:rPr>
  </w:style>
  <w:style w:type="paragraph" w:customStyle="1" w:styleId="89">
    <w:name w:val="样式1"/>
    <w:basedOn w:val="2"/>
    <w:qFormat/>
    <w:uiPriority w:val="3"/>
    <w:pPr>
      <w:widowControl/>
      <w:numPr>
        <w:ilvl w:val="1"/>
        <w:numId w:val="4"/>
      </w:numPr>
      <w:adjustRightInd w:val="0"/>
      <w:snapToGrid w:val="0"/>
      <w:spacing w:before="326" w:after="163" w:afterLines="0" w:line="360" w:lineRule="auto"/>
      <w:ind w:hanging="174" w:hangingChars="174"/>
      <w:jc w:val="left"/>
      <w:outlineLvl w:val="1"/>
    </w:pPr>
    <w:rPr>
      <w:szCs w:val="30"/>
    </w:rPr>
  </w:style>
  <w:style w:type="paragraph" w:customStyle="1" w:styleId="90">
    <w:name w:val="网格表 4 - 着色 51"/>
    <w:basedOn w:val="2"/>
    <w:next w:val="1"/>
    <w:qFormat/>
    <w:uiPriority w:val="3"/>
    <w:pPr>
      <w:widowControl/>
      <w:adjustRightInd w:val="0"/>
      <w:snapToGrid w:val="0"/>
      <w:spacing w:before="480" w:after="0" w:afterLines="0" w:line="276" w:lineRule="auto"/>
      <w:ind w:hanging="174" w:hangingChars="174"/>
      <w:jc w:val="left"/>
      <w:outlineLvl w:val="9"/>
    </w:pPr>
    <w:rPr>
      <w:rFonts w:ascii="Cambria" w:hAnsi="Cambria"/>
      <w:color w:val="365F91"/>
      <w:kern w:val="0"/>
      <w:szCs w:val="28"/>
    </w:rPr>
  </w:style>
  <w:style w:type="paragraph" w:customStyle="1" w:styleId="91">
    <w:name w:val="中等深浅列表 2 - 着色 41"/>
    <w:basedOn w:val="1"/>
    <w:qFormat/>
    <w:uiPriority w:val="3"/>
    <w:pPr>
      <w:widowControl/>
      <w:spacing w:before="163" w:beforeLines="50" w:after="163" w:afterLines="50"/>
      <w:ind w:firstLine="420"/>
    </w:pPr>
    <w:rPr>
      <w:rFonts w:cs="Times New Roman"/>
      <w:kern w:val="0"/>
      <w:szCs w:val="24"/>
    </w:rPr>
  </w:style>
  <w:style w:type="paragraph" w:customStyle="1" w:styleId="92">
    <w:name w:val="RegSectionLevel1"/>
    <w:basedOn w:val="1"/>
    <w:qFormat/>
    <w:uiPriority w:val="3"/>
    <w:pPr>
      <w:keepNext/>
      <w:widowControl/>
      <w:spacing w:before="120" w:beforeLines="50" w:after="163" w:afterLines="50"/>
      <w:ind w:firstLine="0"/>
      <w:outlineLvl w:val="0"/>
    </w:pPr>
    <w:rPr>
      <w:rFonts w:cs="Times New Roman"/>
      <w:b/>
      <w:kern w:val="0"/>
      <w:sz w:val="28"/>
      <w:szCs w:val="20"/>
      <w:lang w:val="en-GB" w:eastAsia="en-US"/>
    </w:rPr>
  </w:style>
  <w:style w:type="paragraph" w:customStyle="1" w:styleId="93">
    <w:name w:val="RegSectionLevel2"/>
    <w:basedOn w:val="1"/>
    <w:qFormat/>
    <w:uiPriority w:val="3"/>
    <w:pPr>
      <w:keepNext/>
      <w:widowControl/>
      <w:numPr>
        <w:ilvl w:val="2"/>
        <w:numId w:val="5"/>
      </w:numPr>
      <w:spacing w:before="163" w:beforeLines="50" w:after="163" w:afterLines="50"/>
      <w:outlineLvl w:val="1"/>
    </w:pPr>
    <w:rPr>
      <w:rFonts w:cs="Times New Roman"/>
      <w:b/>
      <w:kern w:val="0"/>
      <w:sz w:val="28"/>
      <w:szCs w:val="24"/>
      <w:lang w:val="en-GB" w:eastAsia="de-DE"/>
    </w:rPr>
  </w:style>
  <w:style w:type="paragraph" w:customStyle="1" w:styleId="94">
    <w:name w:val="RegSectionLevel3"/>
    <w:basedOn w:val="1"/>
    <w:link w:val="95"/>
    <w:qFormat/>
    <w:uiPriority w:val="3"/>
    <w:pPr>
      <w:keepNext/>
      <w:widowControl/>
      <w:autoSpaceDE w:val="0"/>
      <w:autoSpaceDN w:val="0"/>
      <w:adjustRightInd w:val="0"/>
      <w:spacing w:before="163" w:beforeLines="50" w:after="163" w:afterLines="50"/>
      <w:ind w:left="568" w:firstLine="0"/>
      <w:outlineLvl w:val="2"/>
    </w:pPr>
    <w:rPr>
      <w:rFonts w:cs="Times New Roman"/>
      <w:b/>
      <w:bCs/>
      <w:kern w:val="0"/>
      <w:sz w:val="28"/>
      <w:szCs w:val="24"/>
    </w:rPr>
  </w:style>
  <w:style w:type="character" w:customStyle="1" w:styleId="95">
    <w:name w:val="RegSectionLevel3 Char"/>
    <w:link w:val="94"/>
    <w:qFormat/>
    <w:uiPriority w:val="3"/>
    <w:rPr>
      <w:rFonts w:ascii="Times New Roman" w:hAnsi="Times New Roman" w:eastAsia="宋体" w:cs="Times New Roman"/>
      <w:b/>
      <w:bCs/>
      <w:kern w:val="0"/>
      <w:sz w:val="28"/>
      <w:szCs w:val="24"/>
      <w14:ligatures w14:val="none"/>
    </w:rPr>
  </w:style>
  <w:style w:type="paragraph" w:customStyle="1" w:styleId="96">
    <w:name w:val="RegSectionLevel4"/>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97">
    <w:name w:val="RegSectionLevel5"/>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98">
    <w:name w:val="RegSectionLevel6"/>
    <w:basedOn w:val="1"/>
    <w:qFormat/>
    <w:uiPriority w:val="3"/>
    <w:pPr>
      <w:keepNext/>
      <w:widowControl/>
      <w:spacing w:before="163" w:beforeLines="50" w:after="120" w:afterLines="50"/>
      <w:ind w:left="1296" w:hanging="1296"/>
    </w:pPr>
    <w:rPr>
      <w:rFonts w:eastAsia="MS Mincho" w:cs="Times New Roman"/>
      <w:b/>
      <w:kern w:val="0"/>
      <w:sz w:val="28"/>
      <w:szCs w:val="20"/>
      <w:lang w:val="en-GB" w:eastAsia="de-DE"/>
    </w:rPr>
  </w:style>
  <w:style w:type="paragraph" w:customStyle="1" w:styleId="99">
    <w:name w:val="RegSectionLevel7"/>
    <w:basedOn w:val="1"/>
    <w:qFormat/>
    <w:uiPriority w:val="3"/>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100">
    <w:name w:val="RegSectionLevel8"/>
    <w:basedOn w:val="1"/>
    <w:qFormat/>
    <w:uiPriority w:val="2"/>
    <w:pPr>
      <w:keepNext/>
      <w:widowControl/>
      <w:spacing w:before="163" w:beforeLines="50" w:after="120" w:afterLines="50"/>
      <w:ind w:firstLine="0"/>
    </w:pPr>
    <w:rPr>
      <w:rFonts w:eastAsia="MS Mincho" w:cs="Times New Roman"/>
      <w:b/>
      <w:kern w:val="0"/>
      <w:sz w:val="28"/>
      <w:szCs w:val="20"/>
      <w:lang w:val="en-GB" w:eastAsia="de-DE"/>
    </w:rPr>
  </w:style>
  <w:style w:type="paragraph" w:customStyle="1" w:styleId="101">
    <w:name w:val="PartTitleBox"/>
    <w:basedOn w:val="1"/>
    <w:qFormat/>
    <w:uiPriority w:val="3"/>
    <w:pPr>
      <w:keepNext/>
      <w:keepLines/>
      <w:widowControl/>
      <w:numPr>
        <w:ilvl w:val="8"/>
        <w:numId w:val="5"/>
      </w:numPr>
      <w:pBdr>
        <w:top w:val="single" w:color="auto" w:sz="4" w:space="1"/>
        <w:left w:val="single" w:color="auto" w:sz="4" w:space="1"/>
        <w:bottom w:val="single" w:color="auto" w:sz="4" w:space="1"/>
        <w:right w:val="single" w:color="auto" w:sz="4" w:space="1"/>
      </w:pBdr>
      <w:shd w:val="clear" w:color="auto" w:fill="D9D9D9"/>
      <w:spacing w:before="163" w:beforeLines="50" w:after="163" w:afterLines="50"/>
      <w:ind w:right="57"/>
      <w:jc w:val="center"/>
      <w:outlineLvl w:val="0"/>
    </w:pPr>
    <w:rPr>
      <w:rFonts w:ascii="Times New Roman Bold" w:hAnsi="Times New Roman Bold" w:cs="Times New Roman"/>
      <w:b/>
      <w:kern w:val="0"/>
      <w:sz w:val="28"/>
      <w:szCs w:val="20"/>
      <w:u w:val="dash"/>
      <w:lang w:val="en-GB" w:eastAsia="de-DE"/>
    </w:rPr>
  </w:style>
  <w:style w:type="paragraph" w:customStyle="1" w:styleId="102">
    <w:name w:val="2Bullet List"/>
    <w:qFormat/>
    <w:uiPriority w:val="3"/>
    <w:rPr>
      <w:rFonts w:ascii="Times New Roman" w:hAnsi="Times New Roman" w:eastAsia="Times New Roman" w:cs="Times New Roman"/>
      <w:snapToGrid w:val="0"/>
      <w:sz w:val="24"/>
      <w:lang w:val="en-US" w:eastAsia="en-US" w:bidi="ar-SA"/>
    </w:rPr>
  </w:style>
  <w:style w:type="paragraph" w:customStyle="1" w:styleId="103">
    <w:name w:val="中等深浅列表 1 - 着色 41"/>
    <w:hidden/>
    <w:semiHidden/>
    <w:qFormat/>
    <w:uiPriority w:val="99"/>
    <w:rPr>
      <w:rFonts w:ascii="Times New Roman" w:hAnsi="Times New Roman" w:eastAsia="宋体" w:cs="Times New Roman"/>
      <w:kern w:val="2"/>
      <w:sz w:val="24"/>
      <w:szCs w:val="22"/>
      <w:lang w:val="en-US" w:eastAsia="zh-CN" w:bidi="ar-SA"/>
    </w:rPr>
  </w:style>
  <w:style w:type="paragraph" w:customStyle="1" w:styleId="104">
    <w:name w:val="深色列表 - 着色 31"/>
    <w:hidden/>
    <w:semiHidden/>
    <w:qFormat/>
    <w:uiPriority w:val="99"/>
    <w:rPr>
      <w:rFonts w:ascii="宋体" w:hAnsi="宋体" w:eastAsia="宋体" w:cs="宋体"/>
      <w:sz w:val="24"/>
      <w:szCs w:val="24"/>
      <w:lang w:val="en-US" w:eastAsia="zh-CN" w:bidi="ar-SA"/>
    </w:rPr>
  </w:style>
  <w:style w:type="character" w:customStyle="1" w:styleId="105">
    <w:name w:val="脚注文本 Char"/>
    <w:semiHidden/>
    <w:qFormat/>
    <w:uiPriority w:val="3"/>
    <w:rPr>
      <w:rFonts w:eastAsia="宋体"/>
      <w:kern w:val="2"/>
      <w:sz w:val="18"/>
      <w:szCs w:val="18"/>
    </w:rPr>
  </w:style>
  <w:style w:type="paragraph" w:customStyle="1" w:styleId="106">
    <w:name w:val="浅色网格 - 着色 31"/>
    <w:basedOn w:val="1"/>
    <w:qFormat/>
    <w:uiPriority w:val="34"/>
    <w:pPr>
      <w:spacing w:before="163" w:beforeLines="50" w:after="163" w:afterLines="50"/>
      <w:ind w:firstLine="420"/>
    </w:pPr>
    <w:rPr>
      <w:rFonts w:ascii="Calibri" w:hAnsi="Calibri" w:cs="Times New Roman"/>
      <w:szCs w:val="22"/>
    </w:rPr>
  </w:style>
  <w:style w:type="paragraph" w:customStyle="1" w:styleId="107">
    <w:name w:val="中等深浅列表 2 - 着色 21"/>
    <w:hidden/>
    <w:qFormat/>
    <w:uiPriority w:val="62"/>
    <w:rPr>
      <w:rFonts w:ascii="Times New Roman" w:hAnsi="Times New Roman" w:eastAsia="宋体" w:cs="Times New Roman"/>
      <w:sz w:val="24"/>
      <w:szCs w:val="24"/>
      <w:lang w:val="en-US" w:eastAsia="zh-CN" w:bidi="ar-SA"/>
    </w:rPr>
  </w:style>
  <w:style w:type="character" w:customStyle="1" w:styleId="108">
    <w:name w:val="脚注文本 字符1"/>
    <w:semiHidden/>
    <w:qFormat/>
    <w:uiPriority w:val="3"/>
    <w:rPr>
      <w:rFonts w:eastAsia="宋体"/>
      <w:kern w:val="2"/>
      <w:sz w:val="18"/>
      <w:szCs w:val="18"/>
    </w:rPr>
  </w:style>
  <w:style w:type="character" w:customStyle="1" w:styleId="109">
    <w:name w:val="占位符文本1"/>
    <w:basedOn w:val="34"/>
    <w:unhideWhenUsed/>
    <w:qFormat/>
    <w:uiPriority w:val="99"/>
    <w:rPr>
      <w:color w:val="808080"/>
    </w:rPr>
  </w:style>
  <w:style w:type="paragraph" w:customStyle="1" w:styleId="110">
    <w:name w:val="列表段落1"/>
    <w:basedOn w:val="1"/>
    <w:qFormat/>
    <w:uiPriority w:val="99"/>
    <w:pPr>
      <w:widowControl/>
      <w:spacing w:before="163" w:beforeLines="50" w:after="163" w:afterLines="50"/>
      <w:ind w:firstLine="420"/>
    </w:pPr>
    <w:rPr>
      <w:rFonts w:cs="Times New Roman"/>
      <w:kern w:val="0"/>
      <w:szCs w:val="24"/>
    </w:rPr>
  </w:style>
  <w:style w:type="table" w:customStyle="1" w:styleId="111">
    <w:name w:val="网格型2"/>
    <w:basedOn w:val="3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
    <w:name w:val="网格型3"/>
    <w:basedOn w:val="3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
    <w:name w:val="网格型4"/>
    <w:basedOn w:val="3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4">
    <w:name w:val="书目1"/>
    <w:basedOn w:val="1"/>
    <w:next w:val="1"/>
    <w:unhideWhenUsed/>
    <w:qFormat/>
    <w:uiPriority w:val="37"/>
    <w:pPr>
      <w:widowControl/>
      <w:tabs>
        <w:tab w:val="left" w:pos="384"/>
      </w:tabs>
      <w:spacing w:before="163" w:beforeLines="50" w:afterLines="50"/>
      <w:ind w:left="384" w:hanging="384"/>
    </w:pPr>
    <w:rPr>
      <w:rFonts w:cs="Times New Roman"/>
      <w:kern w:val="0"/>
      <w:szCs w:val="24"/>
    </w:rPr>
  </w:style>
  <w:style w:type="paragraph" w:customStyle="1" w:styleId="115">
    <w:name w:val="1章标题"/>
    <w:next w:val="1"/>
    <w:qFormat/>
    <w:uiPriority w:val="99"/>
    <w:pPr>
      <w:numPr>
        <w:ilvl w:val="5"/>
        <w:numId w:val="6"/>
      </w:numPr>
      <w:spacing w:beforeLines="50" w:afterLines="50"/>
      <w:jc w:val="both"/>
      <w:outlineLvl w:val="0"/>
    </w:pPr>
    <w:rPr>
      <w:rFonts w:ascii="黑体" w:hAnsi="Times New Roman" w:eastAsia="黑体" w:cs="黑体"/>
      <w:sz w:val="21"/>
      <w:szCs w:val="21"/>
      <w:lang w:val="en-US" w:eastAsia="zh-CN" w:bidi="ar-SA"/>
    </w:rPr>
  </w:style>
  <w:style w:type="paragraph" w:customStyle="1" w:styleId="116">
    <w:name w:val="标准文件_二级条标题"/>
    <w:next w:val="1"/>
    <w:qFormat/>
    <w:uiPriority w:val="99"/>
    <w:pPr>
      <w:widowControl w:val="0"/>
      <w:numPr>
        <w:ilvl w:val="6"/>
        <w:numId w:val="6"/>
      </w:numPr>
      <w:jc w:val="both"/>
      <w:outlineLvl w:val="2"/>
    </w:pPr>
    <w:rPr>
      <w:rFonts w:ascii="黑体" w:hAnsi="Times New Roman" w:eastAsia="黑体" w:cs="黑体"/>
      <w:sz w:val="21"/>
      <w:szCs w:val="21"/>
      <w:lang w:val="en-US" w:eastAsia="zh-CN" w:bidi="ar-SA"/>
    </w:rPr>
  </w:style>
  <w:style w:type="paragraph" w:customStyle="1" w:styleId="117">
    <w:name w:val="标准文件_三级条标题"/>
    <w:basedOn w:val="116"/>
    <w:next w:val="1"/>
    <w:qFormat/>
    <w:uiPriority w:val="99"/>
    <w:pPr>
      <w:widowControl/>
      <w:numPr>
        <w:ilvl w:val="4"/>
      </w:numPr>
      <w:outlineLvl w:val="3"/>
    </w:pPr>
  </w:style>
  <w:style w:type="paragraph" w:customStyle="1" w:styleId="118">
    <w:name w:val="标准文件_四级条标题"/>
    <w:next w:val="1"/>
    <w:qFormat/>
    <w:uiPriority w:val="99"/>
    <w:pPr>
      <w:widowControl w:val="0"/>
      <w:jc w:val="both"/>
      <w:outlineLvl w:val="4"/>
    </w:pPr>
    <w:rPr>
      <w:rFonts w:ascii="黑体" w:hAnsi="Times New Roman" w:eastAsia="黑体" w:cs="黑体"/>
      <w:sz w:val="21"/>
      <w:szCs w:val="21"/>
      <w:lang w:val="en-US" w:eastAsia="zh-CN" w:bidi="ar-SA"/>
    </w:rPr>
  </w:style>
  <w:style w:type="paragraph" w:customStyle="1" w:styleId="119">
    <w:name w:val="标准文件_五级条标题"/>
    <w:next w:val="1"/>
    <w:qFormat/>
    <w:uiPriority w:val="99"/>
    <w:pPr>
      <w:widowControl w:val="0"/>
      <w:jc w:val="both"/>
      <w:outlineLvl w:val="5"/>
    </w:pPr>
    <w:rPr>
      <w:rFonts w:ascii="黑体" w:hAnsi="Times New Roman" w:eastAsia="黑体" w:cs="黑体"/>
      <w:sz w:val="21"/>
      <w:szCs w:val="21"/>
      <w:lang w:val="en-US" w:eastAsia="zh-CN" w:bidi="ar-SA"/>
    </w:rPr>
  </w:style>
  <w:style w:type="paragraph" w:customStyle="1" w:styleId="120">
    <w:name w:val="标准文件_一级条标题"/>
    <w:basedOn w:val="115"/>
    <w:next w:val="1"/>
    <w:qFormat/>
    <w:uiPriority w:val="99"/>
    <w:pPr>
      <w:numPr>
        <w:ilvl w:val="0"/>
        <w:numId w:val="0"/>
      </w:numPr>
      <w:spacing w:beforeLines="0" w:afterLines="0"/>
      <w:outlineLvl w:val="1"/>
    </w:pPr>
  </w:style>
  <w:style w:type="paragraph" w:customStyle="1" w:styleId="121">
    <w:name w:val="前言标题"/>
    <w:next w:val="1"/>
    <w:qFormat/>
    <w:uiPriority w:val="99"/>
    <w:pPr>
      <w:shd w:val="clear" w:color="auto" w:fill="FFFFFF"/>
      <w:spacing w:before="540"/>
      <w:jc w:val="center"/>
      <w:outlineLvl w:val="0"/>
    </w:pPr>
    <w:rPr>
      <w:rFonts w:ascii="黑体" w:hAnsi="Times New Roman" w:eastAsia="黑体" w:cs="黑体"/>
      <w:sz w:val="32"/>
      <w:szCs w:val="32"/>
      <w:lang w:val="en-US" w:eastAsia="zh-CN" w:bidi="ar-SA"/>
    </w:rPr>
  </w:style>
  <w:style w:type="paragraph" w:customStyle="1" w:styleId="122">
    <w:name w:val="修订8"/>
    <w:hidden/>
    <w:unhideWhenUsed/>
    <w:qFormat/>
    <w:uiPriority w:val="99"/>
    <w:rPr>
      <w:rFonts w:ascii="Times New Roman" w:hAnsi="Times New Roman" w:eastAsia="宋体" w:cs="Times New Roman"/>
      <w:sz w:val="21"/>
      <w:szCs w:val="24"/>
      <w:lang w:val="en-US" w:eastAsia="zh-CN" w:bidi="ar-SA"/>
    </w:rPr>
  </w:style>
  <w:style w:type="paragraph" w:customStyle="1" w:styleId="123">
    <w:name w:val="TOC 标题2"/>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color w:val="2F5597" w:themeColor="accent1" w:themeShade="BF"/>
      <w:kern w:val="0"/>
      <w:sz w:val="32"/>
      <w:szCs w:val="32"/>
    </w:rPr>
  </w:style>
  <w:style w:type="character" w:customStyle="1" w:styleId="124">
    <w:name w:val="未处理的提及1"/>
    <w:basedOn w:val="34"/>
    <w:semiHidden/>
    <w:unhideWhenUsed/>
    <w:qFormat/>
    <w:uiPriority w:val="99"/>
    <w:rPr>
      <w:color w:val="605E5C"/>
      <w:shd w:val="clear" w:color="auto" w:fill="E1DFDD"/>
    </w:rPr>
  </w:style>
  <w:style w:type="character" w:customStyle="1" w:styleId="125">
    <w:name w:val="日期 字符"/>
    <w:basedOn w:val="34"/>
    <w:link w:val="15"/>
    <w:semiHidden/>
    <w:qFormat/>
    <w:uiPriority w:val="99"/>
    <w:rPr>
      <w:rFonts w:ascii="仿宋" w:hAnsi="仿宋" w:eastAsia="仿宋"/>
      <w:sz w:val="32"/>
      <w:szCs w:val="24"/>
      <w14:ligatures w14:val="none"/>
    </w:rPr>
  </w:style>
  <w:style w:type="character" w:customStyle="1" w:styleId="126">
    <w:name w:val="段 Char"/>
    <w:qFormat/>
    <w:uiPriority w:val="0"/>
    <w:rPr>
      <w:rFonts w:ascii="宋体"/>
      <w:sz w:val="21"/>
    </w:rPr>
  </w:style>
  <w:style w:type="paragraph" w:customStyle="1" w:styleId="127">
    <w:name w:val="修订9"/>
    <w:hidden/>
    <w:unhideWhenUsed/>
    <w:qFormat/>
    <w:uiPriority w:val="99"/>
    <w:rPr>
      <w:rFonts w:ascii="Times New Roman" w:hAnsi="Times New Roman" w:eastAsia="宋体" w:cstheme="minorBidi"/>
      <w:kern w:val="2"/>
      <w:sz w:val="21"/>
      <w:szCs w:val="21"/>
      <w:lang w:val="en-US" w:eastAsia="zh-CN" w:bidi="ar-SA"/>
    </w:rPr>
  </w:style>
  <w:style w:type="paragraph" w:customStyle="1" w:styleId="128">
    <w:name w:val="修订10"/>
    <w:hidden/>
    <w:unhideWhenUsed/>
    <w:qFormat/>
    <w:uiPriority w:val="99"/>
    <w:rPr>
      <w:rFonts w:ascii="Times New Roman" w:hAnsi="Times New Roman" w:eastAsia="宋体" w:cstheme="minorBidi"/>
      <w:kern w:val="2"/>
      <w:sz w:val="21"/>
      <w:szCs w:val="21"/>
      <w:lang w:val="en-US" w:eastAsia="zh-CN" w:bidi="ar-SA"/>
    </w:rPr>
  </w:style>
  <w:style w:type="paragraph" w:customStyle="1" w:styleId="129">
    <w:name w:val="修订11"/>
    <w:hidden/>
    <w:unhideWhenUsed/>
    <w:qFormat/>
    <w:uiPriority w:val="99"/>
    <w:rPr>
      <w:rFonts w:ascii="Times New Roman" w:hAnsi="Times New Roman" w:eastAsia="宋体" w:cstheme="minorBidi"/>
      <w:kern w:val="2"/>
      <w:sz w:val="21"/>
      <w:szCs w:val="21"/>
      <w:lang w:val="en-US" w:eastAsia="zh-CN" w:bidi="ar-SA"/>
    </w:rPr>
  </w:style>
  <w:style w:type="paragraph" w:customStyle="1" w:styleId="130">
    <w:name w:val="附录标识"/>
    <w:basedOn w:val="1"/>
    <w:next w:val="24"/>
    <w:qFormat/>
    <w:uiPriority w:val="0"/>
    <w:pPr>
      <w:keepNext/>
      <w:numPr>
        <w:ilvl w:val="0"/>
        <w:numId w:val="7"/>
      </w:numPr>
      <w:shd w:val="clear" w:color="FFFFFF" w:fill="FFFFFF"/>
      <w:tabs>
        <w:tab w:val="left" w:pos="360"/>
        <w:tab w:val="left" w:pos="6405"/>
      </w:tabs>
      <w:spacing w:before="640" w:after="280"/>
      <w:jc w:val="center"/>
      <w:outlineLvl w:val="0"/>
    </w:pPr>
    <w:rPr>
      <w:rFonts w:ascii="黑体" w:hAnsi="Calibri" w:eastAsia="黑体" w:cs="黑体"/>
      <w:szCs w:val="20"/>
    </w:rPr>
  </w:style>
  <w:style w:type="paragraph" w:customStyle="1" w:styleId="131">
    <w:name w:val="Revision"/>
    <w:hidden/>
    <w:unhideWhenUsed/>
    <w:qFormat/>
    <w:uiPriority w:val="99"/>
    <w:rPr>
      <w:rFonts w:ascii="Times New Roman" w:hAnsi="Times New Roman" w:eastAsia="宋体"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8165</Words>
  <Characters>8754</Characters>
  <Lines>74</Lines>
  <Paragraphs>21</Paragraphs>
  <TotalTime>250</TotalTime>
  <ScaleCrop>false</ScaleCrop>
  <LinksUpToDate>false</LinksUpToDate>
  <CharactersWithSpaces>8883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2024-08-14T07:48:00Z</dcterms:created>
  <dc:creator>Shu Liu</dc:creator>
  <cp:lastModifiedBy>文兮</cp:lastModifiedBy>
  <dcterms:modified xsi:type="dcterms:W3CDTF">2025-11-25T06:49:14Z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01A4CDA02A914F6185DCBCC0DE38BAE3</vt:lpwstr>
  </property>
  <property fmtid="{D5CDD505-2E9C-101B-9397-08002B2CF9AE}" pid="4" name="woTemplateTypoMode" linkTarget="0">
    <vt:lpwstr/>
  </property>
  <property fmtid="{D5CDD505-2E9C-101B-9397-08002B2CF9AE}" pid="5" name="woTemplate" linkTarget="0">
    <vt:i4>0</vt:i4>
  </property>
  <property fmtid="{D5CDD505-2E9C-101B-9397-08002B2CF9AE}" pid="6" name="KSOTemplateDocerSaveRecord">
    <vt:lpwstr>eyJoZGlkIjoiYWRlYWE5MzM4MWE5MmIzMTMxNGRhNWQyYmExODk3ZjYiLCJ1c2VySWQiOiIyMzI1MjQwMjIifQ==</vt:lpwstr>
  </property>
</Properties>
</file>