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ADA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28C99F">
            <w:pPr>
              <w:pStyle w:val="19"/>
              <w:framePr w:w="9764"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22C0A8E">
            <w:pPr>
              <w:pStyle w:val="19"/>
              <w:framePr w:w="9764"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65.020.20</w:t>
            </w:r>
          </w:p>
        </w:tc>
      </w:tr>
      <w:tr w14:paraId="50D6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5561639">
            <w:pPr>
              <w:pStyle w:val="19"/>
              <w:framePr w:w="9764"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leftFromText="180" w:rightFromText="180" w:vertAnchor="text" w:horzAnchor="page" w:tblpX="2216" w:tblpY="22"/>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3F0DB0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C485CB0">
                  <w:pPr>
                    <w:pStyle w:val="53"/>
                    <w:framePr w:w="9764" w:wrap="notBeside" w:vAnchor="page" w:hAnchor="page" w:x="1372" w:y="568"/>
                    <w:rPr>
                      <w:rFonts w:ascii="宋体" w:hAnsi="宋体"/>
                      <w:sz w:val="28"/>
                      <w:szCs w:val="28"/>
                    </w:rPr>
                  </w:pPr>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0" w:name="c1"/>
                  <w:r>
                    <w:instrText xml:space="preserve"> FORMTEXT </w:instrText>
                  </w:r>
                  <w:r>
                    <w:fldChar w:fldCharType="separate"/>
                  </w:r>
                  <w:r>
                    <w:rPr>
                      <w:rFonts w:hint="eastAsia"/>
                    </w:rPr>
                    <w:t>42</w:t>
                  </w:r>
                  <w:r>
                    <w:fldChar w:fldCharType="end"/>
                  </w:r>
                  <w:bookmarkEnd w:id="0"/>
                </w:p>
              </w:tc>
            </w:tr>
          </w:tbl>
          <w:p w14:paraId="4D4A3FA6">
            <w:pPr>
              <w:pStyle w:val="19"/>
              <w:framePr w:w="9764"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B 38</w:t>
            </w:r>
          </w:p>
        </w:tc>
      </w:tr>
    </w:tbl>
    <w:p w14:paraId="33227617">
      <w:pPr>
        <w:pStyle w:val="54"/>
        <w:framePr w:w="9639" w:h="624" w:hRule="exact" w:hSpace="181" w:vSpace="181" w:hAnchor="page" w:x="1305" w:y="2269"/>
        <w:rPr>
          <w:rFonts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1"/>
    <w:p w14:paraId="38511564">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rFonts w:hint="eastAsia"/>
          <w:lang w:val="fr-FR"/>
        </w:rPr>
        <w:t>42</w:t>
      </w:r>
      <w:r>
        <w:rPr>
          <w:lang w:val="fr-FR"/>
        </w:rPr>
        <w:t>/T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0C04C94">
      <w:pPr>
        <w:pStyle w:val="200"/>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23515A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C0A92AD">
      <w:pPr>
        <w:pStyle w:val="54"/>
        <w:framePr w:w="9639" w:h="6976" w:hRule="exact" w:hSpace="0" w:vSpace="0" w:hAnchor="page" w:y="6408"/>
        <w:jc w:val="center"/>
        <w:rPr>
          <w:rFonts w:ascii="黑体" w:hAnsi="黑体" w:eastAsia="黑体"/>
          <w:b w:val="0"/>
          <w:bCs w:val="0"/>
          <w:w w:val="100"/>
        </w:rPr>
      </w:pPr>
    </w:p>
    <w:p w14:paraId="7B430358">
      <w:pPr>
        <w:pStyle w:val="201"/>
        <w:framePr w:h="6974" w:hRule="exact" w:x="1419" w:anchorLock="1"/>
      </w:pPr>
      <w:bookmarkStart w:id="7" w:name="CSTD_NAME"/>
      <w:r>
        <w:rPr>
          <w:rFonts w:hint="eastAsia" w:ascii="黑体" w:hAnsi="黑体" w:eastAsia="黑体" w:cs="Times New Roman"/>
          <w:bCs/>
          <w:sz w:val="52"/>
          <w:lang w:val="en-US" w:eastAsia="zh-CN" w:bidi="ar-SA"/>
        </w:rPr>
        <w:fldChar w:fldCharType="begin">
          <w:ffData>
            <w:name w:val="CSTD_NAME"/>
            <w:enabled/>
            <w:calcOnExit w:val="0"/>
            <w:textInput>
              <w:default w:val="中药材 木香生产技术规程"/>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中药材 木香生产技术规程</w:t>
      </w:r>
      <w:r>
        <w:rPr>
          <w:rFonts w:hint="eastAsia" w:ascii="黑体" w:hAnsi="黑体" w:eastAsia="黑体" w:cs="Times New Roman"/>
          <w:bCs/>
          <w:sz w:val="52"/>
          <w:lang w:val="en-US" w:eastAsia="zh-CN" w:bidi="ar-SA"/>
        </w:rPr>
        <w:fldChar w:fldCharType="end"/>
      </w:r>
      <w:bookmarkEnd w:id="7"/>
    </w:p>
    <w:p w14:paraId="247876D1">
      <w:pPr>
        <w:framePr w:w="9639" w:h="6974" w:hRule="exact" w:wrap="around" w:vAnchor="page" w:hAnchor="page" w:x="1419" w:y="6408" w:anchorLock="1"/>
        <w:ind w:left="-1418"/>
      </w:pPr>
    </w:p>
    <w:p w14:paraId="6E2A6A04">
      <w:pPr>
        <w:pStyle w:val="129"/>
        <w:framePr w:w="9639" w:h="6974" w:hRule="exact" w:wrap="around" w:vAnchor="page" w:hAnchor="page" w:x="1419" w:y="6408" w:anchorLock="1"/>
        <w:textAlignment w:val="bottom"/>
        <w:rPr>
          <w:rFonts w:eastAsia="黑体"/>
          <w:szCs w:val="28"/>
        </w:rPr>
      </w:pPr>
      <w:bookmarkStart w:id="8" w:name="ESTD_NAME"/>
      <w:r>
        <w:rPr>
          <w:rFonts w:hint="eastAsia" w:ascii="Times New Roman" w:hAnsi="Times New Roman" w:eastAsia="黑体" w:cs="Times New Roman"/>
          <w:sz w:val="28"/>
          <w:szCs w:val="28"/>
          <w:lang w:val="en-US" w:eastAsia="zh-CN" w:bidi="ar-SA"/>
        </w:rPr>
        <w:fldChar w:fldCharType="begin">
          <w:ffData>
            <w:name w:val="ESTD_NAME"/>
            <w:enabled/>
            <w:calcOnExit w:val="0"/>
            <w:textInput>
              <w:default w:val="Chinese medicinal materials—&#10;Code of practice for production of Aucklandia Radix"/>
            </w:textInput>
          </w:ffData>
        </w:fldChar>
      </w:r>
      <w:r>
        <w:rPr>
          <w:rFonts w:hint="eastAsia" w:ascii="Times New Roman" w:hAnsi="Times New Roman" w:eastAsia="黑体" w:cs="Times New Roman"/>
          <w:sz w:val="28"/>
          <w:szCs w:val="28"/>
          <w:lang w:val="en-US" w:eastAsia="zh-CN" w:bidi="ar-SA"/>
        </w:rPr>
        <w:instrText xml:space="preserve">FORMTEXT</w:instrText>
      </w:r>
      <w:r>
        <w:rPr>
          <w:rFonts w:hint="eastAsia" w:ascii="Times New Roman" w:hAnsi="Times New Roman" w:eastAsia="黑体" w:cs="Times New Roman"/>
          <w:sz w:val="28"/>
          <w:szCs w:val="28"/>
          <w:lang w:val="en-US" w:eastAsia="zh-CN" w:bidi="ar-SA"/>
        </w:rPr>
        <w:fldChar w:fldCharType="separate"/>
      </w:r>
      <w:r>
        <w:rPr>
          <w:rFonts w:hint="eastAsia" w:ascii="Times New Roman" w:hAnsi="Times New Roman" w:eastAsia="黑体" w:cs="Times New Roman"/>
          <w:sz w:val="28"/>
          <w:szCs w:val="28"/>
          <w:lang w:val="en-US" w:eastAsia="zh-CN" w:bidi="ar-SA"/>
        </w:rPr>
        <w:t>Chinese medicinal materials—
Code of practice for production of Aucklandia Radix</w:t>
      </w:r>
      <w:r>
        <w:rPr>
          <w:rFonts w:hint="eastAsia" w:ascii="Times New Roman" w:hAnsi="Times New Roman" w:eastAsia="黑体" w:cs="Times New Roman"/>
          <w:sz w:val="28"/>
          <w:szCs w:val="28"/>
          <w:lang w:val="en-US" w:eastAsia="zh-CN" w:bidi="ar-SA"/>
        </w:rPr>
        <w:fldChar w:fldCharType="end"/>
      </w:r>
      <w:bookmarkEnd w:id="8"/>
    </w:p>
    <w:p w14:paraId="53851893">
      <w:pPr>
        <w:pStyle w:val="129"/>
        <w:framePr w:w="9639" w:h="6974" w:hRule="exact" w:wrap="around" w:vAnchor="page" w:hAnchor="page" w:x="1419" w:y="6408" w:anchorLock="1"/>
        <w:textAlignment w:val="bottom"/>
        <w:rPr>
          <w:rFonts w:eastAsia="黑体"/>
          <w:szCs w:val="28"/>
        </w:rPr>
      </w:pPr>
      <w:r>
        <w:rPr>
          <w:rFonts w:hint="eastAsia" w:eastAsia="黑体"/>
          <w:szCs w:val="28"/>
        </w:rPr>
        <w:t xml:space="preserve"> </w:t>
      </w:r>
    </w:p>
    <w:p w14:paraId="49F03620">
      <w:pPr>
        <w:framePr w:w="9639" w:h="6974" w:hRule="exact" w:wrap="around" w:vAnchor="page" w:hAnchor="page" w:x="1419" w:y="6408" w:anchorLock="1"/>
        <w:spacing w:line="760" w:lineRule="exact"/>
        <w:ind w:left="-1418"/>
      </w:pPr>
    </w:p>
    <w:p w14:paraId="615728F4">
      <w:pPr>
        <w:pStyle w:val="129"/>
        <w:framePr w:w="9639" w:h="6974" w:hRule="exact" w:wrap="around" w:vAnchor="page" w:hAnchor="page" w:x="1419" w:y="6408" w:anchorLock="1"/>
        <w:textAlignment w:val="bottom"/>
        <w:rPr>
          <w:rFonts w:eastAsia="黑体"/>
          <w:szCs w:val="28"/>
        </w:rPr>
      </w:pPr>
    </w:p>
    <w:p w14:paraId="6A2405B5">
      <w:pPr>
        <w:pStyle w:val="129"/>
        <w:framePr w:w="9639" w:h="6974" w:hRule="exact" w:wrap="around" w:vAnchor="page" w:hAnchor="page" w:x="1419" w:y="6408" w:anchorLock="1"/>
        <w:spacing w:before="180" w:line="240" w:lineRule="atLeast"/>
        <w:textAlignment w:val="bottom"/>
        <w:rPr>
          <w:sz w:val="21"/>
          <w:szCs w:val="28"/>
        </w:rPr>
      </w:pPr>
      <w:bookmarkStart w:id="9" w:name="CMPLSH_DATE"/>
      <w:r>
        <w:rPr>
          <w:rFonts w:hint="eastAsia" w:ascii="Times New Roman" w:hAnsi="Times New Roman" w:eastAsia="宋体" w:cs="Times New Roman"/>
          <w:sz w:val="21"/>
          <w:szCs w:val="28"/>
          <w:lang w:val="en-US" w:eastAsia="zh-CN" w:bidi="ar-SA"/>
        </w:rPr>
        <w:fldChar w:fldCharType="begin">
          <w:ffData>
            <w:name w:val="CMPLSH_DATE"/>
            <w:enabled/>
            <w:calcOnExit w:val="0"/>
            <w:textInput>
              <w:default w:val="征求意见稿"/>
            </w:textInput>
          </w:ffData>
        </w:fldChar>
      </w:r>
      <w:r>
        <w:rPr>
          <w:rFonts w:hint="eastAsia" w:ascii="Times New Roman" w:hAnsi="Times New Roman" w:eastAsia="宋体" w:cs="Times New Roman"/>
          <w:sz w:val="21"/>
          <w:szCs w:val="28"/>
          <w:lang w:val="en-US" w:eastAsia="zh-CN" w:bidi="ar-SA"/>
        </w:rPr>
        <w:instrText xml:space="preserve">FORMTEXT</w:instrText>
      </w:r>
      <w:r>
        <w:rPr>
          <w:rFonts w:hint="eastAsia" w:ascii="Times New Roman" w:hAnsi="Times New Roman" w:eastAsia="宋体" w:cs="Times New Roman"/>
          <w:sz w:val="21"/>
          <w:szCs w:val="28"/>
          <w:lang w:val="en-US" w:eastAsia="zh-CN" w:bidi="ar-SA"/>
        </w:rPr>
        <w:fldChar w:fldCharType="separate"/>
      </w:r>
      <w:r>
        <w:rPr>
          <w:rFonts w:hint="eastAsia" w:ascii="Times New Roman" w:hAnsi="Times New Roman" w:eastAsia="宋体" w:cs="Times New Roman"/>
          <w:sz w:val="21"/>
          <w:szCs w:val="28"/>
          <w:lang w:val="en-US" w:eastAsia="zh-CN" w:bidi="ar-SA"/>
        </w:rPr>
        <w:t>征求意见稿</w:t>
      </w:r>
      <w:r>
        <w:rPr>
          <w:rFonts w:hint="eastAsia" w:ascii="Times New Roman" w:hAnsi="Times New Roman" w:eastAsia="宋体" w:cs="Times New Roman"/>
          <w:sz w:val="21"/>
          <w:szCs w:val="28"/>
          <w:lang w:val="en-US" w:eastAsia="zh-CN" w:bidi="ar-SA"/>
        </w:rPr>
        <w:fldChar w:fldCharType="end"/>
      </w:r>
      <w:bookmarkEnd w:id="9"/>
    </w:p>
    <w:p w14:paraId="0F835D48">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056BD8FD">
      <w:pPr>
        <w:pStyle w:val="197"/>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13C66C34">
      <w:pPr>
        <w:pStyle w:val="198"/>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31E0494C">
      <w:pPr>
        <w:pStyle w:val="155"/>
        <w:framePr w:h="584" w:hRule="exact" w:hSpace="181" w:vSpace="181" w:y="15027"/>
        <w:rPr>
          <w:rFonts w:hAnsi="黑体"/>
        </w:rPr>
      </w:pPr>
      <w:r>
        <w:rPr>
          <w:rFonts w:hAnsi="黑体"/>
          <w:sz w:val="28"/>
        </w:rPr>
        <w:fldChar w:fldCharType="begin">
          <w:ffData>
            <w:name w:val="fm"/>
            <w:enabled/>
            <w:calcOnExit w:val="0"/>
            <w:textInput/>
          </w:ffData>
        </w:fldChar>
      </w:r>
      <w:bookmarkStart w:id="17" w:name="fm"/>
      <w:r>
        <w:rPr>
          <w:rFonts w:hAnsi="黑体"/>
          <w:sz w:val="28"/>
        </w:rPr>
        <w:instrText xml:space="preserve"> FORMTEXT </w:instrText>
      </w:r>
      <w:r>
        <w:rPr>
          <w:rFonts w:hAnsi="黑体"/>
          <w:sz w:val="28"/>
        </w:rPr>
        <w:fldChar w:fldCharType="separate"/>
      </w:r>
      <w:r>
        <w:rPr>
          <w:rFonts w:hint="eastAsia" w:hAnsi="黑体"/>
          <w:sz w:val="28"/>
        </w:rPr>
        <w:t>湖北省市场监督管理局</w:t>
      </w:r>
      <w:r>
        <w:rPr>
          <w:rFonts w:hAnsi="黑体"/>
          <w:sz w:val="28"/>
        </w:rPr>
        <w:fldChar w:fldCharType="end"/>
      </w:r>
      <w:bookmarkEnd w:id="17"/>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2A11178D">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pgNumType w:fmt="upperRoman"/>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DDDD7BD">
      <w:pPr>
        <w:jc w:val="left"/>
        <w:rPr>
          <w:b/>
          <w:sz w:val="30"/>
          <w:szCs w:val="30"/>
        </w:rPr>
        <w:sectPr>
          <w:headerReference r:id="rId10" w:type="default"/>
          <w:footerReference r:id="rId11" w:type="default"/>
          <w:pgSz w:w="11906" w:h="16838"/>
          <w:pgMar w:top="567" w:right="851" w:bottom="1134" w:left="1418" w:header="0" w:footer="0" w:gutter="0"/>
          <w:pgNumType w:fmt="upperRoman" w:start="1"/>
          <w:cols w:space="720" w:num="1"/>
          <w:docGrid w:type="lines" w:linePitch="312" w:charSpace="0"/>
        </w:sectPr>
      </w:pPr>
      <w:r>
        <w:rPr>
          <w:sz w:val="30"/>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396240</wp:posOffset>
                </wp:positionV>
                <wp:extent cx="866775" cy="198120"/>
                <wp:effectExtent l="0" t="0" r="0" b="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5.25pt;margin-top:31.2pt;height:15.6pt;width:68.25pt;z-index:-251654144;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BkAU9cAAAAJAQAADwAAAAAAAAABACAAAAAiAAAAZHJzL2Rvd25yZXYueG1sUEsBAhQAFAAA&#10;AAgAh07iQI05bPS3AQAAbAMAAA4AAAAAAAAAAQAgAAAAJgEAAGRycy9lMm9Eb2MueG1sUEsFBgAA&#10;AAAGAAYAWQEAAE8FAAAAAA==&#10;">
                <v:fill on="t" focussize="0,0"/>
                <v:stroke on="f"/>
                <v:imagedata o:title=""/>
                <o:lock v:ext="edit" aspectratio="f"/>
              </v:rect>
            </w:pict>
          </mc:Fallback>
        </mc:AlternateContent>
      </w:r>
    </w:p>
    <w:p w14:paraId="59AB4EE6">
      <w:pPr>
        <w:pStyle w:val="95"/>
        <w:spacing w:after="468"/>
      </w:pPr>
      <w:bookmarkStart w:id="18" w:name="BookMark1"/>
      <w:r>
        <w:rPr>
          <w:rFonts w:hint="eastAsia"/>
          <w:spacing w:val="320"/>
        </w:rPr>
        <w:t>目</w:t>
      </w:r>
      <w:r>
        <w:rPr>
          <w:rFonts w:hint="eastAsia"/>
        </w:rPr>
        <w:t>次</w:t>
      </w:r>
    </w:p>
    <w:p w14:paraId="3D21E425">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after="0" w:line="400" w:lineRule="exact"/>
        <w:textAlignment w:val="auto"/>
      </w:pPr>
      <w:r>
        <w:fldChar w:fldCharType="begin"/>
      </w:r>
      <w:r>
        <w:instrText xml:space="preserve"> TOC \o "1-1" \h </w:instrText>
      </w:r>
      <w:r>
        <w:fldChar w:fldCharType="separate"/>
      </w:r>
      <w:r>
        <w:fldChar w:fldCharType="begin"/>
      </w:r>
      <w:r>
        <w:instrText xml:space="preserve"> HYPERLINK \l _Toc1352030903 </w:instrText>
      </w:r>
      <w:r>
        <w:fldChar w:fldCharType="separate"/>
      </w:r>
      <w:r>
        <w:rPr>
          <w:rFonts w:hint="eastAsia"/>
          <w:lang w:eastAsia="zh-CN"/>
        </w:rPr>
        <w:t>前</w:t>
      </w:r>
      <w:r>
        <w:t>言</w:t>
      </w:r>
      <w:r>
        <w:tab/>
      </w:r>
      <w:r>
        <w:fldChar w:fldCharType="begin"/>
      </w:r>
      <w:r>
        <w:instrText xml:space="preserve"> PAGEREF _Toc1352030903 </w:instrText>
      </w:r>
      <w:r>
        <w:fldChar w:fldCharType="separate"/>
      </w:r>
      <w:r>
        <w:t>II</w:t>
      </w:r>
      <w:r>
        <w:fldChar w:fldCharType="end"/>
      </w:r>
      <w:r>
        <w:fldChar w:fldCharType="end"/>
      </w:r>
    </w:p>
    <w:p w14:paraId="3DF91FF7">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"_Toc162601533" </w:instrText>
      </w:r>
      <w:r>
        <w:fldChar w:fldCharType="separate"/>
      </w:r>
      <w:r>
        <w:rPr>
          <w:rStyle w:val="35"/>
        </w:rPr>
        <w:t>1 范围</w:t>
      </w:r>
      <w:r>
        <w:tab/>
      </w:r>
      <w:r>
        <w:fldChar w:fldCharType="begin"/>
      </w:r>
      <w:r>
        <w:instrText xml:space="preserve"> PAGEREF _Toc162601533 \h </w:instrText>
      </w:r>
      <w:r>
        <w:fldChar w:fldCharType="separate"/>
      </w:r>
      <w:r>
        <w:t>1</w:t>
      </w:r>
      <w:r>
        <w:fldChar w:fldCharType="end"/>
      </w:r>
      <w:r>
        <w:fldChar w:fldCharType="end"/>
      </w:r>
    </w:p>
    <w:p w14:paraId="49E348CF">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"_Toc162601534" </w:instrText>
      </w:r>
      <w:r>
        <w:fldChar w:fldCharType="separate"/>
      </w:r>
      <w:r>
        <w:rPr>
          <w:rStyle w:val="35"/>
        </w:rPr>
        <w:t>2 规范性引用文件</w:t>
      </w:r>
      <w:r>
        <w:tab/>
      </w:r>
      <w:r>
        <w:fldChar w:fldCharType="begin"/>
      </w:r>
      <w:r>
        <w:instrText xml:space="preserve"> PAGEREF _Toc162601534 \h </w:instrText>
      </w:r>
      <w:r>
        <w:fldChar w:fldCharType="separate"/>
      </w:r>
      <w:r>
        <w:t>1</w:t>
      </w:r>
      <w:r>
        <w:fldChar w:fldCharType="end"/>
      </w:r>
      <w:r>
        <w:fldChar w:fldCharType="end"/>
      </w:r>
    </w:p>
    <w:p w14:paraId="07C520C8">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"_Toc162601535" </w:instrText>
      </w:r>
      <w:r>
        <w:fldChar w:fldCharType="separate"/>
      </w:r>
      <w:r>
        <w:rPr>
          <w:rStyle w:val="35"/>
        </w:rPr>
        <w:t>3 术语和定义</w:t>
      </w:r>
      <w:r>
        <w:tab/>
      </w:r>
      <w:r>
        <w:fldChar w:fldCharType="begin"/>
      </w:r>
      <w:r>
        <w:instrText xml:space="preserve"> PAGEREF _Toc162601535 \h </w:instrText>
      </w:r>
      <w:r>
        <w:fldChar w:fldCharType="separate"/>
      </w:r>
      <w:r>
        <w:t>1</w:t>
      </w:r>
      <w:r>
        <w:fldChar w:fldCharType="end"/>
      </w:r>
      <w:r>
        <w:fldChar w:fldCharType="end"/>
      </w:r>
    </w:p>
    <w:p w14:paraId="069B948F">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"_Toc162601536" </w:instrText>
      </w:r>
      <w:r>
        <w:fldChar w:fldCharType="separate"/>
      </w:r>
      <w:r>
        <w:rPr>
          <w:rStyle w:val="35"/>
        </w:rPr>
        <w:t>4 产地环境</w:t>
      </w:r>
      <w:r>
        <w:tab/>
      </w:r>
      <w:r>
        <w:fldChar w:fldCharType="begin"/>
      </w:r>
      <w:r>
        <w:instrText xml:space="preserve"> PAGEREF _Toc162601536 \h </w:instrText>
      </w:r>
      <w:r>
        <w:fldChar w:fldCharType="separate"/>
      </w:r>
      <w:r>
        <w:t>1</w:t>
      </w:r>
      <w:r>
        <w:fldChar w:fldCharType="end"/>
      </w:r>
      <w:r>
        <w:fldChar w:fldCharType="end"/>
      </w:r>
    </w:p>
    <w:p w14:paraId="4F2EFEAC">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"_Toc162601537" </w:instrText>
      </w:r>
      <w:r>
        <w:fldChar w:fldCharType="separate"/>
      </w:r>
      <w:r>
        <w:rPr>
          <w:rStyle w:val="35"/>
        </w:rPr>
        <w:t>5 选地整地</w:t>
      </w:r>
      <w:r>
        <w:tab/>
      </w:r>
      <w:r>
        <w:fldChar w:fldCharType="begin"/>
      </w:r>
      <w:r>
        <w:instrText xml:space="preserve"> PAGEREF _Toc162601537 \h </w:instrText>
      </w:r>
      <w:r>
        <w:fldChar w:fldCharType="separate"/>
      </w:r>
      <w:r>
        <w:t>1</w:t>
      </w:r>
      <w:r>
        <w:fldChar w:fldCharType="end"/>
      </w:r>
      <w:r>
        <w:fldChar w:fldCharType="end"/>
      </w:r>
    </w:p>
    <w:p w14:paraId="3FE67E6B">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"_Toc162601538" </w:instrText>
      </w:r>
      <w:r>
        <w:fldChar w:fldCharType="separate"/>
      </w:r>
      <w:r>
        <w:rPr>
          <w:rStyle w:val="35"/>
        </w:rPr>
        <w:t>6 种苗繁育</w:t>
      </w:r>
      <w:r>
        <w:tab/>
      </w:r>
      <w:r>
        <w:fldChar w:fldCharType="begin"/>
      </w:r>
      <w:r>
        <w:instrText xml:space="preserve"> PAGEREF _Toc162601538 \h </w:instrText>
      </w:r>
      <w:r>
        <w:fldChar w:fldCharType="separate"/>
      </w:r>
      <w:r>
        <w:t>2</w:t>
      </w:r>
      <w:r>
        <w:fldChar w:fldCharType="end"/>
      </w:r>
      <w:r>
        <w:fldChar w:fldCharType="end"/>
      </w:r>
    </w:p>
    <w:p w14:paraId="4FD0148B">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"_Toc162601539" </w:instrText>
      </w:r>
      <w:r>
        <w:fldChar w:fldCharType="separate"/>
      </w:r>
      <w:r>
        <w:rPr>
          <w:rStyle w:val="35"/>
        </w:rPr>
        <w:t>7 大田移栽</w:t>
      </w:r>
      <w:r>
        <w:tab/>
      </w:r>
      <w:r>
        <w:fldChar w:fldCharType="begin"/>
      </w:r>
      <w:r>
        <w:instrText xml:space="preserve"> PAGEREF _Toc162601539 \h </w:instrText>
      </w:r>
      <w:r>
        <w:fldChar w:fldCharType="separate"/>
      </w:r>
      <w:r>
        <w:t>2</w:t>
      </w:r>
      <w:r>
        <w:fldChar w:fldCharType="end"/>
      </w:r>
      <w:r>
        <w:fldChar w:fldCharType="end"/>
      </w:r>
    </w:p>
    <w:p w14:paraId="6F3897FD">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"_Toc162601540" </w:instrText>
      </w:r>
      <w:r>
        <w:fldChar w:fldCharType="separate"/>
      </w:r>
      <w:r>
        <w:rPr>
          <w:rStyle w:val="35"/>
        </w:rPr>
        <w:t>8 田间管理</w:t>
      </w:r>
      <w:r>
        <w:tab/>
      </w:r>
      <w:r>
        <w:rPr>
          <w:rFonts w:hint="eastAsia"/>
          <w:lang w:val="en-US" w:eastAsia="zh-CN"/>
        </w:rPr>
        <w:t>3</w:t>
      </w:r>
      <w:r>
        <w:fldChar w:fldCharType="end"/>
      </w:r>
    </w:p>
    <w:p w14:paraId="649B5BB9">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"_Toc162601541" </w:instrText>
      </w:r>
      <w:r>
        <w:fldChar w:fldCharType="separate"/>
      </w:r>
      <w:r>
        <w:rPr>
          <w:rStyle w:val="35"/>
        </w:rPr>
        <w:t>9 病虫害防治</w:t>
      </w:r>
      <w:r>
        <w:tab/>
      </w:r>
      <w:r>
        <w:fldChar w:fldCharType="begin"/>
      </w:r>
      <w:r>
        <w:instrText xml:space="preserve"> PAGEREF _Toc162601541 \h </w:instrText>
      </w:r>
      <w:r>
        <w:fldChar w:fldCharType="separate"/>
      </w:r>
      <w:r>
        <w:t>3</w:t>
      </w:r>
      <w:r>
        <w:fldChar w:fldCharType="end"/>
      </w:r>
      <w:r>
        <w:fldChar w:fldCharType="end"/>
      </w:r>
    </w:p>
    <w:p w14:paraId="3CC88A78">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"_Toc162601542" </w:instrText>
      </w:r>
      <w:r>
        <w:fldChar w:fldCharType="separate"/>
      </w:r>
      <w:r>
        <w:rPr>
          <w:rStyle w:val="35"/>
        </w:rPr>
        <w:t>10 采收与初加工</w:t>
      </w:r>
      <w:r>
        <w:tab/>
      </w:r>
      <w:r>
        <w:rPr>
          <w:rFonts w:hint="eastAsia"/>
          <w:lang w:val="en-US" w:eastAsia="zh-CN"/>
        </w:rPr>
        <w:t>4</w:t>
      </w:r>
      <w:r>
        <w:fldChar w:fldCharType="end"/>
      </w:r>
    </w:p>
    <w:p w14:paraId="329F1352">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"_Toc162601543" </w:instrText>
      </w:r>
      <w:r>
        <w:fldChar w:fldCharType="separate"/>
      </w:r>
      <w:r>
        <w:rPr>
          <w:rStyle w:val="35"/>
        </w:rPr>
        <w:t>11 包装、贮藏与运输</w:t>
      </w:r>
      <w:r>
        <w:tab/>
      </w:r>
      <w:r>
        <w:fldChar w:fldCharType="begin"/>
      </w:r>
      <w:r>
        <w:instrText xml:space="preserve"> PAGEREF _Toc162601543 \h </w:instrText>
      </w:r>
      <w:r>
        <w:fldChar w:fldCharType="separate"/>
      </w:r>
      <w:r>
        <w:t>4</w:t>
      </w:r>
      <w:r>
        <w:fldChar w:fldCharType="end"/>
      </w:r>
      <w:r>
        <w:fldChar w:fldCharType="end"/>
      </w:r>
    </w:p>
    <w:p w14:paraId="6EA8AA73">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"_Toc162601544" </w:instrText>
      </w:r>
      <w:r>
        <w:fldChar w:fldCharType="separate"/>
      </w:r>
      <w:r>
        <w:rPr>
          <w:rStyle w:val="35"/>
        </w:rPr>
        <w:t>12 生产档案</w:t>
      </w:r>
      <w:r>
        <w:tab/>
      </w:r>
      <w:r>
        <w:fldChar w:fldCharType="begin"/>
      </w:r>
      <w:r>
        <w:instrText xml:space="preserve"> PAGEREF _Toc162601544 \h </w:instrText>
      </w:r>
      <w:r>
        <w:fldChar w:fldCharType="separate"/>
      </w:r>
      <w:r>
        <w:t>4</w:t>
      </w:r>
      <w:r>
        <w:fldChar w:fldCharType="end"/>
      </w:r>
      <w:r>
        <w:fldChar w:fldCharType="end"/>
      </w:r>
    </w:p>
    <w:p w14:paraId="6C72A935">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"_Toc162601545" </w:instrText>
      </w:r>
      <w:r>
        <w:fldChar w:fldCharType="separate"/>
      </w:r>
      <w:r>
        <w:rPr>
          <w:rStyle w:val="35"/>
        </w:rPr>
        <w:t>13 标准实施及评价</w:t>
      </w:r>
      <w:r>
        <w:tab/>
      </w:r>
      <w:r>
        <w:fldChar w:fldCharType="begin"/>
      </w:r>
      <w:r>
        <w:instrText xml:space="preserve"> PAGEREF _Toc162601545 \h </w:instrText>
      </w:r>
      <w:r>
        <w:fldChar w:fldCharType="separate"/>
      </w:r>
      <w:r>
        <w:t>4</w:t>
      </w:r>
      <w:r>
        <w:fldChar w:fldCharType="end"/>
      </w:r>
      <w:r>
        <w:fldChar w:fldCharType="end"/>
      </w:r>
    </w:p>
    <w:p w14:paraId="2E7AC5A0">
      <w:pPr>
        <w:pStyle w:val="20"/>
        <w:keepNext w:val="0"/>
        <w:keepLines w:val="0"/>
        <w:pageBreakBefore w:val="0"/>
        <w:widowControl w:val="0"/>
        <w:tabs>
          <w:tab w:val="right" w:leader="dot" w:pos="9344"/>
        </w:tabs>
        <w:kinsoku/>
        <w:wordWrap/>
        <w:overflowPunct/>
        <w:topLinePunct w:val="0"/>
        <w:autoSpaceDE/>
        <w:autoSpaceDN/>
        <w:bidi w:val="0"/>
        <w:adjustRightInd w:val="0"/>
        <w:snapToGrid/>
        <w:spacing w:after="0"/>
        <w:textAlignment w:val="auto"/>
        <w:rPr>
          <w:rFonts w:hint="eastAsia" w:asciiTheme="minorHAnsi" w:hAnsiTheme="minorHAnsi" w:eastAsiaTheme="minorEastAsia" w:cstheme="minorBidi"/>
          <w:szCs w:val="22"/>
          <w14:ligatures w14:val="standardContextual"/>
        </w:rPr>
      </w:pPr>
      <w:r>
        <w:fldChar w:fldCharType="begin"/>
      </w:r>
      <w:r>
        <w:instrText xml:space="preserve"> HYPERLINK \l "_Toc162601546" </w:instrText>
      </w:r>
      <w:r>
        <w:fldChar w:fldCharType="separate"/>
      </w:r>
      <w:r>
        <w:rPr>
          <w:rFonts w:hint="eastAsia"/>
          <w:lang w:eastAsia="zh-CN"/>
        </w:rPr>
        <w:t>附录</w:t>
      </w:r>
      <w:r>
        <w:rPr>
          <w:rFonts w:hint="eastAsia"/>
          <w:lang w:val="en-US" w:eastAsia="zh-CN"/>
        </w:rPr>
        <w:t>A</w:t>
      </w:r>
      <w:r>
        <w:rPr>
          <w:rStyle w:val="35"/>
        </w:rPr>
        <w:t>（资料性）木香常见病虫害药</w:t>
      </w:r>
      <w:r>
        <w:rPr>
          <w:rStyle w:val="35"/>
          <w:rFonts w:hint="eastAsia"/>
          <w:lang w:eastAsia="zh-CN"/>
        </w:rPr>
        <w:t>剂</w:t>
      </w:r>
      <w:r>
        <w:rPr>
          <w:rStyle w:val="35"/>
        </w:rPr>
        <w:t>防治方法</w:t>
      </w:r>
      <w:r>
        <w:tab/>
      </w:r>
      <w:r>
        <w:rPr>
          <w:rFonts w:hint="eastAsia"/>
          <w:lang w:val="en-US" w:eastAsia="zh-CN"/>
        </w:rPr>
        <w:t>6</w:t>
      </w:r>
      <w:r>
        <w:fldChar w:fldCharType="end"/>
      </w:r>
    </w:p>
    <w:p w14:paraId="4A3F8C7F">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after="0"/>
        <w:textAlignment w:val="auto"/>
      </w:pPr>
      <w:r>
        <w:rPr>
          <w:color w:val="auto"/>
        </w:rPr>
        <w:fldChar w:fldCharType="begin"/>
      </w:r>
      <w:r>
        <w:instrText xml:space="preserve"> HYPERLINK \l _Toc842930376 </w:instrText>
      </w:r>
      <w:r>
        <w:fldChar w:fldCharType="separate"/>
      </w:r>
      <w:r>
        <w:rPr>
          <w:rFonts w:hint="eastAsia"/>
          <w:lang w:eastAsia="zh-CN"/>
        </w:rPr>
        <w:t>附录</w:t>
      </w:r>
      <w:r>
        <w:rPr>
          <w:rFonts w:hint="eastAsia"/>
          <w:lang w:val="en-US" w:eastAsia="zh-CN"/>
        </w:rPr>
        <w:t>B</w:t>
      </w:r>
      <w:r>
        <w:rPr>
          <w:rFonts w:hint="eastAsia"/>
        </w:rPr>
        <w:t>（资料性）</w:t>
      </w:r>
      <w:r>
        <w:rPr>
          <w:rFonts w:hint="eastAsia"/>
          <w:lang w:eastAsia="zh-CN"/>
        </w:rPr>
        <w:t>湖北省地方标准实施信息及意见反馈表</w:t>
      </w:r>
      <w:r>
        <w:rPr>
          <w:rFonts w:hint="eastAsia"/>
          <w:spacing w:val="100"/>
        </w:rPr>
        <w:t xml:space="preserve"> </w:t>
      </w:r>
      <w:r>
        <w:tab/>
      </w:r>
      <w:r>
        <w:rPr>
          <w:rFonts w:hint="eastAsia"/>
          <w:lang w:val="en-US" w:eastAsia="zh-CN"/>
        </w:rPr>
        <w:t>7</w:t>
      </w:r>
      <w:r>
        <w:rPr>
          <w:color w:val="auto"/>
        </w:rPr>
        <w:fldChar w:fldCharType="end"/>
      </w:r>
    </w:p>
    <w:p w14:paraId="6671E17C">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after="0" w:line="400" w:lineRule="exact"/>
        <w:textAlignment w:val="auto"/>
      </w:pPr>
    </w:p>
    <w:p w14:paraId="5B44E22E">
      <w:pPr>
        <w:pStyle w:val="93"/>
        <w:spacing w:line="400" w:lineRule="exact"/>
        <w:sectPr>
          <w:headerReference r:id="rId12" w:type="default"/>
          <w:footerReference r:id="rId13" w:type="default"/>
          <w:pgSz w:w="11906" w:h="16838"/>
          <w:pgMar w:top="567" w:right="1134" w:bottom="1134" w:left="1134" w:header="1418" w:footer="1134" w:gutter="284"/>
          <w:pgNumType w:fmt="upperRoman" w:start="1"/>
          <w:cols w:space="720" w:num="1"/>
          <w:formProt w:val="0"/>
          <w:docGrid w:type="lines" w:linePitch="312" w:charSpace="0"/>
        </w:sectPr>
      </w:pPr>
      <w:r>
        <w:fldChar w:fldCharType="end"/>
      </w:r>
      <w:bookmarkEnd w:id="18"/>
      <w:bookmarkStart w:id="19" w:name="_Toc1352030903"/>
      <w:bookmarkStart w:id="20" w:name="BookMark2"/>
    </w:p>
    <w:p w14:paraId="6F53633A">
      <w:pPr>
        <w:pStyle w:val="93"/>
      </w:pPr>
      <w:r>
        <w:rPr>
          <w:spacing w:val="320"/>
        </w:rPr>
        <w:t>前</w:t>
      </w:r>
      <w:r>
        <w:t>言</w:t>
      </w:r>
      <w:bookmarkEnd w:id="19"/>
    </w:p>
    <w:p w14:paraId="206955C4">
      <w:pPr>
        <w:pStyle w:val="60"/>
        <w:keepNext w:val="0"/>
        <w:keepLines w:val="0"/>
        <w:pageBreakBefore w:val="0"/>
        <w:widowControl/>
        <w:kinsoku/>
        <w:wordWrap/>
        <w:overflowPunct/>
        <w:topLinePunct w:val="0"/>
        <w:autoSpaceDE w:val="0"/>
        <w:autoSpaceDN w:val="0"/>
        <w:bidi w:val="0"/>
        <w:adjustRightInd/>
        <w:snapToGrid/>
        <w:spacing w:after="0" w:line="240" w:lineRule="auto"/>
        <w:textAlignment w:val="auto"/>
      </w:pPr>
      <w:r>
        <w:rPr>
          <w:rFonts w:hint="eastAsia"/>
        </w:rPr>
        <w:t>本文件按照GB/T 1.1—2020《标准化工作导则  第1部分：标准化文件的结构和起草规则》的规定起草。</w:t>
      </w:r>
    </w:p>
    <w:p w14:paraId="1770F9D4">
      <w:pPr>
        <w:pStyle w:val="60"/>
        <w:keepNext w:val="0"/>
        <w:keepLines w:val="0"/>
        <w:pageBreakBefore w:val="0"/>
        <w:widowControl/>
        <w:kinsoku/>
        <w:wordWrap/>
        <w:overflowPunct/>
        <w:topLinePunct w:val="0"/>
        <w:autoSpaceDE w:val="0"/>
        <w:autoSpaceDN w:val="0"/>
        <w:bidi w:val="0"/>
        <w:adjustRightInd/>
        <w:snapToGrid/>
        <w:spacing w:after="0" w:line="240" w:lineRule="auto"/>
        <w:textAlignment w:val="auto"/>
      </w:pPr>
      <w:r>
        <w:rPr>
          <w:rFonts w:hint="eastAsia"/>
        </w:rPr>
        <w:t>请注意本文件的某些内容可能涉及专利。本文件的发布机构不承担识别专利的责任。</w:t>
      </w:r>
    </w:p>
    <w:p w14:paraId="689C9A2F">
      <w:pPr>
        <w:pStyle w:val="60"/>
        <w:keepNext w:val="0"/>
        <w:keepLines w:val="0"/>
        <w:pageBreakBefore w:val="0"/>
        <w:widowControl/>
        <w:kinsoku/>
        <w:wordWrap/>
        <w:overflowPunct/>
        <w:topLinePunct w:val="0"/>
        <w:autoSpaceDE w:val="0"/>
        <w:autoSpaceDN w:val="0"/>
        <w:bidi w:val="0"/>
        <w:adjustRightInd/>
        <w:snapToGrid/>
        <w:spacing w:after="0" w:line="240" w:lineRule="auto"/>
        <w:textAlignment w:val="auto"/>
      </w:pPr>
      <w:r>
        <w:rPr>
          <w:rFonts w:hint="eastAsia"/>
        </w:rPr>
        <w:t>本文件由宜昌市农业科学研究院提出。</w:t>
      </w:r>
    </w:p>
    <w:p w14:paraId="1C87850C">
      <w:pPr>
        <w:pStyle w:val="60"/>
        <w:keepNext w:val="0"/>
        <w:keepLines w:val="0"/>
        <w:pageBreakBefore w:val="0"/>
        <w:widowControl/>
        <w:kinsoku/>
        <w:wordWrap/>
        <w:overflowPunct/>
        <w:topLinePunct w:val="0"/>
        <w:autoSpaceDE w:val="0"/>
        <w:autoSpaceDN w:val="0"/>
        <w:bidi w:val="0"/>
        <w:adjustRightInd/>
        <w:snapToGrid/>
        <w:spacing w:after="0" w:line="240" w:lineRule="auto"/>
        <w:textAlignment w:val="auto"/>
      </w:pPr>
      <w:r>
        <w:rPr>
          <w:rFonts w:hint="eastAsia"/>
        </w:rPr>
        <w:t>本文件由湖北省农业农村厅</w:t>
      </w:r>
      <w:r>
        <w:t>归口</w:t>
      </w:r>
      <w:r>
        <w:rPr>
          <w:rFonts w:hint="eastAsia"/>
        </w:rPr>
        <w:t>。</w:t>
      </w:r>
    </w:p>
    <w:p w14:paraId="0A69FABF">
      <w:pPr>
        <w:pStyle w:val="60"/>
        <w:ind w:firstLine="420"/>
      </w:pPr>
      <w:r>
        <w:rPr>
          <w:rFonts w:hint="eastAsia"/>
        </w:rPr>
        <w:t>本文件起草单位：宜昌市农业科学研究院、湖北省农业科学院中药材研究所、宜昌百川生态农业有限公司。</w:t>
      </w:r>
    </w:p>
    <w:p w14:paraId="4779FCA0">
      <w:pPr>
        <w:pStyle w:val="60"/>
        <w:ind w:firstLine="420"/>
      </w:pPr>
      <w:r>
        <w:rPr>
          <w:rFonts w:hint="eastAsia"/>
        </w:rPr>
        <w:t>本文件主要起草人：李念祖、姚玉玲、李云飞、杨迎春、李蓉芳、</w:t>
      </w:r>
      <w:r>
        <w:rPr>
          <w:rFonts w:hint="eastAsia"/>
          <w:lang w:eastAsia="zh-CN"/>
        </w:rPr>
        <w:t>王凤、</w:t>
      </w:r>
      <w:r>
        <w:rPr>
          <w:rFonts w:hint="eastAsia"/>
        </w:rPr>
        <w:t>张美德、周武先、向晨琛。</w:t>
      </w:r>
    </w:p>
    <w:p w14:paraId="7AF4C2F6">
      <w:pPr>
        <w:pStyle w:val="60"/>
        <w:keepNext w:val="0"/>
        <w:keepLines w:val="0"/>
        <w:pageBreakBefore w:val="0"/>
        <w:widowControl/>
        <w:kinsoku/>
        <w:wordWrap/>
        <w:overflowPunct/>
        <w:topLinePunct w:val="0"/>
        <w:autoSpaceDE w:val="0"/>
        <w:autoSpaceDN w:val="0"/>
        <w:bidi w:val="0"/>
        <w:adjustRightInd/>
        <w:snapToGrid/>
        <w:spacing w:after="0" w:line="240" w:lineRule="auto"/>
        <w:textAlignment w:val="auto"/>
      </w:pPr>
      <w:r>
        <w:rPr>
          <w:rFonts w:hint="eastAsia"/>
        </w:rPr>
        <w:t>本文件实施应用中的疑问，可咨询湖北省农业农村厅，电话：027-87665821，邮箱：hbsnab@126.com；对本文件的有关修改意见建议请反馈至宜昌市农业科学研究院，联系电话：0717-6671535，邮箱：</w:t>
      </w:r>
      <w:r>
        <w:t>2875838164</w:t>
      </w:r>
      <w:r>
        <w:rPr>
          <w:rFonts w:hint="eastAsia"/>
        </w:rPr>
        <w:t>@</w:t>
      </w:r>
      <w:r>
        <w:t>qq</w:t>
      </w:r>
      <w:r>
        <w:rPr>
          <w:rFonts w:hint="eastAsia"/>
        </w:rPr>
        <w:t>.com。</w:t>
      </w:r>
    </w:p>
    <w:p w14:paraId="7C646B65">
      <w:pPr>
        <w:widowControl/>
        <w:adjustRightInd/>
        <w:spacing w:line="278" w:lineRule="auto"/>
        <w:jc w:val="left"/>
      </w:pPr>
    </w:p>
    <w:p w14:paraId="2BBCD20B">
      <w:pPr>
        <w:widowControl/>
        <w:adjustRightInd/>
        <w:spacing w:line="278" w:lineRule="auto"/>
        <w:jc w:val="left"/>
      </w:pPr>
      <w:bookmarkStart w:id="182" w:name="_GoBack"/>
      <w:bookmarkEnd w:id="182"/>
    </w:p>
    <w:p w14:paraId="5F02BB2B">
      <w:pPr>
        <w:widowControl/>
        <w:adjustRightInd/>
        <w:spacing w:line="278" w:lineRule="auto"/>
        <w:jc w:val="left"/>
      </w:pPr>
    </w:p>
    <w:p w14:paraId="0F6DC7D9">
      <w:pPr>
        <w:widowControl/>
        <w:adjustRightInd/>
        <w:spacing w:line="278" w:lineRule="auto"/>
        <w:jc w:val="left"/>
      </w:pPr>
    </w:p>
    <w:p w14:paraId="05DFB4EB">
      <w:pPr>
        <w:widowControl/>
        <w:adjustRightInd/>
        <w:spacing w:line="278" w:lineRule="auto"/>
        <w:jc w:val="left"/>
      </w:pPr>
    </w:p>
    <w:p w14:paraId="2B452400">
      <w:pPr>
        <w:widowControl/>
        <w:adjustRightInd/>
        <w:spacing w:line="278" w:lineRule="auto"/>
        <w:jc w:val="left"/>
      </w:pPr>
    </w:p>
    <w:p w14:paraId="4460D9F2">
      <w:pPr>
        <w:widowControl/>
        <w:adjustRightInd/>
        <w:spacing w:line="278" w:lineRule="auto"/>
        <w:jc w:val="left"/>
      </w:pPr>
    </w:p>
    <w:p w14:paraId="5DE04286">
      <w:pPr>
        <w:widowControl/>
        <w:adjustRightInd/>
        <w:spacing w:line="278" w:lineRule="auto"/>
        <w:jc w:val="left"/>
      </w:pPr>
    </w:p>
    <w:p w14:paraId="1843B390">
      <w:pPr>
        <w:widowControl/>
        <w:adjustRightInd/>
        <w:spacing w:line="278" w:lineRule="auto"/>
        <w:jc w:val="left"/>
        <w:sectPr>
          <w:footerReference r:id="rId14" w:type="default"/>
          <w:pgSz w:w="11906" w:h="16838"/>
          <w:pgMar w:top="567" w:right="1134" w:bottom="1134" w:left="1134" w:header="1418" w:footer="1134" w:gutter="284"/>
          <w:pgNumType w:fmt="upperRoman"/>
          <w:cols w:space="720" w:num="1"/>
          <w:formProt w:val="0"/>
          <w:docGrid w:type="lines" w:linePitch="312" w:charSpace="0"/>
        </w:sectPr>
      </w:pPr>
    </w:p>
    <w:bookmarkEnd w:id="20"/>
    <w:p w14:paraId="64300503">
      <w:pPr>
        <w:spacing w:line="20" w:lineRule="exact"/>
        <w:jc w:val="center"/>
        <w:rPr>
          <w:rFonts w:ascii="黑体" w:hAnsi="黑体" w:eastAsia="黑体"/>
          <w:sz w:val="32"/>
          <w:szCs w:val="32"/>
        </w:rPr>
      </w:pPr>
      <w:bookmarkStart w:id="21" w:name="BookMark4"/>
    </w:p>
    <w:p w14:paraId="6CBC75B7">
      <w:pPr>
        <w:spacing w:line="20" w:lineRule="exact"/>
        <w:jc w:val="center"/>
        <w:rPr>
          <w:rFonts w:ascii="黑体" w:hAnsi="黑体" w:eastAsia="黑体"/>
          <w:sz w:val="32"/>
          <w:szCs w:val="32"/>
        </w:rPr>
      </w:pPr>
    </w:p>
    <w:p w14:paraId="4F17AE89">
      <w:pPr>
        <w:pStyle w:val="181"/>
        <w:spacing w:before="567" w:beforeLines="182" w:after="686" w:afterLines="220"/>
      </w:pPr>
      <w:bookmarkStart w:id="22" w:name="NEW_STAND_NAME"/>
      <w:r>
        <w:rPr>
          <w:rFonts w:hint="eastAsia"/>
        </w:rPr>
        <w:t xml:space="preserve">中药材 </w:t>
      </w:r>
      <w:r>
        <w:rPr>
          <w:rFonts w:hint="eastAsia"/>
          <w:lang w:eastAsia="zh-CN"/>
        </w:rPr>
        <w:t>木香</w:t>
      </w:r>
      <w:r>
        <w:rPr>
          <w:rFonts w:hint="eastAsia"/>
        </w:rPr>
        <w:t>生产</w:t>
      </w:r>
      <w:r>
        <w:t>技术规程</w:t>
      </w:r>
    </w:p>
    <w:bookmarkEnd w:id="22"/>
    <w:p w14:paraId="366EA19D">
      <w:pPr>
        <w:pStyle w:val="108"/>
        <w:spacing w:before="312" w:after="312"/>
      </w:pPr>
      <w:bookmarkStart w:id="23" w:name="_Toc24884211"/>
      <w:bookmarkStart w:id="24" w:name="_Toc568480538"/>
      <w:bookmarkStart w:id="25" w:name="_Toc114044718"/>
      <w:bookmarkStart w:id="26" w:name="_Toc114045636"/>
      <w:bookmarkStart w:id="27" w:name="_Toc26986530"/>
      <w:bookmarkStart w:id="28" w:name="_Toc114044600"/>
      <w:bookmarkStart w:id="29" w:name="_Toc26718930"/>
      <w:bookmarkStart w:id="30" w:name="_Toc17233333"/>
      <w:bookmarkStart w:id="31" w:name="_Toc26986771"/>
      <w:bookmarkStart w:id="32" w:name="_Toc114045006"/>
      <w:bookmarkStart w:id="33" w:name="_Toc66107085"/>
      <w:bookmarkStart w:id="34" w:name="_Toc24884218"/>
      <w:bookmarkStart w:id="35" w:name="_Toc17233325"/>
      <w:bookmarkStart w:id="36" w:name="_Toc26648465"/>
      <w:bookmarkStart w:id="37" w:name="_Toc1891866415"/>
      <w:r>
        <w:rPr>
          <w:rFonts w:hint="eastAsia"/>
        </w:rPr>
        <w:t>范围</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24CFD86">
      <w:pPr>
        <w:pStyle w:val="60"/>
        <w:keepNext w:val="0"/>
        <w:keepLines w:val="0"/>
        <w:pageBreakBefore w:val="0"/>
        <w:widowControl/>
        <w:kinsoku/>
        <w:wordWrap/>
        <w:overflowPunct/>
        <w:topLinePunct w:val="0"/>
        <w:autoSpaceDE w:val="0"/>
        <w:autoSpaceDN w:val="0"/>
        <w:bidi w:val="0"/>
        <w:adjustRightInd/>
        <w:snapToGrid/>
        <w:spacing w:after="0" w:line="240" w:lineRule="auto"/>
        <w:ind w:firstLine="420"/>
        <w:textAlignment w:val="auto"/>
      </w:pPr>
      <w:bookmarkStart w:id="38" w:name="_Toc17233326"/>
      <w:bookmarkStart w:id="39" w:name="_Toc17233334"/>
      <w:bookmarkStart w:id="40" w:name="_Toc24884219"/>
      <w:bookmarkStart w:id="41" w:name="_Toc24884212"/>
      <w:bookmarkStart w:id="42" w:name="_Toc26648466"/>
      <w:r>
        <w:rPr>
          <w:rFonts w:hint="eastAsia"/>
        </w:rPr>
        <w:t>本文件规定了木香生产的产地环境、选地整地、种苗繁育、大田移栽、田间管理、病虫害防治、采收与初加工、包装、贮藏与运输、生产档案</w:t>
      </w:r>
      <w:r>
        <w:rPr>
          <w:rFonts w:hint="eastAsia"/>
          <w:lang w:eastAsia="zh-CN"/>
        </w:rPr>
        <w:t>等</w:t>
      </w:r>
      <w:r>
        <w:rPr>
          <w:rFonts w:hint="eastAsia"/>
        </w:rPr>
        <w:t>要求。</w:t>
      </w:r>
    </w:p>
    <w:p w14:paraId="7568757E">
      <w:pPr>
        <w:pStyle w:val="60"/>
        <w:keepNext w:val="0"/>
        <w:keepLines w:val="0"/>
        <w:pageBreakBefore w:val="0"/>
        <w:widowControl/>
        <w:kinsoku/>
        <w:wordWrap/>
        <w:overflowPunct/>
        <w:topLinePunct w:val="0"/>
        <w:autoSpaceDE w:val="0"/>
        <w:autoSpaceDN w:val="0"/>
        <w:bidi w:val="0"/>
        <w:adjustRightInd/>
        <w:snapToGrid/>
        <w:spacing w:after="0" w:line="240" w:lineRule="auto"/>
        <w:ind w:firstLine="420"/>
        <w:textAlignment w:val="auto"/>
      </w:pPr>
      <w:r>
        <w:rPr>
          <w:rFonts w:hint="eastAsia"/>
        </w:rPr>
        <w:t>本文件适用于湖北省木香生产。</w:t>
      </w:r>
    </w:p>
    <w:p w14:paraId="099F9783">
      <w:pPr>
        <w:pStyle w:val="108"/>
        <w:spacing w:before="312" w:after="312"/>
      </w:pPr>
      <w:bookmarkStart w:id="43" w:name="_Toc26986531"/>
      <w:bookmarkStart w:id="44" w:name="_Toc114044601"/>
      <w:bookmarkStart w:id="45" w:name="_Toc114045007"/>
      <w:bookmarkStart w:id="46" w:name="_Toc66107086"/>
      <w:bookmarkStart w:id="47" w:name="_Toc26986772"/>
      <w:bookmarkStart w:id="48" w:name="_Toc114044719"/>
      <w:bookmarkStart w:id="49" w:name="_Toc804853369"/>
      <w:bookmarkStart w:id="50" w:name="_Toc26718931"/>
      <w:bookmarkStart w:id="51" w:name="_Toc114045637"/>
      <w:bookmarkStart w:id="52" w:name="_Toc269798875"/>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0D1FEEE">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2111E0E">
      <w:pPr>
        <w:pStyle w:val="60"/>
        <w:keepNext w:val="0"/>
        <w:keepLines w:val="0"/>
        <w:pageBreakBefore w:val="0"/>
        <w:widowControl/>
        <w:kinsoku/>
        <w:wordWrap/>
        <w:overflowPunct/>
        <w:topLinePunct w:val="0"/>
        <w:autoSpaceDE w:val="0"/>
        <w:autoSpaceDN w:val="0"/>
        <w:bidi w:val="0"/>
        <w:adjustRightInd/>
        <w:snapToGrid/>
        <w:spacing w:after="0" w:line="279" w:lineRule="auto"/>
        <w:textAlignment w:val="auto"/>
      </w:pPr>
      <w:r>
        <w:rPr>
          <w:rFonts w:hint="eastAsia"/>
        </w:rPr>
        <w:t>GB 3095  环境空气质量标准</w:t>
      </w:r>
    </w:p>
    <w:p w14:paraId="123A052A">
      <w:pPr>
        <w:pStyle w:val="60"/>
        <w:keepNext w:val="0"/>
        <w:keepLines w:val="0"/>
        <w:pageBreakBefore w:val="0"/>
        <w:widowControl/>
        <w:kinsoku/>
        <w:wordWrap/>
        <w:overflowPunct/>
        <w:topLinePunct w:val="0"/>
        <w:autoSpaceDE w:val="0"/>
        <w:autoSpaceDN w:val="0"/>
        <w:bidi w:val="0"/>
        <w:adjustRightInd/>
        <w:snapToGrid/>
        <w:spacing w:after="0" w:line="279" w:lineRule="auto"/>
        <w:textAlignment w:val="auto"/>
      </w:pPr>
      <w:r>
        <w:rPr>
          <w:rFonts w:hint="eastAsia"/>
        </w:rPr>
        <w:t>GB 5084  农田灌溉水质标准</w:t>
      </w:r>
    </w:p>
    <w:p w14:paraId="1DEE7765">
      <w:pPr>
        <w:pStyle w:val="60"/>
        <w:keepNext w:val="0"/>
        <w:keepLines w:val="0"/>
        <w:pageBreakBefore w:val="0"/>
        <w:widowControl/>
        <w:kinsoku/>
        <w:wordWrap/>
        <w:overflowPunct/>
        <w:topLinePunct w:val="0"/>
        <w:autoSpaceDE w:val="0"/>
        <w:autoSpaceDN w:val="0"/>
        <w:bidi w:val="0"/>
        <w:adjustRightInd/>
        <w:snapToGrid/>
        <w:spacing w:after="0" w:line="279" w:lineRule="auto"/>
        <w:textAlignment w:val="auto"/>
      </w:pPr>
      <w:r>
        <w:t>GB/T 8321（所有部分）  农药合理使用准则</w:t>
      </w:r>
    </w:p>
    <w:p w14:paraId="7A4DF5A1">
      <w:pPr>
        <w:pStyle w:val="60"/>
        <w:keepNext w:val="0"/>
        <w:keepLines w:val="0"/>
        <w:pageBreakBefore w:val="0"/>
        <w:widowControl/>
        <w:kinsoku/>
        <w:wordWrap/>
        <w:overflowPunct/>
        <w:topLinePunct w:val="0"/>
        <w:autoSpaceDE w:val="0"/>
        <w:autoSpaceDN w:val="0"/>
        <w:bidi w:val="0"/>
        <w:adjustRightInd/>
        <w:snapToGrid/>
        <w:spacing w:after="0" w:line="279" w:lineRule="auto"/>
        <w:textAlignment w:val="auto"/>
        <w:rPr>
          <w:rFonts w:hint="eastAsia"/>
        </w:rPr>
      </w:pPr>
      <w:r>
        <w:rPr>
          <w:rFonts w:hint="eastAsia"/>
        </w:rPr>
        <w:t>GB 15618  土壤环境质量 农用地土壤污染风险管控标准（试行）</w:t>
      </w:r>
    </w:p>
    <w:p w14:paraId="091ADFE8">
      <w:pPr>
        <w:pStyle w:val="60"/>
        <w:keepNext w:val="0"/>
        <w:keepLines w:val="0"/>
        <w:pageBreakBefore w:val="0"/>
        <w:widowControl/>
        <w:kinsoku/>
        <w:wordWrap/>
        <w:overflowPunct/>
        <w:topLinePunct w:val="0"/>
        <w:autoSpaceDE w:val="0"/>
        <w:autoSpaceDN w:val="0"/>
        <w:bidi w:val="0"/>
        <w:adjustRightInd/>
        <w:snapToGrid/>
        <w:spacing w:after="0" w:line="279" w:lineRule="auto"/>
        <w:textAlignment w:val="auto"/>
        <w:rPr>
          <w:rFonts w:hint="eastAsia"/>
        </w:rPr>
      </w:pPr>
      <w:r>
        <w:rPr>
          <w:rFonts w:hint="eastAsia"/>
        </w:rPr>
        <w:t>NY/T 394  绿色食品 肥料使用准则</w:t>
      </w:r>
    </w:p>
    <w:p w14:paraId="4EA224CB">
      <w:pPr>
        <w:pStyle w:val="60"/>
        <w:keepNext w:val="0"/>
        <w:keepLines w:val="0"/>
        <w:pageBreakBefore w:val="0"/>
        <w:widowControl/>
        <w:kinsoku/>
        <w:wordWrap/>
        <w:overflowPunct/>
        <w:topLinePunct w:val="0"/>
        <w:autoSpaceDE w:val="0"/>
        <w:autoSpaceDN w:val="0"/>
        <w:bidi w:val="0"/>
        <w:adjustRightInd/>
        <w:snapToGrid/>
        <w:spacing w:after="0" w:line="279" w:lineRule="auto"/>
        <w:textAlignment w:val="auto"/>
        <w:rPr>
          <w:rFonts w:hint="eastAsia"/>
          <w:lang w:eastAsia="zh-CN"/>
        </w:rPr>
      </w:pPr>
      <w:r>
        <w:rPr>
          <w:rFonts w:hint="eastAsia"/>
          <w:lang w:eastAsia="zh-CN"/>
        </w:rPr>
        <w:t>《</w:t>
      </w:r>
      <w:r>
        <w:rPr>
          <w:rFonts w:hint="eastAsia"/>
          <w:lang w:val="en-US" w:eastAsia="zh-CN"/>
        </w:rPr>
        <w:t>中华人民共和国药典</w:t>
      </w:r>
      <w:r>
        <w:rPr>
          <w:rFonts w:hint="eastAsia"/>
          <w:lang w:eastAsia="zh-CN"/>
        </w:rPr>
        <w:t>》</w:t>
      </w:r>
      <w:r>
        <w:rPr>
          <w:highlight w:val="none"/>
        </w:rPr>
        <w:t>2025</w:t>
      </w:r>
      <w:r>
        <w:rPr>
          <w:rFonts w:hint="eastAsia"/>
          <w:highlight w:val="none"/>
        </w:rPr>
        <w:t>版（一部）</w:t>
      </w:r>
    </w:p>
    <w:p w14:paraId="025657D9">
      <w:pPr>
        <w:pStyle w:val="60"/>
        <w:keepNext w:val="0"/>
        <w:keepLines w:val="0"/>
        <w:pageBreakBefore w:val="0"/>
        <w:widowControl/>
        <w:kinsoku/>
        <w:wordWrap/>
        <w:overflowPunct/>
        <w:topLinePunct w:val="0"/>
        <w:autoSpaceDE w:val="0"/>
        <w:autoSpaceDN w:val="0"/>
        <w:bidi w:val="0"/>
        <w:adjustRightInd/>
        <w:snapToGrid/>
        <w:spacing w:after="0" w:line="279" w:lineRule="auto"/>
        <w:textAlignment w:val="auto"/>
        <w:rPr>
          <w:rFonts w:hint="eastAsia"/>
          <w:lang w:eastAsia="zh-CN"/>
        </w:rPr>
      </w:pPr>
      <w:r>
        <w:rPr>
          <w:rFonts w:hint="eastAsia"/>
          <w:lang w:eastAsia="zh-CN"/>
        </w:rPr>
        <w:t>《</w:t>
      </w:r>
      <w:r>
        <w:rPr>
          <w:rFonts w:hint="eastAsia"/>
          <w:lang w:val="en-US" w:eastAsia="zh-CN"/>
        </w:rPr>
        <w:t>中药材生产质量管理规范</w:t>
      </w:r>
      <w:r>
        <w:rPr>
          <w:rFonts w:hint="eastAsia"/>
          <w:lang w:eastAsia="zh-CN"/>
        </w:rPr>
        <w:t>》</w:t>
      </w:r>
      <w:r>
        <w:rPr>
          <w:rFonts w:hint="eastAsia"/>
        </w:rPr>
        <w:t>（2022 年）</w:t>
      </w:r>
    </w:p>
    <w:p w14:paraId="1FA91B8F">
      <w:pPr>
        <w:pStyle w:val="108"/>
        <w:spacing w:before="312" w:after="312"/>
      </w:pPr>
      <w:bookmarkStart w:id="53" w:name="_Toc114044720"/>
      <w:bookmarkStart w:id="54" w:name="_Toc114044602"/>
      <w:bookmarkStart w:id="55" w:name="_Toc114045008"/>
      <w:bookmarkStart w:id="56" w:name="_Toc66107087"/>
      <w:bookmarkStart w:id="57" w:name="_Toc1690882319"/>
      <w:bookmarkStart w:id="58" w:name="_Toc1422026892"/>
      <w:bookmarkStart w:id="59" w:name="_Toc114045638"/>
      <w:r>
        <w:rPr>
          <w:rFonts w:hint="eastAsia"/>
          <w:szCs w:val="21"/>
        </w:rPr>
        <w:t>术语和定义</w:t>
      </w:r>
      <w:bookmarkEnd w:id="53"/>
      <w:bookmarkEnd w:id="54"/>
      <w:bookmarkEnd w:id="55"/>
      <w:bookmarkEnd w:id="56"/>
      <w:bookmarkEnd w:id="57"/>
      <w:bookmarkEnd w:id="58"/>
      <w:bookmarkEnd w:id="59"/>
    </w:p>
    <w:p w14:paraId="03DD218C">
      <w:pPr>
        <w:pStyle w:val="60"/>
        <w:ind w:firstLine="420"/>
      </w:pPr>
      <w:bookmarkStart w:id="60" w:name="_Toc26986532"/>
      <w:bookmarkEnd w:id="60"/>
      <w:r>
        <w:t>下列术语和定义适用于本文件。</w:t>
      </w:r>
      <w:bookmarkStart w:id="61" w:name="_Toc114044603"/>
      <w:bookmarkEnd w:id="61"/>
      <w:bookmarkStart w:id="62" w:name="_Toc1966603600"/>
      <w:bookmarkEnd w:id="62"/>
      <w:bookmarkStart w:id="63" w:name="_Toc114044604"/>
      <w:bookmarkStart w:id="64" w:name="_Toc1879202449"/>
      <w:bookmarkStart w:id="65" w:name="_Toc66107088"/>
    </w:p>
    <w:bookmarkEnd w:id="63"/>
    <w:bookmarkEnd w:id="64"/>
    <w:p w14:paraId="17584A37">
      <w:pPr>
        <w:pStyle w:val="227"/>
        <w:ind w:left="420" w:hanging="420" w:hangingChars="200"/>
        <w:rPr>
          <w:rFonts w:hint="eastAsia" w:ascii="黑体" w:hAnsi="黑体" w:eastAsia="黑体"/>
        </w:rPr>
      </w:pPr>
      <w:bookmarkStart w:id="66" w:name="_Toc98838786"/>
      <w:bookmarkStart w:id="67" w:name="_Toc114044606"/>
      <w:bookmarkStart w:id="68" w:name="_Toc474921707"/>
    </w:p>
    <w:p w14:paraId="4DA09A1D">
      <w:pPr>
        <w:pStyle w:val="227"/>
        <w:numPr>
          <w:ilvl w:val="2"/>
          <w:numId w:val="0"/>
        </w:numPr>
        <w:ind w:leftChars="-200" w:firstLine="420" w:firstLineChars="200"/>
        <w:rPr>
          <w:rFonts w:hint="eastAsia" w:ascii="黑体" w:hAnsi="黑体" w:eastAsia="黑体"/>
        </w:rPr>
      </w:pPr>
      <w:r>
        <w:rPr>
          <w:rFonts w:hint="default" w:ascii="黑体" w:hAnsi="黑体" w:eastAsia="黑体"/>
        </w:rPr>
        <w:t xml:space="preserve">    </w:t>
      </w:r>
      <w:bookmarkEnd w:id="66"/>
      <w:r>
        <w:rPr>
          <w:rFonts w:hint="eastAsia" w:ascii="黑体" w:hAnsi="黑体" w:eastAsia="黑体"/>
        </w:rPr>
        <w:t xml:space="preserve">木香  </w:t>
      </w:r>
      <w:r>
        <w:rPr>
          <w:rFonts w:ascii="黑体" w:hAnsi="黑体" w:eastAsia="黑体"/>
        </w:rPr>
        <w:t>Aucklandia Radix</w:t>
      </w:r>
    </w:p>
    <w:p w14:paraId="48C690F2">
      <w:pPr>
        <w:pStyle w:val="60"/>
        <w:ind w:firstLine="420"/>
        <w:rPr>
          <w:rFonts w:ascii="Times New Roman"/>
          <w:kern w:val="2"/>
          <w:szCs w:val="21"/>
          <w:lang w:bidi="ar"/>
        </w:rPr>
      </w:pPr>
      <w:r>
        <w:rPr>
          <w:rFonts w:hint="eastAsia"/>
        </w:rPr>
        <w:t>为菊科植物木香</w:t>
      </w:r>
      <w:r>
        <w:rPr>
          <w:rFonts w:hint="eastAsia"/>
          <w:i/>
          <w:iCs/>
        </w:rPr>
        <w:t>Aucklandia lappa</w:t>
      </w:r>
      <w:r>
        <w:rPr>
          <w:rFonts w:hint="eastAsia"/>
        </w:rPr>
        <w:t xml:space="preserve"> Decne.的干燥根。</w:t>
      </w:r>
    </w:p>
    <w:bookmarkEnd w:id="65"/>
    <w:bookmarkEnd w:id="67"/>
    <w:bookmarkEnd w:id="68"/>
    <w:p w14:paraId="4A5775C8">
      <w:pPr>
        <w:pStyle w:val="108"/>
        <w:spacing w:before="312" w:after="312"/>
      </w:pPr>
      <w:bookmarkStart w:id="69" w:name="_Toc689451559"/>
      <w:bookmarkStart w:id="70" w:name="_Toc114045639"/>
      <w:bookmarkStart w:id="71" w:name="_Toc41568955"/>
      <w:bookmarkStart w:id="72" w:name="_Toc45035209"/>
      <w:bookmarkStart w:id="73" w:name="_Toc42762902"/>
      <w:bookmarkStart w:id="74" w:name="_Toc41569024"/>
      <w:bookmarkStart w:id="75" w:name="_Toc114044607"/>
      <w:bookmarkStart w:id="76" w:name="_Toc45035221"/>
      <w:bookmarkStart w:id="77" w:name="_Toc42782148"/>
      <w:bookmarkStart w:id="78" w:name="_Toc106397341"/>
      <w:bookmarkStart w:id="79" w:name="_Toc25313972"/>
      <w:bookmarkStart w:id="80" w:name="_Toc42762925"/>
      <w:bookmarkStart w:id="81" w:name="_Toc42007164"/>
      <w:bookmarkStart w:id="82" w:name="_Toc25245443"/>
      <w:bookmarkStart w:id="83" w:name="_Toc42007197"/>
      <w:bookmarkStart w:id="84" w:name="_Toc45036389"/>
      <w:bookmarkStart w:id="85" w:name="_Toc114044721"/>
      <w:bookmarkStart w:id="86" w:name="_Toc114045009"/>
      <w:r>
        <w:rPr>
          <w:rFonts w:hint="eastAsia"/>
        </w:rPr>
        <w:t>产</w:t>
      </w:r>
      <w:r>
        <w:rPr>
          <w:rFonts w:hint="eastAsia"/>
          <w:szCs w:val="21"/>
        </w:rPr>
        <w:t>地环境</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5B220CD">
      <w:pPr>
        <w:pStyle w:val="60"/>
        <w:snapToGrid w:val="0"/>
        <w:ind w:firstLine="420"/>
      </w:pPr>
      <w:r>
        <w:rPr>
          <w:rFonts w:hint="eastAsia"/>
        </w:rPr>
        <w:t>种植地海拔1500 m以上，气候冷凉、光照充足，土壤pH 6.0～7.0，砂壤土或壤土。产地空气质量应符合GB 3095</w:t>
      </w:r>
      <w:r>
        <w:t>的二级标准</w:t>
      </w:r>
      <w:r>
        <w:rPr>
          <w:rFonts w:hint="eastAsia"/>
        </w:rPr>
        <w:t>，灌溉水质应符合GB 5084的规定，土壤环境质量应符合GB 15618的规定。</w:t>
      </w:r>
    </w:p>
    <w:p w14:paraId="1DEE8937">
      <w:pPr>
        <w:pStyle w:val="108"/>
        <w:spacing w:before="312" w:after="312"/>
      </w:pPr>
      <w:bookmarkStart w:id="87" w:name="_Toc162601537"/>
      <w:bookmarkStart w:id="88" w:name="_Toc42782152"/>
      <w:bookmarkStart w:id="89" w:name="_Toc410907961"/>
      <w:bookmarkStart w:id="90" w:name="_Toc114044616"/>
      <w:bookmarkStart w:id="91" w:name="_Toc42007168"/>
      <w:bookmarkStart w:id="92" w:name="_Toc41568959"/>
      <w:bookmarkStart w:id="93" w:name="_Toc25245447"/>
      <w:bookmarkStart w:id="94" w:name="_Toc42762906"/>
      <w:bookmarkStart w:id="95" w:name="_Toc45035225"/>
      <w:bookmarkStart w:id="96" w:name="_Toc45036393"/>
      <w:bookmarkStart w:id="97" w:name="_Toc41569028"/>
      <w:r>
        <w:rPr>
          <w:rFonts w:hint="eastAsia"/>
        </w:rPr>
        <w:t>选地整地</w:t>
      </w:r>
      <w:bookmarkEnd w:id="87"/>
    </w:p>
    <w:p w14:paraId="7F42050A">
      <w:pPr>
        <w:pStyle w:val="109"/>
        <w:spacing w:before="156" w:after="156"/>
      </w:pPr>
      <w:r>
        <w:rPr>
          <w:rFonts w:hint="eastAsia"/>
        </w:rPr>
        <w:t>选地</w:t>
      </w:r>
    </w:p>
    <w:p w14:paraId="19BCF1F3">
      <w:pPr>
        <w:pStyle w:val="60"/>
        <w:ind w:firstLine="420"/>
      </w:pPr>
      <w:r>
        <w:rPr>
          <w:rFonts w:hint="eastAsia"/>
        </w:rPr>
        <w:t>选择土层深厚、疏松肥沃、排水良好、无根结线虫的地块。</w:t>
      </w:r>
    </w:p>
    <w:p w14:paraId="5E84223A">
      <w:pPr>
        <w:pStyle w:val="109"/>
        <w:spacing w:before="156" w:after="156"/>
      </w:pPr>
      <w:r>
        <w:rPr>
          <w:rFonts w:hint="eastAsia"/>
        </w:rPr>
        <w:t>整地</w:t>
      </w:r>
    </w:p>
    <w:p w14:paraId="6E3E89CA">
      <w:pPr>
        <w:pStyle w:val="69"/>
        <w:spacing w:before="156" w:after="156"/>
        <w:ind w:left="0"/>
      </w:pPr>
      <w:r>
        <w:rPr>
          <w:rFonts w:hint="eastAsia"/>
        </w:rPr>
        <w:t>育苗地</w:t>
      </w:r>
    </w:p>
    <w:p w14:paraId="745DA77C">
      <w:pPr>
        <w:pStyle w:val="60"/>
        <w:ind w:firstLine="420"/>
      </w:pPr>
      <w:r>
        <w:rPr>
          <w:rFonts w:hint="eastAsia"/>
        </w:rPr>
        <w:t>深翻50 cm以上，清除石块，整细耙平做畦，畦高20 cm～30 cm，畦宽1 m～1.2 m，畦间距30 cm～40 cm，四周挖排水沟。结合整地，施入复合肥30 kg/667 m</w:t>
      </w:r>
      <w:r>
        <w:rPr>
          <w:rFonts w:hint="eastAsia"/>
          <w:vertAlign w:val="superscript"/>
        </w:rPr>
        <w:t>2</w:t>
      </w:r>
      <w:r>
        <w:rPr>
          <w:rFonts w:hint="eastAsia"/>
        </w:rPr>
        <w:t>～40 kg/667 m</w:t>
      </w:r>
      <w:r>
        <w:rPr>
          <w:rFonts w:hint="eastAsia"/>
          <w:vertAlign w:val="superscript"/>
        </w:rPr>
        <w:t>2</w:t>
      </w:r>
      <w:r>
        <w:rPr>
          <w:rFonts w:hint="eastAsia"/>
        </w:rPr>
        <w:t>、过磷酸钙50 kg/667 m</w:t>
      </w:r>
      <w:r>
        <w:rPr>
          <w:rFonts w:hint="eastAsia"/>
          <w:vertAlign w:val="superscript"/>
        </w:rPr>
        <w:t>2</w:t>
      </w:r>
      <w:r>
        <w:rPr>
          <w:rFonts w:hint="eastAsia"/>
        </w:rPr>
        <w:t>。肥料的使用应符合NY/T 394中A级绿色食品的要求。</w:t>
      </w:r>
    </w:p>
    <w:p w14:paraId="2D892CE3">
      <w:pPr>
        <w:pStyle w:val="69"/>
        <w:spacing w:before="156" w:after="156"/>
        <w:ind w:left="0"/>
      </w:pPr>
      <w:r>
        <w:rPr>
          <w:rFonts w:hint="eastAsia"/>
        </w:rPr>
        <w:t>移栽地</w:t>
      </w:r>
    </w:p>
    <w:p w14:paraId="7E286919">
      <w:pPr>
        <w:pStyle w:val="60"/>
        <w:ind w:firstLine="420"/>
      </w:pPr>
      <w:r>
        <w:rPr>
          <w:rFonts w:hint="eastAsia"/>
        </w:rPr>
        <w:t>深耕30 cm以上，整细耙平起垄，垄高5</w:t>
      </w:r>
      <w:r>
        <w:t xml:space="preserve"> cm</w:t>
      </w:r>
      <w:r>
        <w:rPr>
          <w:rFonts w:hint="eastAsia"/>
        </w:rPr>
        <w:t>～10 cm，垄宽50</w:t>
      </w:r>
      <w:r>
        <w:t xml:space="preserve"> cm</w:t>
      </w:r>
      <w:r>
        <w:rPr>
          <w:rFonts w:hint="eastAsia"/>
        </w:rPr>
        <w:t>～60 cm，垄间距20</w:t>
      </w:r>
      <w:r>
        <w:rPr>
          <w:rFonts w:hint="eastAsia"/>
          <w:lang w:val="en-US" w:eastAsia="zh-CN"/>
        </w:rPr>
        <w:t xml:space="preserve"> </w:t>
      </w:r>
      <w:r>
        <w:rPr>
          <w:rFonts w:hint="eastAsia"/>
        </w:rPr>
        <w:t>cm，四周挖排水沟。结合整地，施入商品有机肥100 kg/667 m</w:t>
      </w:r>
      <w:r>
        <w:rPr>
          <w:rFonts w:hint="eastAsia"/>
          <w:vertAlign w:val="superscript"/>
        </w:rPr>
        <w:t>2</w:t>
      </w:r>
      <w:r>
        <w:rPr>
          <w:rFonts w:hint="eastAsia"/>
        </w:rPr>
        <w:t>～150 kg/667 m</w:t>
      </w:r>
      <w:r>
        <w:rPr>
          <w:rFonts w:hint="eastAsia"/>
          <w:vertAlign w:val="superscript"/>
        </w:rPr>
        <w:t>2</w:t>
      </w:r>
      <w:r>
        <w:rPr>
          <w:rFonts w:hint="eastAsia"/>
        </w:rPr>
        <w:t>、复合肥50 kg/667 m</w:t>
      </w:r>
      <w:r>
        <w:rPr>
          <w:rFonts w:hint="eastAsia"/>
          <w:vertAlign w:val="superscript"/>
        </w:rPr>
        <w:t>2</w:t>
      </w:r>
      <w:r>
        <w:rPr>
          <w:rFonts w:hint="eastAsia"/>
        </w:rPr>
        <w:t>。肥料的使用应符合NY/T 394中A级绿色食品的要求。</w:t>
      </w:r>
    </w:p>
    <w:p w14:paraId="1D9045F2">
      <w:pPr>
        <w:pStyle w:val="108"/>
        <w:spacing w:before="312" w:after="312"/>
      </w:pPr>
      <w:bookmarkStart w:id="98" w:name="_Toc162601538"/>
      <w:r>
        <w:rPr>
          <w:rFonts w:hint="eastAsia"/>
        </w:rPr>
        <w:t>种苗繁育</w:t>
      </w:r>
      <w:bookmarkEnd w:id="98"/>
    </w:p>
    <w:p w14:paraId="6B2EA1D5">
      <w:pPr>
        <w:pStyle w:val="109"/>
        <w:spacing w:before="156" w:after="156"/>
      </w:pPr>
      <w:r>
        <w:rPr>
          <w:rFonts w:hint="eastAsia"/>
        </w:rPr>
        <w:t>种子处理</w:t>
      </w:r>
    </w:p>
    <w:p w14:paraId="3DC9890E">
      <w:pPr>
        <w:pStyle w:val="60"/>
        <w:ind w:firstLine="420"/>
      </w:pPr>
      <w:r>
        <w:rPr>
          <w:rFonts w:hint="eastAsia"/>
        </w:rPr>
        <w:t>7月～8月，花苞变为黄褐色时采收果穗，于阴凉通风处晾干。播前2 d～3 d，棍棒敲击取种。</w:t>
      </w:r>
    </w:p>
    <w:p w14:paraId="716791B3">
      <w:pPr>
        <w:pStyle w:val="109"/>
        <w:spacing w:before="156" w:after="156"/>
      </w:pPr>
      <w:r>
        <w:rPr>
          <w:rFonts w:hint="eastAsia"/>
        </w:rPr>
        <w:t>播种</w:t>
      </w:r>
    </w:p>
    <w:p w14:paraId="06274D58">
      <w:pPr>
        <w:pStyle w:val="60"/>
        <w:ind w:firstLine="420"/>
      </w:pPr>
      <w:r>
        <w:rPr>
          <w:rFonts w:hint="eastAsia"/>
        </w:rPr>
        <w:t>春播或秋播。春播在2月下旬～3月上旬，秋播在9月上旬～10月下旬。将种子均匀撒播于畦上，覆土1 cm～2 cm。播种量为15～20 kg/ 667m</w:t>
      </w:r>
      <w:r>
        <w:rPr>
          <w:rFonts w:hint="eastAsia"/>
          <w:vertAlign w:val="superscript"/>
        </w:rPr>
        <w:t>2</w:t>
      </w:r>
      <w:r>
        <w:rPr>
          <w:rFonts w:hint="eastAsia"/>
        </w:rPr>
        <w:t>。</w:t>
      </w:r>
    </w:p>
    <w:p w14:paraId="679799B7">
      <w:pPr>
        <w:pStyle w:val="109"/>
        <w:spacing w:before="156" w:after="156"/>
      </w:pPr>
      <w:r>
        <w:rPr>
          <w:rFonts w:hint="eastAsia"/>
        </w:rPr>
        <w:t>苗期管理</w:t>
      </w:r>
    </w:p>
    <w:p w14:paraId="52047A3D">
      <w:pPr>
        <w:pStyle w:val="69"/>
        <w:spacing w:before="156" w:after="156"/>
        <w:ind w:left="0"/>
      </w:pPr>
      <w:r>
        <w:rPr>
          <w:rFonts w:hint="eastAsia"/>
        </w:rPr>
        <w:t>水肥管理</w:t>
      </w:r>
    </w:p>
    <w:p w14:paraId="319DAEFD">
      <w:pPr>
        <w:pStyle w:val="60"/>
        <w:ind w:firstLine="420"/>
      </w:pPr>
      <w:r>
        <w:rPr>
          <w:rFonts w:hint="eastAsia"/>
        </w:rPr>
        <w:t>播后视土壤墒情适量浇水，保持土壤湿润。苗高5 cm左右时，追施尿素5 kg/ 667m</w:t>
      </w:r>
      <w:r>
        <w:rPr>
          <w:rFonts w:hint="eastAsia"/>
          <w:vertAlign w:val="superscript"/>
        </w:rPr>
        <w:t>2</w:t>
      </w:r>
      <w:r>
        <w:rPr>
          <w:rFonts w:hint="eastAsia"/>
        </w:rPr>
        <w:t>提苗，以后视苗情追施尿素3 kg/ 667m</w:t>
      </w:r>
      <w:r>
        <w:rPr>
          <w:rFonts w:hint="eastAsia"/>
          <w:vertAlign w:val="superscript"/>
        </w:rPr>
        <w:t>2</w:t>
      </w:r>
      <w:r>
        <w:rPr>
          <w:rFonts w:hint="eastAsia"/>
        </w:rPr>
        <w:t>～5 kg/ 667m</w:t>
      </w:r>
      <w:r>
        <w:rPr>
          <w:rFonts w:hint="eastAsia"/>
          <w:vertAlign w:val="superscript"/>
        </w:rPr>
        <w:t>2</w:t>
      </w:r>
      <w:r>
        <w:rPr>
          <w:rFonts w:hint="eastAsia"/>
        </w:rPr>
        <w:t>。施肥时，注意肥料不能接触到种苗。肥料的使用应符合NY/T 394中A级绿色食品的要求。</w:t>
      </w:r>
    </w:p>
    <w:p w14:paraId="54397564">
      <w:pPr>
        <w:pStyle w:val="69"/>
        <w:spacing w:before="156" w:after="156"/>
        <w:ind w:left="0"/>
      </w:pPr>
      <w:r>
        <w:rPr>
          <w:rFonts w:hint="eastAsia"/>
        </w:rPr>
        <w:t>除草</w:t>
      </w:r>
    </w:p>
    <w:p w14:paraId="4DCB665D">
      <w:pPr>
        <w:pStyle w:val="60"/>
        <w:ind w:firstLine="420"/>
      </w:pPr>
      <w:r>
        <w:rPr>
          <w:rFonts w:hint="eastAsia"/>
        </w:rPr>
        <w:t>结合施肥，适时人工除草，一般除草1次～2次。</w:t>
      </w:r>
    </w:p>
    <w:p w14:paraId="3EC0A32A">
      <w:pPr>
        <w:pStyle w:val="109"/>
        <w:spacing w:before="156" w:after="156"/>
      </w:pPr>
      <w:r>
        <w:rPr>
          <w:rFonts w:hint="eastAsia"/>
        </w:rPr>
        <w:t>起苗</w:t>
      </w:r>
    </w:p>
    <w:p w14:paraId="0BE644E0">
      <w:pPr>
        <w:pStyle w:val="60"/>
        <w:ind w:firstLine="420"/>
      </w:pPr>
      <w:r>
        <w:rPr>
          <w:rFonts w:hint="eastAsia"/>
        </w:rPr>
        <w:t>1年生种苗即可移栽，随起随栽。将种苗连根拔起，去除弱苗、病苗，按种根长分成大、中、小苗。</w:t>
      </w:r>
    </w:p>
    <w:p w14:paraId="56CA2338">
      <w:pPr>
        <w:pStyle w:val="108"/>
        <w:spacing w:before="312" w:after="312"/>
      </w:pPr>
      <w:bookmarkStart w:id="99" w:name="_Toc162601539"/>
      <w:r>
        <w:rPr>
          <w:rFonts w:hint="eastAsia"/>
        </w:rPr>
        <w:t>大田移栽</w:t>
      </w:r>
      <w:bookmarkEnd w:id="99"/>
    </w:p>
    <w:p w14:paraId="0B323269">
      <w:pPr>
        <w:pStyle w:val="60"/>
        <w:ind w:firstLine="420"/>
      </w:pPr>
      <w:r>
        <w:rPr>
          <w:rFonts w:hint="eastAsia"/>
        </w:rPr>
        <w:t>11月上旬或3月下旬，按大、中、小苗分区栽种。将种苗平放于垄上，可与垄向呈60</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w:t>
      </w:r>
      <w:r>
        <w:rPr>
          <w:rFonts w:hint="eastAsia"/>
        </w:rPr>
        <w:t>左右角度，覆细土20 cm，搂平镇压。根据种苗大小，株距25 cm～35 cm，栽种密度为2300株/ 667m</w:t>
      </w:r>
      <w:r>
        <w:rPr>
          <w:rFonts w:hint="eastAsia"/>
          <w:vertAlign w:val="superscript"/>
        </w:rPr>
        <w:t>2</w:t>
      </w:r>
      <w:r>
        <w:rPr>
          <w:rFonts w:hint="eastAsia"/>
        </w:rPr>
        <w:t>～3300株/ 667m</w:t>
      </w:r>
      <w:r>
        <w:rPr>
          <w:rFonts w:hint="eastAsia"/>
          <w:vertAlign w:val="superscript"/>
        </w:rPr>
        <w:t>2</w:t>
      </w:r>
      <w:r>
        <w:rPr>
          <w:rFonts w:hint="eastAsia"/>
        </w:rPr>
        <w:t>。</w:t>
      </w:r>
    </w:p>
    <w:p w14:paraId="5AB82727">
      <w:pPr>
        <w:pStyle w:val="108"/>
        <w:spacing w:before="312" w:after="312"/>
      </w:pPr>
      <w:bookmarkStart w:id="100" w:name="_Toc162601540"/>
      <w:bookmarkStart w:id="101" w:name="_Toc195247355"/>
      <w:bookmarkStart w:id="102" w:name="_Toc114044619"/>
      <w:r>
        <w:rPr>
          <w:rFonts w:hint="eastAsia"/>
        </w:rPr>
        <w:t>田间管理</w:t>
      </w:r>
      <w:bookmarkEnd w:id="100"/>
      <w:bookmarkEnd w:id="101"/>
      <w:bookmarkEnd w:id="102"/>
    </w:p>
    <w:p w14:paraId="6F778DAB">
      <w:pPr>
        <w:pStyle w:val="109"/>
        <w:spacing w:before="156" w:after="156"/>
      </w:pPr>
      <w:r>
        <w:rPr>
          <w:rFonts w:hint="eastAsia"/>
        </w:rPr>
        <w:t>除草</w:t>
      </w:r>
    </w:p>
    <w:p w14:paraId="46B83072">
      <w:pPr>
        <w:pStyle w:val="60"/>
        <w:ind w:firstLine="420"/>
      </w:pPr>
      <w:r>
        <w:rPr>
          <w:rFonts w:hint="eastAsia"/>
        </w:rPr>
        <w:t>及时清除沟内杂草。</w:t>
      </w:r>
    </w:p>
    <w:p w14:paraId="5025893A">
      <w:pPr>
        <w:pStyle w:val="109"/>
        <w:spacing w:before="156" w:after="156"/>
      </w:pPr>
      <w:r>
        <w:rPr>
          <w:rFonts w:hint="eastAsia"/>
        </w:rPr>
        <w:t>肥料管理</w:t>
      </w:r>
    </w:p>
    <w:p w14:paraId="1BC622EA">
      <w:pPr>
        <w:pStyle w:val="60"/>
        <w:keepNext w:val="0"/>
        <w:keepLines w:val="0"/>
        <w:pageBreakBefore w:val="0"/>
        <w:widowControl/>
        <w:kinsoku/>
        <w:wordWrap/>
        <w:overflowPunct/>
        <w:topLinePunct w:val="0"/>
        <w:autoSpaceDE w:val="0"/>
        <w:autoSpaceDN w:val="0"/>
        <w:bidi w:val="0"/>
        <w:adjustRightInd/>
        <w:snapToGrid/>
        <w:spacing w:after="0" w:line="240" w:lineRule="auto"/>
        <w:ind w:firstLine="420"/>
        <w:textAlignment w:val="auto"/>
      </w:pPr>
      <w:r>
        <w:rPr>
          <w:rFonts w:hint="eastAsia"/>
        </w:rPr>
        <w:t>移栽当年和次年分别追肥1～2次，每次追肥需在株间空隙进行，避免肥料接触植株。</w:t>
      </w:r>
      <w:r>
        <w:fldChar w:fldCharType="begin"/>
      </w:r>
      <w:r>
        <w:instrText xml:space="preserve"> </w:instrText>
      </w:r>
      <w:r>
        <w:rPr>
          <w:rFonts w:hint="eastAsia"/>
        </w:rPr>
        <w:instrText xml:space="preserve">LINK Word.Document.12 "D:\\宜昌市农科院\\工作\\团队材料\\标准申报\\省标\\2023下 省标白芍\\5. 中药材 白芍生产技术规程（草案）3.docx" "OLE_LINK5" \a \r</w:instrText>
      </w:r>
      <w:r>
        <w:instrText xml:space="preserve"> </w:instrText>
      </w:r>
      <w:r>
        <w:fldChar w:fldCharType="separate"/>
      </w:r>
      <w:r>
        <w:rPr>
          <w:rFonts w:hint="eastAsia"/>
        </w:rPr>
        <w:t>肥料的使用应符合</w:t>
      </w:r>
      <w:r>
        <w:t>NY/T 394</w:t>
      </w:r>
      <w:r>
        <w:rPr>
          <w:rFonts w:hint="eastAsia"/>
        </w:rPr>
        <w:t>中A级绿色食品的规定。</w:t>
      </w:r>
      <w:r>
        <w:fldChar w:fldCharType="end"/>
      </w:r>
    </w:p>
    <w:p w14:paraId="6ACE9091">
      <w:pPr>
        <w:pStyle w:val="60"/>
        <w:keepNext w:val="0"/>
        <w:keepLines w:val="0"/>
        <w:pageBreakBefore w:val="0"/>
        <w:widowControl/>
        <w:kinsoku/>
        <w:wordWrap/>
        <w:overflowPunct/>
        <w:topLinePunct w:val="0"/>
        <w:autoSpaceDE w:val="0"/>
        <w:autoSpaceDN w:val="0"/>
        <w:bidi w:val="0"/>
        <w:adjustRightInd/>
        <w:snapToGrid/>
        <w:spacing w:after="0" w:line="240" w:lineRule="auto"/>
        <w:ind w:firstLine="420"/>
        <w:textAlignment w:val="auto"/>
      </w:pPr>
      <w:r>
        <w:rPr>
          <w:rFonts w:hint="eastAsia"/>
        </w:rPr>
        <w:t>a：第1年追肥1次。苗高10 cm左右时，施入尿素20 kg/667</w:t>
      </w:r>
      <w:r>
        <w:t xml:space="preserve"> </w:t>
      </w:r>
      <w:r>
        <w:rPr>
          <w:rFonts w:hint="eastAsia"/>
        </w:rPr>
        <w:t>m</w:t>
      </w:r>
      <w:r>
        <w:rPr>
          <w:rFonts w:hint="eastAsia"/>
          <w:vertAlign w:val="superscript"/>
        </w:rPr>
        <w:t>2</w:t>
      </w:r>
      <w:r>
        <w:rPr>
          <w:rFonts w:hint="eastAsia"/>
        </w:rPr>
        <w:t>～30 kg/667</w:t>
      </w:r>
      <w:r>
        <w:t xml:space="preserve"> </w:t>
      </w:r>
      <w:r>
        <w:rPr>
          <w:rFonts w:hint="eastAsia"/>
        </w:rPr>
        <w:t>m</w:t>
      </w:r>
      <w:r>
        <w:rPr>
          <w:rFonts w:hint="eastAsia"/>
          <w:vertAlign w:val="superscript"/>
        </w:rPr>
        <w:t>2</w:t>
      </w:r>
      <w:r>
        <w:rPr>
          <w:rFonts w:hint="eastAsia"/>
        </w:rPr>
        <w:t>。</w:t>
      </w:r>
    </w:p>
    <w:p w14:paraId="19B4AFAB">
      <w:pPr>
        <w:pStyle w:val="60"/>
        <w:keepNext w:val="0"/>
        <w:keepLines w:val="0"/>
        <w:pageBreakBefore w:val="0"/>
        <w:widowControl/>
        <w:kinsoku/>
        <w:wordWrap/>
        <w:overflowPunct/>
        <w:topLinePunct w:val="0"/>
        <w:autoSpaceDE w:val="0"/>
        <w:autoSpaceDN w:val="0"/>
        <w:bidi w:val="0"/>
        <w:adjustRightInd/>
        <w:snapToGrid/>
        <w:spacing w:after="0" w:line="240" w:lineRule="auto"/>
        <w:ind w:firstLine="420"/>
        <w:textAlignment w:val="auto"/>
      </w:pPr>
      <w:r>
        <w:rPr>
          <w:rFonts w:hint="eastAsia"/>
        </w:rPr>
        <w:t>b：第2年追肥2次。5月中旬～5月下旬，施入复合肥50 kg/667</w:t>
      </w:r>
      <w:r>
        <w:t xml:space="preserve"> </w:t>
      </w:r>
      <w:r>
        <w:rPr>
          <w:rFonts w:hint="eastAsia"/>
        </w:rPr>
        <w:t>m</w:t>
      </w:r>
      <w:r>
        <w:rPr>
          <w:rFonts w:hint="eastAsia"/>
          <w:vertAlign w:val="superscript"/>
        </w:rPr>
        <w:t>2</w:t>
      </w:r>
      <w:r>
        <w:rPr>
          <w:rFonts w:hint="eastAsia"/>
        </w:rPr>
        <w:t>～60 kg/667</w:t>
      </w:r>
      <w:r>
        <w:t xml:space="preserve"> </w:t>
      </w:r>
      <w:r>
        <w:rPr>
          <w:rFonts w:hint="eastAsia"/>
        </w:rPr>
        <w:t>m</w:t>
      </w:r>
      <w:r>
        <w:rPr>
          <w:rFonts w:hint="eastAsia"/>
          <w:vertAlign w:val="superscript"/>
        </w:rPr>
        <w:t>2</w:t>
      </w:r>
      <w:r>
        <w:rPr>
          <w:rFonts w:hint="eastAsia"/>
        </w:rPr>
        <w:t>；7月中旬～7月下旬，施入高钾复合肥75 kg/667</w:t>
      </w:r>
      <w:r>
        <w:t xml:space="preserve"> </w:t>
      </w:r>
      <w:r>
        <w:rPr>
          <w:rFonts w:hint="eastAsia"/>
        </w:rPr>
        <w:t>m</w:t>
      </w:r>
      <w:r>
        <w:rPr>
          <w:rFonts w:hint="eastAsia"/>
          <w:vertAlign w:val="superscript"/>
        </w:rPr>
        <w:t>2</w:t>
      </w:r>
      <w:r>
        <w:rPr>
          <w:rFonts w:hint="eastAsia"/>
        </w:rPr>
        <w:t>～85 kg/667</w:t>
      </w:r>
      <w:r>
        <w:t xml:space="preserve"> </w:t>
      </w:r>
      <w:r>
        <w:rPr>
          <w:rFonts w:hint="eastAsia"/>
        </w:rPr>
        <w:t>m</w:t>
      </w:r>
      <w:r>
        <w:rPr>
          <w:rFonts w:hint="eastAsia"/>
          <w:vertAlign w:val="superscript"/>
        </w:rPr>
        <w:t>2</w:t>
      </w:r>
      <w:r>
        <w:rPr>
          <w:rFonts w:hint="eastAsia"/>
        </w:rPr>
        <w:t>。</w:t>
      </w:r>
    </w:p>
    <w:p w14:paraId="6B1A4B7C">
      <w:pPr>
        <w:pStyle w:val="109"/>
        <w:spacing w:before="156" w:after="156"/>
      </w:pPr>
      <w:r>
        <w:rPr>
          <w:rFonts w:hint="eastAsia"/>
        </w:rPr>
        <w:t>水分管理</w:t>
      </w:r>
    </w:p>
    <w:p w14:paraId="55453436">
      <w:pPr>
        <w:pStyle w:val="60"/>
        <w:ind w:firstLine="420"/>
      </w:pPr>
      <w:r>
        <w:rPr>
          <w:rFonts w:hint="eastAsia"/>
        </w:rPr>
        <w:t>干旱季节适量浇水，多雨季节及时排除田间积水。</w:t>
      </w:r>
    </w:p>
    <w:p w14:paraId="036B8BBC">
      <w:pPr>
        <w:pStyle w:val="108"/>
        <w:spacing w:before="312" w:after="312"/>
      </w:pPr>
      <w:bookmarkStart w:id="103" w:name="_Toc732207413"/>
      <w:bookmarkStart w:id="104" w:name="_Toc124157004"/>
      <w:bookmarkStart w:id="105" w:name="_Toc114045012"/>
      <w:bookmarkStart w:id="106" w:name="_Toc114044724"/>
      <w:bookmarkStart w:id="107" w:name="_Toc162601541"/>
      <w:bookmarkStart w:id="108" w:name="_Toc114045642"/>
      <w:bookmarkStart w:id="109" w:name="_Toc114044620"/>
      <w:bookmarkStart w:id="110" w:name="_Toc114045893"/>
      <w:r>
        <w:rPr>
          <w:rFonts w:hint="eastAsia"/>
        </w:rPr>
        <w:t>病虫害防治</w:t>
      </w:r>
      <w:bookmarkEnd w:id="103"/>
      <w:bookmarkEnd w:id="104"/>
      <w:bookmarkEnd w:id="105"/>
      <w:bookmarkEnd w:id="106"/>
      <w:bookmarkEnd w:id="107"/>
      <w:bookmarkEnd w:id="108"/>
      <w:bookmarkEnd w:id="109"/>
      <w:bookmarkEnd w:id="110"/>
    </w:p>
    <w:p w14:paraId="6DD6EBB7">
      <w:pPr>
        <w:pStyle w:val="109"/>
        <w:spacing w:before="156" w:after="156"/>
      </w:pPr>
      <w:bookmarkStart w:id="111" w:name="_Toc909230295"/>
      <w:bookmarkStart w:id="112" w:name="_Toc114044621"/>
      <w:r>
        <w:rPr>
          <w:rFonts w:hint="eastAsia"/>
        </w:rPr>
        <w:t>防治原则</w:t>
      </w:r>
      <w:bookmarkEnd w:id="111"/>
      <w:bookmarkEnd w:id="112"/>
    </w:p>
    <w:p w14:paraId="7DB21399">
      <w:pPr>
        <w:pStyle w:val="60"/>
        <w:ind w:firstLine="420"/>
      </w:pPr>
      <w:r>
        <w:t>预防为主，综合防治。以农业防治、物理防治、生物防治为主，化学防治为辅。</w:t>
      </w:r>
    </w:p>
    <w:p w14:paraId="2C586527">
      <w:pPr>
        <w:pStyle w:val="109"/>
        <w:spacing w:before="156" w:after="156"/>
      </w:pPr>
      <w:bookmarkStart w:id="113" w:name="_Toc114044622"/>
      <w:bookmarkStart w:id="114" w:name="_Toc2125835138"/>
      <w:r>
        <w:rPr>
          <w:rFonts w:hint="eastAsia"/>
        </w:rPr>
        <w:t>主要病虫害</w:t>
      </w:r>
      <w:bookmarkEnd w:id="113"/>
      <w:bookmarkEnd w:id="114"/>
    </w:p>
    <w:p w14:paraId="32ED13C5">
      <w:pPr>
        <w:pStyle w:val="60"/>
        <w:ind w:firstLine="420"/>
      </w:pPr>
      <w:r>
        <w:rPr>
          <w:rFonts w:hint="eastAsia"/>
        </w:rPr>
        <w:t>木香主要病害有根腐病，主要虫害有蛴螬。</w:t>
      </w:r>
    </w:p>
    <w:p w14:paraId="2F9D38FC">
      <w:pPr>
        <w:pStyle w:val="109"/>
        <w:spacing w:before="156" w:after="156"/>
      </w:pPr>
      <w:r>
        <w:rPr>
          <w:rFonts w:hint="eastAsia"/>
        </w:rPr>
        <w:t>防治方法</w:t>
      </w:r>
    </w:p>
    <w:p w14:paraId="725273BD">
      <w:pPr>
        <w:pStyle w:val="69"/>
        <w:spacing w:before="156" w:after="156"/>
        <w:ind w:left="0"/>
      </w:pPr>
      <w:bookmarkStart w:id="115" w:name="_Toc114044623"/>
      <w:bookmarkStart w:id="116" w:name="_Toc352365407"/>
      <w:bookmarkStart w:id="117" w:name="_Hlk106373285"/>
      <w:r>
        <w:rPr>
          <w:rFonts w:hint="eastAsia"/>
        </w:rPr>
        <w:t>农业防治</w:t>
      </w:r>
      <w:bookmarkEnd w:id="115"/>
      <w:bookmarkEnd w:id="116"/>
    </w:p>
    <w:bookmarkEnd w:id="117"/>
    <w:p w14:paraId="1798B7D3">
      <w:pPr>
        <w:pStyle w:val="60"/>
        <w:ind w:firstLine="420"/>
      </w:pPr>
      <w:r>
        <w:rPr>
          <w:rFonts w:hint="eastAsia"/>
        </w:rPr>
        <w:t>选择排水良好、土壤疏松、无病害的地块；深耕晒垡；合理轮作；及时清沟排渍；合理施肥，提高植株抗病力。</w:t>
      </w:r>
    </w:p>
    <w:p w14:paraId="2D74FA02">
      <w:pPr>
        <w:pStyle w:val="69"/>
        <w:spacing w:before="156" w:after="156"/>
        <w:ind w:left="0"/>
      </w:pPr>
      <w:bookmarkStart w:id="118" w:name="_Toc2015423189"/>
      <w:bookmarkStart w:id="119" w:name="_Toc114044624"/>
      <w:r>
        <w:rPr>
          <w:rFonts w:hint="eastAsia"/>
        </w:rPr>
        <w:t>物理防治</w:t>
      </w:r>
      <w:bookmarkEnd w:id="118"/>
      <w:bookmarkEnd w:id="119"/>
    </w:p>
    <w:p w14:paraId="14855B74">
      <w:pPr>
        <w:pStyle w:val="60"/>
        <w:ind w:firstLine="420"/>
      </w:pPr>
      <w:r>
        <w:rPr>
          <w:rFonts w:hint="eastAsia"/>
        </w:rPr>
        <w:t>使用频振式杀虫灯、黑光灯诱杀蛴螬。</w:t>
      </w:r>
    </w:p>
    <w:p w14:paraId="193E76F1">
      <w:pPr>
        <w:pStyle w:val="69"/>
        <w:spacing w:before="156" w:after="156"/>
        <w:ind w:left="0"/>
      </w:pPr>
      <w:bookmarkStart w:id="120" w:name="_Toc953676281"/>
      <w:bookmarkStart w:id="121" w:name="_Toc114044625"/>
      <w:r>
        <w:rPr>
          <w:rFonts w:hint="eastAsia"/>
        </w:rPr>
        <w:t>生物防治</w:t>
      </w:r>
      <w:bookmarkEnd w:id="120"/>
      <w:bookmarkEnd w:id="121"/>
    </w:p>
    <w:p w14:paraId="5F7CB7D2">
      <w:pPr>
        <w:pStyle w:val="60"/>
        <w:ind w:firstLine="420"/>
      </w:pPr>
      <w:r>
        <w:rPr>
          <w:rFonts w:hint="eastAsia"/>
        </w:rPr>
        <w:t>使用生物农药，常见生物农药防治方法参见附录A。</w:t>
      </w:r>
    </w:p>
    <w:p w14:paraId="184118F4">
      <w:pPr>
        <w:pStyle w:val="69"/>
        <w:spacing w:before="156" w:after="156"/>
        <w:ind w:left="0"/>
      </w:pPr>
      <w:bookmarkStart w:id="122" w:name="_Toc661156957"/>
      <w:bookmarkStart w:id="123" w:name="_Toc114044626"/>
      <w:r>
        <w:rPr>
          <w:rFonts w:hint="eastAsia"/>
        </w:rPr>
        <w:t>化学防治</w:t>
      </w:r>
      <w:bookmarkEnd w:id="122"/>
      <w:bookmarkEnd w:id="123"/>
    </w:p>
    <w:p w14:paraId="4BA4F39D">
      <w:pPr>
        <w:pStyle w:val="60"/>
        <w:ind w:firstLine="420"/>
      </w:pPr>
      <w:r>
        <w:rPr>
          <w:rFonts w:hint="eastAsia"/>
        </w:rPr>
        <w:t>不同机理农药交替使用，合理复配，执行农药安全间隔期。常见病虫害化学农药防治方法参见附录A，农药的使用应符合</w:t>
      </w:r>
      <w:r>
        <w:t>GB/T 8321</w:t>
      </w:r>
      <w:r>
        <w:rPr>
          <w:rFonts w:hint="eastAsia"/>
        </w:rPr>
        <w:t>的规定。</w:t>
      </w:r>
    </w:p>
    <w:p w14:paraId="1E62DC94">
      <w:pPr>
        <w:pStyle w:val="108"/>
        <w:spacing w:before="312" w:after="312"/>
      </w:pPr>
      <w:bookmarkStart w:id="124" w:name="_Toc238782587"/>
      <w:bookmarkStart w:id="125" w:name="_Toc162601542"/>
      <w:bookmarkStart w:id="126" w:name="_Toc124157005"/>
      <w:bookmarkStart w:id="127" w:name="_Toc114045013"/>
      <w:bookmarkStart w:id="128" w:name="_Toc114045643"/>
      <w:bookmarkStart w:id="129" w:name="_Toc114044725"/>
      <w:bookmarkStart w:id="130" w:name="_Toc114044627"/>
      <w:bookmarkStart w:id="131" w:name="_Toc114045894"/>
      <w:r>
        <w:rPr>
          <w:rFonts w:hint="eastAsia"/>
        </w:rPr>
        <w:t>采收与初加工</w:t>
      </w:r>
      <w:bookmarkEnd w:id="124"/>
      <w:bookmarkEnd w:id="125"/>
      <w:bookmarkEnd w:id="126"/>
      <w:bookmarkEnd w:id="127"/>
      <w:bookmarkEnd w:id="128"/>
      <w:bookmarkEnd w:id="129"/>
      <w:bookmarkEnd w:id="130"/>
      <w:bookmarkEnd w:id="131"/>
    </w:p>
    <w:p w14:paraId="5A957CCF">
      <w:pPr>
        <w:pStyle w:val="109"/>
        <w:spacing w:before="156" w:after="156"/>
      </w:pPr>
      <w:bookmarkStart w:id="132" w:name="_Toc114044628"/>
      <w:bookmarkStart w:id="133" w:name="_Toc172995311"/>
      <w:r>
        <w:rPr>
          <w:rFonts w:hint="eastAsia"/>
        </w:rPr>
        <w:t>采收</w:t>
      </w:r>
      <w:bookmarkEnd w:id="132"/>
      <w:bookmarkEnd w:id="133"/>
      <w:r>
        <w:rPr>
          <w:rFonts w:hint="eastAsia"/>
        </w:rPr>
        <w:t>时间</w:t>
      </w:r>
    </w:p>
    <w:p w14:paraId="33E71044">
      <w:pPr>
        <w:pStyle w:val="60"/>
        <w:ind w:firstLine="420"/>
      </w:pPr>
      <w:r>
        <w:rPr>
          <w:rFonts w:hint="eastAsia"/>
        </w:rPr>
        <w:t>移栽2年后，于11月上旬，地上植株完全枯萎时采挖。</w:t>
      </w:r>
    </w:p>
    <w:p w14:paraId="388EE8D4">
      <w:pPr>
        <w:pStyle w:val="109"/>
        <w:spacing w:before="156" w:after="156"/>
      </w:pPr>
      <w:r>
        <w:rPr>
          <w:rFonts w:hint="eastAsia"/>
        </w:rPr>
        <w:t>采收方法</w:t>
      </w:r>
    </w:p>
    <w:p w14:paraId="7698293F">
      <w:pPr>
        <w:pStyle w:val="60"/>
        <w:ind w:firstLine="420"/>
      </w:pPr>
      <w:r>
        <w:rPr>
          <w:rFonts w:hint="eastAsia"/>
        </w:rPr>
        <w:t>先割去地上部分，再深入土层采挖根部，抖净泥土。</w:t>
      </w:r>
    </w:p>
    <w:p w14:paraId="33140031">
      <w:pPr>
        <w:pStyle w:val="109"/>
        <w:spacing w:before="156" w:after="156"/>
      </w:pPr>
      <w:bookmarkStart w:id="134" w:name="_Toc1308678093"/>
      <w:bookmarkStart w:id="135" w:name="_Toc114044629"/>
      <w:r>
        <w:rPr>
          <w:rFonts w:hint="eastAsia"/>
        </w:rPr>
        <w:t>初加工</w:t>
      </w:r>
      <w:bookmarkEnd w:id="134"/>
      <w:bookmarkEnd w:id="135"/>
    </w:p>
    <w:p w14:paraId="4A7E4E9D">
      <w:pPr>
        <w:pStyle w:val="60"/>
        <w:ind w:firstLine="420"/>
      </w:pPr>
      <w:r>
        <w:rPr>
          <w:rFonts w:hint="eastAsia"/>
        </w:rPr>
        <w:t>切除芦头、须根，除去泥沙，切段，于45℃烘干。干燥后，撞去粗皮。质量符合《中华人民共和国药典》202</w:t>
      </w:r>
      <w:r>
        <w:rPr>
          <w:rFonts w:hint="eastAsia"/>
          <w:lang w:val="en-US" w:eastAsia="zh-CN"/>
        </w:rPr>
        <w:t>5</w:t>
      </w:r>
      <w:r>
        <w:rPr>
          <w:rFonts w:hint="eastAsia"/>
        </w:rPr>
        <w:t>版（一部）规定。</w:t>
      </w:r>
    </w:p>
    <w:p w14:paraId="190FA8FB">
      <w:pPr>
        <w:pStyle w:val="108"/>
        <w:spacing w:before="312" w:after="312"/>
      </w:pPr>
      <w:bookmarkStart w:id="136" w:name="_Toc55402009"/>
      <w:bookmarkStart w:id="137" w:name="_Toc114045014"/>
      <w:bookmarkStart w:id="138" w:name="_Toc114044630"/>
      <w:bookmarkStart w:id="139" w:name="_Toc114044726"/>
      <w:bookmarkStart w:id="140" w:name="_Toc114045895"/>
      <w:bookmarkStart w:id="141" w:name="_Toc124157006"/>
      <w:bookmarkStart w:id="142" w:name="_Toc114045644"/>
      <w:bookmarkStart w:id="143" w:name="_Toc162601543"/>
      <w:r>
        <w:rPr>
          <w:rFonts w:hint="eastAsia"/>
        </w:rPr>
        <w:t>包装、贮藏与运输</w:t>
      </w:r>
      <w:bookmarkEnd w:id="136"/>
      <w:bookmarkEnd w:id="137"/>
      <w:bookmarkEnd w:id="138"/>
      <w:bookmarkEnd w:id="139"/>
      <w:bookmarkEnd w:id="140"/>
      <w:bookmarkEnd w:id="141"/>
      <w:bookmarkEnd w:id="142"/>
      <w:bookmarkEnd w:id="143"/>
    </w:p>
    <w:p w14:paraId="25E75180">
      <w:pPr>
        <w:pStyle w:val="109"/>
        <w:spacing w:before="156" w:after="156"/>
      </w:pPr>
      <w:bookmarkStart w:id="144" w:name="_Toc741475849"/>
      <w:bookmarkStart w:id="145" w:name="_Toc3380"/>
      <w:bookmarkStart w:id="146" w:name="_Toc21086"/>
      <w:bookmarkStart w:id="147" w:name="_Toc114044631"/>
      <w:r>
        <w:rPr>
          <w:rFonts w:hint="eastAsia"/>
        </w:rPr>
        <w:t>包装</w:t>
      </w:r>
      <w:bookmarkEnd w:id="144"/>
      <w:bookmarkEnd w:id="145"/>
      <w:bookmarkEnd w:id="146"/>
      <w:bookmarkEnd w:id="147"/>
    </w:p>
    <w:p w14:paraId="0487E20C">
      <w:pPr>
        <w:pStyle w:val="60"/>
        <w:ind w:firstLine="420"/>
      </w:pPr>
      <w:r>
        <w:rPr>
          <w:rFonts w:hint="eastAsia"/>
        </w:rPr>
        <w:t>采用不影响质量的编织袋等包装。不采用包装过肥料、农药等的包装袋。包装外贴或挂标签、合格证等标识牌，标识牌内容应有药材名、基原、产地、批号、规格、重量、生产日期、生产单位等。</w:t>
      </w:r>
    </w:p>
    <w:p w14:paraId="72647F23">
      <w:pPr>
        <w:pStyle w:val="109"/>
        <w:spacing w:before="156" w:after="156"/>
      </w:pPr>
      <w:bookmarkStart w:id="148" w:name="_Toc114044632"/>
      <w:bookmarkStart w:id="149" w:name="_Toc3672"/>
      <w:bookmarkStart w:id="150" w:name="_Toc2113531462"/>
      <w:bookmarkStart w:id="151" w:name="_Toc30808"/>
      <w:r>
        <w:rPr>
          <w:rFonts w:hint="eastAsia"/>
        </w:rPr>
        <w:t>贮藏</w:t>
      </w:r>
      <w:bookmarkEnd w:id="148"/>
      <w:bookmarkEnd w:id="149"/>
      <w:bookmarkEnd w:id="150"/>
      <w:bookmarkEnd w:id="151"/>
    </w:p>
    <w:p w14:paraId="07FEBCF9">
      <w:pPr>
        <w:pStyle w:val="60"/>
        <w:ind w:firstLine="420"/>
      </w:pPr>
      <w:r>
        <w:rPr>
          <w:rFonts w:hint="eastAsia"/>
        </w:rPr>
        <w:t>干燥木香置于干燥、阴凉、通风良好的仓库存放，储藏期间应定期检查，消毒，经常通风，防霉变和虫蛀。不使用磷化铝和二氧化硫熏蒸。</w:t>
      </w:r>
    </w:p>
    <w:p w14:paraId="66DECDD6">
      <w:pPr>
        <w:pStyle w:val="109"/>
        <w:spacing w:before="156" w:after="156"/>
      </w:pPr>
      <w:bookmarkStart w:id="152" w:name="_Toc8091"/>
      <w:bookmarkStart w:id="153" w:name="_Toc114044633"/>
      <w:bookmarkStart w:id="154" w:name="_Toc1477428901"/>
      <w:bookmarkStart w:id="155" w:name="_Toc19992"/>
      <w:r>
        <w:rPr>
          <w:rFonts w:hint="eastAsia"/>
        </w:rPr>
        <w:t>运输</w:t>
      </w:r>
      <w:bookmarkEnd w:id="152"/>
      <w:bookmarkEnd w:id="153"/>
      <w:bookmarkEnd w:id="154"/>
      <w:bookmarkEnd w:id="155"/>
    </w:p>
    <w:p w14:paraId="1C63A002">
      <w:pPr>
        <w:pStyle w:val="60"/>
        <w:ind w:firstLine="420"/>
      </w:pPr>
      <w:r>
        <w:rPr>
          <w:rFonts w:hint="eastAsia"/>
        </w:rPr>
        <w:t>运输工具应清洁、干燥、无异味、无污染，运输过程中应防雨防潮，不与其它有毒、有害或可能污染其品质的货物混装。</w:t>
      </w:r>
    </w:p>
    <w:p w14:paraId="5FD5A876">
      <w:pPr>
        <w:pStyle w:val="108"/>
        <w:spacing w:before="312" w:after="312"/>
      </w:pPr>
      <w:bookmarkStart w:id="156" w:name="_Toc162601544"/>
      <w:bookmarkStart w:id="157" w:name="_Toc114045896"/>
      <w:bookmarkStart w:id="158" w:name="_Toc114045015"/>
      <w:bookmarkStart w:id="159" w:name="_Toc114044634"/>
      <w:bookmarkStart w:id="160" w:name="_Toc124157007"/>
      <w:bookmarkStart w:id="161" w:name="_Toc114044727"/>
      <w:bookmarkStart w:id="162" w:name="_Toc560595801"/>
      <w:bookmarkStart w:id="163" w:name="_Toc114045645"/>
      <w:r>
        <w:rPr>
          <w:rFonts w:hint="eastAsia"/>
        </w:rPr>
        <w:t>生产档案</w:t>
      </w:r>
      <w:bookmarkEnd w:id="156"/>
      <w:bookmarkEnd w:id="157"/>
      <w:bookmarkEnd w:id="158"/>
      <w:bookmarkEnd w:id="159"/>
      <w:bookmarkEnd w:id="160"/>
      <w:bookmarkEnd w:id="161"/>
      <w:bookmarkEnd w:id="162"/>
      <w:bookmarkEnd w:id="163"/>
    </w:p>
    <w:p w14:paraId="6870CB0E">
      <w:pPr>
        <w:pStyle w:val="60"/>
        <w:ind w:firstLine="420"/>
      </w:pPr>
      <w:r>
        <w:rPr>
          <w:rFonts w:hint="eastAsia"/>
        </w:rPr>
        <w:t>按照《中药材生产质量管理规范》的要求，对生产全过程建立档案，记录农业投入品使用、田间管理、病虫草害防治等措施。所有记录应真实、准确、规范，并具有可追溯性。生产档案应有专人专柜保管，保存期不少于3年。</w:t>
      </w:r>
    </w:p>
    <w:p w14:paraId="2A31675F">
      <w:pPr>
        <w:pStyle w:val="108"/>
        <w:spacing w:before="312" w:after="312"/>
      </w:pPr>
      <w:bookmarkStart w:id="164" w:name="_Toc162601545"/>
      <w:r>
        <w:rPr>
          <w:rFonts w:hint="eastAsia"/>
        </w:rPr>
        <w:t>标准实施及评价</w:t>
      </w:r>
      <w:bookmarkEnd w:id="164"/>
    </w:p>
    <w:p w14:paraId="2BE00B64">
      <w:pPr>
        <w:pStyle w:val="166"/>
      </w:pPr>
      <w:r>
        <w:rPr>
          <w:rFonts w:hint="eastAsia"/>
        </w:rPr>
        <w:t>通过各级中药材协会和龙头企业进行标准推广</w:t>
      </w:r>
      <w:r>
        <w:t>应用</w:t>
      </w:r>
      <w:r>
        <w:rPr>
          <w:rFonts w:hint="eastAsia"/>
        </w:rPr>
        <w:t>，加快标准的实施。积极利用网络媒体、技术培训和现场指导等形式对标准进行宣贯实施。</w:t>
      </w:r>
      <w:r>
        <w:t>相关</w:t>
      </w:r>
      <w:r>
        <w:rPr>
          <w:rFonts w:hint="eastAsia"/>
        </w:rPr>
        <w:t>示范基地和生产企业应当加强标准培训与考核，切实按标准程序进行生产，实施质量追溯管理。</w:t>
      </w:r>
    </w:p>
    <w:p w14:paraId="79468D48">
      <w:pPr>
        <w:pStyle w:val="166"/>
      </w:pPr>
      <w:r>
        <w:rPr>
          <w:rFonts w:hint="eastAsia"/>
        </w:rPr>
        <w:t>本标准主要适用于湖北</w:t>
      </w:r>
      <w:r>
        <w:t>省内</w:t>
      </w:r>
      <w:r>
        <w:rPr>
          <w:rFonts w:hint="eastAsia"/>
        </w:rPr>
        <w:t>木香生产，为确保标准实施方案的全面性和科学性，需组织涉及中药材生产领域的种植、加工、管理和科研人员共同制定和修改标准实施方案。加强政策扶持引领，积极推动现有政策、资金、人才资源为标准实施提供保障。</w:t>
      </w:r>
    </w:p>
    <w:p w14:paraId="52BA0703">
      <w:pPr>
        <w:pStyle w:val="166"/>
      </w:pPr>
      <w:r>
        <w:rPr>
          <w:rFonts w:hint="eastAsia"/>
        </w:rPr>
        <w:t>本标准实施对象为药农、药材生产合作社或企业，需增强技术培训的灵活性，切实根据企业和药农实际需求</w:t>
      </w:r>
      <w:r>
        <w:t>开展现场</w:t>
      </w:r>
      <w:r>
        <w:rPr>
          <w:rFonts w:hint="eastAsia"/>
        </w:rPr>
        <w:t>指导</w:t>
      </w:r>
      <w:r>
        <w:t>、</w:t>
      </w:r>
      <w:r>
        <w:rPr>
          <w:rFonts w:hint="eastAsia"/>
        </w:rPr>
        <w:t>培训</w:t>
      </w:r>
      <w:r>
        <w:t>，及时</w:t>
      </w:r>
      <w:r>
        <w:rPr>
          <w:rFonts w:hint="eastAsia"/>
        </w:rPr>
        <w:t>跟踪反馈，促进标准顺利实施。</w:t>
      </w:r>
    </w:p>
    <w:p w14:paraId="583E79BC">
      <w:pPr>
        <w:pStyle w:val="166"/>
      </w:pPr>
      <w:r>
        <w:rPr>
          <w:rFonts w:hint="eastAsia"/>
        </w:rPr>
        <w:t>本标准实施落实了中药材</w:t>
      </w:r>
      <w:r>
        <w:t>“</w:t>
      </w:r>
      <w:r>
        <w:rPr>
          <w:rFonts w:hint="eastAsia"/>
        </w:rPr>
        <w:t>三品一标”</w:t>
      </w:r>
      <w:r>
        <w:t>的新要求，积极推进品种培优、品质提升、品牌打造和标准化生产</w:t>
      </w:r>
      <w:r>
        <w:rPr>
          <w:rFonts w:hint="eastAsia"/>
        </w:rPr>
        <w:t>，提高湖北省木香生产的标准化水平，</w:t>
      </w:r>
      <w:r>
        <w:t>促进</w:t>
      </w:r>
      <w:r>
        <w:rPr>
          <w:rFonts w:hint="eastAsia"/>
        </w:rPr>
        <w:t>木香产业规模化、标准化、规范化发展，提升产区定价权，增加经济效益。</w:t>
      </w:r>
    </w:p>
    <w:p w14:paraId="1933D904">
      <w:pPr>
        <w:pStyle w:val="166"/>
      </w:pPr>
      <w:r>
        <w:rPr>
          <w:rFonts w:hint="eastAsia"/>
        </w:rPr>
        <w:t>标准实施后，逐条检查标准实施方案的落实情况，记录未实施内容的原因。检查标准实施的支持手段和物质条件的落实情况，做好标准实施验证记录，确保标准实施信息采集和反馈渠道畅通，定期整理和处理收集到的意见和建议。</w:t>
      </w:r>
    </w:p>
    <w:p w14:paraId="1D968906">
      <w:pPr>
        <w:pStyle w:val="166"/>
      </w:pPr>
      <w:r>
        <w:rPr>
          <w:rFonts w:hint="eastAsia"/>
        </w:rPr>
        <w:t>标准实施一定时间后，对照标准实施方案，从技术进步、质量水平提高、客户满意度、规范秩序、效率提高、节约费用、节省时间、履行社会责任等方面进行标准实施效果评价分析。总结实施经验成效，梳理存在的薄弱环节，评估标准实施带来的问题，为未来改进提供参考。</w:t>
      </w:r>
    </w:p>
    <w:p w14:paraId="2037FD99">
      <w:pPr>
        <w:pStyle w:val="166"/>
      </w:pPr>
      <w:r>
        <w:rPr>
          <w:rFonts w:hint="eastAsia"/>
        </w:rPr>
        <w:t>适时向湖北省道地中药材标准化工作组和湖北省农业农村厅反馈情况，提出关于标准推广、修改、补充、完善或废止等方面的意见和建议。</w:t>
      </w:r>
    </w:p>
    <w:p w14:paraId="7A545423">
      <w:pPr>
        <w:pStyle w:val="60"/>
        <w:ind w:firstLine="420"/>
      </w:pPr>
      <w:r>
        <w:rPr>
          <w:rFonts w:hint="eastAsia"/>
        </w:rPr>
        <w:t>标准实施信息及意见反馈表详见附录 B。</w:t>
      </w:r>
    </w:p>
    <w:p w14:paraId="6A482C74">
      <w:pPr>
        <w:pStyle w:val="60"/>
        <w:ind w:firstLine="420"/>
      </w:pPr>
    </w:p>
    <w:p w14:paraId="36260DA9">
      <w:pPr>
        <w:pStyle w:val="60"/>
        <w:ind w:firstLine="420"/>
        <w:sectPr>
          <w:footerReference r:id="rId15" w:type="default"/>
          <w:pgSz w:w="11906" w:h="16838"/>
          <w:pgMar w:top="567" w:right="1134" w:bottom="1134" w:left="1134" w:header="1418" w:footer="1134" w:gutter="284"/>
          <w:pgNumType w:fmt="decimal" w:start="1"/>
          <w:cols w:space="720" w:num="1"/>
          <w:formProt w:val="0"/>
          <w:docGrid w:type="lines" w:linePitch="312" w:charSpace="0"/>
        </w:sectPr>
      </w:pPr>
    </w:p>
    <w:p w14:paraId="224EB4AC">
      <w:pPr>
        <w:pStyle w:val="80"/>
        <w:spacing w:before="78" w:after="156"/>
      </w:pPr>
      <w:bookmarkStart w:id="165" w:name="_Toc397199718"/>
      <w:bookmarkEnd w:id="165"/>
      <w:bookmarkStart w:id="166" w:name="_Toc384027950"/>
      <w:bookmarkEnd w:id="166"/>
    </w:p>
    <w:p w14:paraId="0511B346">
      <w:pPr>
        <w:pStyle w:val="80"/>
        <w:numPr>
          <w:ilvl w:val="0"/>
          <w:numId w:val="0"/>
        </w:numPr>
        <w:spacing w:before="78" w:after="156"/>
      </w:pPr>
      <w:bookmarkStart w:id="167" w:name="_Toc149659704"/>
      <w:bookmarkStart w:id="168" w:name="_Toc124157008"/>
      <w:bookmarkStart w:id="169" w:name="_Toc963242734"/>
      <w:r>
        <w:rPr>
          <w:rFonts w:hint="eastAsia"/>
        </w:rPr>
        <w:t>（资料性）</w:t>
      </w:r>
      <w:r>
        <w:br w:type="textWrapping"/>
      </w:r>
      <w:r>
        <w:rPr>
          <w:rFonts w:hint="eastAsia"/>
        </w:rPr>
        <w:t>木香常见病虫害药剂防治方法</w:t>
      </w:r>
      <w:bookmarkEnd w:id="167"/>
      <w:bookmarkEnd w:id="168"/>
      <w:bookmarkEnd w:id="169"/>
    </w:p>
    <w:p w14:paraId="4E237235">
      <w:pPr>
        <w:pStyle w:val="60"/>
        <w:ind w:firstLine="420"/>
      </w:pPr>
      <w:r>
        <w:rPr>
          <w:rFonts w:hint="eastAsia"/>
        </w:rPr>
        <w:t>表A.1 给出了木香常见病虫害药剂防治方法。</w:t>
      </w:r>
    </w:p>
    <w:p w14:paraId="04BCD534">
      <w:pPr>
        <w:pStyle w:val="81"/>
        <w:spacing w:before="156" w:after="156"/>
      </w:pPr>
      <w:r>
        <w:rPr>
          <w:rFonts w:hint="eastAsia"/>
        </w:rPr>
        <w:t>木香</w:t>
      </w:r>
      <w:r>
        <w:t>常见病虫害</w:t>
      </w:r>
      <w:r>
        <w:rPr>
          <w:rFonts w:hint="eastAsia"/>
        </w:rPr>
        <w:t>药剂</w:t>
      </w:r>
      <w:r>
        <w:t>防治方法</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465"/>
        <w:gridCol w:w="1241"/>
        <w:gridCol w:w="4912"/>
        <w:gridCol w:w="1752"/>
      </w:tblGrid>
      <w:tr w14:paraId="00468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5" w:hRule="atLeast"/>
          <w:jc w:val="center"/>
        </w:trPr>
        <w:tc>
          <w:tcPr>
            <w:tcW w:w="782" w:type="pct"/>
            <w:tcBorders>
              <w:top w:val="single" w:color="auto" w:sz="8" w:space="0"/>
              <w:left w:val="single" w:color="auto" w:sz="8" w:space="0"/>
              <w:bottom w:val="single" w:color="auto" w:sz="8" w:space="0"/>
              <w:right w:val="single" w:color="auto" w:sz="4" w:space="0"/>
            </w:tcBorders>
            <w:shd w:val="clear" w:color="auto" w:fill="auto"/>
            <w:vAlign w:val="center"/>
          </w:tcPr>
          <w:p w14:paraId="44B58E2F">
            <w:pPr>
              <w:pStyle w:val="84"/>
              <w:jc w:val="center"/>
              <w:rPr>
                <w:rFonts w:hint="eastAsia"/>
                <w:sz w:val="18"/>
                <w:szCs w:val="18"/>
              </w:rPr>
            </w:pPr>
            <w:r>
              <w:rPr>
                <w:rFonts w:hint="eastAsia"/>
                <w:sz w:val="18"/>
                <w:szCs w:val="18"/>
              </w:rPr>
              <w:t>病虫害名称</w:t>
            </w:r>
          </w:p>
        </w:tc>
        <w:tc>
          <w:tcPr>
            <w:tcW w:w="662" w:type="pct"/>
            <w:tcBorders>
              <w:top w:val="single" w:color="auto" w:sz="8" w:space="0"/>
              <w:left w:val="single" w:color="auto" w:sz="4" w:space="0"/>
              <w:bottom w:val="single" w:color="auto" w:sz="8" w:space="0"/>
              <w:right w:val="single" w:color="auto" w:sz="4" w:space="0"/>
            </w:tcBorders>
            <w:shd w:val="clear" w:color="auto" w:fill="auto"/>
            <w:vAlign w:val="center"/>
          </w:tcPr>
          <w:p w14:paraId="6FC657B6">
            <w:pPr>
              <w:pStyle w:val="84"/>
              <w:jc w:val="center"/>
              <w:rPr>
                <w:rFonts w:hint="eastAsia"/>
                <w:sz w:val="18"/>
                <w:szCs w:val="18"/>
              </w:rPr>
            </w:pPr>
            <w:r>
              <w:rPr>
                <w:rFonts w:hint="eastAsia"/>
                <w:sz w:val="18"/>
                <w:szCs w:val="18"/>
              </w:rPr>
              <w:t>防治时期</w:t>
            </w:r>
          </w:p>
        </w:tc>
        <w:tc>
          <w:tcPr>
            <w:tcW w:w="2621" w:type="pct"/>
            <w:tcBorders>
              <w:top w:val="single" w:color="auto" w:sz="8" w:space="0"/>
              <w:left w:val="single" w:color="auto" w:sz="4" w:space="0"/>
              <w:bottom w:val="single" w:color="auto" w:sz="8" w:space="0"/>
              <w:right w:val="single" w:color="auto" w:sz="4" w:space="0"/>
            </w:tcBorders>
            <w:shd w:val="clear" w:color="auto" w:fill="auto"/>
            <w:vAlign w:val="center"/>
          </w:tcPr>
          <w:p w14:paraId="3C0248BB">
            <w:pPr>
              <w:pStyle w:val="84"/>
              <w:jc w:val="center"/>
              <w:rPr>
                <w:rFonts w:hint="eastAsia"/>
                <w:sz w:val="18"/>
                <w:szCs w:val="18"/>
              </w:rPr>
            </w:pPr>
            <w:r>
              <w:rPr>
                <w:rFonts w:hint="eastAsia"/>
                <w:sz w:val="18"/>
                <w:szCs w:val="18"/>
              </w:rPr>
              <w:t>推荐防治方法</w:t>
            </w:r>
          </w:p>
        </w:tc>
        <w:tc>
          <w:tcPr>
            <w:tcW w:w="935" w:type="pct"/>
            <w:tcBorders>
              <w:top w:val="single" w:color="auto" w:sz="8" w:space="0"/>
              <w:left w:val="single" w:color="auto" w:sz="4" w:space="0"/>
              <w:bottom w:val="single" w:color="auto" w:sz="8" w:space="0"/>
              <w:right w:val="single" w:color="auto" w:sz="8" w:space="0"/>
            </w:tcBorders>
            <w:shd w:val="clear" w:color="auto" w:fill="auto"/>
            <w:vAlign w:val="center"/>
          </w:tcPr>
          <w:p w14:paraId="1901DDDC">
            <w:pPr>
              <w:pStyle w:val="84"/>
              <w:jc w:val="center"/>
              <w:rPr>
                <w:rFonts w:hint="eastAsia"/>
                <w:sz w:val="18"/>
                <w:szCs w:val="18"/>
              </w:rPr>
            </w:pPr>
            <w:r>
              <w:rPr>
                <w:rFonts w:hint="eastAsia"/>
                <w:sz w:val="18"/>
                <w:szCs w:val="18"/>
              </w:rPr>
              <w:t>安全间隔期（天）</w:t>
            </w:r>
          </w:p>
        </w:tc>
      </w:tr>
      <w:tr w14:paraId="6774E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782" w:type="pct"/>
            <w:vMerge w:val="restart"/>
            <w:tcBorders>
              <w:top w:val="single" w:color="auto" w:sz="4" w:space="0"/>
              <w:left w:val="single" w:color="auto" w:sz="8" w:space="0"/>
              <w:right w:val="single" w:color="auto" w:sz="4" w:space="0"/>
            </w:tcBorders>
            <w:shd w:val="clear" w:color="auto" w:fill="auto"/>
            <w:vAlign w:val="center"/>
          </w:tcPr>
          <w:p w14:paraId="0F5376DA">
            <w:pPr>
              <w:pStyle w:val="84"/>
              <w:ind w:right="0"/>
              <w:jc w:val="center"/>
              <w:rPr>
                <w:rFonts w:hint="eastAsia"/>
                <w:sz w:val="18"/>
                <w:szCs w:val="18"/>
              </w:rPr>
            </w:pPr>
            <w:r>
              <w:rPr>
                <w:rFonts w:hint="eastAsia"/>
                <w:sz w:val="18"/>
                <w:szCs w:val="18"/>
              </w:rPr>
              <w:t>根腐病</w:t>
            </w:r>
          </w:p>
        </w:tc>
        <w:tc>
          <w:tcPr>
            <w:tcW w:w="662" w:type="pct"/>
            <w:vMerge w:val="restart"/>
            <w:tcBorders>
              <w:top w:val="single" w:color="auto" w:sz="4" w:space="0"/>
              <w:left w:val="single" w:color="auto" w:sz="4" w:space="0"/>
              <w:right w:val="single" w:color="auto" w:sz="4" w:space="0"/>
            </w:tcBorders>
            <w:shd w:val="clear" w:color="auto" w:fill="auto"/>
            <w:vAlign w:val="center"/>
          </w:tcPr>
          <w:p w14:paraId="10C44424">
            <w:pPr>
              <w:pStyle w:val="84"/>
              <w:ind w:right="0"/>
              <w:jc w:val="center"/>
              <w:rPr>
                <w:rFonts w:hint="eastAsia"/>
                <w:sz w:val="18"/>
                <w:szCs w:val="18"/>
                <w:highlight w:val="yellow"/>
              </w:rPr>
            </w:pPr>
            <w:r>
              <w:rPr>
                <w:sz w:val="18"/>
                <w:szCs w:val="18"/>
              </w:rPr>
              <w:t>6</w:t>
            </w:r>
            <w:r>
              <w:rPr>
                <w:rFonts w:hint="eastAsia"/>
                <w:sz w:val="18"/>
                <w:szCs w:val="18"/>
              </w:rPr>
              <w:t>月～</w:t>
            </w:r>
            <w:r>
              <w:rPr>
                <w:sz w:val="18"/>
                <w:szCs w:val="18"/>
              </w:rPr>
              <w:t>9</w:t>
            </w:r>
            <w:r>
              <w:rPr>
                <w:rFonts w:hint="eastAsia"/>
                <w:sz w:val="18"/>
                <w:szCs w:val="18"/>
              </w:rPr>
              <w:t>月</w:t>
            </w:r>
          </w:p>
        </w:tc>
        <w:tc>
          <w:tcPr>
            <w:tcW w:w="2621" w:type="pct"/>
            <w:tcBorders>
              <w:top w:val="single" w:color="auto" w:sz="4" w:space="0"/>
              <w:left w:val="single" w:color="auto" w:sz="4" w:space="0"/>
              <w:bottom w:val="single" w:color="auto" w:sz="4" w:space="0"/>
              <w:right w:val="single" w:color="auto" w:sz="4" w:space="0"/>
            </w:tcBorders>
            <w:shd w:val="clear" w:color="auto" w:fill="auto"/>
            <w:vAlign w:val="center"/>
          </w:tcPr>
          <w:p w14:paraId="53791924">
            <w:pPr>
              <w:pStyle w:val="84"/>
              <w:ind w:firstLine="180" w:firstLineChars="100"/>
              <w:jc w:val="left"/>
              <w:rPr>
                <w:rFonts w:hint="eastAsia"/>
                <w:sz w:val="18"/>
                <w:szCs w:val="18"/>
              </w:rPr>
            </w:pPr>
            <w:r>
              <w:rPr>
                <w:rFonts w:hint="eastAsia"/>
                <w:sz w:val="18"/>
                <w:szCs w:val="18"/>
              </w:rPr>
              <w:t>0.36% 苦参碱乳油1000倍液灌根</w:t>
            </w:r>
          </w:p>
        </w:tc>
        <w:tc>
          <w:tcPr>
            <w:tcW w:w="935" w:type="pct"/>
            <w:tcBorders>
              <w:top w:val="single" w:color="auto" w:sz="4" w:space="0"/>
              <w:left w:val="single" w:color="auto" w:sz="4" w:space="0"/>
              <w:bottom w:val="single" w:color="auto" w:sz="4" w:space="0"/>
              <w:right w:val="single" w:color="auto" w:sz="8" w:space="0"/>
            </w:tcBorders>
            <w:shd w:val="clear" w:color="auto" w:fill="auto"/>
            <w:vAlign w:val="center"/>
          </w:tcPr>
          <w:p w14:paraId="60C89214">
            <w:pPr>
              <w:pStyle w:val="84"/>
              <w:jc w:val="center"/>
              <w:rPr>
                <w:rFonts w:hint="eastAsia"/>
                <w:sz w:val="18"/>
                <w:szCs w:val="18"/>
              </w:rPr>
            </w:pPr>
            <w:r>
              <w:rPr>
                <w:rFonts w:hint="eastAsia"/>
                <w:sz w:val="18"/>
                <w:szCs w:val="18"/>
              </w:rPr>
              <w:t>≥</w:t>
            </w:r>
            <w:r>
              <w:rPr>
                <w:sz w:val="18"/>
                <w:szCs w:val="18"/>
              </w:rPr>
              <w:t>7</w:t>
            </w:r>
          </w:p>
        </w:tc>
      </w:tr>
      <w:tr w14:paraId="2F2922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782" w:type="pct"/>
            <w:vMerge w:val="continue"/>
            <w:tcBorders>
              <w:left w:val="single" w:color="auto" w:sz="8" w:space="0"/>
              <w:right w:val="single" w:color="auto" w:sz="4" w:space="0"/>
            </w:tcBorders>
            <w:shd w:val="clear" w:color="auto" w:fill="auto"/>
            <w:vAlign w:val="center"/>
          </w:tcPr>
          <w:p w14:paraId="343421AD">
            <w:pPr>
              <w:pStyle w:val="84"/>
              <w:ind w:right="0"/>
              <w:jc w:val="center"/>
              <w:rPr>
                <w:rFonts w:hint="eastAsia"/>
                <w:sz w:val="18"/>
                <w:szCs w:val="18"/>
              </w:rPr>
            </w:pPr>
          </w:p>
        </w:tc>
        <w:tc>
          <w:tcPr>
            <w:tcW w:w="662" w:type="pct"/>
            <w:vMerge w:val="continue"/>
            <w:tcBorders>
              <w:left w:val="single" w:color="auto" w:sz="4" w:space="0"/>
              <w:right w:val="single" w:color="auto" w:sz="4" w:space="0"/>
            </w:tcBorders>
            <w:shd w:val="clear" w:color="auto" w:fill="auto"/>
            <w:vAlign w:val="center"/>
          </w:tcPr>
          <w:p w14:paraId="1855EE7A">
            <w:pPr>
              <w:pStyle w:val="84"/>
              <w:ind w:right="0"/>
              <w:jc w:val="center"/>
              <w:rPr>
                <w:rFonts w:hint="eastAsia"/>
                <w:sz w:val="18"/>
                <w:szCs w:val="18"/>
              </w:rPr>
            </w:pPr>
          </w:p>
        </w:tc>
        <w:tc>
          <w:tcPr>
            <w:tcW w:w="2621" w:type="pct"/>
            <w:tcBorders>
              <w:top w:val="single" w:color="auto" w:sz="4" w:space="0"/>
              <w:left w:val="single" w:color="auto" w:sz="4" w:space="0"/>
              <w:bottom w:val="single" w:color="auto" w:sz="4" w:space="0"/>
              <w:right w:val="single" w:color="auto" w:sz="4" w:space="0"/>
            </w:tcBorders>
            <w:shd w:val="clear" w:color="auto" w:fill="auto"/>
            <w:vAlign w:val="center"/>
          </w:tcPr>
          <w:p w14:paraId="34FD55C7">
            <w:pPr>
              <w:pStyle w:val="84"/>
              <w:ind w:firstLine="180" w:firstLineChars="100"/>
              <w:jc w:val="left"/>
              <w:rPr>
                <w:rFonts w:hint="eastAsia"/>
                <w:sz w:val="18"/>
                <w:szCs w:val="18"/>
              </w:rPr>
            </w:pPr>
            <w:r>
              <w:rPr>
                <w:rFonts w:hint="eastAsia"/>
                <w:sz w:val="18"/>
                <w:szCs w:val="18"/>
              </w:rPr>
              <w:t>70%</w:t>
            </w:r>
            <w:r>
              <w:rPr>
                <w:rFonts w:hint="eastAsia" w:ascii="宋体" w:hAnsi="宋体" w:eastAsia="宋体" w:cs="Times New Roman"/>
                <w:sz w:val="18"/>
                <w:szCs w:val="18"/>
                <w:lang w:val="en-US" w:eastAsia="zh-CN"/>
              </w:rPr>
              <w:t>噁</w:t>
            </w:r>
            <w:r>
              <w:rPr>
                <w:rFonts w:hint="eastAsia" w:ascii="宋体" w:hAnsi="宋体" w:eastAsia="宋体" w:cs="Times New Roman"/>
                <w:sz w:val="18"/>
                <w:szCs w:val="18"/>
              </w:rPr>
              <w:t>霉灵</w:t>
            </w:r>
            <w:r>
              <w:rPr>
                <w:rFonts w:hint="eastAsia"/>
                <w:sz w:val="18"/>
                <w:szCs w:val="18"/>
              </w:rPr>
              <w:t>可湿性粉剂3000倍灌根</w:t>
            </w:r>
          </w:p>
        </w:tc>
        <w:tc>
          <w:tcPr>
            <w:tcW w:w="935" w:type="pct"/>
            <w:tcBorders>
              <w:top w:val="single" w:color="auto" w:sz="4" w:space="0"/>
              <w:left w:val="single" w:color="auto" w:sz="4" w:space="0"/>
              <w:bottom w:val="single" w:color="auto" w:sz="4" w:space="0"/>
              <w:right w:val="single" w:color="auto" w:sz="8" w:space="0"/>
            </w:tcBorders>
            <w:shd w:val="clear" w:color="auto" w:fill="auto"/>
            <w:vAlign w:val="center"/>
          </w:tcPr>
          <w:p w14:paraId="53814ED5">
            <w:pPr>
              <w:pStyle w:val="84"/>
              <w:ind w:right="0" w:firstLine="720" w:firstLineChars="400"/>
              <w:rPr>
                <w:rFonts w:hint="eastAsia"/>
                <w:sz w:val="18"/>
                <w:szCs w:val="18"/>
              </w:rPr>
            </w:pPr>
            <w:r>
              <w:rPr>
                <w:rFonts w:hint="eastAsia"/>
                <w:sz w:val="18"/>
                <w:szCs w:val="18"/>
              </w:rPr>
              <w:t>≥7</w:t>
            </w:r>
          </w:p>
        </w:tc>
      </w:tr>
      <w:tr w14:paraId="7FC7A9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782" w:type="pct"/>
            <w:vMerge w:val="restart"/>
            <w:tcBorders>
              <w:top w:val="single" w:color="auto" w:sz="4" w:space="0"/>
              <w:left w:val="single" w:color="auto" w:sz="8" w:space="0"/>
              <w:right w:val="single" w:color="auto" w:sz="4" w:space="0"/>
            </w:tcBorders>
            <w:shd w:val="clear" w:color="auto" w:fill="auto"/>
            <w:vAlign w:val="center"/>
          </w:tcPr>
          <w:p w14:paraId="339D711B">
            <w:pPr>
              <w:pStyle w:val="84"/>
              <w:jc w:val="center"/>
              <w:rPr>
                <w:rFonts w:hint="eastAsia"/>
                <w:sz w:val="18"/>
                <w:szCs w:val="18"/>
              </w:rPr>
            </w:pPr>
            <w:r>
              <w:rPr>
                <w:rFonts w:hint="eastAsia"/>
                <w:sz w:val="18"/>
                <w:szCs w:val="18"/>
              </w:rPr>
              <w:t>蛴螬</w:t>
            </w:r>
          </w:p>
        </w:tc>
        <w:tc>
          <w:tcPr>
            <w:tcW w:w="662" w:type="pct"/>
            <w:vMerge w:val="restart"/>
            <w:tcBorders>
              <w:top w:val="single" w:color="auto" w:sz="4" w:space="0"/>
              <w:left w:val="single" w:color="auto" w:sz="4" w:space="0"/>
              <w:right w:val="single" w:color="auto" w:sz="4" w:space="0"/>
            </w:tcBorders>
            <w:shd w:val="clear" w:color="auto" w:fill="auto"/>
            <w:vAlign w:val="center"/>
          </w:tcPr>
          <w:p w14:paraId="5890D1B6">
            <w:pPr>
              <w:pStyle w:val="84"/>
              <w:jc w:val="center"/>
              <w:rPr>
                <w:rFonts w:hint="eastAsia"/>
                <w:sz w:val="18"/>
                <w:szCs w:val="18"/>
              </w:rPr>
            </w:pPr>
            <w:r>
              <w:rPr>
                <w:rFonts w:hint="eastAsia"/>
                <w:sz w:val="18"/>
                <w:szCs w:val="18"/>
              </w:rPr>
              <w:t>5月～6月</w:t>
            </w:r>
          </w:p>
        </w:tc>
        <w:tc>
          <w:tcPr>
            <w:tcW w:w="2621" w:type="pct"/>
            <w:tcBorders>
              <w:top w:val="single" w:color="auto" w:sz="4" w:space="0"/>
              <w:left w:val="single" w:color="auto" w:sz="4" w:space="0"/>
              <w:bottom w:val="single" w:color="auto" w:sz="4" w:space="0"/>
              <w:right w:val="single" w:color="auto" w:sz="4" w:space="0"/>
            </w:tcBorders>
            <w:shd w:val="clear" w:color="auto" w:fill="auto"/>
            <w:vAlign w:val="center"/>
          </w:tcPr>
          <w:p w14:paraId="6C18EB45">
            <w:pPr>
              <w:pStyle w:val="84"/>
              <w:ind w:firstLine="180" w:firstLineChars="100"/>
              <w:jc w:val="left"/>
              <w:rPr>
                <w:rFonts w:hint="eastAsia"/>
                <w:sz w:val="18"/>
                <w:szCs w:val="18"/>
              </w:rPr>
            </w:pPr>
            <w:r>
              <w:rPr>
                <w:rFonts w:hint="eastAsia"/>
                <w:sz w:val="18"/>
                <w:szCs w:val="18"/>
              </w:rPr>
              <w:t>100亿孢子/g金龟子绿僵菌悬浮剂500倍液灌根</w:t>
            </w:r>
          </w:p>
        </w:tc>
        <w:tc>
          <w:tcPr>
            <w:tcW w:w="935" w:type="pct"/>
            <w:tcBorders>
              <w:top w:val="single" w:color="auto" w:sz="4" w:space="0"/>
              <w:left w:val="single" w:color="auto" w:sz="4" w:space="0"/>
              <w:bottom w:val="single" w:color="auto" w:sz="4" w:space="0"/>
              <w:right w:val="single" w:color="auto" w:sz="8" w:space="0"/>
            </w:tcBorders>
            <w:shd w:val="clear" w:color="auto" w:fill="auto"/>
            <w:vAlign w:val="center"/>
          </w:tcPr>
          <w:p w14:paraId="2D9D3247">
            <w:pPr>
              <w:pStyle w:val="84"/>
              <w:ind w:right="0"/>
              <w:jc w:val="center"/>
              <w:rPr>
                <w:rFonts w:hint="eastAsia"/>
                <w:sz w:val="18"/>
                <w:szCs w:val="18"/>
              </w:rPr>
            </w:pPr>
            <w:r>
              <w:rPr>
                <w:rFonts w:hint="eastAsia"/>
                <w:sz w:val="18"/>
                <w:szCs w:val="18"/>
              </w:rPr>
              <w:t>≥7</w:t>
            </w:r>
          </w:p>
        </w:tc>
      </w:tr>
      <w:tr w14:paraId="63D1F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782" w:type="pct"/>
            <w:vMerge w:val="continue"/>
            <w:tcBorders>
              <w:left w:val="single" w:color="auto" w:sz="8" w:space="0"/>
              <w:bottom w:val="single" w:color="auto" w:sz="4" w:space="0"/>
              <w:right w:val="single" w:color="auto" w:sz="4" w:space="0"/>
            </w:tcBorders>
            <w:shd w:val="clear" w:color="auto" w:fill="auto"/>
            <w:vAlign w:val="center"/>
          </w:tcPr>
          <w:p w14:paraId="517EFE5E">
            <w:pPr>
              <w:pStyle w:val="84"/>
              <w:jc w:val="center"/>
              <w:rPr>
                <w:rFonts w:hint="eastAsia"/>
                <w:sz w:val="18"/>
                <w:szCs w:val="18"/>
              </w:rPr>
            </w:pPr>
          </w:p>
        </w:tc>
        <w:tc>
          <w:tcPr>
            <w:tcW w:w="662" w:type="pct"/>
            <w:vMerge w:val="continue"/>
            <w:tcBorders>
              <w:left w:val="single" w:color="auto" w:sz="4" w:space="0"/>
              <w:bottom w:val="single" w:color="auto" w:sz="4" w:space="0"/>
              <w:right w:val="single" w:color="auto" w:sz="4" w:space="0"/>
            </w:tcBorders>
            <w:shd w:val="clear" w:color="auto" w:fill="auto"/>
            <w:vAlign w:val="center"/>
          </w:tcPr>
          <w:p w14:paraId="568C342C">
            <w:pPr>
              <w:pStyle w:val="84"/>
              <w:jc w:val="center"/>
              <w:rPr>
                <w:rFonts w:hint="eastAsia"/>
                <w:sz w:val="18"/>
                <w:szCs w:val="18"/>
              </w:rPr>
            </w:pPr>
          </w:p>
        </w:tc>
        <w:tc>
          <w:tcPr>
            <w:tcW w:w="2621" w:type="pct"/>
            <w:tcBorders>
              <w:top w:val="single" w:color="auto" w:sz="4" w:space="0"/>
              <w:left w:val="single" w:color="auto" w:sz="4" w:space="0"/>
              <w:bottom w:val="single" w:color="auto" w:sz="4" w:space="0"/>
              <w:right w:val="single" w:color="auto" w:sz="4" w:space="0"/>
            </w:tcBorders>
            <w:shd w:val="clear" w:color="auto" w:fill="auto"/>
            <w:vAlign w:val="center"/>
          </w:tcPr>
          <w:p w14:paraId="54E583A8">
            <w:pPr>
              <w:pStyle w:val="84"/>
              <w:ind w:firstLine="180" w:firstLineChars="100"/>
              <w:jc w:val="left"/>
              <w:rPr>
                <w:rFonts w:hint="eastAsia"/>
                <w:sz w:val="18"/>
                <w:szCs w:val="18"/>
              </w:rPr>
            </w:pPr>
            <w:r>
              <w:rPr>
                <w:rFonts w:hint="eastAsia"/>
                <w:sz w:val="18"/>
                <w:szCs w:val="18"/>
              </w:rPr>
              <w:t>50%辛硫磷乳油1000倍液灌根</w:t>
            </w:r>
          </w:p>
        </w:tc>
        <w:tc>
          <w:tcPr>
            <w:tcW w:w="935" w:type="pct"/>
            <w:tcBorders>
              <w:top w:val="single" w:color="auto" w:sz="4" w:space="0"/>
              <w:left w:val="single" w:color="auto" w:sz="4" w:space="0"/>
              <w:bottom w:val="single" w:color="auto" w:sz="4" w:space="0"/>
              <w:right w:val="single" w:color="auto" w:sz="8" w:space="0"/>
            </w:tcBorders>
            <w:shd w:val="clear" w:color="auto" w:fill="auto"/>
            <w:vAlign w:val="center"/>
          </w:tcPr>
          <w:p w14:paraId="7755480F">
            <w:pPr>
              <w:pStyle w:val="84"/>
              <w:tabs>
                <w:tab w:val="left" w:pos="757"/>
              </w:tabs>
              <w:ind w:right="0"/>
              <w:jc w:val="center"/>
              <w:rPr>
                <w:rFonts w:hint="eastAsia"/>
                <w:sz w:val="18"/>
                <w:szCs w:val="18"/>
              </w:rPr>
            </w:pPr>
            <w:r>
              <w:rPr>
                <w:rFonts w:hint="eastAsia"/>
                <w:sz w:val="18"/>
                <w:szCs w:val="18"/>
              </w:rPr>
              <w:t>≥7</w:t>
            </w:r>
          </w:p>
        </w:tc>
      </w:tr>
      <w:tr w14:paraId="78DA0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5000" w:type="pct"/>
            <w:gridSpan w:val="4"/>
            <w:tcBorders>
              <w:top w:val="single" w:color="auto" w:sz="8" w:space="0"/>
            </w:tcBorders>
            <w:shd w:val="clear" w:color="auto" w:fill="auto"/>
            <w:vAlign w:val="center"/>
          </w:tcPr>
          <w:p w14:paraId="024B517A">
            <w:pPr>
              <w:pStyle w:val="184"/>
              <w:numPr>
                <w:ilvl w:val="0"/>
                <w:numId w:val="0"/>
              </w:numPr>
              <w:ind w:firstLine="360" w:firstLineChars="200"/>
            </w:pPr>
            <w:r>
              <w:rPr>
                <w:rFonts w:hint="eastAsia" w:ascii="黑体" w:hAnsi="黑体" w:eastAsia="黑体"/>
              </w:rPr>
              <w:t>注</w:t>
            </w:r>
            <w:r>
              <w:t>：</w:t>
            </w:r>
            <w:r>
              <w:rPr>
                <w:rFonts w:hint="eastAsia"/>
              </w:rPr>
              <w:t>1</w:t>
            </w:r>
            <w:r>
              <w:t>.</w:t>
            </w:r>
            <w:r>
              <w:rPr>
                <w:rFonts w:hint="eastAsia"/>
              </w:rPr>
              <w:t>每种化学农药在每年度最多使用2次。</w:t>
            </w:r>
          </w:p>
        </w:tc>
      </w:tr>
    </w:tbl>
    <w:p w14:paraId="7170C4B4">
      <w:pPr>
        <w:pStyle w:val="60"/>
        <w:ind w:firstLine="420"/>
        <w:sectPr>
          <w:pgSz w:w="11906" w:h="16838"/>
          <w:pgMar w:top="567" w:right="1134" w:bottom="1134" w:left="1134" w:header="1418" w:footer="1134" w:gutter="284"/>
          <w:pgNumType w:fmt="decimal"/>
          <w:cols w:space="720" w:num="1"/>
          <w:formProt w:val="0"/>
          <w:docGrid w:type="lines" w:linePitch="312" w:charSpace="0"/>
        </w:sectPr>
      </w:pPr>
    </w:p>
    <w:bookmarkEnd w:id="21"/>
    <w:bookmarkEnd w:id="88"/>
    <w:bookmarkEnd w:id="89"/>
    <w:bookmarkEnd w:id="90"/>
    <w:bookmarkEnd w:id="91"/>
    <w:bookmarkEnd w:id="92"/>
    <w:bookmarkEnd w:id="93"/>
    <w:bookmarkEnd w:id="94"/>
    <w:bookmarkEnd w:id="95"/>
    <w:bookmarkEnd w:id="96"/>
    <w:bookmarkEnd w:id="97"/>
    <w:p w14:paraId="2B2DD0D2">
      <w:pPr>
        <w:pStyle w:val="80"/>
        <w:spacing w:before="78" w:after="156"/>
      </w:pPr>
      <w:bookmarkStart w:id="170" w:name="_Toc2116020749"/>
      <w:bookmarkEnd w:id="170"/>
      <w:bookmarkStart w:id="171" w:name="_Toc114044728"/>
      <w:bookmarkEnd w:id="171"/>
      <w:bookmarkStart w:id="172" w:name="_Toc114044635"/>
      <w:bookmarkEnd w:id="172"/>
      <w:bookmarkStart w:id="173" w:name="_Toc1830588257"/>
      <w:bookmarkEnd w:id="173"/>
      <w:bookmarkStart w:id="174" w:name="_Toc1845250263"/>
      <w:bookmarkEnd w:id="174"/>
      <w:bookmarkStart w:id="175" w:name="_Toc114045016"/>
      <w:bookmarkEnd w:id="175"/>
      <w:bookmarkStart w:id="176" w:name="_Toc686080561_WPSOffice_Level1"/>
      <w:bookmarkStart w:id="177" w:name="_Toc73107532"/>
      <w:bookmarkStart w:id="178" w:name="_Toc642321377"/>
      <w:bookmarkStart w:id="179" w:name="_Toc74393999"/>
    </w:p>
    <w:p w14:paraId="04372AC8">
      <w:pPr>
        <w:pStyle w:val="80"/>
        <w:numPr>
          <w:ilvl w:val="255"/>
          <w:numId w:val="0"/>
        </w:numPr>
        <w:spacing w:before="78" w:after="156"/>
      </w:pPr>
      <w:bookmarkStart w:id="180" w:name="_Toc782464650"/>
      <w:r>
        <w:rPr>
          <w:rFonts w:hint="eastAsia"/>
        </w:rPr>
        <w:t>（资料性）</w:t>
      </w:r>
      <w:bookmarkEnd w:id="176"/>
      <w:bookmarkEnd w:id="177"/>
      <w:bookmarkEnd w:id="178"/>
      <w:bookmarkEnd w:id="179"/>
      <w:bookmarkEnd w:id="180"/>
    </w:p>
    <w:p w14:paraId="4ED34E87">
      <w:pPr>
        <w:pStyle w:val="80"/>
        <w:numPr>
          <w:ilvl w:val="255"/>
          <w:numId w:val="0"/>
        </w:numPr>
        <w:spacing w:before="78" w:after="156"/>
      </w:pPr>
      <w:bookmarkStart w:id="181" w:name="_Toc1766146299"/>
      <w:r>
        <w:rPr>
          <w:rFonts w:hint="eastAsia"/>
        </w:rPr>
        <w:t>湖北省地方标准实施信息及意见反馈表</w:t>
      </w:r>
      <w:bookmarkEnd w:id="181"/>
    </w:p>
    <w:p w14:paraId="6B8B6578">
      <w:pPr>
        <w:pStyle w:val="236"/>
        <w:jc w:val="left"/>
        <w:rPr>
          <w:rFonts w:ascii="Times New Roman"/>
        </w:rPr>
      </w:pPr>
      <w:r>
        <w:rPr>
          <w:rFonts w:hint="eastAsia" w:ascii="Times New Roman"/>
        </w:rPr>
        <w:t>表B.1给出了湖北省</w:t>
      </w:r>
      <w:r>
        <w:rPr>
          <w:rFonts w:hint="eastAsia"/>
        </w:rPr>
        <w:t>地方标准实施信息及意见反馈表。</w:t>
      </w:r>
    </w:p>
    <w:p w14:paraId="335C80C0">
      <w:pPr>
        <w:pStyle w:val="81"/>
        <w:numPr>
          <w:ilvl w:val="1"/>
          <w:numId w:val="0"/>
        </w:numPr>
        <w:spacing w:before="156" w:after="156"/>
        <w:ind w:left="420"/>
      </w:pPr>
      <w:r>
        <w:rPr>
          <w:rFonts w:hint="eastAsia"/>
        </w:rPr>
        <w:t>表B.1 湖北省地方标准实施信息及意见反馈表</w:t>
      </w:r>
    </w:p>
    <w:tbl>
      <w:tblPr>
        <w:tblStyle w:val="2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895"/>
        <w:gridCol w:w="1798"/>
        <w:gridCol w:w="3827"/>
        <w:gridCol w:w="1453"/>
      </w:tblGrid>
      <w:tr w14:paraId="0A36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979" w:type="dxa"/>
            <w:gridSpan w:val="2"/>
            <w:tcBorders>
              <w:tl2br w:val="nil"/>
              <w:tr2bl w:val="nil"/>
            </w:tcBorders>
            <w:vAlign w:val="center"/>
          </w:tcPr>
          <w:p w14:paraId="1EB2F83E">
            <w:pPr>
              <w:widowControl/>
              <w:kinsoku w:val="0"/>
              <w:autoSpaceDE w:val="0"/>
              <w:autoSpaceDN w:val="0"/>
              <w:adjustRightInd/>
              <w:snapToGrid w:val="0"/>
              <w:spacing w:line="240" w:lineRule="auto"/>
              <w:ind w:left="115"/>
              <w:jc w:val="left"/>
              <w:textAlignment w:val="baseline"/>
              <w:rPr>
                <w:rFonts w:ascii="宋体" w:hAnsi="宋体"/>
                <w:color w:val="000000"/>
                <w:kern w:val="0"/>
                <w:sz w:val="18"/>
                <w:szCs w:val="18"/>
              </w:rPr>
            </w:pPr>
            <w:r>
              <w:rPr>
                <w:rFonts w:hint="eastAsia" w:ascii="宋体" w:hAnsi="宋体"/>
                <w:b/>
                <w:bCs/>
                <w:color w:val="000000"/>
                <w:spacing w:val="9"/>
                <w:kern w:val="0"/>
                <w:sz w:val="18"/>
                <w:szCs w:val="18"/>
              </w:rPr>
              <w:t>标准名称及编号</w:t>
            </w:r>
          </w:p>
        </w:tc>
        <w:tc>
          <w:tcPr>
            <w:tcW w:w="7078" w:type="dxa"/>
            <w:gridSpan w:val="3"/>
            <w:tcBorders>
              <w:tl2br w:val="nil"/>
              <w:tr2bl w:val="nil"/>
            </w:tcBorders>
            <w:vAlign w:val="center"/>
          </w:tcPr>
          <w:p w14:paraId="4EA3729D">
            <w:pPr>
              <w:adjustRightInd/>
              <w:spacing w:line="240" w:lineRule="auto"/>
              <w:jc w:val="left"/>
              <w:rPr>
                <w:rFonts w:ascii="宋体" w:hAnsi="宋体" w:cs="Arial"/>
                <w:kern w:val="0"/>
                <w:sz w:val="18"/>
                <w:szCs w:val="18"/>
              </w:rPr>
            </w:pPr>
          </w:p>
        </w:tc>
      </w:tr>
      <w:tr w14:paraId="5C4F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084" w:type="dxa"/>
            <w:vMerge w:val="restart"/>
            <w:tcBorders>
              <w:tl2br w:val="nil"/>
              <w:tr2bl w:val="nil"/>
            </w:tcBorders>
            <w:vAlign w:val="center"/>
          </w:tcPr>
          <w:p w14:paraId="690E76F8">
            <w:pPr>
              <w:widowControl/>
              <w:kinsoku w:val="0"/>
              <w:autoSpaceDE w:val="0"/>
              <w:autoSpaceDN w:val="0"/>
              <w:adjustRightInd/>
              <w:snapToGrid w:val="0"/>
              <w:spacing w:line="240" w:lineRule="auto"/>
              <w:ind w:left="147"/>
              <w:jc w:val="left"/>
              <w:textAlignment w:val="baseline"/>
              <w:rPr>
                <w:rFonts w:ascii="宋体" w:hAnsi="宋体"/>
                <w:color w:val="000000"/>
                <w:kern w:val="0"/>
                <w:sz w:val="18"/>
                <w:szCs w:val="18"/>
              </w:rPr>
            </w:pPr>
            <w:r>
              <w:rPr>
                <w:rFonts w:hint="eastAsia" w:ascii="宋体" w:hAnsi="宋体"/>
                <w:b/>
                <w:bCs/>
                <w:color w:val="000000"/>
                <w:spacing w:val="3"/>
                <w:kern w:val="0"/>
                <w:sz w:val="18"/>
                <w:szCs w:val="18"/>
              </w:rPr>
              <w:t>总体评价</w:t>
            </w:r>
          </w:p>
        </w:tc>
        <w:tc>
          <w:tcPr>
            <w:tcW w:w="895" w:type="dxa"/>
            <w:tcBorders>
              <w:tl2br w:val="nil"/>
              <w:tr2bl w:val="nil"/>
            </w:tcBorders>
            <w:vAlign w:val="center"/>
          </w:tcPr>
          <w:p w14:paraId="2ED81531">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spacing w:val="5"/>
                <w:kern w:val="0"/>
                <w:sz w:val="18"/>
                <w:szCs w:val="18"/>
              </w:rPr>
              <w:t>适用性</w:t>
            </w:r>
          </w:p>
        </w:tc>
        <w:tc>
          <w:tcPr>
            <w:tcW w:w="5625" w:type="dxa"/>
            <w:gridSpan w:val="2"/>
            <w:tcBorders>
              <w:tl2br w:val="nil"/>
              <w:tr2bl w:val="nil"/>
            </w:tcBorders>
            <w:vAlign w:val="center"/>
          </w:tcPr>
          <w:p w14:paraId="50FE9D36">
            <w:pPr>
              <w:widowControl/>
              <w:kinsoku w:val="0"/>
              <w:autoSpaceDE w:val="0"/>
              <w:autoSpaceDN w:val="0"/>
              <w:adjustRightInd/>
              <w:snapToGrid w:val="0"/>
              <w:spacing w:line="240" w:lineRule="auto"/>
              <w:ind w:left="116" w:right="103"/>
              <w:jc w:val="left"/>
              <w:textAlignment w:val="baseline"/>
              <w:rPr>
                <w:rFonts w:ascii="宋体" w:hAnsi="宋体"/>
                <w:color w:val="000000"/>
                <w:spacing w:val="11"/>
                <w:kern w:val="0"/>
                <w:sz w:val="18"/>
                <w:szCs w:val="18"/>
              </w:rPr>
            </w:pPr>
            <w:r>
              <w:rPr>
                <w:rFonts w:hint="eastAsia" w:ascii="宋体" w:hAnsi="宋体"/>
                <w:color w:val="000000"/>
                <w:spacing w:val="11"/>
                <w:kern w:val="0"/>
                <w:sz w:val="18"/>
                <w:szCs w:val="18"/>
              </w:rPr>
              <w:t>该标准与当前所在地的产业或社会发展水平是否相匹配？</w:t>
            </w:r>
          </w:p>
        </w:tc>
        <w:tc>
          <w:tcPr>
            <w:tcW w:w="1453" w:type="dxa"/>
            <w:tcBorders>
              <w:tl2br w:val="nil"/>
              <w:tr2bl w:val="nil"/>
            </w:tcBorders>
            <w:vAlign w:val="center"/>
          </w:tcPr>
          <w:p w14:paraId="1708109A">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14:paraId="5430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084" w:type="dxa"/>
            <w:vMerge w:val="continue"/>
            <w:tcBorders>
              <w:tl2br w:val="nil"/>
              <w:tr2bl w:val="nil"/>
            </w:tcBorders>
            <w:vAlign w:val="center"/>
          </w:tcPr>
          <w:p w14:paraId="1A4FFE90">
            <w:pPr>
              <w:widowControl/>
              <w:adjustRightInd/>
              <w:spacing w:line="240" w:lineRule="auto"/>
              <w:jc w:val="left"/>
              <w:rPr>
                <w:rFonts w:ascii="宋体" w:hAnsi="宋体"/>
                <w:color w:val="000000"/>
                <w:kern w:val="0"/>
                <w:sz w:val="18"/>
                <w:szCs w:val="18"/>
              </w:rPr>
            </w:pPr>
          </w:p>
        </w:tc>
        <w:tc>
          <w:tcPr>
            <w:tcW w:w="895" w:type="dxa"/>
            <w:tcBorders>
              <w:tl2br w:val="nil"/>
              <w:tr2bl w:val="nil"/>
            </w:tcBorders>
            <w:vAlign w:val="center"/>
          </w:tcPr>
          <w:p w14:paraId="72D73522">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spacing w:val="5"/>
                <w:kern w:val="0"/>
                <w:sz w:val="18"/>
                <w:szCs w:val="18"/>
              </w:rPr>
              <w:t>协调性</w:t>
            </w:r>
          </w:p>
        </w:tc>
        <w:tc>
          <w:tcPr>
            <w:tcW w:w="5625" w:type="dxa"/>
            <w:gridSpan w:val="2"/>
            <w:tcBorders>
              <w:tl2br w:val="nil"/>
              <w:tr2bl w:val="nil"/>
            </w:tcBorders>
            <w:vAlign w:val="center"/>
          </w:tcPr>
          <w:p w14:paraId="59895DD6">
            <w:pPr>
              <w:widowControl/>
              <w:kinsoku w:val="0"/>
              <w:autoSpaceDE w:val="0"/>
              <w:autoSpaceDN w:val="0"/>
              <w:adjustRightInd/>
              <w:snapToGrid w:val="0"/>
              <w:spacing w:line="240" w:lineRule="auto"/>
              <w:ind w:left="116" w:right="103"/>
              <w:jc w:val="left"/>
              <w:textAlignment w:val="baseline"/>
              <w:rPr>
                <w:rFonts w:ascii="宋体" w:hAnsi="宋体"/>
                <w:color w:val="000000"/>
                <w:kern w:val="0"/>
                <w:sz w:val="18"/>
                <w:szCs w:val="18"/>
              </w:rPr>
            </w:pPr>
            <w:r>
              <w:rPr>
                <w:rFonts w:hint="eastAsia" w:ascii="宋体" w:hAnsi="宋体"/>
                <w:color w:val="000000"/>
                <w:spacing w:val="11"/>
                <w:kern w:val="0"/>
                <w:sz w:val="18"/>
                <w:szCs w:val="18"/>
              </w:rPr>
              <w:t>该标准的特色要求与其他强制性标准的主要技术指标、相关法律法规、部门规章或产业政策是否</w:t>
            </w:r>
            <w:r>
              <w:rPr>
                <w:rFonts w:hint="eastAsia" w:ascii="宋体" w:hAnsi="宋体"/>
                <w:color w:val="000000"/>
                <w:spacing w:val="2"/>
                <w:kern w:val="0"/>
                <w:sz w:val="18"/>
                <w:szCs w:val="18"/>
              </w:rPr>
              <w:t>协调？</w:t>
            </w:r>
          </w:p>
        </w:tc>
        <w:tc>
          <w:tcPr>
            <w:tcW w:w="1453" w:type="dxa"/>
            <w:tcBorders>
              <w:tl2br w:val="nil"/>
              <w:tr2bl w:val="nil"/>
            </w:tcBorders>
            <w:vAlign w:val="center"/>
          </w:tcPr>
          <w:p w14:paraId="3B847B73">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14:paraId="5EE2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084" w:type="dxa"/>
            <w:vMerge w:val="continue"/>
            <w:tcBorders>
              <w:tl2br w:val="nil"/>
              <w:tr2bl w:val="nil"/>
            </w:tcBorders>
            <w:vAlign w:val="center"/>
          </w:tcPr>
          <w:p w14:paraId="546EC958">
            <w:pPr>
              <w:widowControl/>
              <w:adjustRightInd/>
              <w:spacing w:line="240" w:lineRule="auto"/>
              <w:jc w:val="left"/>
              <w:rPr>
                <w:rFonts w:ascii="宋体" w:hAnsi="宋体"/>
                <w:color w:val="000000"/>
                <w:kern w:val="0"/>
                <w:sz w:val="18"/>
                <w:szCs w:val="18"/>
              </w:rPr>
            </w:pPr>
          </w:p>
        </w:tc>
        <w:tc>
          <w:tcPr>
            <w:tcW w:w="895" w:type="dxa"/>
            <w:tcBorders>
              <w:tl2br w:val="nil"/>
              <w:tr2bl w:val="nil"/>
            </w:tcBorders>
            <w:vAlign w:val="center"/>
          </w:tcPr>
          <w:p w14:paraId="6E1524BD">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kern w:val="0"/>
                <w:sz w:val="18"/>
                <w:szCs w:val="18"/>
              </w:rPr>
              <w:t>执行情况</w:t>
            </w:r>
          </w:p>
        </w:tc>
        <w:tc>
          <w:tcPr>
            <w:tcW w:w="5625" w:type="dxa"/>
            <w:gridSpan w:val="2"/>
            <w:tcBorders>
              <w:tl2br w:val="nil"/>
              <w:tr2bl w:val="nil"/>
            </w:tcBorders>
            <w:vAlign w:val="center"/>
          </w:tcPr>
          <w:p w14:paraId="7AE32F8E">
            <w:pPr>
              <w:widowControl/>
              <w:kinsoku w:val="0"/>
              <w:autoSpaceDE w:val="0"/>
              <w:autoSpaceDN w:val="0"/>
              <w:adjustRightInd/>
              <w:snapToGrid w:val="0"/>
              <w:spacing w:line="240" w:lineRule="auto"/>
              <w:ind w:left="116" w:right="103"/>
              <w:jc w:val="left"/>
              <w:textAlignment w:val="baseline"/>
              <w:rPr>
                <w:rFonts w:ascii="宋体" w:hAnsi="宋体"/>
                <w:color w:val="000000"/>
                <w:spacing w:val="11"/>
                <w:kern w:val="0"/>
                <w:sz w:val="18"/>
                <w:szCs w:val="18"/>
              </w:rPr>
            </w:pPr>
            <w:r>
              <w:rPr>
                <w:rFonts w:hint="eastAsia" w:ascii="宋体" w:hAnsi="宋体"/>
                <w:color w:val="000000"/>
                <w:spacing w:val="11"/>
                <w:kern w:val="0"/>
                <w:sz w:val="18"/>
                <w:szCs w:val="18"/>
              </w:rPr>
              <w:t>标准执行单位或人员是否按照标准要求组织开展相关工作？</w:t>
            </w:r>
          </w:p>
        </w:tc>
        <w:tc>
          <w:tcPr>
            <w:tcW w:w="1453" w:type="dxa"/>
            <w:tcBorders>
              <w:tl2br w:val="nil"/>
              <w:tr2bl w:val="nil"/>
            </w:tcBorders>
            <w:vAlign w:val="center"/>
          </w:tcPr>
          <w:p w14:paraId="6727AD70">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14:paraId="7CA6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84" w:type="dxa"/>
            <w:vMerge w:val="restart"/>
            <w:tcBorders>
              <w:tl2br w:val="nil"/>
              <w:tr2bl w:val="nil"/>
            </w:tcBorders>
            <w:vAlign w:val="center"/>
          </w:tcPr>
          <w:p w14:paraId="0271611C">
            <w:pPr>
              <w:widowControl/>
              <w:kinsoku w:val="0"/>
              <w:autoSpaceDE w:val="0"/>
              <w:autoSpaceDN w:val="0"/>
              <w:adjustRightInd/>
              <w:snapToGrid w:val="0"/>
              <w:spacing w:line="240" w:lineRule="auto"/>
              <w:ind w:left="143"/>
              <w:jc w:val="left"/>
              <w:textAlignment w:val="baseline"/>
              <w:rPr>
                <w:rFonts w:ascii="宋体" w:hAnsi="宋体"/>
                <w:color w:val="000000"/>
                <w:kern w:val="0"/>
                <w:sz w:val="18"/>
                <w:szCs w:val="18"/>
              </w:rPr>
            </w:pPr>
            <w:r>
              <w:rPr>
                <w:rFonts w:hint="eastAsia" w:ascii="宋体" w:hAnsi="宋体"/>
                <w:b/>
                <w:bCs/>
                <w:color w:val="000000"/>
                <w:spacing w:val="4"/>
                <w:kern w:val="0"/>
                <w:sz w:val="18"/>
                <w:szCs w:val="18"/>
              </w:rPr>
              <w:t>实施信息</w:t>
            </w:r>
          </w:p>
        </w:tc>
        <w:tc>
          <w:tcPr>
            <w:tcW w:w="6520" w:type="dxa"/>
            <w:gridSpan w:val="3"/>
            <w:tcBorders>
              <w:tl2br w:val="nil"/>
              <w:tr2bl w:val="nil"/>
            </w:tcBorders>
            <w:vAlign w:val="center"/>
          </w:tcPr>
          <w:p w14:paraId="2EC3DF0F">
            <w:pPr>
              <w:widowControl/>
              <w:kinsoku w:val="0"/>
              <w:autoSpaceDE w:val="0"/>
              <w:autoSpaceDN w:val="0"/>
              <w:adjustRightInd/>
              <w:snapToGrid w:val="0"/>
              <w:spacing w:line="240" w:lineRule="auto"/>
              <w:ind w:left="111"/>
              <w:jc w:val="left"/>
              <w:textAlignment w:val="baseline"/>
              <w:rPr>
                <w:rFonts w:ascii="宋体" w:hAnsi="宋体"/>
                <w:color w:val="000000"/>
                <w:kern w:val="0"/>
                <w:sz w:val="18"/>
                <w:szCs w:val="18"/>
              </w:rPr>
            </w:pPr>
            <w:r>
              <w:rPr>
                <w:rFonts w:hint="eastAsia" w:ascii="宋体" w:hAnsi="宋体"/>
                <w:color w:val="000000"/>
                <w:spacing w:val="8"/>
                <w:kern w:val="0"/>
                <w:sz w:val="18"/>
                <w:szCs w:val="18"/>
              </w:rPr>
              <w:t>标准实施过程中是否存在阻力和障碍？</w:t>
            </w:r>
          </w:p>
        </w:tc>
        <w:tc>
          <w:tcPr>
            <w:tcW w:w="1453" w:type="dxa"/>
            <w:tcBorders>
              <w:tl2br w:val="nil"/>
              <w:tr2bl w:val="nil"/>
            </w:tcBorders>
            <w:vAlign w:val="center"/>
          </w:tcPr>
          <w:p w14:paraId="5DF9BF15">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22"/>
                <w:kern w:val="0"/>
                <w:sz w:val="18"/>
                <w:szCs w:val="18"/>
              </w:rPr>
              <w:t xml:space="preserve">是  </w:t>
            </w:r>
            <w:r>
              <w:rPr>
                <w:rFonts w:hint="eastAsia" w:ascii="宋体" w:hAnsi="宋体"/>
                <w:sz w:val="18"/>
                <w:szCs w:val="18"/>
              </w:rPr>
              <w:t>□</w:t>
            </w:r>
            <w:r>
              <w:rPr>
                <w:rFonts w:hint="eastAsia" w:ascii="宋体" w:hAnsi="宋体"/>
                <w:color w:val="000000"/>
                <w:spacing w:val="22"/>
                <w:kern w:val="0"/>
                <w:sz w:val="18"/>
                <w:szCs w:val="18"/>
              </w:rPr>
              <w:t>否</w:t>
            </w:r>
          </w:p>
        </w:tc>
      </w:tr>
      <w:tr w14:paraId="27E6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1084" w:type="dxa"/>
            <w:vMerge w:val="continue"/>
            <w:tcBorders>
              <w:tl2br w:val="nil"/>
              <w:tr2bl w:val="nil"/>
            </w:tcBorders>
            <w:vAlign w:val="center"/>
          </w:tcPr>
          <w:p w14:paraId="1040B240">
            <w:pPr>
              <w:widowControl/>
              <w:adjustRightInd/>
              <w:spacing w:line="240" w:lineRule="auto"/>
              <w:jc w:val="left"/>
              <w:rPr>
                <w:rFonts w:ascii="宋体" w:hAnsi="宋体"/>
                <w:color w:val="000000"/>
                <w:kern w:val="0"/>
                <w:sz w:val="18"/>
                <w:szCs w:val="18"/>
              </w:rPr>
            </w:pPr>
          </w:p>
        </w:tc>
        <w:tc>
          <w:tcPr>
            <w:tcW w:w="2693" w:type="dxa"/>
            <w:gridSpan w:val="2"/>
            <w:tcBorders>
              <w:tl2br w:val="nil"/>
              <w:tr2bl w:val="nil"/>
            </w:tcBorders>
            <w:vAlign w:val="center"/>
          </w:tcPr>
          <w:p w14:paraId="3E7B0286">
            <w:pPr>
              <w:widowControl/>
              <w:kinsoku w:val="0"/>
              <w:autoSpaceDE w:val="0"/>
              <w:autoSpaceDN w:val="0"/>
              <w:adjustRightInd/>
              <w:snapToGrid w:val="0"/>
              <w:spacing w:line="240" w:lineRule="auto"/>
              <w:ind w:left="125"/>
              <w:jc w:val="left"/>
              <w:textAlignment w:val="baseline"/>
              <w:rPr>
                <w:rFonts w:ascii="宋体" w:hAnsi="宋体"/>
                <w:color w:val="000000"/>
                <w:kern w:val="0"/>
                <w:sz w:val="18"/>
                <w:szCs w:val="18"/>
              </w:rPr>
            </w:pPr>
            <w:r>
              <w:rPr>
                <w:rFonts w:hint="eastAsia" w:ascii="宋体" w:hAnsi="宋体"/>
                <w:color w:val="000000"/>
                <w:spacing w:val="8"/>
                <w:kern w:val="0"/>
                <w:sz w:val="18"/>
                <w:szCs w:val="18"/>
              </w:rPr>
              <w:t>实施过程中存在的主要问题</w:t>
            </w:r>
          </w:p>
        </w:tc>
        <w:tc>
          <w:tcPr>
            <w:tcW w:w="5280" w:type="dxa"/>
            <w:gridSpan w:val="2"/>
            <w:tcBorders>
              <w:tl2br w:val="nil"/>
              <w:tr2bl w:val="nil"/>
            </w:tcBorders>
            <w:vAlign w:val="center"/>
          </w:tcPr>
          <w:p w14:paraId="3025A67F">
            <w:pPr>
              <w:adjustRightInd/>
              <w:spacing w:line="240" w:lineRule="auto"/>
              <w:jc w:val="left"/>
              <w:rPr>
                <w:rFonts w:ascii="宋体" w:hAnsi="宋体" w:cs="Arial"/>
                <w:kern w:val="0"/>
                <w:sz w:val="18"/>
                <w:szCs w:val="18"/>
              </w:rPr>
            </w:pPr>
          </w:p>
        </w:tc>
      </w:tr>
      <w:tr w14:paraId="5CC7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084" w:type="dxa"/>
            <w:vMerge w:val="restart"/>
            <w:tcBorders>
              <w:tl2br w:val="nil"/>
              <w:tr2bl w:val="nil"/>
            </w:tcBorders>
            <w:vAlign w:val="center"/>
          </w:tcPr>
          <w:p w14:paraId="620301AB">
            <w:pPr>
              <w:widowControl/>
              <w:kinsoku w:val="0"/>
              <w:autoSpaceDE w:val="0"/>
              <w:autoSpaceDN w:val="0"/>
              <w:adjustRightInd/>
              <w:snapToGrid w:val="0"/>
              <w:spacing w:line="240" w:lineRule="auto"/>
              <w:ind w:left="126"/>
              <w:jc w:val="left"/>
              <w:textAlignment w:val="baseline"/>
              <w:rPr>
                <w:rFonts w:ascii="宋体" w:hAnsi="宋体"/>
                <w:color w:val="000000"/>
                <w:kern w:val="0"/>
                <w:sz w:val="18"/>
                <w:szCs w:val="18"/>
              </w:rPr>
            </w:pPr>
            <w:r>
              <w:rPr>
                <w:rFonts w:hint="eastAsia" w:ascii="宋体" w:hAnsi="宋体"/>
                <w:b/>
                <w:bCs/>
                <w:color w:val="000000"/>
                <w:spacing w:val="8"/>
                <w:kern w:val="0"/>
                <w:sz w:val="18"/>
                <w:szCs w:val="18"/>
              </w:rPr>
              <w:t>修改意见</w:t>
            </w:r>
          </w:p>
        </w:tc>
        <w:tc>
          <w:tcPr>
            <w:tcW w:w="895" w:type="dxa"/>
            <w:tcBorders>
              <w:tl2br w:val="nil"/>
              <w:tr2bl w:val="nil"/>
            </w:tcBorders>
            <w:vAlign w:val="center"/>
          </w:tcPr>
          <w:p w14:paraId="63C71BA0">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spacing w:val="-3"/>
                <w:kern w:val="0"/>
                <w:sz w:val="18"/>
                <w:szCs w:val="18"/>
              </w:rPr>
              <w:t>总体意见</w:t>
            </w:r>
          </w:p>
        </w:tc>
        <w:tc>
          <w:tcPr>
            <w:tcW w:w="7078" w:type="dxa"/>
            <w:gridSpan w:val="3"/>
            <w:tcBorders>
              <w:tl2br w:val="nil"/>
              <w:tr2bl w:val="nil"/>
            </w:tcBorders>
            <w:vAlign w:val="center"/>
          </w:tcPr>
          <w:p w14:paraId="4220F414">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4"/>
                <w:kern w:val="0"/>
                <w:sz w:val="18"/>
                <w:szCs w:val="18"/>
              </w:rPr>
              <w:t xml:space="preserve">适用      </w:t>
            </w:r>
            <w:r>
              <w:rPr>
                <w:rFonts w:hint="eastAsia" w:ascii="宋体" w:hAnsi="宋体"/>
                <w:sz w:val="18"/>
                <w:szCs w:val="18"/>
              </w:rPr>
              <w:t>□</w:t>
            </w:r>
            <w:r>
              <w:rPr>
                <w:rFonts w:hint="eastAsia" w:ascii="宋体" w:hAnsi="宋体"/>
                <w:color w:val="000000"/>
                <w:spacing w:val="14"/>
                <w:kern w:val="0"/>
                <w:sz w:val="18"/>
                <w:szCs w:val="18"/>
              </w:rPr>
              <w:t xml:space="preserve">修改      </w:t>
            </w:r>
            <w:r>
              <w:rPr>
                <w:rFonts w:hint="eastAsia" w:ascii="宋体" w:hAnsi="宋体"/>
                <w:sz w:val="18"/>
                <w:szCs w:val="18"/>
              </w:rPr>
              <w:t>□</w:t>
            </w:r>
            <w:r>
              <w:rPr>
                <w:rFonts w:hint="eastAsia" w:ascii="宋体" w:hAnsi="宋体"/>
                <w:color w:val="000000"/>
                <w:spacing w:val="14"/>
                <w:kern w:val="0"/>
                <w:sz w:val="18"/>
                <w:szCs w:val="18"/>
              </w:rPr>
              <w:t>废止</w:t>
            </w:r>
          </w:p>
        </w:tc>
      </w:tr>
      <w:tr w14:paraId="5695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1084" w:type="dxa"/>
            <w:vMerge w:val="continue"/>
            <w:tcBorders>
              <w:tl2br w:val="nil"/>
              <w:tr2bl w:val="nil"/>
            </w:tcBorders>
            <w:vAlign w:val="center"/>
          </w:tcPr>
          <w:p w14:paraId="0FF0412A">
            <w:pPr>
              <w:widowControl/>
              <w:adjustRightInd/>
              <w:spacing w:line="240" w:lineRule="auto"/>
              <w:jc w:val="left"/>
              <w:rPr>
                <w:rFonts w:ascii="宋体" w:hAnsi="宋体"/>
                <w:color w:val="000000"/>
                <w:kern w:val="0"/>
                <w:sz w:val="18"/>
                <w:szCs w:val="18"/>
              </w:rPr>
            </w:pPr>
          </w:p>
        </w:tc>
        <w:tc>
          <w:tcPr>
            <w:tcW w:w="895" w:type="dxa"/>
            <w:tcBorders>
              <w:tl2br w:val="nil"/>
              <w:tr2bl w:val="nil"/>
            </w:tcBorders>
            <w:vAlign w:val="center"/>
          </w:tcPr>
          <w:p w14:paraId="6086C090">
            <w:pPr>
              <w:widowControl/>
              <w:kinsoku w:val="0"/>
              <w:autoSpaceDE w:val="0"/>
              <w:autoSpaceDN w:val="0"/>
              <w:adjustRightInd/>
              <w:snapToGrid w:val="0"/>
              <w:spacing w:line="240" w:lineRule="auto"/>
              <w:jc w:val="center"/>
              <w:textAlignment w:val="baseline"/>
              <w:rPr>
                <w:rFonts w:ascii="宋体" w:hAnsi="宋体"/>
                <w:color w:val="000000"/>
                <w:spacing w:val="-2"/>
                <w:kern w:val="0"/>
                <w:sz w:val="18"/>
                <w:szCs w:val="18"/>
              </w:rPr>
            </w:pPr>
            <w:r>
              <w:rPr>
                <w:rFonts w:hint="eastAsia" w:ascii="宋体" w:hAnsi="宋体"/>
                <w:color w:val="000000"/>
                <w:spacing w:val="-2"/>
                <w:kern w:val="0"/>
                <w:sz w:val="18"/>
                <w:szCs w:val="18"/>
              </w:rPr>
              <w:t>具体</w:t>
            </w:r>
            <w:r>
              <w:rPr>
                <w:rFonts w:ascii="宋体" w:hAnsi="宋体"/>
                <w:color w:val="000000"/>
                <w:spacing w:val="-2"/>
                <w:kern w:val="0"/>
                <w:sz w:val="18"/>
                <w:szCs w:val="18"/>
              </w:rPr>
              <w:t>修</w:t>
            </w:r>
            <w:r>
              <w:rPr>
                <w:rFonts w:hint="eastAsia" w:ascii="宋体" w:hAnsi="宋体"/>
                <w:color w:val="000000"/>
                <w:spacing w:val="-2"/>
                <w:kern w:val="0"/>
                <w:sz w:val="18"/>
                <w:szCs w:val="18"/>
              </w:rPr>
              <w:t>改</w:t>
            </w:r>
          </w:p>
          <w:p w14:paraId="715B083E">
            <w:pPr>
              <w:widowControl/>
              <w:kinsoku w:val="0"/>
              <w:autoSpaceDE w:val="0"/>
              <w:autoSpaceDN w:val="0"/>
              <w:adjustRightInd/>
              <w:snapToGrid w:val="0"/>
              <w:spacing w:line="240" w:lineRule="auto"/>
              <w:jc w:val="center"/>
              <w:textAlignment w:val="baseline"/>
              <w:rPr>
                <w:rFonts w:ascii="宋体" w:hAnsi="宋体"/>
                <w:color w:val="000000"/>
                <w:kern w:val="0"/>
                <w:sz w:val="18"/>
                <w:szCs w:val="18"/>
              </w:rPr>
            </w:pPr>
            <w:r>
              <w:rPr>
                <w:rFonts w:hint="eastAsia" w:ascii="宋体" w:hAnsi="宋体"/>
                <w:color w:val="000000"/>
                <w:spacing w:val="-2"/>
                <w:kern w:val="0"/>
                <w:sz w:val="18"/>
                <w:szCs w:val="18"/>
              </w:rPr>
              <w:t>意见</w:t>
            </w:r>
          </w:p>
        </w:tc>
        <w:tc>
          <w:tcPr>
            <w:tcW w:w="7078" w:type="dxa"/>
            <w:gridSpan w:val="3"/>
            <w:tcBorders>
              <w:tl2br w:val="nil"/>
              <w:tr2bl w:val="nil"/>
            </w:tcBorders>
            <w:vAlign w:val="center"/>
          </w:tcPr>
          <w:p w14:paraId="2FE0568A">
            <w:pPr>
              <w:widowControl/>
              <w:kinsoku w:val="0"/>
              <w:autoSpaceDE w:val="0"/>
              <w:autoSpaceDN w:val="0"/>
              <w:adjustRightInd/>
              <w:snapToGrid w:val="0"/>
              <w:spacing w:line="240" w:lineRule="auto"/>
              <w:ind w:left="127"/>
              <w:jc w:val="left"/>
              <w:textAlignment w:val="baseline"/>
              <w:rPr>
                <w:rFonts w:ascii="宋体" w:hAnsi="宋体"/>
                <w:color w:val="000000"/>
                <w:kern w:val="0"/>
                <w:sz w:val="18"/>
                <w:szCs w:val="18"/>
              </w:rPr>
            </w:pPr>
            <w:r>
              <w:rPr>
                <w:rFonts w:hint="eastAsia" w:ascii="宋体" w:hAnsi="宋体"/>
                <w:color w:val="000000"/>
                <w:spacing w:val="4"/>
                <w:kern w:val="0"/>
                <w:sz w:val="18"/>
                <w:szCs w:val="18"/>
              </w:rPr>
              <w:t>需修改章节：</w:t>
            </w:r>
          </w:p>
          <w:p w14:paraId="06E6CFE3">
            <w:pPr>
              <w:widowControl/>
              <w:kinsoku w:val="0"/>
              <w:autoSpaceDE w:val="0"/>
              <w:autoSpaceDN w:val="0"/>
              <w:adjustRightInd/>
              <w:snapToGrid w:val="0"/>
              <w:spacing w:line="240" w:lineRule="auto"/>
              <w:ind w:left="121"/>
              <w:jc w:val="left"/>
              <w:textAlignment w:val="baseline"/>
              <w:rPr>
                <w:rFonts w:ascii="宋体" w:hAnsi="宋体"/>
                <w:color w:val="000000"/>
                <w:kern w:val="0"/>
                <w:sz w:val="18"/>
                <w:szCs w:val="18"/>
              </w:rPr>
            </w:pPr>
            <w:r>
              <w:rPr>
                <w:rFonts w:hint="eastAsia" w:ascii="宋体" w:hAnsi="宋体"/>
                <w:color w:val="000000"/>
                <w:spacing w:val="6"/>
                <w:kern w:val="0"/>
                <w:sz w:val="18"/>
                <w:szCs w:val="18"/>
              </w:rPr>
              <w:t>具体修改意见：</w:t>
            </w:r>
          </w:p>
        </w:tc>
      </w:tr>
      <w:tr w14:paraId="3D1D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1" w:hRule="atLeast"/>
          <w:jc w:val="center"/>
        </w:trPr>
        <w:tc>
          <w:tcPr>
            <w:tcW w:w="1084" w:type="dxa"/>
            <w:tcBorders>
              <w:tl2br w:val="nil"/>
              <w:tr2bl w:val="nil"/>
            </w:tcBorders>
            <w:vAlign w:val="center"/>
          </w:tcPr>
          <w:p w14:paraId="58E40201">
            <w:pPr>
              <w:widowControl/>
              <w:kinsoku w:val="0"/>
              <w:autoSpaceDE w:val="0"/>
              <w:autoSpaceDN w:val="0"/>
              <w:adjustRightInd/>
              <w:snapToGrid w:val="0"/>
              <w:spacing w:line="240" w:lineRule="auto"/>
              <w:ind w:left="132"/>
              <w:jc w:val="left"/>
              <w:textAlignment w:val="baseline"/>
              <w:rPr>
                <w:rFonts w:ascii="宋体" w:hAnsi="宋体"/>
                <w:color w:val="000000"/>
                <w:kern w:val="0"/>
                <w:sz w:val="18"/>
                <w:szCs w:val="18"/>
              </w:rPr>
            </w:pPr>
            <w:r>
              <w:rPr>
                <w:rFonts w:hint="eastAsia" w:ascii="宋体" w:hAnsi="宋体"/>
                <w:b/>
                <w:bCs/>
                <w:color w:val="000000"/>
                <w:spacing w:val="7"/>
                <w:kern w:val="0"/>
                <w:sz w:val="18"/>
                <w:szCs w:val="18"/>
              </w:rPr>
              <w:t>反馈渠道</w:t>
            </w:r>
          </w:p>
        </w:tc>
        <w:tc>
          <w:tcPr>
            <w:tcW w:w="7973" w:type="dxa"/>
            <w:gridSpan w:val="4"/>
            <w:tcBorders>
              <w:tl2br w:val="nil"/>
              <w:tr2bl w:val="nil"/>
            </w:tcBorders>
            <w:vAlign w:val="center"/>
          </w:tcPr>
          <w:p w14:paraId="43D29C1C">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2"/>
                <w:kern w:val="0"/>
                <w:sz w:val="18"/>
                <w:szCs w:val="18"/>
              </w:rPr>
              <w:t>标准化行政主管部门</w:t>
            </w:r>
          </w:p>
          <w:p w14:paraId="061DF642">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2"/>
                <w:kern w:val="0"/>
                <w:sz w:val="18"/>
                <w:szCs w:val="18"/>
              </w:rPr>
              <w:t>省直行业主管部门</w:t>
            </w:r>
          </w:p>
          <w:p w14:paraId="5076CEAA">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0"/>
                <w:kern w:val="0"/>
                <w:sz w:val="18"/>
                <w:szCs w:val="18"/>
              </w:rPr>
              <w:t>专业标准化技术委员会（工作组）</w:t>
            </w:r>
          </w:p>
          <w:p w14:paraId="3264D3FF">
            <w:pPr>
              <w:widowControl/>
              <w:kinsoku w:val="0"/>
              <w:autoSpaceDE w:val="0"/>
              <w:autoSpaceDN w:val="0"/>
              <w:adjustRightInd/>
              <w:snapToGrid w:val="0"/>
              <w:spacing w:line="240" w:lineRule="auto"/>
              <w:ind w:left="124"/>
              <w:jc w:val="left"/>
              <w:textAlignment w:val="baseline"/>
              <w:rPr>
                <w:rFonts w:ascii="宋体" w:hAnsi="宋体"/>
                <w:color w:val="000000"/>
                <w:kern w:val="0"/>
                <w:sz w:val="18"/>
                <w:szCs w:val="18"/>
              </w:rPr>
            </w:pPr>
            <w:r>
              <w:rPr>
                <w:rFonts w:hint="eastAsia" w:ascii="宋体" w:hAnsi="宋体"/>
                <w:sz w:val="18"/>
                <w:szCs w:val="18"/>
              </w:rPr>
              <w:t>□</w:t>
            </w:r>
            <w:r>
              <w:rPr>
                <w:rFonts w:hint="eastAsia" w:ascii="宋体" w:hAnsi="宋体"/>
                <w:color w:val="000000"/>
                <w:spacing w:val="11"/>
                <w:kern w:val="0"/>
                <w:sz w:val="18"/>
                <w:szCs w:val="18"/>
              </w:rPr>
              <w:t>标准起草组（牵头起草单位）</w:t>
            </w:r>
          </w:p>
        </w:tc>
      </w:tr>
      <w:tr w14:paraId="62EF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1084" w:type="dxa"/>
            <w:tcBorders>
              <w:tl2br w:val="nil"/>
              <w:tr2bl w:val="nil"/>
            </w:tcBorders>
            <w:vAlign w:val="center"/>
          </w:tcPr>
          <w:p w14:paraId="74683400">
            <w:pPr>
              <w:widowControl/>
              <w:kinsoku w:val="0"/>
              <w:autoSpaceDE w:val="0"/>
              <w:autoSpaceDN w:val="0"/>
              <w:adjustRightInd/>
              <w:snapToGrid w:val="0"/>
              <w:spacing w:line="240" w:lineRule="auto"/>
              <w:ind w:left="252"/>
              <w:jc w:val="left"/>
              <w:textAlignment w:val="baseline"/>
              <w:rPr>
                <w:rFonts w:ascii="宋体" w:hAnsi="宋体"/>
                <w:color w:val="000000"/>
                <w:kern w:val="0"/>
                <w:sz w:val="18"/>
                <w:szCs w:val="18"/>
              </w:rPr>
            </w:pPr>
            <w:r>
              <w:rPr>
                <w:rFonts w:hint="eastAsia" w:ascii="宋体" w:hAnsi="宋体"/>
                <w:b/>
                <w:bCs/>
                <w:color w:val="000000"/>
                <w:spacing w:val="6"/>
                <w:kern w:val="0"/>
                <w:sz w:val="18"/>
                <w:szCs w:val="18"/>
              </w:rPr>
              <w:t>反馈人</w:t>
            </w:r>
          </w:p>
        </w:tc>
        <w:tc>
          <w:tcPr>
            <w:tcW w:w="7973" w:type="dxa"/>
            <w:gridSpan w:val="4"/>
            <w:tcBorders>
              <w:tl2br w:val="nil"/>
              <w:tr2bl w:val="nil"/>
            </w:tcBorders>
            <w:vAlign w:val="center"/>
          </w:tcPr>
          <w:p w14:paraId="6E39BF54">
            <w:pPr>
              <w:widowControl/>
              <w:kinsoku w:val="0"/>
              <w:autoSpaceDE w:val="0"/>
              <w:autoSpaceDN w:val="0"/>
              <w:adjustRightInd/>
              <w:snapToGrid w:val="0"/>
              <w:spacing w:line="240" w:lineRule="auto"/>
              <w:ind w:left="113"/>
              <w:jc w:val="left"/>
              <w:textAlignment w:val="baseline"/>
              <w:rPr>
                <w:rFonts w:ascii="宋体" w:hAnsi="宋体"/>
                <w:color w:val="000000"/>
                <w:kern w:val="0"/>
                <w:sz w:val="18"/>
                <w:szCs w:val="18"/>
              </w:rPr>
            </w:pPr>
            <w:r>
              <w:rPr>
                <w:rFonts w:hint="eastAsia" w:ascii="宋体" w:hAnsi="宋体"/>
                <w:color w:val="000000"/>
                <w:spacing w:val="2"/>
                <w:kern w:val="0"/>
                <w:sz w:val="18"/>
                <w:szCs w:val="18"/>
              </w:rPr>
              <w:t>姓名：           单位：</w:t>
            </w:r>
            <w:r>
              <w:rPr>
                <w:rFonts w:hint="eastAsia" w:ascii="宋体" w:hAnsi="宋体"/>
                <w:color w:val="000000"/>
                <w:spacing w:val="1"/>
                <w:kern w:val="0"/>
                <w:sz w:val="18"/>
                <w:szCs w:val="18"/>
              </w:rPr>
              <w:t xml:space="preserve">                  </w:t>
            </w:r>
            <w:r>
              <w:rPr>
                <w:rFonts w:hint="eastAsia" w:ascii="宋体" w:hAnsi="宋体"/>
                <w:color w:val="000000"/>
                <w:spacing w:val="2"/>
                <w:kern w:val="0"/>
                <w:sz w:val="18"/>
                <w:szCs w:val="18"/>
              </w:rPr>
              <w:t>联系方式：</w:t>
            </w:r>
            <w:r>
              <w:rPr>
                <w:rFonts w:hint="eastAsia" w:ascii="宋体" w:hAnsi="宋体"/>
                <w:sz w:val="18"/>
                <w:szCs w:val="18"/>
              </w:rPr>
              <w:t xml:space="preserve">           </w:t>
            </w:r>
          </w:p>
        </w:tc>
      </w:tr>
    </w:tbl>
    <w:p w14:paraId="11AE81C5">
      <w:pPr>
        <w:pStyle w:val="60"/>
        <w:ind w:firstLine="360"/>
        <w:rPr>
          <w:rFonts w:hint="eastAsia"/>
          <w:sz w:val="18"/>
          <w:szCs w:val="18"/>
        </w:rPr>
      </w:pPr>
      <w:r>
        <w:rPr>
          <w:rFonts w:hint="eastAsia"/>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5BA894A6">
      <w:pPr>
        <w:pStyle w:val="60"/>
        <w:ind w:firstLine="0" w:firstLineChars="0"/>
        <w:rPr>
          <w:rFonts w:hint="eastAsia"/>
          <w:lang w:eastAsia="zh-CN"/>
        </w:rPr>
      </w:pPr>
      <w:r>
        <mc:AlternateContent>
          <mc:Choice Requires="wps">
            <w:drawing>
              <wp:anchor distT="0" distB="0" distL="114300" distR="114300" simplePos="0" relativeHeight="251661312" behindDoc="0" locked="0" layoutInCell="1" allowOverlap="1">
                <wp:simplePos x="0" y="0"/>
                <wp:positionH relativeFrom="column">
                  <wp:posOffset>1901825</wp:posOffset>
                </wp:positionH>
                <wp:positionV relativeFrom="paragraph">
                  <wp:posOffset>476885</wp:posOffset>
                </wp:positionV>
                <wp:extent cx="1943100" cy="0"/>
                <wp:effectExtent l="0" t="4445" r="0" b="5080"/>
                <wp:wrapNone/>
                <wp:docPr id="1" name="直接连接符 1"/>
                <wp:cNvGraphicFramePr/>
                <a:graphic xmlns:a="http://schemas.openxmlformats.org/drawingml/2006/main">
                  <a:graphicData uri="http://schemas.microsoft.com/office/word/2010/wordprocessingShape">
                    <wps:wsp>
                      <wps:cNvCnPr/>
                      <wps:spPr>
                        <a:xfrm>
                          <a:off x="1179830" y="2249805"/>
                          <a:ext cx="1943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9.75pt;margin-top:37.55pt;height:0pt;width:153pt;z-index:251661312;mso-width-relative:page;mso-height-relative:page;" filled="f" stroked="t" coordsize="21600,21600" o:gfxdata="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5qvr1gAAAAkBAAAPAAAAAAAAAAEAIAAAACIAAABkcnMv&#10;ZG93bnJldi54bWxQSwECFAAUAAAACACHTuJAgCxKpcwBAAB2AwAADgAAAAAAAAABACAAAAAlAQAA&#10;ZHJzL2Uyb0RvYy54bWxQSwUGAAAAAAYABgBZAQAAYwUAAAAA&#10;">
                <v:fill on="f" focussize="0,0"/>
                <v:stroke color="#000000" joinstyle="round"/>
                <v:imagedata o:title=""/>
                <o:lock v:ext="edit" aspectratio="f"/>
              </v:line>
            </w:pict>
          </mc:Fallback>
        </mc:AlternateContent>
      </w:r>
    </w:p>
    <w:sectPr>
      <w:pgSz w:w="11906" w:h="16838"/>
      <w:pgMar w:top="567" w:right="1134" w:bottom="1134" w:left="1134" w:header="1418" w:footer="1134" w:gutter="284"/>
      <w:pgNumType w:fmt="decimal"/>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等线">
    <w:altName w:val="微软雅黑"/>
    <w:panose1 w:val="02010600030101010101"/>
    <w:charset w:val="86"/>
    <w:family w:val="auto"/>
    <w:pitch w:val="default"/>
    <w:sig w:usb0="00000000" w:usb1="00000000" w:usb2="00000016" w:usb3="00000000" w:csb0="0004000F" w:csb1="00000000"/>
  </w:font>
  <w:font w:name="等线 Light">
    <w:altName w:val="Noto Serif CJK SC"/>
    <w:panose1 w:val="02010600030101010101"/>
    <w:charset w:val="86"/>
    <w:family w:val="auto"/>
    <w:pitch w:val="default"/>
    <w:sig w:usb0="00000000" w:usb1="00000000" w:usb2="00000016" w:usb3="00000000" w:csb0="0004000F" w:csb1="00000000"/>
  </w:font>
  <w:font w:name="Noto Serif CJK SC">
    <w:panose1 w:val="02020400000000000000"/>
    <w:charset w:val="86"/>
    <w:family w:val="auto"/>
    <w:pitch w:val="default"/>
    <w:sig w:usb0="30000083" w:usb1="2BDF3C10" w:usb2="00000016" w:usb3="00000000" w:csb0="602E0107" w:csb1="00000000"/>
  </w:font>
  <w:font w:name="等线">
    <w:altName w:val="微软雅黑"/>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66A8">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35F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052B">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D78A3">
    <w:pPr>
      <w:pStyle w:val="56"/>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861D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31861DA">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BE3C60">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14:paraId="3EBE3C60">
                    <w:pPr>
                      <w:pStyle w:val="1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7FA5">
    <w:pPr>
      <w:pStyle w:val="56"/>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05082">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C005082">
                    <w:pPr>
                      <w:pStyle w:val="18"/>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AC54B">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14:paraId="1A1AC54B">
                    <w:pPr>
                      <w:pStyle w:val="18"/>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28A0">
    <w:pPr>
      <w:pStyle w:val="5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E276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DE2764">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00EF">
    <w:pPr>
      <w:pStyle w:val="19"/>
      <w:wordWrap w:val="0"/>
      <w:jc w:val="right"/>
      <w:rPr>
        <w:rFonts w:ascii="黑体" w:hAnsi="黑体" w:eastAsia="黑体"/>
      </w:rPr>
    </w:pPr>
    <w:r>
      <w:rPr>
        <w:rFonts w:ascii="黑体" w:hAnsi="黑体" w:eastAsia="黑体"/>
      </w:rPr>
      <w:t>DB 42/T</w:t>
    </w:r>
    <w:r>
      <w:rPr>
        <w:rFonts w:hint="eastAsia" w:ascii="黑体" w:hAnsi="黑体" w:eastAsia="黑体"/>
      </w:rPr>
      <w:t xml:space="preserve"> </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519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54CC">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D4EA5">
    <w:pPr>
      <w:pStyle w:val="19"/>
      <w:wordWrap w:val="0"/>
      <w:jc w:val="righ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D68B">
    <w:pPr>
      <w:pStyle w:val="19"/>
      <w:wordWrap w:val="0"/>
      <w:jc w:val="right"/>
      <w:rPr>
        <w:rFonts w:ascii="黑体" w:hAnsi="黑体" w:eastAsia="黑体"/>
      </w:rPr>
    </w:pPr>
    <w:r>
      <w:rPr>
        <w:rFonts w:ascii="黑体" w:hAnsi="黑体" w:eastAsia="黑体"/>
      </w:rPr>
      <w:t>DB 42/T</w:t>
    </w:r>
    <w:r>
      <w:rPr>
        <w:rFonts w:hint="eastAsia" w:ascii="黑体" w:hAnsi="黑体" w:eastAsia="黑体"/>
      </w:rPr>
      <w:t xml:space="preserve"> </w:t>
    </w:r>
    <w:r>
      <w:rPr>
        <w:rFonts w:ascii="黑体" w:hAnsi="黑体" w:eastAsia="黑体"/>
      </w:rPr>
      <w:t>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8"/>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MWEzZDUwYmQxOTg2Yzk4ZTg5NGNjNjU5OTI4NGQifQ=="/>
  </w:docVars>
  <w:rsids>
    <w:rsidRoot w:val="007F561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A81"/>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0BCB"/>
    <w:rsid w:val="00104926"/>
    <w:rsid w:val="00105971"/>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EA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9FC"/>
    <w:rsid w:val="001852C9"/>
    <w:rsid w:val="00190087"/>
    <w:rsid w:val="001913C4"/>
    <w:rsid w:val="00192370"/>
    <w:rsid w:val="0019348F"/>
    <w:rsid w:val="00193A07"/>
    <w:rsid w:val="00194C95"/>
    <w:rsid w:val="00195C34"/>
    <w:rsid w:val="00196EF5"/>
    <w:rsid w:val="001A1A53"/>
    <w:rsid w:val="001A234A"/>
    <w:rsid w:val="001A4CF3"/>
    <w:rsid w:val="001B06E8"/>
    <w:rsid w:val="001B2223"/>
    <w:rsid w:val="001B71D0"/>
    <w:rsid w:val="001B71EE"/>
    <w:rsid w:val="001C04A8"/>
    <w:rsid w:val="001C2C03"/>
    <w:rsid w:val="001C42F7"/>
    <w:rsid w:val="001C49E5"/>
    <w:rsid w:val="001C680C"/>
    <w:rsid w:val="001C7FEA"/>
    <w:rsid w:val="001D0499"/>
    <w:rsid w:val="001D0BBE"/>
    <w:rsid w:val="001D0ED4"/>
    <w:rsid w:val="001D212F"/>
    <w:rsid w:val="001D29D7"/>
    <w:rsid w:val="001D2B4F"/>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0F4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CEF"/>
    <w:rsid w:val="00312DE3"/>
    <w:rsid w:val="00313B85"/>
    <w:rsid w:val="00317988"/>
    <w:rsid w:val="003221B4"/>
    <w:rsid w:val="0032258D"/>
    <w:rsid w:val="00322E62"/>
    <w:rsid w:val="00324D13"/>
    <w:rsid w:val="00324D2A"/>
    <w:rsid w:val="00324EDD"/>
    <w:rsid w:val="003331E4"/>
    <w:rsid w:val="00336C64"/>
    <w:rsid w:val="00337162"/>
    <w:rsid w:val="00340D13"/>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95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01E4"/>
    <w:rsid w:val="003A1582"/>
    <w:rsid w:val="003A4077"/>
    <w:rsid w:val="003B078F"/>
    <w:rsid w:val="003B09AD"/>
    <w:rsid w:val="003B1E67"/>
    <w:rsid w:val="003B1F18"/>
    <w:rsid w:val="003B5BF0"/>
    <w:rsid w:val="003B60BF"/>
    <w:rsid w:val="003B6BE3"/>
    <w:rsid w:val="003C010C"/>
    <w:rsid w:val="003C0A6C"/>
    <w:rsid w:val="003C14F8"/>
    <w:rsid w:val="003C5392"/>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C36"/>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B3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F1D"/>
    <w:rsid w:val="00555044"/>
    <w:rsid w:val="005613A3"/>
    <w:rsid w:val="00561475"/>
    <w:rsid w:val="0056487B"/>
    <w:rsid w:val="00564FB9"/>
    <w:rsid w:val="00573D9E"/>
    <w:rsid w:val="005801E3"/>
    <w:rsid w:val="00581802"/>
    <w:rsid w:val="005836A8"/>
    <w:rsid w:val="0058409C"/>
    <w:rsid w:val="00584262"/>
    <w:rsid w:val="0058603C"/>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342B"/>
    <w:rsid w:val="005C5F21"/>
    <w:rsid w:val="005C7156"/>
    <w:rsid w:val="005D0C75"/>
    <w:rsid w:val="005D4171"/>
    <w:rsid w:val="005D471A"/>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48C"/>
    <w:rsid w:val="00632182"/>
    <w:rsid w:val="00632AE0"/>
    <w:rsid w:val="00633C17"/>
    <w:rsid w:val="00634D9E"/>
    <w:rsid w:val="00636E3E"/>
    <w:rsid w:val="006379F7"/>
    <w:rsid w:val="00637E4D"/>
    <w:rsid w:val="00640620"/>
    <w:rsid w:val="006406C2"/>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184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1127"/>
    <w:rsid w:val="007322D9"/>
    <w:rsid w:val="00732BC0"/>
    <w:rsid w:val="0073720F"/>
    <w:rsid w:val="00737796"/>
    <w:rsid w:val="00740F54"/>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374"/>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561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5F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B85"/>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49B"/>
    <w:rsid w:val="00AE070A"/>
    <w:rsid w:val="00AE101C"/>
    <w:rsid w:val="00AE2870"/>
    <w:rsid w:val="00AE37E5"/>
    <w:rsid w:val="00AE5EB4"/>
    <w:rsid w:val="00AF0C18"/>
    <w:rsid w:val="00AF213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851"/>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1FD7"/>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1E7E"/>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5FA"/>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67C9D"/>
    <w:rsid w:val="00D71F25"/>
    <w:rsid w:val="00D72A9C"/>
    <w:rsid w:val="00D77031"/>
    <w:rsid w:val="00D809FA"/>
    <w:rsid w:val="00D84941"/>
    <w:rsid w:val="00D84AAC"/>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2E93"/>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F20"/>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BD7"/>
    <w:rsid w:val="00FF3E7D"/>
    <w:rsid w:val="00FF5B99"/>
    <w:rsid w:val="00FF730C"/>
    <w:rsid w:val="00FF73F4"/>
    <w:rsid w:val="00FF7CE4"/>
    <w:rsid w:val="00FF7E39"/>
    <w:rsid w:val="016838C8"/>
    <w:rsid w:val="03701F99"/>
    <w:rsid w:val="0A321CF3"/>
    <w:rsid w:val="0A932F65"/>
    <w:rsid w:val="0D493391"/>
    <w:rsid w:val="0F77E6AE"/>
    <w:rsid w:val="0FCE5508"/>
    <w:rsid w:val="103510F8"/>
    <w:rsid w:val="10D20DF1"/>
    <w:rsid w:val="16FFF8BE"/>
    <w:rsid w:val="187A3B4C"/>
    <w:rsid w:val="1BD959D6"/>
    <w:rsid w:val="1FD572F8"/>
    <w:rsid w:val="246C0D2D"/>
    <w:rsid w:val="2D7E74A3"/>
    <w:rsid w:val="2E7F3386"/>
    <w:rsid w:val="2EC78A65"/>
    <w:rsid w:val="2EDABB55"/>
    <w:rsid w:val="2F3DA3AA"/>
    <w:rsid w:val="2FEA98B0"/>
    <w:rsid w:val="2FEE4DCB"/>
    <w:rsid w:val="2FFBD038"/>
    <w:rsid w:val="33BF6577"/>
    <w:rsid w:val="34BFB1B9"/>
    <w:rsid w:val="355F609A"/>
    <w:rsid w:val="37283117"/>
    <w:rsid w:val="37B8D924"/>
    <w:rsid w:val="37DF06E3"/>
    <w:rsid w:val="390F25AF"/>
    <w:rsid w:val="391113F9"/>
    <w:rsid w:val="3A1C2075"/>
    <w:rsid w:val="3A9D2A8F"/>
    <w:rsid w:val="3ABC253E"/>
    <w:rsid w:val="3B7F62CA"/>
    <w:rsid w:val="3B7F9DA2"/>
    <w:rsid w:val="3BFD5558"/>
    <w:rsid w:val="3BFF346A"/>
    <w:rsid w:val="3C6F9593"/>
    <w:rsid w:val="3DBBBD4B"/>
    <w:rsid w:val="3E6FED24"/>
    <w:rsid w:val="3E8F6736"/>
    <w:rsid w:val="3F043A6D"/>
    <w:rsid w:val="3FFB4B50"/>
    <w:rsid w:val="4525520D"/>
    <w:rsid w:val="455E2F2E"/>
    <w:rsid w:val="473F689D"/>
    <w:rsid w:val="499D14E8"/>
    <w:rsid w:val="4DBCD72E"/>
    <w:rsid w:val="4DF074B8"/>
    <w:rsid w:val="4ECFD7A1"/>
    <w:rsid w:val="4F62A1E3"/>
    <w:rsid w:val="4FC6233E"/>
    <w:rsid w:val="511C2D74"/>
    <w:rsid w:val="53A55C64"/>
    <w:rsid w:val="54BECA2C"/>
    <w:rsid w:val="55BB70E2"/>
    <w:rsid w:val="57C116F7"/>
    <w:rsid w:val="593C0D7C"/>
    <w:rsid w:val="5A7C1BF1"/>
    <w:rsid w:val="5AD7AF9C"/>
    <w:rsid w:val="5BFF2474"/>
    <w:rsid w:val="5CEFF142"/>
    <w:rsid w:val="5CFBFB81"/>
    <w:rsid w:val="5D63020F"/>
    <w:rsid w:val="5DEF8736"/>
    <w:rsid w:val="5E085826"/>
    <w:rsid w:val="5FC87FED"/>
    <w:rsid w:val="5FF20D4B"/>
    <w:rsid w:val="5FF29159"/>
    <w:rsid w:val="5FFDE0F9"/>
    <w:rsid w:val="60C34FC9"/>
    <w:rsid w:val="61BD2E5C"/>
    <w:rsid w:val="61FD6165"/>
    <w:rsid w:val="6679B279"/>
    <w:rsid w:val="67DF77E4"/>
    <w:rsid w:val="67F75679"/>
    <w:rsid w:val="6AAFA6D0"/>
    <w:rsid w:val="6BDD52A4"/>
    <w:rsid w:val="6DDE3B50"/>
    <w:rsid w:val="6F0F4B69"/>
    <w:rsid w:val="6F7D9586"/>
    <w:rsid w:val="6FEFF24D"/>
    <w:rsid w:val="6FFEF4EB"/>
    <w:rsid w:val="6FFF661F"/>
    <w:rsid w:val="707635C9"/>
    <w:rsid w:val="73CC3EE8"/>
    <w:rsid w:val="75EBE223"/>
    <w:rsid w:val="76764346"/>
    <w:rsid w:val="76F7CBFF"/>
    <w:rsid w:val="77081AF4"/>
    <w:rsid w:val="77ED4C93"/>
    <w:rsid w:val="77EFF8D4"/>
    <w:rsid w:val="78647F0D"/>
    <w:rsid w:val="797F3836"/>
    <w:rsid w:val="79FFACE5"/>
    <w:rsid w:val="7A5D3E16"/>
    <w:rsid w:val="7A5F10FF"/>
    <w:rsid w:val="7ABBDA55"/>
    <w:rsid w:val="7AFB22A4"/>
    <w:rsid w:val="7B4FAA62"/>
    <w:rsid w:val="7B6DADF4"/>
    <w:rsid w:val="7B6FA66B"/>
    <w:rsid w:val="7B770876"/>
    <w:rsid w:val="7BD3F53B"/>
    <w:rsid w:val="7BDD6893"/>
    <w:rsid w:val="7BF64B9D"/>
    <w:rsid w:val="7BF906B6"/>
    <w:rsid w:val="7BFD7A48"/>
    <w:rsid w:val="7D77EC3B"/>
    <w:rsid w:val="7D8BC358"/>
    <w:rsid w:val="7DA6E562"/>
    <w:rsid w:val="7DAFD56C"/>
    <w:rsid w:val="7DDD98F9"/>
    <w:rsid w:val="7DFC5436"/>
    <w:rsid w:val="7DFF8F3C"/>
    <w:rsid w:val="7E7AAC3B"/>
    <w:rsid w:val="7E7B929E"/>
    <w:rsid w:val="7EA7C483"/>
    <w:rsid w:val="7EFF96AD"/>
    <w:rsid w:val="7F182E6E"/>
    <w:rsid w:val="7F1B492B"/>
    <w:rsid w:val="7F1C02FF"/>
    <w:rsid w:val="7F598AE9"/>
    <w:rsid w:val="7F5B12AC"/>
    <w:rsid w:val="7F5DA846"/>
    <w:rsid w:val="7F7FAEE6"/>
    <w:rsid w:val="7FB3653D"/>
    <w:rsid w:val="7FCF80B3"/>
    <w:rsid w:val="7FDF0C18"/>
    <w:rsid w:val="7FEFB720"/>
    <w:rsid w:val="7FF1948B"/>
    <w:rsid w:val="7FF67994"/>
    <w:rsid w:val="7FFA16F7"/>
    <w:rsid w:val="7FFC4D01"/>
    <w:rsid w:val="7FFD56BE"/>
    <w:rsid w:val="7FFF02AB"/>
    <w:rsid w:val="7FFF3D4D"/>
    <w:rsid w:val="897F3FC6"/>
    <w:rsid w:val="8AFB6E63"/>
    <w:rsid w:val="8DD986E0"/>
    <w:rsid w:val="8FA7887A"/>
    <w:rsid w:val="8FBF5543"/>
    <w:rsid w:val="8FCA1829"/>
    <w:rsid w:val="8FE7A55C"/>
    <w:rsid w:val="97DFEB58"/>
    <w:rsid w:val="9BF45896"/>
    <w:rsid w:val="9F5EC051"/>
    <w:rsid w:val="A7FB2FBA"/>
    <w:rsid w:val="ABFD00DC"/>
    <w:rsid w:val="ACB70D1F"/>
    <w:rsid w:val="AEE8126C"/>
    <w:rsid w:val="AFBFC41E"/>
    <w:rsid w:val="B4FFE1DA"/>
    <w:rsid w:val="B65FFBAB"/>
    <w:rsid w:val="B7FDC976"/>
    <w:rsid w:val="BBAFEC1C"/>
    <w:rsid w:val="BED6E459"/>
    <w:rsid w:val="BEE9F0C9"/>
    <w:rsid w:val="BF4B5C72"/>
    <w:rsid w:val="BFF1AB61"/>
    <w:rsid w:val="BFFFBCFD"/>
    <w:rsid w:val="C2BECF08"/>
    <w:rsid w:val="C4D37230"/>
    <w:rsid w:val="C637808C"/>
    <w:rsid w:val="CCFFB76A"/>
    <w:rsid w:val="CDBFEC45"/>
    <w:rsid w:val="CDFFF375"/>
    <w:rsid w:val="CE7FC5F1"/>
    <w:rsid w:val="D6EFA4A5"/>
    <w:rsid w:val="D6FF6ABC"/>
    <w:rsid w:val="D7ED7351"/>
    <w:rsid w:val="D9CFCB83"/>
    <w:rsid w:val="DABF415C"/>
    <w:rsid w:val="DB8640F6"/>
    <w:rsid w:val="DCFDEDD3"/>
    <w:rsid w:val="DD4187AF"/>
    <w:rsid w:val="DDF7B3A6"/>
    <w:rsid w:val="DF69DA60"/>
    <w:rsid w:val="DF98FEC0"/>
    <w:rsid w:val="DFF53887"/>
    <w:rsid w:val="DFFE25A8"/>
    <w:rsid w:val="E5FD168A"/>
    <w:rsid w:val="EF76BF58"/>
    <w:rsid w:val="EF7FB678"/>
    <w:rsid w:val="EF7FC7E8"/>
    <w:rsid w:val="EFF93195"/>
    <w:rsid w:val="F06D36CD"/>
    <w:rsid w:val="F17D6805"/>
    <w:rsid w:val="F2D20133"/>
    <w:rsid w:val="F3DD6430"/>
    <w:rsid w:val="F5F325C5"/>
    <w:rsid w:val="F5FB1629"/>
    <w:rsid w:val="F6D76EE9"/>
    <w:rsid w:val="F6F9F0ED"/>
    <w:rsid w:val="F6FF93CC"/>
    <w:rsid w:val="F773ACAF"/>
    <w:rsid w:val="F78FA3C0"/>
    <w:rsid w:val="F7AB57FD"/>
    <w:rsid w:val="F7BFCE47"/>
    <w:rsid w:val="F7E445E2"/>
    <w:rsid w:val="F7FECF43"/>
    <w:rsid w:val="F7FFD7BD"/>
    <w:rsid w:val="FB97E1BC"/>
    <w:rsid w:val="FBDE2F3D"/>
    <w:rsid w:val="FC6F0B36"/>
    <w:rsid w:val="FD1D50C5"/>
    <w:rsid w:val="FDD98F89"/>
    <w:rsid w:val="FDFD3765"/>
    <w:rsid w:val="FDFF529A"/>
    <w:rsid w:val="FEAD5020"/>
    <w:rsid w:val="FED7F946"/>
    <w:rsid w:val="FEDB85F2"/>
    <w:rsid w:val="FEF6B5B4"/>
    <w:rsid w:val="FEFD6C9C"/>
    <w:rsid w:val="FF963004"/>
    <w:rsid w:val="FF9F12D3"/>
    <w:rsid w:val="FF9F771D"/>
    <w:rsid w:val="FFA5E8ED"/>
    <w:rsid w:val="FFADB6D5"/>
    <w:rsid w:val="FFAE268E"/>
    <w:rsid w:val="FFB2CD8C"/>
    <w:rsid w:val="FFBFF66E"/>
    <w:rsid w:val="FFEAA4E0"/>
    <w:rsid w:val="FFF2EBE0"/>
    <w:rsid w:val="FFF71065"/>
    <w:rsid w:val="FFFB5D19"/>
    <w:rsid w:val="FFFFB8EB"/>
    <w:rsid w:val="FFFFF4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90"/>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49"/>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semiHidden/>
    <w:unhideWhenUsed/>
    <w:qFormat/>
    <w:uiPriority w:val="99"/>
    <w:pPr>
      <w:spacing w:beforeAutospacing="1" w:afterAutospacing="1"/>
      <w:jc w:val="left"/>
    </w:pPr>
    <w:rPr>
      <w:kern w:val="0"/>
      <w:sz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HTML Code"/>
    <w:basedOn w:val="31"/>
    <w:semiHidden/>
    <w:unhideWhenUsed/>
    <w:qFormat/>
    <w:uiPriority w:val="99"/>
    <w:rPr>
      <w:rFonts w:ascii="Courier New" w:hAnsi="Courier New"/>
      <w:sz w:val="20"/>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8"/>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line="278" w:lineRule="auto"/>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line="278" w:lineRule="auto"/>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line="278" w:lineRule="auto"/>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3"/>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90">
    <w:name w:val="正文文本 Char"/>
    <w:link w:val="13"/>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line="278" w:lineRule="auto"/>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spacing w:after="160" w:line="278" w:lineRule="auto"/>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spacing w:after="160" w:line="278" w:lineRule="auto"/>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spacing w:after="160" w:line="278" w:lineRule="auto"/>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spacing w:after="160" w:line="278" w:lineRule="auto"/>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table" w:customStyle="1" w:styleId="234">
    <w:name w:val="网格型1"/>
    <w:basedOn w:val="29"/>
    <w:unhideWhenUsed/>
    <w:qFormat/>
    <w:uiPriority w:val="9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5">
    <w:name w:val="一级条标题"/>
    <w:next w:val="236"/>
    <w:qFormat/>
    <w:uiPriority w:val="0"/>
    <w:pPr>
      <w:numPr>
        <w:ilvl w:val="1"/>
        <w:numId w:val="32"/>
      </w:numPr>
      <w:spacing w:before="156" w:beforeLines="50" w:after="156" w:afterLines="50" w:line="278" w:lineRule="auto"/>
      <w:outlineLvl w:val="2"/>
    </w:pPr>
    <w:rPr>
      <w:rFonts w:ascii="黑体" w:hAnsi="Times New Roman" w:eastAsia="黑体" w:cs="Times New Roman"/>
      <w:sz w:val="21"/>
      <w:szCs w:val="21"/>
      <w:lang w:val="en-US" w:eastAsia="zh-CN" w:bidi="ar-SA"/>
    </w:rPr>
  </w:style>
  <w:style w:type="paragraph" w:customStyle="1" w:styleId="236">
    <w:name w:val="段"/>
    <w:link w:val="239"/>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paragraph" w:customStyle="1" w:styleId="237">
    <w:name w:val="章标题"/>
    <w:next w:val="236"/>
    <w:qFormat/>
    <w:uiPriority w:val="0"/>
    <w:pPr>
      <w:numPr>
        <w:ilvl w:val="0"/>
        <w:numId w:val="32"/>
      </w:numPr>
      <w:spacing w:beforeLines="100" w:after="160" w:afterLines="100" w:line="278" w:lineRule="auto"/>
      <w:jc w:val="both"/>
      <w:outlineLvl w:val="1"/>
    </w:pPr>
    <w:rPr>
      <w:rFonts w:ascii="黑体" w:hAnsi="Times New Roman" w:eastAsia="黑体" w:cs="Times New Roman"/>
      <w:sz w:val="21"/>
      <w:szCs w:val="22"/>
      <w:lang w:val="en-US" w:eastAsia="zh-CN" w:bidi="ar-SA"/>
    </w:rPr>
  </w:style>
  <w:style w:type="paragraph" w:customStyle="1" w:styleId="238">
    <w:name w:val="二级条标题"/>
    <w:basedOn w:val="235"/>
    <w:next w:val="236"/>
    <w:qFormat/>
    <w:uiPriority w:val="0"/>
    <w:pPr>
      <w:numPr>
        <w:ilvl w:val="2"/>
      </w:numPr>
      <w:spacing w:before="50" w:after="50"/>
      <w:outlineLvl w:val="3"/>
    </w:pPr>
  </w:style>
  <w:style w:type="character" w:customStyle="1" w:styleId="239">
    <w:name w:val="段 Char"/>
    <w:link w:val="236"/>
    <w:qFormat/>
    <w:uiPriority w:val="0"/>
    <w:rPr>
      <w:rFonts w:ascii="宋体" w:hAnsi="Times New Roman" w:eastAsia="宋体" w:cs="Times New Roman"/>
      <w:sz w:val="21"/>
      <w:lang w:val="en-US" w:eastAsia="zh-CN" w:bidi="ar-SA"/>
    </w:rPr>
  </w:style>
  <w:style w:type="paragraph" w:customStyle="1" w:styleId="240">
    <w:name w:val="列出段落1"/>
    <w:basedOn w:val="1"/>
    <w:qFormat/>
    <w:uiPriority w:val="34"/>
    <w:pPr>
      <w:ind w:firstLine="420" w:firstLineChars="200"/>
    </w:pPr>
  </w:style>
  <w:style w:type="paragraph" w:styleId="241">
    <w:name w:val="List Paragraph"/>
    <w:basedOn w:val="1"/>
    <w:qFormat/>
    <w:uiPriority w:val="34"/>
    <w:pPr>
      <w:ind w:firstLine="420" w:firstLineChars="200"/>
    </w:pPr>
  </w:style>
  <w:style w:type="paragraph" w:customStyle="1" w:styleId="242">
    <w:name w:val="标准书脚_奇数页"/>
    <w:qFormat/>
    <w:uiPriority w:val="0"/>
    <w:pPr>
      <w:spacing w:before="120" w:after="160" w:line="278" w:lineRule="auto"/>
      <w:jc w:val="right"/>
    </w:pPr>
    <w:rPr>
      <w:rFonts w:ascii="Calibri" w:hAnsi="Calibri" w:eastAsia="宋体" w:cs="Times New Roman"/>
      <w:sz w:val="18"/>
      <w:szCs w:val="22"/>
      <w:lang w:val="en-US" w:eastAsia="zh-CN" w:bidi="ar-SA"/>
    </w:rPr>
  </w:style>
  <w:style w:type="paragraph" w:customStyle="1" w:styleId="243">
    <w:name w:val="修订1"/>
    <w:hidden/>
    <w:unhideWhenUsed/>
    <w:qFormat/>
    <w:uiPriority w:val="99"/>
    <w:pPr>
      <w:spacing w:after="160" w:line="278" w:lineRule="auto"/>
    </w:pPr>
    <w:rPr>
      <w:rFonts w:ascii="Calibri" w:hAnsi="Calibri" w:eastAsia="宋体" w:cs="Times New Roman"/>
      <w:kern w:val="2"/>
      <w:sz w:val="21"/>
      <w:szCs w:val="21"/>
      <w:lang w:val="en-US" w:eastAsia="zh-CN" w:bidi="ar-SA"/>
    </w:rPr>
  </w:style>
  <w:style w:type="paragraph" w:customStyle="1" w:styleId="244">
    <w:name w:val="Revision"/>
    <w:hidden/>
    <w:unhideWhenUsed/>
    <w:qFormat/>
    <w:uiPriority w:val="99"/>
    <w:pPr>
      <w:spacing w:after="0" w:line="240" w:lineRule="auto"/>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PCMI</Company>
  <Pages>11</Pages>
  <Words>875</Words>
  <Characters>1155</Characters>
  <Lines>1</Lines>
  <Paragraphs>1</Paragraphs>
  <TotalTime>2</TotalTime>
  <ScaleCrop>false</ScaleCrop>
  <LinksUpToDate>false</LinksUpToDate>
  <CharactersWithSpaces>1243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2021-03-28T14:12:00Z</dcterms:created>
  <dc:creator>lenovo</dc:creator>
  <dc:description>&lt;config cover="true" show_menu="true" version="1.0.0" doctype="SDKXY"&gt;_x000d_
&lt;/config&gt;</dc:description>
  <cp:lastModifiedBy>姚</cp:lastModifiedBy>
  <cp:lastPrinted>2025-10-04T19:00:00Z</cp:lastPrinted>
  <dcterms:modified xsi:type="dcterms:W3CDTF">2025-12-11T09:28:54Z</dcterms:modified>
  <dc:title>地方标准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22EFA7907B090EEE621A3A69CE74F583_43</vt:lpwstr>
  </property>
  <property fmtid="{D5CDD505-2E9C-101B-9397-08002B2CF9AE}" pid="16" name="KSOTemplateDocerSaveRecord">
    <vt:lpwstr>eyJoZGlkIjoiNGFjMTU2MTdkNmExN2IyYjJkNmYzNzEzYzkxM2MxM2MiLCJ1c2VySWQiOiI4MDQxMzc3MTkifQ==</vt:lpwstr>
  </property>
</Properties>
</file>