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23FFE">
      <w:pPr>
        <w:pStyle w:val="11"/>
        <w:spacing w:line="360" w:lineRule="auto"/>
        <w:ind w:left="9305" w:right="240" w:firstLine="0" w:firstLineChars="0"/>
        <w:jc w:val="right"/>
        <w:rPr>
          <w:rFonts w:ascii="宋体" w:hAnsi="宋体"/>
          <w:b/>
          <w:bCs/>
          <w:color w:val="000000" w:themeColor="text1"/>
          <w:sz w:val="24"/>
          <w14:textFill>
            <w14:solidFill>
              <w14:schemeClr w14:val="tx1"/>
            </w14:solidFill>
          </w14:textFill>
        </w:rPr>
      </w:pPr>
      <w:bookmarkStart w:id="0" w:name="_GoBack"/>
      <w:bookmarkEnd w:id="0"/>
    </w:p>
    <w:p w14:paraId="6651D4B5">
      <w:pPr>
        <w:spacing w:line="360" w:lineRule="auto"/>
        <w:jc w:val="center"/>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项目编号：</w:t>
      </w:r>
    </w:p>
    <w:p w14:paraId="2490AB6B">
      <w:pPr>
        <w:spacing w:line="360" w:lineRule="auto"/>
        <w:rPr>
          <w:rFonts w:ascii="宋体" w:hAnsi="宋体"/>
          <w:color w:val="000000" w:themeColor="text1"/>
          <w:sz w:val="24"/>
          <w14:textFill>
            <w14:solidFill>
              <w14:schemeClr w14:val="tx1"/>
            </w14:solidFill>
          </w14:textFill>
        </w:rPr>
      </w:pPr>
    </w:p>
    <w:p w14:paraId="5BF47F9B">
      <w:pPr>
        <w:spacing w:line="360" w:lineRule="auto"/>
        <w:rPr>
          <w:rFonts w:ascii="宋体" w:hAnsi="宋体"/>
          <w:color w:val="000000" w:themeColor="text1"/>
          <w:sz w:val="24"/>
          <w14:textFill>
            <w14:solidFill>
              <w14:schemeClr w14:val="tx1"/>
            </w14:solidFill>
          </w14:textFill>
        </w:rPr>
      </w:pPr>
    </w:p>
    <w:p w14:paraId="2EBB1539">
      <w:pPr>
        <w:spacing w:line="360" w:lineRule="auto"/>
        <w:rPr>
          <w:rFonts w:ascii="宋体" w:hAnsi="宋体"/>
          <w:color w:val="000000" w:themeColor="text1"/>
          <w:sz w:val="24"/>
          <w14:textFill>
            <w14:solidFill>
              <w14:schemeClr w14:val="tx1"/>
            </w14:solidFill>
          </w14:textFill>
        </w:rPr>
      </w:pPr>
    </w:p>
    <w:p w14:paraId="60BF6A42">
      <w:pPr>
        <w:spacing w:line="360" w:lineRule="auto"/>
        <w:rPr>
          <w:rFonts w:ascii="宋体" w:hAnsi="宋体"/>
          <w:color w:val="000000" w:themeColor="text1"/>
          <w:sz w:val="24"/>
          <w14:textFill>
            <w14:solidFill>
              <w14:schemeClr w14:val="tx1"/>
            </w14:solidFill>
          </w14:textFill>
        </w:rPr>
      </w:pPr>
    </w:p>
    <w:p w14:paraId="3D77E6C5">
      <w:pPr>
        <w:spacing w:line="360" w:lineRule="auto"/>
        <w:rPr>
          <w:rFonts w:ascii="宋体" w:hAnsi="宋体"/>
          <w:color w:val="000000" w:themeColor="text1"/>
          <w:sz w:val="24"/>
          <w14:textFill>
            <w14:solidFill>
              <w14:schemeClr w14:val="tx1"/>
            </w14:solidFill>
          </w14:textFill>
        </w:rPr>
      </w:pPr>
    </w:p>
    <w:p w14:paraId="545E60D4">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湖北省实物资产转让</w:t>
      </w:r>
    </w:p>
    <w:p w14:paraId="6E902E39">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产权交易合同</w:t>
      </w:r>
    </w:p>
    <w:p w14:paraId="53A6D6C6">
      <w:pPr>
        <w:spacing w:line="360" w:lineRule="auto"/>
        <w:rPr>
          <w:rFonts w:ascii="黑体" w:hAnsi="宋体" w:eastAsia="黑体"/>
          <w:b/>
          <w:bCs/>
          <w:color w:val="000000" w:themeColor="text1"/>
          <w:sz w:val="32"/>
          <w:szCs w:val="48"/>
          <w14:textFill>
            <w14:solidFill>
              <w14:schemeClr w14:val="tx1"/>
            </w14:solidFill>
          </w14:textFill>
        </w:rPr>
      </w:pPr>
      <w:r>
        <w:rPr>
          <w:rFonts w:hint="eastAsia" w:ascii="黑体" w:hAnsi="宋体" w:eastAsia="黑体"/>
          <w:b/>
          <w:bCs/>
          <w:color w:val="000000" w:themeColor="text1"/>
          <w:sz w:val="32"/>
          <w:szCs w:val="48"/>
          <w14:textFill>
            <w14:solidFill>
              <w14:schemeClr w14:val="tx1"/>
            </w14:solidFill>
          </w14:textFill>
        </w:rPr>
        <w:t xml:space="preserve">   </w:t>
      </w:r>
    </w:p>
    <w:p w14:paraId="51659B87">
      <w:pPr>
        <w:spacing w:line="360" w:lineRule="auto"/>
        <w:rPr>
          <w:rFonts w:ascii="黑体" w:hAnsi="宋体" w:eastAsia="黑体"/>
          <w:b/>
          <w:bCs/>
          <w:color w:val="000000" w:themeColor="text1"/>
          <w:sz w:val="32"/>
          <w:szCs w:val="48"/>
          <w14:textFill>
            <w14:solidFill>
              <w14:schemeClr w14:val="tx1"/>
            </w14:solidFill>
          </w14:textFill>
        </w:rPr>
      </w:pPr>
    </w:p>
    <w:p w14:paraId="64005E1B">
      <w:pPr>
        <w:spacing w:line="360" w:lineRule="auto"/>
        <w:rPr>
          <w:rFonts w:ascii="黑体" w:hAnsi="宋体" w:eastAsia="黑体"/>
          <w:b/>
          <w:bCs/>
          <w:color w:val="000000" w:themeColor="text1"/>
          <w:sz w:val="32"/>
          <w:szCs w:val="48"/>
          <w14:textFill>
            <w14:solidFill>
              <w14:schemeClr w14:val="tx1"/>
            </w14:solidFill>
          </w14:textFill>
        </w:rPr>
      </w:pPr>
    </w:p>
    <w:p w14:paraId="4D9CCF95">
      <w:pPr>
        <w:spacing w:line="360" w:lineRule="auto"/>
        <w:rPr>
          <w:rFonts w:ascii="黑体" w:hAnsi="宋体" w:eastAsia="黑体"/>
          <w:b/>
          <w:bCs/>
          <w:color w:val="000000" w:themeColor="text1"/>
          <w:sz w:val="32"/>
          <w:szCs w:val="48"/>
          <w14:textFill>
            <w14:solidFill>
              <w14:schemeClr w14:val="tx1"/>
            </w14:solidFill>
          </w14:textFill>
        </w:rPr>
      </w:pPr>
    </w:p>
    <w:p w14:paraId="098FFDAD">
      <w:pPr>
        <w:spacing w:line="360" w:lineRule="auto"/>
        <w:rPr>
          <w:rFonts w:ascii="黑体" w:hAnsi="宋体" w:eastAsia="黑体"/>
          <w:b/>
          <w:bCs/>
          <w:color w:val="000000" w:themeColor="text1"/>
          <w:sz w:val="32"/>
          <w:szCs w:val="48"/>
          <w14:textFill>
            <w14:solidFill>
              <w14:schemeClr w14:val="tx1"/>
            </w14:solidFill>
          </w14:textFill>
        </w:rPr>
      </w:pPr>
    </w:p>
    <w:p w14:paraId="42B9427D">
      <w:pPr>
        <w:spacing w:line="360" w:lineRule="auto"/>
        <w:rPr>
          <w:rFonts w:ascii="黑体" w:hAnsi="宋体" w:eastAsia="黑体"/>
          <w:b/>
          <w:bCs/>
          <w:color w:val="000000" w:themeColor="text1"/>
          <w:sz w:val="32"/>
          <w:szCs w:val="48"/>
          <w14:textFill>
            <w14:solidFill>
              <w14:schemeClr w14:val="tx1"/>
            </w14:solidFill>
          </w14:textFill>
        </w:rPr>
      </w:pPr>
    </w:p>
    <w:p w14:paraId="237FD15A">
      <w:pPr>
        <w:spacing w:line="360" w:lineRule="auto"/>
        <w:rPr>
          <w:rFonts w:ascii="黑体" w:hAnsi="宋体" w:eastAsia="黑体"/>
          <w:b/>
          <w:bCs/>
          <w:color w:val="000000" w:themeColor="text1"/>
          <w:sz w:val="32"/>
          <w:szCs w:val="48"/>
          <w14:textFill>
            <w14:solidFill>
              <w14:schemeClr w14:val="tx1"/>
            </w14:solidFill>
          </w14:textFill>
        </w:rPr>
      </w:pPr>
    </w:p>
    <w:p w14:paraId="258D7FF5">
      <w:pPr>
        <w:spacing w:line="360" w:lineRule="auto"/>
        <w:rPr>
          <w:rFonts w:ascii="黑体" w:hAnsi="宋体" w:eastAsia="黑体"/>
          <w:b/>
          <w:bCs/>
          <w:color w:val="000000" w:themeColor="text1"/>
          <w:sz w:val="32"/>
          <w:szCs w:val="48"/>
          <w14:textFill>
            <w14:solidFill>
              <w14:schemeClr w14:val="tx1"/>
            </w14:solidFill>
          </w14:textFill>
        </w:rPr>
      </w:pPr>
    </w:p>
    <w:p w14:paraId="2BA9C06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项目名称：</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9128B29">
      <w:pPr>
        <w:spacing w:line="360" w:lineRule="auto"/>
        <w:jc w:val="center"/>
        <w:rPr>
          <w:rFonts w:ascii="宋体" w:hAnsi="宋体"/>
          <w:color w:val="000000" w:themeColor="text1"/>
          <w:sz w:val="24"/>
          <w14:textFill>
            <w14:solidFill>
              <w14:schemeClr w14:val="tx1"/>
            </w14:solidFill>
          </w14:textFill>
        </w:rPr>
      </w:pPr>
    </w:p>
    <w:p w14:paraId="77D4CEBE">
      <w:pPr>
        <w:spacing w:line="360" w:lineRule="auto"/>
        <w:jc w:val="center"/>
        <w:rPr>
          <w:rFonts w:ascii="宋体" w:hAnsi="宋体"/>
          <w:color w:val="000000" w:themeColor="text1"/>
          <w:sz w:val="24"/>
          <w14:textFill>
            <w14:solidFill>
              <w14:schemeClr w14:val="tx1"/>
            </w14:solidFill>
          </w14:textFill>
        </w:rPr>
      </w:pPr>
    </w:p>
    <w:p w14:paraId="679F7ED8">
      <w:pPr>
        <w:spacing w:line="360" w:lineRule="auto"/>
        <w:jc w:val="center"/>
        <w:rPr>
          <w:rFonts w:ascii="宋体" w:hAnsi="宋体"/>
          <w:color w:val="000000" w:themeColor="text1"/>
          <w:sz w:val="24"/>
          <w14:textFill>
            <w14:solidFill>
              <w14:schemeClr w14:val="tx1"/>
            </w14:solidFill>
          </w14:textFill>
        </w:rPr>
      </w:pPr>
    </w:p>
    <w:p w14:paraId="5EDB4D93">
      <w:pPr>
        <w:spacing w:line="360" w:lineRule="auto"/>
        <w:jc w:val="center"/>
        <w:rPr>
          <w:rFonts w:ascii="宋体" w:hAnsi="宋体"/>
          <w:color w:val="000000" w:themeColor="text1"/>
          <w:sz w:val="24"/>
          <w14:textFill>
            <w14:solidFill>
              <w14:schemeClr w14:val="tx1"/>
            </w14:solidFill>
          </w14:textFill>
        </w:rPr>
      </w:pPr>
    </w:p>
    <w:p w14:paraId="63A905F9">
      <w:pPr>
        <w:spacing w:line="360" w:lineRule="auto"/>
        <w:jc w:val="center"/>
        <w:rPr>
          <w:rFonts w:ascii="宋体" w:hAnsi="宋体"/>
          <w:color w:val="000000" w:themeColor="text1"/>
          <w:sz w:val="24"/>
          <w14:textFill>
            <w14:solidFill>
              <w14:schemeClr w14:val="tx1"/>
            </w14:solidFill>
          </w14:textFill>
        </w:rPr>
      </w:pPr>
    </w:p>
    <w:p w14:paraId="7C277796">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合同使用须知</w:t>
      </w:r>
    </w:p>
    <w:p w14:paraId="79762CE6">
      <w:pPr>
        <w:spacing w:line="360" w:lineRule="auto"/>
        <w:jc w:val="center"/>
        <w:rPr>
          <w:rFonts w:ascii="宋体" w:hAnsi="宋体"/>
          <w:color w:val="000000" w:themeColor="text1"/>
          <w:sz w:val="24"/>
          <w14:textFill>
            <w14:solidFill>
              <w14:schemeClr w14:val="tx1"/>
            </w14:solidFill>
          </w14:textFill>
        </w:rPr>
      </w:pPr>
    </w:p>
    <w:p w14:paraId="01B1E81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一、本合同文本是根据《中华人民共和国</w:t>
      </w:r>
      <w:r>
        <w:rPr>
          <w:rFonts w:hint="eastAsia" w:ascii="宋体" w:hAnsi="宋体"/>
          <w:color w:val="000000" w:themeColor="text1"/>
          <w:sz w:val="24"/>
          <w:lang w:eastAsia="zh-CN"/>
          <w14:textFill>
            <w14:solidFill>
              <w14:schemeClr w14:val="tx1"/>
            </w14:solidFill>
          </w14:textFill>
        </w:rPr>
        <w:t>民法典</w:t>
      </w:r>
      <w:r>
        <w:rPr>
          <w:rFonts w:hint="eastAsia" w:ascii="宋体" w:hAnsi="宋体"/>
          <w:color w:val="000000" w:themeColor="text1"/>
          <w:sz w:val="24"/>
          <w14:textFill>
            <w14:solidFill>
              <w14:schemeClr w14:val="tx1"/>
            </w14:solidFill>
          </w14:textFill>
        </w:rPr>
        <w:t>》和《中华人民共和国物权法》等法律、法规制定。</w:t>
      </w:r>
    </w:p>
    <w:p w14:paraId="0BF5A8D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二、甲方：指持有转让标的并能够依法转让的法人或者其他组织。</w:t>
      </w:r>
    </w:p>
    <w:p w14:paraId="5D8675C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指以有偿方式依法受让实物资产的法人、自然人或者其他组织。当事人为自然人的，应在当事人概况中填写姓名及身份证号码。乙方为外国及我国香港特别行政区、澳门特别行政区、台湾地区的法人、自然人或者其他经济组织的，该产权交易行为应当符合国务院公布的《指导外商投资方向规定》及其他有关规定。</w:t>
      </w:r>
    </w:p>
    <w:p w14:paraId="092300E1">
      <w:pPr>
        <w:spacing w:line="360" w:lineRule="auto"/>
        <w:rPr>
          <w:rFonts w:ascii="宋体" w:hAnsi="宋体"/>
          <w:color w:val="000000" w:themeColor="text1"/>
          <w:szCs w:val="21"/>
          <w14:textFill>
            <w14:solidFill>
              <w14:schemeClr w14:val="tx1"/>
            </w14:solidFill>
          </w14:textFill>
        </w:rPr>
      </w:pPr>
    </w:p>
    <w:p w14:paraId="1D7198F2">
      <w:pPr>
        <w:spacing w:line="360" w:lineRule="auto"/>
        <w:rPr>
          <w:rFonts w:ascii="宋体" w:hAnsi="宋体"/>
          <w:color w:val="000000" w:themeColor="text1"/>
          <w:szCs w:val="21"/>
          <w14:textFill>
            <w14:solidFill>
              <w14:schemeClr w14:val="tx1"/>
            </w14:solidFill>
          </w14:textFill>
        </w:rPr>
      </w:pPr>
    </w:p>
    <w:p w14:paraId="7939603B">
      <w:pPr>
        <w:spacing w:line="360" w:lineRule="auto"/>
        <w:rPr>
          <w:rFonts w:ascii="宋体" w:hAnsi="宋体"/>
          <w:color w:val="000000" w:themeColor="text1"/>
          <w:szCs w:val="21"/>
          <w14:textFill>
            <w14:solidFill>
              <w14:schemeClr w14:val="tx1"/>
            </w14:solidFill>
          </w14:textFill>
        </w:rPr>
      </w:pPr>
    </w:p>
    <w:p w14:paraId="5D81B904">
      <w:pPr>
        <w:spacing w:line="360" w:lineRule="auto"/>
        <w:rPr>
          <w:rFonts w:ascii="宋体" w:hAnsi="宋体"/>
          <w:color w:val="000000" w:themeColor="text1"/>
          <w:szCs w:val="21"/>
          <w14:textFill>
            <w14:solidFill>
              <w14:schemeClr w14:val="tx1"/>
            </w14:solidFill>
          </w14:textFill>
        </w:rPr>
      </w:pPr>
    </w:p>
    <w:p w14:paraId="04904576">
      <w:pPr>
        <w:spacing w:line="360" w:lineRule="auto"/>
        <w:rPr>
          <w:rFonts w:ascii="宋体" w:hAnsi="宋体"/>
          <w:color w:val="000000" w:themeColor="text1"/>
          <w:szCs w:val="21"/>
          <w14:textFill>
            <w14:solidFill>
              <w14:schemeClr w14:val="tx1"/>
            </w14:solidFill>
          </w14:textFill>
        </w:rPr>
      </w:pPr>
    </w:p>
    <w:p w14:paraId="563BD103">
      <w:pPr>
        <w:spacing w:line="360" w:lineRule="auto"/>
        <w:rPr>
          <w:rFonts w:ascii="宋体" w:hAnsi="宋体"/>
          <w:color w:val="000000" w:themeColor="text1"/>
          <w:szCs w:val="21"/>
          <w14:textFill>
            <w14:solidFill>
              <w14:schemeClr w14:val="tx1"/>
            </w14:solidFill>
          </w14:textFill>
        </w:rPr>
      </w:pPr>
    </w:p>
    <w:p w14:paraId="15C5572E">
      <w:pPr>
        <w:spacing w:line="360" w:lineRule="auto"/>
        <w:rPr>
          <w:rFonts w:ascii="宋体" w:hAnsi="宋体"/>
          <w:color w:val="000000" w:themeColor="text1"/>
          <w:szCs w:val="21"/>
          <w14:textFill>
            <w14:solidFill>
              <w14:schemeClr w14:val="tx1"/>
            </w14:solidFill>
          </w14:textFill>
        </w:rPr>
      </w:pPr>
    </w:p>
    <w:p w14:paraId="54FA0ECF">
      <w:pPr>
        <w:spacing w:line="360" w:lineRule="auto"/>
        <w:rPr>
          <w:rFonts w:ascii="宋体" w:hAnsi="宋体"/>
          <w:color w:val="000000" w:themeColor="text1"/>
          <w:szCs w:val="21"/>
          <w14:textFill>
            <w14:solidFill>
              <w14:schemeClr w14:val="tx1"/>
            </w14:solidFill>
          </w14:textFill>
        </w:rPr>
      </w:pPr>
    </w:p>
    <w:p w14:paraId="2CFFFFB3">
      <w:pPr>
        <w:spacing w:line="360" w:lineRule="auto"/>
        <w:rPr>
          <w:rFonts w:ascii="宋体" w:hAnsi="宋体"/>
          <w:color w:val="000000" w:themeColor="text1"/>
          <w:szCs w:val="21"/>
          <w14:textFill>
            <w14:solidFill>
              <w14:schemeClr w14:val="tx1"/>
            </w14:solidFill>
          </w14:textFill>
        </w:rPr>
      </w:pPr>
    </w:p>
    <w:p w14:paraId="51F9C256">
      <w:pPr>
        <w:spacing w:line="360" w:lineRule="auto"/>
        <w:rPr>
          <w:rFonts w:ascii="宋体" w:hAnsi="宋体"/>
          <w:color w:val="000000" w:themeColor="text1"/>
          <w:szCs w:val="21"/>
          <w14:textFill>
            <w14:solidFill>
              <w14:schemeClr w14:val="tx1"/>
            </w14:solidFill>
          </w14:textFill>
        </w:rPr>
      </w:pPr>
    </w:p>
    <w:p w14:paraId="2916C4A8">
      <w:pPr>
        <w:spacing w:line="360" w:lineRule="auto"/>
        <w:rPr>
          <w:rFonts w:ascii="宋体" w:hAnsi="宋体"/>
          <w:color w:val="000000" w:themeColor="text1"/>
          <w:szCs w:val="21"/>
          <w14:textFill>
            <w14:solidFill>
              <w14:schemeClr w14:val="tx1"/>
            </w14:solidFill>
          </w14:textFill>
        </w:rPr>
      </w:pPr>
    </w:p>
    <w:p w14:paraId="027B1755">
      <w:pPr>
        <w:spacing w:line="360" w:lineRule="auto"/>
        <w:rPr>
          <w:rFonts w:ascii="宋体" w:hAnsi="宋体"/>
          <w:color w:val="000000" w:themeColor="text1"/>
          <w:szCs w:val="21"/>
          <w14:textFill>
            <w14:solidFill>
              <w14:schemeClr w14:val="tx1"/>
            </w14:solidFill>
          </w14:textFill>
        </w:rPr>
      </w:pPr>
    </w:p>
    <w:p w14:paraId="07ACC5E8">
      <w:pPr>
        <w:spacing w:line="360" w:lineRule="auto"/>
        <w:rPr>
          <w:rFonts w:ascii="宋体" w:hAnsi="宋体"/>
          <w:color w:val="000000" w:themeColor="text1"/>
          <w:szCs w:val="21"/>
          <w14:textFill>
            <w14:solidFill>
              <w14:schemeClr w14:val="tx1"/>
            </w14:solidFill>
          </w14:textFill>
        </w:rPr>
      </w:pPr>
    </w:p>
    <w:p w14:paraId="34551368">
      <w:pPr>
        <w:spacing w:line="360" w:lineRule="auto"/>
        <w:rPr>
          <w:rFonts w:ascii="宋体" w:hAnsi="宋体"/>
          <w:color w:val="000000" w:themeColor="text1"/>
          <w:szCs w:val="21"/>
          <w14:textFill>
            <w14:solidFill>
              <w14:schemeClr w14:val="tx1"/>
            </w14:solidFill>
          </w14:textFill>
        </w:rPr>
      </w:pPr>
    </w:p>
    <w:p w14:paraId="61A14FB8">
      <w:pPr>
        <w:spacing w:line="360" w:lineRule="auto"/>
        <w:rPr>
          <w:rFonts w:ascii="宋体" w:hAnsi="宋体"/>
          <w:color w:val="000000" w:themeColor="text1"/>
          <w:szCs w:val="21"/>
          <w14:textFill>
            <w14:solidFill>
              <w14:schemeClr w14:val="tx1"/>
            </w14:solidFill>
          </w14:textFill>
        </w:rPr>
      </w:pPr>
    </w:p>
    <w:p w14:paraId="08D8FC18">
      <w:pPr>
        <w:spacing w:line="360" w:lineRule="auto"/>
        <w:rPr>
          <w:rFonts w:ascii="宋体" w:hAnsi="宋体"/>
          <w:color w:val="000000" w:themeColor="text1"/>
          <w:szCs w:val="21"/>
          <w14:textFill>
            <w14:solidFill>
              <w14:schemeClr w14:val="tx1"/>
            </w14:solidFill>
          </w14:textFill>
        </w:rPr>
      </w:pPr>
    </w:p>
    <w:p w14:paraId="3C64E2D8">
      <w:pPr>
        <w:spacing w:line="360" w:lineRule="auto"/>
        <w:rPr>
          <w:rFonts w:ascii="宋体" w:hAnsi="宋体"/>
          <w:color w:val="000000" w:themeColor="text1"/>
          <w:szCs w:val="21"/>
          <w14:textFill>
            <w14:solidFill>
              <w14:schemeClr w14:val="tx1"/>
            </w14:solidFill>
          </w14:textFill>
        </w:rPr>
      </w:pPr>
    </w:p>
    <w:p w14:paraId="062CA128">
      <w:pPr>
        <w:spacing w:line="360" w:lineRule="auto"/>
        <w:rPr>
          <w:rFonts w:ascii="宋体" w:hAnsi="宋体"/>
          <w:color w:val="000000" w:themeColor="text1"/>
          <w:szCs w:val="21"/>
          <w14:textFill>
            <w14:solidFill>
              <w14:schemeClr w14:val="tx1"/>
            </w14:solidFill>
          </w14:textFill>
        </w:rPr>
      </w:pPr>
    </w:p>
    <w:p w14:paraId="6DF3A75D">
      <w:pPr>
        <w:spacing w:line="360" w:lineRule="auto"/>
        <w:rPr>
          <w:rFonts w:ascii="宋体" w:hAnsi="宋体"/>
          <w:color w:val="000000" w:themeColor="text1"/>
          <w:szCs w:val="21"/>
          <w14:textFill>
            <w14:solidFill>
              <w14:schemeClr w14:val="tx1"/>
            </w14:solidFill>
          </w14:textFill>
        </w:rPr>
      </w:pPr>
    </w:p>
    <w:p w14:paraId="0CB7AF72">
      <w:pPr>
        <w:spacing w:line="520" w:lineRule="exact"/>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定义与释义</w:t>
      </w:r>
    </w:p>
    <w:p w14:paraId="1369808F">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除非本合同中另有约定，本合同中的有关词语含义如下：</w:t>
      </w:r>
    </w:p>
    <w:p w14:paraId="677EBFA8">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1.产权交易机构：指依法设立并由国有文化资产管理部门选择确定，从事国有文化产权交易活动的机构。</w:t>
      </w:r>
    </w:p>
    <w:p w14:paraId="02417EB0">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2.实物资产转让：指甲方将其持有的标的转让给乙方。</w:t>
      </w:r>
    </w:p>
    <w:p w14:paraId="08E3A0B8">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成交价款:指本合同下甲方转让所持有的实物资产，乙方获得的该资产的对价。</w:t>
      </w:r>
    </w:p>
    <w:p w14:paraId="3E911806">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4.评估基准日：指甲方委托具有合法资质的评估机构对转让标的进行评估并出具《资产评估报告书》的基准日。</w:t>
      </w:r>
    </w:p>
    <w:p w14:paraId="5E335513">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5.保证金：指在合同签订前，乙方按照甲方和产权交易机构的要求，支付至产权交易机构指定账户的、作为乙方提出受让意向的担保，并表明其资信状况及履约能力的交易保证金。</w:t>
      </w:r>
    </w:p>
    <w:p w14:paraId="7A278297">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6.登记机关：指工商、土地、房产等依法具有登记权限的主管部门。</w:t>
      </w:r>
    </w:p>
    <w:p w14:paraId="67C3B3CB">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交易费用：指甲方和/或乙方就转让标的或谈判、准备、签署本合同和/或本合同下的任何文件、或履行、完成本合同下交易而发生的，包括取得必要或适当的任何政府部门或第三方的豁免、同意或批准而发生的费用及支出；以及产权交易机构、经纪人或中间人费用等所有现款支出和费用的总额。</w:t>
      </w:r>
    </w:p>
    <w:p w14:paraId="7B9EF43C">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8.产权</w:t>
      </w:r>
      <w:r>
        <w:rPr>
          <w:rFonts w:ascii="宋体" w:hAnsi="宋体"/>
          <w:color w:val="000000" w:themeColor="text1"/>
          <w:sz w:val="24"/>
          <w14:textFill>
            <w14:solidFill>
              <w14:schemeClr w14:val="tx1"/>
            </w14:solidFill>
          </w14:textFill>
        </w:rPr>
        <w:t>交易凭证</w:t>
      </w:r>
      <w:r>
        <w:rPr>
          <w:rFonts w:hint="eastAsia" w:ascii="宋体" w:hAnsi="宋体"/>
          <w:color w:val="000000" w:themeColor="text1"/>
          <w:sz w:val="24"/>
          <w14:textFill>
            <w14:solidFill>
              <w14:schemeClr w14:val="tx1"/>
            </w14:solidFill>
          </w14:textFill>
        </w:rPr>
        <w:t>：指产权交易机构就实物资产转让事项出具的用于表明交易完成的</w:t>
      </w:r>
      <w:r>
        <w:rPr>
          <w:rFonts w:ascii="宋体" w:hAnsi="宋体"/>
          <w:color w:val="000000" w:themeColor="text1"/>
          <w:sz w:val="24"/>
          <w14:textFill>
            <w14:solidFill>
              <w14:schemeClr w14:val="tx1"/>
            </w14:solidFill>
          </w14:textFill>
        </w:rPr>
        <w:t>交易凭证</w:t>
      </w:r>
      <w:r>
        <w:rPr>
          <w:rFonts w:hint="eastAsia" w:ascii="宋体" w:hAnsi="宋体"/>
          <w:color w:val="000000" w:themeColor="text1"/>
          <w:sz w:val="24"/>
          <w14:textFill>
            <w14:solidFill>
              <w14:schemeClr w14:val="tx1"/>
            </w14:solidFill>
          </w14:textFill>
        </w:rPr>
        <w:t>。</w:t>
      </w:r>
    </w:p>
    <w:p w14:paraId="32603210">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9.货币：在本合同中，凡提及RMB或人民币时均指中国法定货币，凡提及$或美元时均指美国法定货币。</w:t>
      </w:r>
    </w:p>
    <w:p w14:paraId="60431F75">
      <w:pPr>
        <w:spacing w:line="360" w:lineRule="auto"/>
        <w:rPr>
          <w:rFonts w:ascii="宋体" w:hAnsi="宋体"/>
          <w:color w:val="000000" w:themeColor="text1"/>
          <w:szCs w:val="21"/>
          <w14:textFill>
            <w14:solidFill>
              <w14:schemeClr w14:val="tx1"/>
            </w14:solidFill>
          </w14:textFill>
        </w:rPr>
      </w:pPr>
    </w:p>
    <w:p w14:paraId="232E6CAB">
      <w:pPr>
        <w:spacing w:line="360" w:lineRule="auto"/>
        <w:rPr>
          <w:rFonts w:ascii="宋体" w:hAnsi="宋体"/>
          <w:color w:val="000000" w:themeColor="text1"/>
          <w:szCs w:val="21"/>
          <w14:textFill>
            <w14:solidFill>
              <w14:schemeClr w14:val="tx1"/>
            </w14:solidFill>
          </w14:textFill>
        </w:rPr>
      </w:pPr>
    </w:p>
    <w:p w14:paraId="415F3397">
      <w:pPr>
        <w:spacing w:line="360" w:lineRule="auto"/>
        <w:rPr>
          <w:rFonts w:ascii="宋体" w:hAnsi="宋体"/>
          <w:color w:val="000000" w:themeColor="text1"/>
          <w:szCs w:val="21"/>
          <w14:textFill>
            <w14:solidFill>
              <w14:schemeClr w14:val="tx1"/>
            </w14:solidFill>
          </w14:textFill>
        </w:rPr>
      </w:pPr>
    </w:p>
    <w:p w14:paraId="1A55E504">
      <w:pPr>
        <w:spacing w:line="360" w:lineRule="auto"/>
        <w:rPr>
          <w:rFonts w:ascii="宋体" w:hAnsi="宋体"/>
          <w:color w:val="000000" w:themeColor="text1"/>
          <w:szCs w:val="21"/>
          <w14:textFill>
            <w14:solidFill>
              <w14:schemeClr w14:val="tx1"/>
            </w14:solidFill>
          </w14:textFill>
        </w:rPr>
      </w:pPr>
    </w:p>
    <w:p w14:paraId="225DEF26">
      <w:pPr>
        <w:spacing w:line="360" w:lineRule="auto"/>
        <w:rPr>
          <w:rFonts w:ascii="宋体" w:hAnsi="宋体"/>
          <w:color w:val="000000" w:themeColor="text1"/>
          <w:szCs w:val="21"/>
          <w14:textFill>
            <w14:solidFill>
              <w14:schemeClr w14:val="tx1"/>
            </w14:solidFill>
          </w14:textFill>
        </w:rPr>
      </w:pPr>
    </w:p>
    <w:p w14:paraId="2E4DB927">
      <w:pPr>
        <w:spacing w:line="360" w:lineRule="auto"/>
        <w:rPr>
          <w:rFonts w:ascii="宋体" w:hAnsi="宋体"/>
          <w:color w:val="000000" w:themeColor="text1"/>
          <w:szCs w:val="21"/>
          <w14:textFill>
            <w14:solidFill>
              <w14:schemeClr w14:val="tx1"/>
            </w14:solidFill>
          </w14:textFill>
        </w:rPr>
      </w:pPr>
    </w:p>
    <w:p w14:paraId="12D158C5">
      <w:pPr>
        <w:spacing w:line="500" w:lineRule="exact"/>
        <w:ind w:firstLine="420"/>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本合同当事人</w:t>
      </w:r>
    </w:p>
    <w:p w14:paraId="16B15D99">
      <w:pPr>
        <w:spacing w:line="500" w:lineRule="exact"/>
        <w:ind w:firstLine="420"/>
        <w:jc w:val="center"/>
        <w:rPr>
          <w:rFonts w:ascii="宋体" w:hAnsi="宋体"/>
          <w:b/>
          <w:bCs/>
          <w:color w:val="000000" w:themeColor="text1"/>
          <w:sz w:val="24"/>
          <w14:textFill>
            <w14:solidFill>
              <w14:schemeClr w14:val="tx1"/>
            </w14:solidFill>
          </w14:textFill>
        </w:rPr>
      </w:pPr>
    </w:p>
    <w:p w14:paraId="638D1F17">
      <w:pPr>
        <w:spacing w:line="500" w:lineRule="exact"/>
        <w:ind w:firstLine="420"/>
        <w:rPr>
          <w:rFonts w:ascii="宋体" w:hAnsi="宋体"/>
          <w:sz w:val="24"/>
        </w:rPr>
      </w:pPr>
      <w:r>
        <w:rPr>
          <w:rFonts w:hint="eastAsia" w:ascii="宋体" w:hAnsi="宋体"/>
          <w:b/>
          <w:sz w:val="24"/>
        </w:rPr>
        <w:t>转让方（以下简称甲方）：</w:t>
      </w:r>
      <w:r>
        <w:rPr>
          <w:rFonts w:hint="eastAsia"/>
          <w:color w:val="000000"/>
          <w:sz w:val="24"/>
        </w:rPr>
        <w:t xml:space="preserve"> </w:t>
      </w:r>
      <w:r>
        <w:rPr>
          <w:color w:val="000000"/>
          <w:sz w:val="24"/>
        </w:rPr>
        <w:t xml:space="preserve"> </w:t>
      </w:r>
    </w:p>
    <w:p w14:paraId="1C9267CD">
      <w:pPr>
        <w:spacing w:line="500" w:lineRule="exact"/>
        <w:ind w:firstLine="420"/>
        <w:rPr>
          <w:rFonts w:ascii="宋体" w:hAnsi="宋体"/>
          <w:sz w:val="24"/>
        </w:rPr>
      </w:pPr>
      <w:r>
        <w:rPr>
          <w:rFonts w:hint="eastAsia" w:ascii="宋体" w:hAnsi="宋体"/>
          <w:sz w:val="24"/>
        </w:rPr>
        <w:t>注册地址/住所：</w:t>
      </w:r>
      <w:r>
        <w:rPr>
          <w:rFonts w:hint="eastAsia"/>
          <w:color w:val="000000"/>
          <w:sz w:val="24"/>
        </w:rPr>
        <w:t xml:space="preserve"> </w:t>
      </w:r>
    </w:p>
    <w:p w14:paraId="3507D9BE">
      <w:pPr>
        <w:spacing w:line="500" w:lineRule="exact"/>
        <w:ind w:firstLine="420"/>
        <w:rPr>
          <w:spacing w:val="-2"/>
          <w:sz w:val="24"/>
        </w:rPr>
      </w:pPr>
      <w:r>
        <w:rPr>
          <w:rFonts w:hint="eastAsia" w:ascii="宋体" w:hAnsi="宋体"/>
          <w:sz w:val="24"/>
        </w:rPr>
        <w:t>法定代表人：</w:t>
      </w:r>
      <w:r>
        <w:rPr>
          <w:rFonts w:hint="eastAsia"/>
          <w:color w:val="000000"/>
          <w:sz w:val="24"/>
        </w:rPr>
        <w:t xml:space="preserve"> </w:t>
      </w:r>
      <w:r>
        <w:rPr>
          <w:rFonts w:hint="eastAsia" w:ascii="宋体" w:hAnsi="宋体"/>
          <w:sz w:val="24"/>
        </w:rPr>
        <w:t xml:space="preserve">                      </w:t>
      </w:r>
    </w:p>
    <w:p w14:paraId="1D6E4DC0">
      <w:pPr>
        <w:spacing w:line="500" w:lineRule="exact"/>
        <w:ind w:firstLine="420"/>
        <w:rPr>
          <w:rFonts w:ascii="宋体" w:hAnsi="宋体"/>
          <w:sz w:val="24"/>
        </w:rPr>
      </w:pPr>
      <w:r>
        <w:rPr>
          <w:rFonts w:hint="eastAsia" w:ascii="宋体" w:hAnsi="宋体"/>
          <w:sz w:val="24"/>
        </w:rPr>
        <w:t>电话：</w:t>
      </w:r>
      <w:r>
        <w:rPr>
          <w:sz w:val="24"/>
        </w:rPr>
        <w:t xml:space="preserve">          </w:t>
      </w:r>
      <w:r>
        <w:rPr>
          <w:rFonts w:hint="eastAsia"/>
          <w:sz w:val="24"/>
        </w:rPr>
        <w:t xml:space="preserve">                     </w:t>
      </w:r>
      <w:r>
        <w:rPr>
          <w:rFonts w:hint="eastAsia" w:ascii="宋体" w:hAnsi="宋体"/>
          <w:sz w:val="24"/>
        </w:rPr>
        <w:t xml:space="preserve"> </w:t>
      </w:r>
    </w:p>
    <w:p w14:paraId="53215B68">
      <w:pPr>
        <w:spacing w:line="500" w:lineRule="exact"/>
        <w:ind w:firstLine="420"/>
        <w:rPr>
          <w:rFonts w:ascii="宋体" w:hAnsi="宋体"/>
          <w:b/>
          <w:sz w:val="24"/>
        </w:rPr>
      </w:pPr>
    </w:p>
    <w:p w14:paraId="1DDD873D">
      <w:pPr>
        <w:spacing w:line="500" w:lineRule="exact"/>
        <w:ind w:firstLine="420"/>
        <w:rPr>
          <w:rFonts w:ascii="宋体" w:hAnsi="宋体"/>
          <w:b/>
          <w:sz w:val="24"/>
        </w:rPr>
      </w:pPr>
      <w:r>
        <w:rPr>
          <w:rFonts w:hint="eastAsia" w:ascii="宋体" w:hAnsi="宋体"/>
          <w:b/>
          <w:sz w:val="24"/>
        </w:rPr>
        <w:t>受让方（以下简称乙方）：</w:t>
      </w:r>
    </w:p>
    <w:p w14:paraId="58B559EF">
      <w:pPr>
        <w:spacing w:line="500" w:lineRule="exact"/>
        <w:ind w:firstLine="420"/>
        <w:rPr>
          <w:rFonts w:ascii="宋体" w:hAnsi="宋体"/>
          <w:sz w:val="24"/>
        </w:rPr>
      </w:pPr>
      <w:r>
        <w:rPr>
          <w:rFonts w:hint="eastAsia" w:ascii="宋体" w:hAnsi="宋体"/>
          <w:sz w:val="24"/>
        </w:rPr>
        <w:t>注册地址/住所：</w:t>
      </w:r>
    </w:p>
    <w:p w14:paraId="04E881CA">
      <w:pPr>
        <w:spacing w:line="500" w:lineRule="exact"/>
        <w:ind w:firstLine="420"/>
        <w:rPr>
          <w:rFonts w:hint="eastAsia" w:ascii="宋体" w:hAnsi="宋体"/>
          <w:sz w:val="24"/>
        </w:rPr>
      </w:pPr>
      <w:r>
        <w:rPr>
          <w:rFonts w:hint="eastAsia" w:ascii="宋体" w:hAnsi="宋体"/>
          <w:sz w:val="24"/>
        </w:rPr>
        <w:t>法定代表人：</w:t>
      </w:r>
    </w:p>
    <w:p w14:paraId="670044C9">
      <w:pPr>
        <w:spacing w:line="500" w:lineRule="exact"/>
        <w:ind w:firstLine="420"/>
        <w:rPr>
          <w:rFonts w:ascii="宋体" w:hAnsi="宋体"/>
          <w:sz w:val="24"/>
        </w:rPr>
      </w:pPr>
      <w:r>
        <w:rPr>
          <w:rFonts w:hint="eastAsia" w:ascii="宋体" w:hAnsi="宋体"/>
          <w:sz w:val="24"/>
        </w:rPr>
        <w:t xml:space="preserve">电话：                                 </w:t>
      </w:r>
    </w:p>
    <w:p w14:paraId="41217A1C">
      <w:pPr>
        <w:spacing w:line="500" w:lineRule="exact"/>
        <w:rPr>
          <w:rFonts w:ascii="宋体" w:hAnsi="宋体"/>
          <w:color w:val="000000" w:themeColor="text1"/>
          <w:sz w:val="24"/>
          <w14:textFill>
            <w14:solidFill>
              <w14:schemeClr w14:val="tx1"/>
            </w14:solidFill>
          </w14:textFill>
        </w:rPr>
      </w:pPr>
    </w:p>
    <w:p w14:paraId="765009DD">
      <w:pPr>
        <w:spacing w:line="500" w:lineRule="exact"/>
        <w:ind w:firstLine="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鉴于：</w:t>
      </w:r>
    </w:p>
    <w:p w14:paraId="5377EF51">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1.甲方为依法设立并合法存续的</w:t>
      </w:r>
      <w:r>
        <w:rPr>
          <w:rFonts w:hint="eastAsia" w:ascii="宋体" w:hAnsi="宋体"/>
          <w:color w:val="000000" w:themeColor="text1"/>
          <w:sz w:val="24"/>
          <w:lang w:eastAsia="zh-CN"/>
          <w14:textFill>
            <w14:solidFill>
              <w14:schemeClr w14:val="tx1"/>
            </w14:solidFill>
          </w14:textFill>
        </w:rPr>
        <w:t>事业单位</w:t>
      </w:r>
      <w:r>
        <w:rPr>
          <w:rFonts w:hint="eastAsia" w:ascii="宋体" w:hAnsi="宋体"/>
          <w:color w:val="000000" w:themeColor="text1"/>
          <w:sz w:val="24"/>
          <w14:textFill>
            <w14:solidFill>
              <w14:schemeClr w14:val="tx1"/>
            </w14:solidFill>
          </w14:textFill>
        </w:rPr>
        <w:t>法人，</w:t>
      </w:r>
      <w:r>
        <w:rPr>
          <w:rFonts w:hint="eastAsia" w:ascii="宋体" w:hAnsi="宋体"/>
          <w:color w:val="000000" w:themeColor="text1"/>
          <w:sz w:val="24"/>
          <w:lang w:eastAsia="zh-CN"/>
          <w14:textFill>
            <w14:solidFill>
              <w14:schemeClr w14:val="tx1"/>
            </w14:solidFill>
          </w14:textFill>
        </w:rPr>
        <w:t>事业单位法人证</w:t>
      </w:r>
      <w:r>
        <w:rPr>
          <w:rFonts w:hint="eastAsia" w:ascii="宋体" w:hAnsi="宋体"/>
          <w:color w:val="000000" w:themeColor="text1"/>
          <w:sz w:val="24"/>
          <w14:textFill>
            <w14:solidFill>
              <w14:schemeClr w14:val="tx1"/>
            </w14:solidFill>
          </w14:textFill>
        </w:rPr>
        <w:t>：</w:t>
      </w:r>
      <w:r>
        <w:rPr>
          <w:rFonts w:ascii="宋体" w:hAnsi="宋体"/>
          <w:sz w:val="24"/>
          <w:u w:val="single"/>
        </w:rPr>
        <w:t xml:space="preserve">         </w:t>
      </w:r>
      <w:r>
        <w:rPr>
          <w:rFonts w:hint="eastAsia" w:ascii="宋体" w:hAnsi="宋体"/>
          <w:color w:val="000000" w:themeColor="text1"/>
          <w:sz w:val="24"/>
          <w14:textFill>
            <w14:solidFill>
              <w14:schemeClr w14:val="tx1"/>
            </w14:solidFill>
          </w14:textFill>
        </w:rPr>
        <w:t>；</w:t>
      </w:r>
    </w:p>
    <w:p w14:paraId="483A1894">
      <w:pPr>
        <w:spacing w:line="500" w:lineRule="exact"/>
        <w:ind w:firstLine="420"/>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乙方为依法设立并合法存续的</w:t>
      </w:r>
      <w:r>
        <w:rPr>
          <w:rFonts w:hint="eastAsia" w:ascii="宋体" w:hAnsi="宋体"/>
          <w:sz w:val="24"/>
          <w:u w:val="single"/>
        </w:rPr>
        <w:t xml:space="preserve">        </w:t>
      </w:r>
      <w:r>
        <w:rPr>
          <w:rFonts w:hint="eastAsia" w:ascii="宋体" w:hAnsi="宋体"/>
          <w:sz w:val="24"/>
        </w:rPr>
        <w:t>(性质)企业，</w:t>
      </w:r>
      <w:r>
        <w:rPr>
          <w:rFonts w:hint="eastAsia" w:ascii="宋体" w:hAnsi="宋体"/>
          <w:color w:val="000000" w:themeColor="text1"/>
          <w:sz w:val="24"/>
          <w14:textFill>
            <w14:solidFill>
              <w14:schemeClr w14:val="tx1"/>
            </w14:solidFill>
          </w14:textFill>
        </w:rPr>
        <w:t>统一社会信用代码:</w:t>
      </w:r>
      <w:r>
        <w:rPr>
          <w:rFonts w:hint="eastAsia" w:ascii="宋体" w:hAnsi="宋体"/>
          <w:sz w:val="24"/>
          <w:u w:val="single"/>
        </w:rPr>
        <w:t xml:space="preserve"> </w:t>
      </w:r>
      <w:r>
        <w:rPr>
          <w:sz w:val="24"/>
          <w:u w:val="single"/>
        </w:rPr>
        <w:t xml:space="preserve">        </w:t>
      </w:r>
      <w:r>
        <w:rPr>
          <w:rFonts w:hint="eastAsia" w:ascii="宋体" w:hAnsi="宋体"/>
          <w:sz w:val="24"/>
          <w:u w:val="single"/>
        </w:rPr>
        <w:t xml:space="preserve"> </w:t>
      </w:r>
      <w:r>
        <w:rPr>
          <w:rFonts w:hint="eastAsia" w:ascii="宋体" w:hAnsi="宋体"/>
          <w:sz w:val="24"/>
        </w:rPr>
        <w:t>。</w:t>
      </w:r>
    </w:p>
    <w:p w14:paraId="35F96207">
      <w:pPr>
        <w:pStyle w:val="14"/>
        <w:spacing w:line="500" w:lineRule="exact"/>
        <w:ind w:firstLine="480" w:firstLineChars="200"/>
        <w:rPr>
          <w:rFonts w:hint="eastAsia" w:hAnsi="宋体"/>
        </w:rPr>
      </w:pPr>
      <w:r>
        <w:rPr>
          <w:rFonts w:hint="eastAsia" w:hAnsi="宋体"/>
        </w:rPr>
        <w:t>（或：</w:t>
      </w:r>
      <w:r>
        <w:rPr>
          <w:rFonts w:hAnsi="宋体"/>
        </w:rPr>
        <w:t>2</w:t>
      </w:r>
      <w:r>
        <w:rPr>
          <w:rFonts w:hint="eastAsia" w:hAnsi="宋体"/>
        </w:rPr>
        <w:t>.乙方为中国合法公民，身份证或护照号码：______________。）</w:t>
      </w:r>
    </w:p>
    <w:p w14:paraId="6DE5F0F8">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3.甲方转让其合法持有的转让标的；乙方收购上述转让标的。</w:t>
      </w:r>
    </w:p>
    <w:p w14:paraId="3E97C1E3">
      <w:pPr>
        <w:spacing w:line="50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w:t>
      </w:r>
      <w:r>
        <w:rPr>
          <w:rFonts w:hint="eastAsia" w:ascii="宋体" w:hAnsi="宋体"/>
          <w:color w:val="000000" w:themeColor="text1"/>
          <w:sz w:val="24"/>
          <w:lang w:eastAsia="zh-CN"/>
          <w14:textFill>
            <w14:solidFill>
              <w14:schemeClr w14:val="tx1"/>
            </w14:solidFill>
          </w14:textFill>
        </w:rPr>
        <w:t>民法典</w:t>
      </w:r>
      <w:r>
        <w:rPr>
          <w:rFonts w:hint="eastAsia" w:ascii="宋体" w:hAnsi="宋体"/>
          <w:color w:val="000000" w:themeColor="text1"/>
          <w:sz w:val="24"/>
          <w14:textFill>
            <w14:solidFill>
              <w14:schemeClr w14:val="tx1"/>
            </w14:solidFill>
          </w14:textFill>
        </w:rPr>
        <w:t>》和《企业国有资产交易监督管理办法》（国务院国资委、财政部令第32号</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等相关法律、法规、规章的规定，甲乙双方遵循自愿、公平、诚实信用的原则，经友好协商，就甲方向乙方转让其拥有的                                                  相关事宜达成一致，签订本交易合同（以下简称“本合同”）如下：</w:t>
      </w:r>
    </w:p>
    <w:p w14:paraId="51C03004">
      <w:pPr>
        <w:spacing w:line="500" w:lineRule="exact"/>
        <w:ind w:firstLine="480" w:firstLineChars="200"/>
        <w:rPr>
          <w:rFonts w:ascii="宋体" w:hAnsi="宋体"/>
          <w:color w:val="000000" w:themeColor="text1"/>
          <w:sz w:val="24"/>
          <w14:textFill>
            <w14:solidFill>
              <w14:schemeClr w14:val="tx1"/>
            </w14:solidFill>
          </w14:textFill>
        </w:rPr>
      </w:pPr>
    </w:p>
    <w:p w14:paraId="1CECB875">
      <w:pPr>
        <w:numPr>
          <w:ilvl w:val="0"/>
          <w:numId w:val="1"/>
        </w:numPr>
        <w:spacing w:line="500" w:lineRule="exact"/>
        <w:ind w:left="0"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转让标的</w:t>
      </w:r>
    </w:p>
    <w:p w14:paraId="44C3DAD6">
      <w:pPr>
        <w:spacing w:line="500" w:lineRule="exact"/>
        <w:ind w:left="479" w:leftChars="22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1.1本合同转让标的为甲方所持有的</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18DB182">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1.2本合同转让标的基本情况：</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DA69F6D">
      <w:pPr>
        <w:spacing w:line="500" w:lineRule="exact"/>
        <w:ind w:left="210" w:leftChars="10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 转让标的经有评估资质的</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评估，出具了以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p>
    <w:p w14:paraId="267D902D">
      <w:pPr>
        <w:spacing w:line="500" w:lineRule="exact"/>
        <w:ind w:left="210" w:leftChars="100"/>
        <w:rPr>
          <w:rFonts w:ascii="宋体" w:hAnsi="宋体"/>
          <w:color w:val="000000" w:themeColor="text1"/>
          <w:sz w:val="24"/>
          <w14:textFill>
            <w14:solidFill>
              <w14:schemeClr w14:val="tx1"/>
            </w14:solidFill>
          </w14:textFill>
        </w:rPr>
      </w:pP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日为评估基准日的《评估报告》</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评</w:t>
      </w:r>
      <w:r>
        <w:rPr>
          <w:rFonts w:ascii="宋体" w:hAnsi="宋体" w:cs="宋体"/>
          <w:kern w:val="0"/>
          <w:sz w:val="24"/>
        </w:rPr>
        <w:t>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14:textFill>
            <w14:solidFill>
              <w14:schemeClr w14:val="tx1"/>
            </w14:solidFill>
          </w14:textFill>
        </w:rPr>
        <w:t>,标的资产评估值详见《评估报告》。本《评估报告》已经甲乙双方认可。</w:t>
      </w:r>
    </w:p>
    <w:p w14:paraId="607D2977">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转让标的未有抵押（质押）和担保等行为，也未被任何有权机构采取查封等强制性措施，未设置任何可能影响产权转让的担保或限制。</w:t>
      </w:r>
    </w:p>
    <w:p w14:paraId="54ADC6BC">
      <w:pPr>
        <w:spacing w:line="500" w:lineRule="exact"/>
        <w:ind w:firstLine="480" w:firstLineChars="200"/>
        <w:rPr>
          <w:rFonts w:ascii="宋体" w:hAnsi="宋体"/>
          <w:color w:val="000000" w:themeColor="text1"/>
          <w:sz w:val="24"/>
          <w14:textFill>
            <w14:solidFill>
              <w14:schemeClr w14:val="tx1"/>
            </w14:solidFill>
          </w14:textFill>
        </w:rPr>
      </w:pPr>
    </w:p>
    <w:p w14:paraId="18A61490">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转让的前提条件</w:t>
      </w:r>
    </w:p>
    <w:p w14:paraId="5771ACBA">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 xml:space="preserve"> 甲方依法转让本合同所涉及的标的已经内部决策、评估等相关程序认可。</w:t>
      </w:r>
    </w:p>
    <w:p w14:paraId="6A8D8281">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2.2甲方依据有关法律、法规、政策的规定，就本合同转让标的交易已在产权交易机构完成公开信息披露和挂牌程序。</w:t>
      </w:r>
    </w:p>
    <w:p w14:paraId="3A4DBAAB">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 乙方已详细了解转让标的的转让信息，并同意按照甲方提出的受让条件受让标的。</w:t>
      </w:r>
    </w:p>
    <w:p w14:paraId="558CB1DE">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2.4 乙方依本合同的约定受让甲方所拥有的标的资产。 </w:t>
      </w:r>
    </w:p>
    <w:p w14:paraId="1859DE4C">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195C7B05">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转让方式</w:t>
      </w:r>
    </w:p>
    <w:p w14:paraId="465C1DC2">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3.1本合同</w:t>
      </w:r>
      <w:r>
        <w:rPr>
          <w:rFonts w:hint="eastAsia" w:ascii="宋体" w:hAnsi="宋体"/>
          <w:color w:val="000000" w:themeColor="text1"/>
          <w:sz w:val="24"/>
          <w14:textFill>
            <w14:solidFill>
              <w14:schemeClr w14:val="tx1"/>
            </w14:solidFill>
          </w14:textFill>
        </w:rPr>
        <w:t>转让</w:t>
      </w:r>
      <w:r>
        <w:rPr>
          <w:rFonts w:hint="eastAsia" w:ascii="宋体" w:hAnsi="宋体"/>
          <w:bCs/>
          <w:color w:val="000000" w:themeColor="text1"/>
          <w:sz w:val="24"/>
          <w14:textFill>
            <w14:solidFill>
              <w14:schemeClr w14:val="tx1"/>
            </w14:solidFill>
          </w14:textFill>
        </w:rPr>
        <w:t>标的已于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日至</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日经</w:t>
      </w:r>
      <w:r>
        <w:rPr>
          <w:rFonts w:hint="eastAsia" w:ascii="宋体" w:hAnsi="宋体"/>
          <w:color w:val="000000" w:themeColor="text1"/>
          <w:sz w:val="24"/>
          <w14:textFill>
            <w14:solidFill>
              <w14:schemeClr w14:val="tx1"/>
            </w14:solidFill>
          </w14:textFill>
        </w:rPr>
        <w:t>产权交易机构</w:t>
      </w:r>
      <w:r>
        <w:rPr>
          <w:rFonts w:hint="eastAsia" w:ascii="宋体" w:hAnsi="宋体"/>
          <w:bCs/>
          <w:color w:val="000000" w:themeColor="text1"/>
          <w:sz w:val="24"/>
          <w14:textFill>
            <w14:solidFill>
              <w14:schemeClr w14:val="tx1"/>
            </w14:solidFill>
          </w14:textFill>
        </w:rPr>
        <w:t>公开挂牌，挂牌期间产生[  ]个意向受让方，并于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日以网络竞价方式组织实施，由乙方依法作为买受人受让本合同项下转让标的。</w:t>
      </w:r>
    </w:p>
    <w:p w14:paraId="5857EC75">
      <w:pPr>
        <w:spacing w:line="500" w:lineRule="exact"/>
        <w:ind w:firstLine="360" w:firstLineChars="15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（或：3.1本合同</w:t>
      </w:r>
      <w:r>
        <w:rPr>
          <w:rFonts w:hint="eastAsia" w:ascii="宋体" w:hAnsi="宋体"/>
          <w:color w:val="000000" w:themeColor="text1"/>
          <w:sz w:val="24"/>
          <w14:textFill>
            <w14:solidFill>
              <w14:schemeClr w14:val="tx1"/>
            </w14:solidFill>
          </w14:textFill>
        </w:rPr>
        <w:t>转让</w:t>
      </w:r>
      <w:r>
        <w:rPr>
          <w:rFonts w:hint="eastAsia" w:ascii="宋体" w:hAnsi="宋体"/>
          <w:bCs/>
          <w:color w:val="000000" w:themeColor="text1"/>
          <w:sz w:val="24"/>
          <w14:textFill>
            <w14:solidFill>
              <w14:schemeClr w14:val="tx1"/>
            </w14:solidFill>
          </w14:textFill>
        </w:rPr>
        <w:t>标的已于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日至</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日经</w:t>
      </w:r>
      <w:r>
        <w:rPr>
          <w:rFonts w:hint="eastAsia" w:ascii="宋体" w:hAnsi="宋体"/>
          <w:color w:val="000000" w:themeColor="text1"/>
          <w:sz w:val="24"/>
          <w14:textFill>
            <w14:solidFill>
              <w14:schemeClr w14:val="tx1"/>
            </w14:solidFill>
          </w14:textFill>
        </w:rPr>
        <w:t>产权交易机构</w:t>
      </w:r>
      <w:r>
        <w:rPr>
          <w:rFonts w:hint="eastAsia" w:ascii="宋体" w:hAnsi="宋体"/>
          <w:bCs/>
          <w:color w:val="000000" w:themeColor="text1"/>
          <w:sz w:val="24"/>
          <w14:textFill>
            <w14:solidFill>
              <w14:schemeClr w14:val="tx1"/>
            </w14:solidFill>
          </w14:textFill>
        </w:rPr>
        <w:t>公开挂牌，挂牌期间产生1个意向受让方，并于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日以协议转让的方式，由乙方依法作为买受人受让本合同项下转让标的。）</w:t>
      </w:r>
    </w:p>
    <w:p w14:paraId="5612E9B2">
      <w:pPr>
        <w:spacing w:line="500" w:lineRule="exact"/>
        <w:ind w:firstLine="360" w:firstLineChars="150"/>
        <w:rPr>
          <w:rFonts w:ascii="宋体" w:hAnsi="宋体"/>
          <w:bCs/>
          <w:color w:val="000000" w:themeColor="text1"/>
          <w:sz w:val="24"/>
          <w14:textFill>
            <w14:solidFill>
              <w14:schemeClr w14:val="tx1"/>
            </w14:solidFill>
          </w14:textFill>
        </w:rPr>
      </w:pPr>
    </w:p>
    <w:p w14:paraId="13D95AB3">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成交价款及支付</w:t>
      </w:r>
    </w:p>
    <w:p w14:paraId="47813AFF">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4.1成交价款</w:t>
      </w:r>
    </w:p>
    <w:p w14:paraId="103529A6">
      <w:pPr>
        <w:spacing w:line="500" w:lineRule="exact"/>
        <w:ind w:firstLine="42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甲方将本合同转让标的以人民币（大写）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万元〖即：人民币（小写）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万元〗（以下简称</w:t>
      </w:r>
      <w:r>
        <w:rPr>
          <w:rFonts w:hint="eastAsia" w:ascii="宋体" w:hAnsi="宋体"/>
          <w:bCs/>
          <w:color w:val="000000" w:themeColor="text1"/>
          <w:sz w:val="24"/>
          <w14:textFill>
            <w14:solidFill>
              <w14:schemeClr w14:val="tx1"/>
            </w14:solidFill>
          </w14:textFill>
        </w:rPr>
        <w:t>成交价款）</w:t>
      </w:r>
      <w:r>
        <w:rPr>
          <w:rFonts w:hint="eastAsia" w:ascii="宋体" w:hAnsi="宋体"/>
          <w:color w:val="000000" w:themeColor="text1"/>
          <w:sz w:val="24"/>
          <w14:textFill>
            <w14:solidFill>
              <w14:schemeClr w14:val="tx1"/>
            </w14:solidFill>
          </w14:textFill>
        </w:rPr>
        <w:t>转让给乙方。乙方按照甲方和产权交易机构的要求支付的保证金，在扣除应向产权交易机构支付的交易服务费后，折抵为成交价款的一部分。</w:t>
      </w:r>
    </w:p>
    <w:p w14:paraId="01298175">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 成交价款支付方式</w:t>
      </w:r>
    </w:p>
    <w:p w14:paraId="3AA995E8">
      <w:pPr>
        <w:tabs>
          <w:tab w:val="left" w:pos="720"/>
        </w:tabs>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一次性付款。乙方在本合同生效之日起3个工作日内将成交价款的不足部分一次性足额支付至甲方指定账户。</w:t>
      </w:r>
    </w:p>
    <w:p w14:paraId="1D77114A">
      <w:pPr>
        <w:tabs>
          <w:tab w:val="left" w:pos="720"/>
        </w:tabs>
        <w:spacing w:line="500" w:lineRule="exact"/>
        <w:ind w:left="540" w:leftChars="257"/>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户</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名：</w:t>
      </w:r>
      <w:r>
        <w:rPr>
          <w:rFonts w:hint="eastAsia" w:ascii="宋体" w:hAnsi="宋体"/>
          <w:color w:val="000000" w:themeColor="text1"/>
          <w:sz w:val="24"/>
          <w14:textFill>
            <w14:solidFill>
              <w14:schemeClr w14:val="tx1"/>
            </w14:solidFill>
          </w14:textFill>
        </w:rPr>
        <w:t>湖北华中文化产权交易所宜昌有限公司</w:t>
      </w:r>
    </w:p>
    <w:p w14:paraId="24FE96FD">
      <w:pPr>
        <w:tabs>
          <w:tab w:val="left" w:pos="720"/>
        </w:tabs>
        <w:spacing w:line="500" w:lineRule="exact"/>
        <w:ind w:left="540" w:leftChars="25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账</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号：</w:t>
      </w:r>
      <w:r>
        <w:rPr>
          <w:rFonts w:hint="eastAsia" w:ascii="宋体" w:hAnsi="宋体"/>
          <w:color w:val="000000" w:themeColor="text1"/>
          <w:sz w:val="24"/>
          <w14:textFill>
            <w14:solidFill>
              <w14:schemeClr w14:val="tx1"/>
            </w14:solidFill>
          </w14:textFill>
        </w:rPr>
        <w:t>1807 0800 1920 0154 215</w:t>
      </w:r>
    </w:p>
    <w:p w14:paraId="1DD2DAF0">
      <w:pPr>
        <w:tabs>
          <w:tab w:val="left" w:pos="720"/>
        </w:tabs>
        <w:spacing w:line="500" w:lineRule="exact"/>
        <w:ind w:left="540" w:leftChars="25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开户行：</w:t>
      </w:r>
      <w:r>
        <w:rPr>
          <w:rFonts w:hint="eastAsia" w:ascii="宋体" w:hAnsi="宋体"/>
          <w:color w:val="000000" w:themeColor="text1"/>
          <w:sz w:val="24"/>
          <w14:textFill>
            <w14:solidFill>
              <w14:schemeClr w14:val="tx1"/>
            </w14:solidFill>
          </w14:textFill>
        </w:rPr>
        <w:t>中国工商银行股份有限公司三峡宜昌自贸区支行</w:t>
      </w:r>
      <w:r>
        <w:rPr>
          <w:rFonts w:ascii="宋体" w:hAnsi="宋体"/>
          <w:color w:val="000000" w:themeColor="text1"/>
          <w:sz w:val="24"/>
          <w14:textFill>
            <w14:solidFill>
              <w14:schemeClr w14:val="tx1"/>
            </w14:solidFill>
          </w14:textFill>
        </w:rPr>
        <w:t xml:space="preserve"> </w:t>
      </w:r>
    </w:p>
    <w:p w14:paraId="1D26CF8F">
      <w:pPr>
        <w:tabs>
          <w:tab w:val="left" w:pos="720"/>
        </w:tabs>
        <w:spacing w:line="500" w:lineRule="exact"/>
        <w:rPr>
          <w:rFonts w:ascii="宋体" w:hAnsi="宋体"/>
          <w:color w:val="000000" w:themeColor="text1"/>
          <w:sz w:val="24"/>
          <w14:textFill>
            <w14:solidFill>
              <w14:schemeClr w14:val="tx1"/>
            </w14:solidFill>
          </w14:textFill>
        </w:rPr>
      </w:pPr>
    </w:p>
    <w:p w14:paraId="7CF9CDFC">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转让标的交接事项</w:t>
      </w:r>
    </w:p>
    <w:p w14:paraId="79437B0E">
      <w:pPr>
        <w:pStyle w:val="13"/>
        <w:spacing w:line="500" w:lineRule="exact"/>
        <w:ind w:left="142" w:firstLine="283" w:firstLineChars="118"/>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乙方须在</w:t>
      </w:r>
      <w:r>
        <w:rPr>
          <w:rFonts w:hint="eastAsia" w:ascii="宋体" w:hAnsi="宋体"/>
          <w:color w:val="000000"/>
          <w:sz w:val="24"/>
        </w:rPr>
        <w:t>交易价款结清</w:t>
      </w:r>
      <w:r>
        <w:rPr>
          <w:rFonts w:hint="eastAsia" w:ascii="宋体" w:hAnsi="宋体" w:cs="宋体"/>
          <w:color w:val="000000" w:themeColor="text1"/>
          <w:kern w:val="0"/>
          <w:sz w:val="24"/>
          <w14:textFill>
            <w14:solidFill>
              <w14:schemeClr w14:val="tx1"/>
            </w14:solidFill>
          </w14:textFill>
        </w:rPr>
        <w:t>之日起</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日内，办理标的移交手续，甲方予以配合。移交</w:t>
      </w:r>
      <w:r>
        <w:rPr>
          <w:rFonts w:ascii="宋体" w:hAnsi="宋体" w:cs="宋体"/>
          <w:color w:val="000000" w:themeColor="text1"/>
          <w:kern w:val="0"/>
          <w:sz w:val="24"/>
          <w14:textFill>
            <w14:solidFill>
              <w14:schemeClr w14:val="tx1"/>
            </w14:solidFill>
          </w14:textFill>
        </w:rPr>
        <w:t>手续完成之后，</w:t>
      </w:r>
      <w:r>
        <w:rPr>
          <w:rFonts w:hint="eastAsia" w:ascii="宋体" w:hAnsi="宋体" w:cs="宋体"/>
          <w:color w:val="000000" w:themeColor="text1"/>
          <w:kern w:val="0"/>
          <w:sz w:val="24"/>
          <w14:textFill>
            <w14:solidFill>
              <w14:schemeClr w14:val="tx1"/>
            </w14:solidFill>
          </w14:textFill>
        </w:rPr>
        <w:t>标的</w:t>
      </w:r>
      <w:r>
        <w:rPr>
          <w:rFonts w:ascii="宋体" w:hAnsi="宋体" w:cs="宋体"/>
          <w:color w:val="000000" w:themeColor="text1"/>
          <w:kern w:val="0"/>
          <w:sz w:val="24"/>
          <w14:textFill>
            <w14:solidFill>
              <w14:schemeClr w14:val="tx1"/>
            </w14:solidFill>
          </w14:textFill>
        </w:rPr>
        <w:t>保管及安全</w:t>
      </w:r>
      <w:r>
        <w:rPr>
          <w:rFonts w:hint="eastAsia" w:ascii="宋体" w:hAnsi="宋体" w:cs="宋体"/>
          <w:color w:val="000000" w:themeColor="text1"/>
          <w:kern w:val="0"/>
          <w:sz w:val="24"/>
          <w14:textFill>
            <w14:solidFill>
              <w14:schemeClr w14:val="tx1"/>
            </w14:solidFill>
          </w14:textFill>
        </w:rPr>
        <w:t>责任</w:t>
      </w:r>
      <w:r>
        <w:rPr>
          <w:rFonts w:ascii="宋体" w:hAnsi="宋体" w:cs="宋体"/>
          <w:color w:val="000000" w:themeColor="text1"/>
          <w:kern w:val="0"/>
          <w:sz w:val="24"/>
          <w14:textFill>
            <w14:solidFill>
              <w14:schemeClr w14:val="tx1"/>
            </w14:solidFill>
          </w14:textFill>
        </w:rPr>
        <w:t>由</w:t>
      </w:r>
      <w:r>
        <w:rPr>
          <w:rFonts w:hint="eastAsia" w:ascii="宋体" w:hAnsi="宋体" w:cs="宋体"/>
          <w:color w:val="000000" w:themeColor="text1"/>
          <w:kern w:val="0"/>
          <w:sz w:val="24"/>
          <w14:textFill>
            <w14:solidFill>
              <w14:schemeClr w14:val="tx1"/>
            </w14:solidFill>
          </w14:textFill>
        </w:rPr>
        <w:t>乙方</w:t>
      </w:r>
      <w:r>
        <w:rPr>
          <w:rFonts w:ascii="宋体" w:hAnsi="宋体" w:cs="宋体"/>
          <w:color w:val="000000" w:themeColor="text1"/>
          <w:kern w:val="0"/>
          <w:sz w:val="24"/>
          <w14:textFill>
            <w14:solidFill>
              <w14:schemeClr w14:val="tx1"/>
            </w14:solidFill>
          </w14:textFill>
        </w:rPr>
        <w:t>负责</w:t>
      </w:r>
      <w:r>
        <w:rPr>
          <w:rFonts w:hint="eastAsia" w:ascii="宋体" w:hAnsi="宋体" w:cs="宋体"/>
          <w:color w:val="000000" w:themeColor="text1"/>
          <w:kern w:val="0"/>
          <w:sz w:val="24"/>
          <w14:textFill>
            <w14:solidFill>
              <w14:schemeClr w14:val="tx1"/>
            </w14:solidFill>
          </w14:textFill>
        </w:rPr>
        <w:t>；乙方</w:t>
      </w:r>
      <w:r>
        <w:rPr>
          <w:rFonts w:ascii="宋体" w:hAnsi="宋体" w:cs="宋体"/>
          <w:color w:val="000000" w:themeColor="text1"/>
          <w:kern w:val="0"/>
          <w:sz w:val="24"/>
          <w14:textFill>
            <w14:solidFill>
              <w14:schemeClr w14:val="tx1"/>
            </w14:solidFill>
          </w14:textFill>
        </w:rPr>
        <w:t>须承诺在标的</w:t>
      </w:r>
      <w:r>
        <w:rPr>
          <w:rFonts w:hint="eastAsia" w:ascii="宋体" w:hAnsi="宋体" w:cs="宋体"/>
          <w:color w:val="000000" w:themeColor="text1"/>
          <w:kern w:val="0"/>
          <w:sz w:val="24"/>
          <w14:textFill>
            <w14:solidFill>
              <w14:schemeClr w14:val="tx1"/>
            </w14:solidFill>
          </w14:textFill>
        </w:rPr>
        <w:t>移交</w:t>
      </w:r>
      <w:r>
        <w:rPr>
          <w:rFonts w:ascii="宋体" w:hAnsi="宋体" w:cs="宋体"/>
          <w:color w:val="000000" w:themeColor="text1"/>
          <w:kern w:val="0"/>
          <w:sz w:val="24"/>
          <w14:textFill>
            <w14:solidFill>
              <w14:schemeClr w14:val="tx1"/>
            </w14:solidFill>
          </w14:textFill>
        </w:rPr>
        <w:t>手续完成之日起</w:t>
      </w:r>
      <w:r>
        <w:rPr>
          <w:rFonts w:ascii="宋体" w:hAnsi="宋体" w:cs="宋体"/>
          <w:color w:val="000000" w:themeColor="text1"/>
          <w:kern w:val="0"/>
          <w:sz w:val="24"/>
          <w:u w:val="single"/>
          <w14:textFill>
            <w14:solidFill>
              <w14:schemeClr w14:val="tx1"/>
            </w14:solidFill>
          </w14:textFill>
        </w:rPr>
        <w:t xml:space="preserve">    </w:t>
      </w:r>
      <w:r>
        <w:rPr>
          <w:rFonts w:ascii="宋体" w:hAnsi="宋体" w:cs="宋体"/>
          <w:color w:val="000000" w:themeColor="text1"/>
          <w:kern w:val="0"/>
          <w:sz w:val="24"/>
          <w14:textFill>
            <w14:solidFill>
              <w14:schemeClr w14:val="tx1"/>
            </w14:solidFill>
          </w14:textFill>
        </w:rPr>
        <w:t>日内将标的运离标的所在地，</w:t>
      </w:r>
      <w:r>
        <w:rPr>
          <w:rFonts w:hint="eastAsia" w:ascii="宋体" w:hAnsi="宋体" w:cs="宋体"/>
          <w:color w:val="000000" w:themeColor="text1"/>
          <w:kern w:val="0"/>
          <w:sz w:val="24"/>
          <w14:textFill>
            <w14:solidFill>
              <w14:schemeClr w14:val="tx1"/>
            </w14:solidFill>
          </w14:textFill>
        </w:rPr>
        <w:t>标的的</w:t>
      </w:r>
      <w:r>
        <w:rPr>
          <w:rFonts w:ascii="宋体" w:hAnsi="宋体" w:cs="宋体"/>
          <w:color w:val="000000" w:themeColor="text1"/>
          <w:kern w:val="0"/>
          <w:sz w:val="24"/>
          <w14:textFill>
            <w14:solidFill>
              <w14:schemeClr w14:val="tx1"/>
            </w14:solidFill>
          </w14:textFill>
        </w:rPr>
        <w:t>装卸</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运输</w:t>
      </w:r>
      <w:r>
        <w:rPr>
          <w:rFonts w:hint="eastAsia" w:ascii="宋体" w:hAnsi="宋体" w:cs="宋体"/>
          <w:color w:val="000000" w:themeColor="text1"/>
          <w:kern w:val="0"/>
          <w:sz w:val="24"/>
          <w14:textFill>
            <w14:solidFill>
              <w14:schemeClr w14:val="tx1"/>
            </w14:solidFill>
          </w14:textFill>
        </w:rPr>
        <w:t>等工作由乙方负责，由此产生的相关费用全部由乙方承担。</w:t>
      </w:r>
    </w:p>
    <w:p w14:paraId="2E90C144">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乙方须仔细阅读并认同《资产评估报告》</w:t>
      </w:r>
      <w:r>
        <w:rPr>
          <w:rFonts w:hint="eastAsia" w:ascii="宋体" w:hAnsi="宋体" w:cs="宋体"/>
          <w:kern w:val="0"/>
          <w:sz w:val="24"/>
        </w:rPr>
        <w:t xml:space="preserve">（ </w:t>
      </w:r>
      <w:r>
        <w:rPr>
          <w:rFonts w:ascii="宋体" w:hAnsi="宋体" w:cs="宋体"/>
          <w:kern w:val="0"/>
          <w:sz w:val="24"/>
        </w:rPr>
        <w:t xml:space="preserve">    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14:textFill>
            <w14:solidFill>
              <w14:schemeClr w14:val="tx1"/>
            </w14:solidFill>
          </w14:textFill>
        </w:rPr>
        <w:t>的全部内容。办理标的交接手续时，</w:t>
      </w:r>
      <w:r>
        <w:rPr>
          <w:rFonts w:hint="eastAsia" w:ascii="宋体" w:hAnsi="宋体"/>
          <w:color w:val="000000"/>
          <w:sz w:val="24"/>
        </w:rPr>
        <w:t>如标的现状与评估报告的内容有差异，</w:t>
      </w:r>
      <w:r>
        <w:rPr>
          <w:rFonts w:hint="eastAsia" w:ascii="宋体" w:hAnsi="宋体" w:cs="宋体"/>
          <w:kern w:val="0"/>
          <w:sz w:val="24"/>
        </w:rPr>
        <w:t>该</w:t>
      </w:r>
      <w:r>
        <w:rPr>
          <w:rFonts w:ascii="宋体" w:hAnsi="宋体" w:cs="宋体"/>
          <w:kern w:val="0"/>
          <w:sz w:val="24"/>
        </w:rPr>
        <w:t>差异</w:t>
      </w:r>
      <w:r>
        <w:rPr>
          <w:rFonts w:hint="eastAsia" w:ascii="宋体" w:hAnsi="宋体" w:cs="宋体"/>
          <w:kern w:val="0"/>
          <w:sz w:val="24"/>
        </w:rPr>
        <w:t>不影响本次交易的价格和结果</w:t>
      </w:r>
      <w:r>
        <w:rPr>
          <w:rFonts w:hint="eastAsia" w:ascii="宋体" w:hAnsi="宋体"/>
          <w:color w:val="000000" w:themeColor="text1"/>
          <w:sz w:val="24"/>
          <w14:textFill>
            <w14:solidFill>
              <w14:schemeClr w14:val="tx1"/>
            </w14:solidFill>
          </w14:textFill>
        </w:rPr>
        <w:t>。</w:t>
      </w:r>
    </w:p>
    <w:p w14:paraId="422FEF17">
      <w:pPr>
        <w:spacing w:line="500" w:lineRule="exact"/>
        <w:rPr>
          <w:rFonts w:ascii="宋体" w:hAnsi="宋体"/>
          <w:color w:val="000000" w:themeColor="text1"/>
          <w:sz w:val="24"/>
          <w14:textFill>
            <w14:solidFill>
              <w14:schemeClr w14:val="tx1"/>
            </w14:solidFill>
          </w14:textFill>
        </w:rPr>
      </w:pPr>
    </w:p>
    <w:p w14:paraId="4D412000">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交易服务费用的承担</w:t>
      </w:r>
    </w:p>
    <w:p w14:paraId="734342FC">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6.1本合同转让标的交易过程中所产生的服务费用由甲方和乙方按照相关合同约定各自承担。 </w:t>
      </w:r>
    </w:p>
    <w:p w14:paraId="553E4A29">
      <w:pPr>
        <w:spacing w:line="500" w:lineRule="exact"/>
        <w:ind w:firstLine="480" w:firstLineChars="200"/>
        <w:rPr>
          <w:rFonts w:ascii="宋体" w:hAnsi="宋体"/>
          <w:color w:val="000000" w:themeColor="text1"/>
          <w:sz w:val="24"/>
          <w14:textFill>
            <w14:solidFill>
              <w14:schemeClr w14:val="tx1"/>
            </w14:solidFill>
          </w14:textFill>
        </w:rPr>
      </w:pPr>
    </w:p>
    <w:p w14:paraId="711EC97B">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第七条 甲方的声明与保证</w:t>
      </w:r>
    </w:p>
    <w:p w14:paraId="76EF3AAB">
      <w:pPr>
        <w:tabs>
          <w:tab w:val="left" w:pos="1620"/>
        </w:tabs>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 甲方对本合同的转让标的拥有合法、有效和完整的处分权。</w:t>
      </w:r>
    </w:p>
    <w:p w14:paraId="1D80D5D4">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7.2为签订本合同之目的向乙方及产权交易机构所提交的各项证明文件及资料均为真实、准确、完整的，甲方对所提供材料与标的资产真实情况的一致性负责，并承担因隐瞒、虚报所引起的一切法律责任。</w:t>
      </w:r>
    </w:p>
    <w:p w14:paraId="67FF7CB4">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 签订本合同所需的包括但不限于授权、审批、公司内部决策等在内的一切手续均已合法有效取得，本合同成立和标的资产转让的前提条件均已满足。</w:t>
      </w:r>
    </w:p>
    <w:p w14:paraId="10FD8755">
      <w:pPr>
        <w:spacing w:line="500" w:lineRule="exact"/>
        <w:ind w:firstLine="540" w:firstLineChars="224"/>
        <w:rPr>
          <w:rFonts w:ascii="宋体" w:hAnsi="宋体"/>
          <w:b/>
          <w:bCs/>
          <w:color w:val="000000" w:themeColor="text1"/>
          <w:sz w:val="24"/>
          <w14:textFill>
            <w14:solidFill>
              <w14:schemeClr w14:val="tx1"/>
            </w14:solidFill>
          </w14:textFill>
        </w:rPr>
      </w:pPr>
    </w:p>
    <w:p w14:paraId="129B4214">
      <w:pPr>
        <w:spacing w:line="500" w:lineRule="exact"/>
        <w:ind w:firstLine="540" w:firstLineChars="224"/>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第八条 乙方的声明与保证</w:t>
      </w:r>
    </w:p>
    <w:p w14:paraId="3868301A">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 乙方受让本合同转让标的符合法律、法规的规定，并不违背中国境内的产业政策。</w:t>
      </w:r>
    </w:p>
    <w:p w14:paraId="146B557A">
      <w:pPr>
        <w:spacing w:line="500" w:lineRule="exact"/>
        <w:ind w:firstLine="537" w:firstLineChars="224"/>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 为签订本合同之目的向甲方及产权交易机构提交的各项证明文件及资料均为真实、完整的。乙方保证主体资格符合本项目挂牌公告</w:t>
      </w:r>
      <w:r>
        <w:rPr>
          <w:rFonts w:hint="eastAsia"/>
          <w:color w:val="000000" w:themeColor="text1"/>
          <w:kern w:val="0"/>
          <w:sz w:val="24"/>
          <w14:textFill>
            <w14:solidFill>
              <w14:schemeClr w14:val="tx1"/>
            </w14:solidFill>
          </w14:textFill>
        </w:rPr>
        <w:t>中规定的受让主体条件，如因信息虚假引起相关法律纠纷或损失由乙方自行承担法律责任，与</w:t>
      </w:r>
      <w:r>
        <w:rPr>
          <w:rFonts w:hint="eastAsia" w:ascii="宋体" w:hAnsi="宋体"/>
          <w:color w:val="000000" w:themeColor="text1"/>
          <w:sz w:val="24"/>
          <w14:textFill>
            <w14:solidFill>
              <w14:schemeClr w14:val="tx1"/>
            </w14:solidFill>
          </w14:textFill>
        </w:rPr>
        <w:t>产权交易机构</w:t>
      </w:r>
      <w:r>
        <w:rPr>
          <w:rFonts w:hint="eastAsia"/>
          <w:color w:val="000000" w:themeColor="text1"/>
          <w:kern w:val="0"/>
          <w:sz w:val="24"/>
          <w14:textFill>
            <w14:solidFill>
              <w14:schemeClr w14:val="tx1"/>
            </w14:solidFill>
          </w14:textFill>
        </w:rPr>
        <w:t>无关。</w:t>
      </w:r>
    </w:p>
    <w:p w14:paraId="5818A2F4">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8.3 签订本合同所需的包括但不限于授权、审批、公司内部决策等在内的一切批准手续均已合法有效取得，本合同成立和受让转让标的的前提条件均已满足。</w:t>
      </w:r>
    </w:p>
    <w:p w14:paraId="37B6CFBF">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 乙方已仔细阅读并认同转让标的《资产评估报告》的全部内容。乙方同意并接受《产权交易合同》中的所有条款。</w:t>
      </w:r>
    </w:p>
    <w:p w14:paraId="40051E72">
      <w:pPr>
        <w:spacing w:line="500" w:lineRule="exact"/>
        <w:ind w:firstLine="537" w:firstLineChars="224"/>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8.5 乙方已对标的现状进行了充分的调查了解，同意按标的现状予以受让，对标的受让后可能存在的风险有充分的理解并愿意承担一切风险，不因标的可能存在的各种瑕疵</w:t>
      </w:r>
      <w:r>
        <w:rPr>
          <w:rFonts w:hint="eastAsia" w:ascii="宋体" w:hAnsi="宋体" w:cs="宋体"/>
          <w:kern w:val="0"/>
          <w:sz w:val="24"/>
        </w:rPr>
        <w:t>（包括但不限于标的资产规格型号、设备名称与评估报告可能存在差异等）</w:t>
      </w:r>
      <w:r>
        <w:rPr>
          <w:rFonts w:hint="eastAsia" w:ascii="宋体" w:hAnsi="宋体"/>
          <w:color w:val="000000" w:themeColor="text1"/>
          <w:sz w:val="24"/>
          <w14:textFill>
            <w14:solidFill>
              <w14:schemeClr w14:val="tx1"/>
            </w14:solidFill>
          </w14:textFill>
        </w:rPr>
        <w:t>为由要求退款，不因标的受让后可能产生的任何经济或民事纠纷而对甲方和产权交易机构进行追责和索赔。</w:t>
      </w:r>
    </w:p>
    <w:p w14:paraId="7BA67F33">
      <w:pPr>
        <w:spacing w:line="500" w:lineRule="exact"/>
        <w:ind w:firstLine="537" w:firstLineChars="224"/>
        <w:rPr>
          <w:rFonts w:hint="eastAsia" w:ascii="宋体" w:hAnsi="宋体"/>
          <w:color w:val="000000" w:themeColor="text1"/>
          <w:sz w:val="24"/>
          <w14:textFill>
            <w14:solidFill>
              <w14:schemeClr w14:val="tx1"/>
            </w14:solidFill>
          </w14:textFill>
        </w:rPr>
      </w:pPr>
    </w:p>
    <w:p w14:paraId="6E6F3CEF">
      <w:pPr>
        <w:spacing w:line="500" w:lineRule="exact"/>
        <w:ind w:firstLine="540" w:firstLineChars="224"/>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第九条  违约责任</w:t>
      </w:r>
    </w:p>
    <w:p w14:paraId="4B467786">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9.1本合同生效后，任何一方无故提出终止合同，应按照本合同成交价款的</w:t>
      </w:r>
      <w:r>
        <w:rPr>
          <w:rFonts w:hint="eastAsia" w:ascii="宋体" w:hAnsi="宋体"/>
          <w:color w:val="000000" w:themeColor="text1"/>
          <w:sz w:val="24"/>
          <w:u w:val="single"/>
          <w14:textFill>
            <w14:solidFill>
              <w14:schemeClr w14:val="tx1"/>
            </w14:solidFill>
          </w14:textFill>
        </w:rPr>
        <w:t xml:space="preserve"> 10</w:t>
      </w:r>
      <w:r>
        <w:rPr>
          <w:rFonts w:hint="eastAsia" w:ascii="宋体" w:hAnsi="宋体"/>
          <w:color w:val="000000" w:themeColor="text1"/>
          <w:sz w:val="24"/>
          <w14:textFill>
            <w14:solidFill>
              <w14:schemeClr w14:val="tx1"/>
            </w14:solidFill>
          </w14:textFill>
        </w:rPr>
        <w:t>%向对方一次性支付违约金，给对方造成损失的，还应承担赔偿责任。</w:t>
      </w:r>
    </w:p>
    <w:p w14:paraId="38E84E00">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 甲方保证标的权属清楚，交易标的如发生产权纠纷或债权债务时，由甲方承担全部责任。</w:t>
      </w:r>
    </w:p>
    <w:p w14:paraId="5B56E73D">
      <w:pPr>
        <w:spacing w:line="500" w:lineRule="exact"/>
        <w:ind w:firstLine="537" w:firstLineChars="224"/>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 甲方逾期不交付标的给乙方，乙方不解除合同的，甲方每逾期一日，</w:t>
      </w:r>
      <w:r>
        <w:rPr>
          <w:rFonts w:hint="eastAsia" w:ascii="宋体" w:hAnsi="宋体"/>
          <w:sz w:val="24"/>
        </w:rPr>
        <w:t>按照成交价款的</w:t>
      </w:r>
      <w:r>
        <w:rPr>
          <w:rFonts w:hint="eastAsia" w:ascii="宋体" w:hAnsi="宋体"/>
          <w:sz w:val="24"/>
          <w:u w:val="single"/>
        </w:rPr>
        <w:t>_0.5%_</w:t>
      </w:r>
      <w:r>
        <w:rPr>
          <w:rFonts w:hint="eastAsia" w:ascii="宋体" w:hAnsi="宋体"/>
          <w:color w:val="000000" w:themeColor="text1"/>
          <w:sz w:val="24"/>
          <w14:textFill>
            <w14:solidFill>
              <w14:schemeClr w14:val="tx1"/>
            </w14:solidFill>
          </w14:textFill>
        </w:rPr>
        <w:t>向乙方支付违约金；逾期超过</w:t>
      </w:r>
      <w:r>
        <w:rPr>
          <w:rFonts w:hint="eastAsia" w:ascii="宋体" w:hAnsi="宋体"/>
          <w:color w:val="000000" w:themeColor="text1"/>
          <w:sz w:val="24"/>
          <w:u w:val="single"/>
          <w14:textFill>
            <w14:solidFill>
              <w14:schemeClr w14:val="tx1"/>
            </w14:solidFill>
          </w14:textFill>
        </w:rPr>
        <w:t>1</w:t>
      </w:r>
      <w:r>
        <w:rPr>
          <w:rFonts w:ascii="宋体" w:hAnsi="宋体"/>
          <w:color w:val="000000" w:themeColor="text1"/>
          <w:sz w:val="24"/>
          <w:u w:val="single"/>
          <w14:textFill>
            <w14:solidFill>
              <w14:schemeClr w14:val="tx1"/>
            </w14:solidFill>
          </w14:textFill>
        </w:rPr>
        <w:t>0</w:t>
      </w:r>
      <w:r>
        <w:rPr>
          <w:rFonts w:hint="eastAsia" w:ascii="宋体" w:hAnsi="宋体"/>
          <w:color w:val="000000" w:themeColor="text1"/>
          <w:sz w:val="24"/>
          <w14:textFill>
            <w14:solidFill>
              <w14:schemeClr w14:val="tx1"/>
            </w14:solidFill>
          </w14:textFill>
        </w:rPr>
        <w:t>日的，乙方有权解除合同；乙方解除合同的，甲方应退还乙方所付价款，并按成交价款的</w:t>
      </w:r>
      <w:r>
        <w:rPr>
          <w:rFonts w:ascii="宋体" w:hAnsi="宋体"/>
          <w:color w:val="000000" w:themeColor="text1"/>
          <w:sz w:val="24"/>
          <w:u w:val="single"/>
          <w14:textFill>
            <w14:solidFill>
              <w14:schemeClr w14:val="tx1"/>
            </w14:solidFill>
          </w14:textFill>
        </w:rPr>
        <w:t>10</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向乙方支付违约金。</w:t>
      </w:r>
    </w:p>
    <w:p w14:paraId="429982DD">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9.4乙方逾期未足额支付成交价款给甲方的，视为不履行合同，甲方不解除合同的，每逾期一日按</w:t>
      </w:r>
      <w:r>
        <w:rPr>
          <w:rFonts w:hint="eastAsia" w:ascii="宋体" w:hAnsi="宋体"/>
          <w:sz w:val="24"/>
        </w:rPr>
        <w:t>成交价款的</w:t>
      </w:r>
      <w:r>
        <w:rPr>
          <w:rFonts w:hint="eastAsia" w:ascii="宋体" w:hAnsi="宋体"/>
          <w:sz w:val="24"/>
          <w:u w:val="single"/>
        </w:rPr>
        <w:t>_0.5%_</w:t>
      </w:r>
      <w:r>
        <w:rPr>
          <w:rFonts w:hint="eastAsia" w:ascii="宋体" w:hAnsi="宋体"/>
          <w:color w:val="000000" w:themeColor="text1"/>
          <w:sz w:val="24"/>
          <w14:textFill>
            <w14:solidFill>
              <w14:schemeClr w14:val="tx1"/>
            </w14:solidFill>
          </w14:textFill>
        </w:rPr>
        <w:t>向甲方支付违约金；甲方解除合同的，乙方</w:t>
      </w:r>
      <w:r>
        <w:rPr>
          <w:rFonts w:hint="eastAsia" w:ascii="宋体" w:hAnsi="宋体" w:cs="宋体"/>
          <w:color w:val="000000" w:themeColor="text1"/>
          <w:kern w:val="0"/>
          <w:sz w:val="24"/>
          <w14:textFill>
            <w14:solidFill>
              <w14:schemeClr w14:val="tx1"/>
            </w14:solidFill>
          </w14:textFill>
        </w:rPr>
        <w:t>应承担赔偿责任，其交纳的保证金不予退还；</w:t>
      </w:r>
      <w:r>
        <w:rPr>
          <w:rFonts w:hint="eastAsia" w:ascii="宋体" w:hAnsi="宋体" w:cs="宋体"/>
          <w:color w:val="000000" w:themeColor="text1"/>
          <w:kern w:val="0"/>
          <w:sz w:val="24"/>
          <w:lang w:eastAsia="zh-CN"/>
          <w14:textFill>
            <w14:solidFill>
              <w14:schemeClr w14:val="tx1"/>
            </w14:solidFill>
          </w14:textFill>
        </w:rPr>
        <w:t>湖北华中文化产权交易所</w:t>
      </w:r>
      <w:r>
        <w:rPr>
          <w:rFonts w:hint="eastAsia" w:ascii="宋体" w:hAnsi="宋体" w:cs="宋体"/>
          <w:color w:val="000000" w:themeColor="text1"/>
          <w:kern w:val="0"/>
          <w:sz w:val="24"/>
          <w:lang w:val="en-US" w:eastAsia="zh-CN"/>
          <w14:textFill>
            <w14:solidFill>
              <w14:schemeClr w14:val="tx1"/>
            </w14:solidFill>
          </w14:textFill>
        </w:rPr>
        <w:t>宜昌有限公司</w:t>
      </w:r>
      <w:r>
        <w:rPr>
          <w:rFonts w:hint="eastAsia" w:ascii="宋体" w:hAnsi="宋体" w:cs="宋体"/>
          <w:color w:val="000000" w:themeColor="text1"/>
          <w:kern w:val="0"/>
          <w:sz w:val="24"/>
          <w14:textFill>
            <w14:solidFill>
              <w14:schemeClr w14:val="tx1"/>
            </w14:solidFill>
          </w14:textFill>
        </w:rPr>
        <w:t>有权组织重新竞价，重</w:t>
      </w:r>
      <w:r>
        <w:rPr>
          <w:rFonts w:ascii="宋体" w:hAnsi="宋体" w:cs="宋体"/>
          <w:color w:val="000000" w:themeColor="text1"/>
          <w:kern w:val="0"/>
          <w:sz w:val="24"/>
          <w14:textFill>
            <w14:solidFill>
              <w14:schemeClr w14:val="tx1"/>
            </w14:solidFill>
          </w14:textFill>
        </w:rPr>
        <w:t>新</w:t>
      </w:r>
      <w:r>
        <w:rPr>
          <w:rFonts w:hint="eastAsia" w:ascii="宋体" w:hAnsi="宋体" w:cs="宋体"/>
          <w:color w:val="000000" w:themeColor="text1"/>
          <w:kern w:val="0"/>
          <w:sz w:val="24"/>
          <w14:textFill>
            <w14:solidFill>
              <w14:schemeClr w14:val="tx1"/>
            </w14:solidFill>
          </w14:textFill>
        </w:rPr>
        <w:t>竞价</w:t>
      </w:r>
      <w:r>
        <w:rPr>
          <w:rFonts w:ascii="宋体" w:hAnsi="宋体" w:cs="宋体"/>
          <w:color w:val="000000" w:themeColor="text1"/>
          <w:kern w:val="0"/>
          <w:sz w:val="24"/>
          <w14:textFill>
            <w14:solidFill>
              <w14:schemeClr w14:val="tx1"/>
            </w14:solidFill>
          </w14:textFill>
        </w:rPr>
        <w:t>的成交价若低于</w:t>
      </w:r>
      <w:r>
        <w:rPr>
          <w:rFonts w:hint="eastAsia" w:ascii="宋体" w:hAnsi="宋体" w:cs="宋体"/>
          <w:color w:val="000000" w:themeColor="text1"/>
          <w:kern w:val="0"/>
          <w:sz w:val="24"/>
          <w14:textFill>
            <w14:solidFill>
              <w14:schemeClr w14:val="tx1"/>
            </w14:solidFill>
          </w14:textFill>
        </w:rPr>
        <w:t>本次</w:t>
      </w:r>
      <w:r>
        <w:rPr>
          <w:rFonts w:ascii="宋体" w:hAnsi="宋体" w:cs="宋体"/>
          <w:color w:val="000000" w:themeColor="text1"/>
          <w:kern w:val="0"/>
          <w:sz w:val="24"/>
          <w14:textFill>
            <w14:solidFill>
              <w14:schemeClr w14:val="tx1"/>
            </w14:solidFill>
          </w14:textFill>
        </w:rPr>
        <w:t>成交</w:t>
      </w:r>
      <w:r>
        <w:rPr>
          <w:rFonts w:hint="eastAsia" w:ascii="宋体" w:hAnsi="宋体" w:cs="宋体"/>
          <w:color w:val="000000" w:themeColor="text1"/>
          <w:kern w:val="0"/>
          <w:sz w:val="24"/>
          <w14:textFill>
            <w14:solidFill>
              <w14:schemeClr w14:val="tx1"/>
            </w14:solidFill>
          </w14:textFill>
        </w:rPr>
        <w:t>价</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所</w:t>
      </w:r>
      <w:r>
        <w:rPr>
          <w:rFonts w:ascii="宋体" w:hAnsi="宋体" w:cs="宋体"/>
          <w:color w:val="000000" w:themeColor="text1"/>
          <w:kern w:val="0"/>
          <w:sz w:val="24"/>
          <w14:textFill>
            <w14:solidFill>
              <w14:schemeClr w14:val="tx1"/>
            </w14:solidFill>
          </w14:textFill>
        </w:rPr>
        <w:t>造成的</w:t>
      </w:r>
      <w:r>
        <w:rPr>
          <w:rFonts w:hint="eastAsia" w:ascii="宋体" w:hAnsi="宋体" w:cs="宋体"/>
          <w:color w:val="000000" w:themeColor="text1"/>
          <w:kern w:val="0"/>
          <w:sz w:val="24"/>
          <w14:textFill>
            <w14:solidFill>
              <w14:schemeClr w14:val="tx1"/>
            </w14:solidFill>
          </w14:textFill>
        </w:rPr>
        <w:t>差价</w:t>
      </w:r>
      <w:r>
        <w:rPr>
          <w:rFonts w:ascii="宋体" w:hAnsi="宋体" w:cs="宋体"/>
          <w:color w:val="000000" w:themeColor="text1"/>
          <w:kern w:val="0"/>
          <w:sz w:val="24"/>
          <w14:textFill>
            <w14:solidFill>
              <w14:schemeClr w14:val="tx1"/>
            </w14:solidFill>
          </w14:textFill>
        </w:rPr>
        <w:t>、费用损失等，</w:t>
      </w:r>
      <w:r>
        <w:rPr>
          <w:rFonts w:hint="eastAsia" w:ascii="宋体" w:hAnsi="宋体" w:cs="宋体"/>
          <w:color w:val="000000" w:themeColor="text1"/>
          <w:kern w:val="0"/>
          <w:sz w:val="24"/>
          <w14:textFill>
            <w14:solidFill>
              <w14:schemeClr w14:val="tx1"/>
            </w14:solidFill>
          </w14:textFill>
        </w:rPr>
        <w:t>由乙方承担，若乙方</w:t>
      </w:r>
      <w:r>
        <w:rPr>
          <w:rFonts w:ascii="宋体" w:hAnsi="宋体" w:cs="宋体"/>
          <w:color w:val="000000" w:themeColor="text1"/>
          <w:kern w:val="0"/>
          <w:sz w:val="24"/>
          <w14:textFill>
            <w14:solidFill>
              <w14:schemeClr w14:val="tx1"/>
            </w14:solidFill>
          </w14:textFill>
        </w:rPr>
        <w:t>所交纳的保证金足以弥补该差价等费用损失的，</w:t>
      </w:r>
      <w:r>
        <w:rPr>
          <w:rFonts w:hint="eastAsia" w:ascii="宋体" w:hAnsi="宋体" w:cs="宋体"/>
          <w:color w:val="000000" w:themeColor="text1"/>
          <w:kern w:val="0"/>
          <w:sz w:val="24"/>
          <w14:textFill>
            <w14:solidFill>
              <w14:schemeClr w14:val="tx1"/>
            </w14:solidFill>
          </w14:textFill>
        </w:rPr>
        <w:t>则</w:t>
      </w:r>
      <w:r>
        <w:rPr>
          <w:rFonts w:ascii="宋体" w:hAnsi="宋体" w:cs="宋体"/>
          <w:color w:val="000000" w:themeColor="text1"/>
          <w:kern w:val="0"/>
          <w:sz w:val="24"/>
          <w14:textFill>
            <w14:solidFill>
              <w14:schemeClr w14:val="tx1"/>
            </w14:solidFill>
          </w14:textFill>
        </w:rPr>
        <w:t>以该保证</w:t>
      </w:r>
      <w:r>
        <w:rPr>
          <w:rFonts w:hint="eastAsia" w:ascii="宋体" w:hAnsi="宋体" w:cs="宋体"/>
          <w:color w:val="000000" w:themeColor="text1"/>
          <w:kern w:val="0"/>
          <w:sz w:val="24"/>
          <w14:textFill>
            <w14:solidFill>
              <w14:schemeClr w14:val="tx1"/>
            </w14:solidFill>
          </w14:textFill>
        </w:rPr>
        <w:t>金</w:t>
      </w:r>
      <w:r>
        <w:rPr>
          <w:rFonts w:ascii="宋体" w:hAnsi="宋体" w:cs="宋体"/>
          <w:color w:val="000000" w:themeColor="text1"/>
          <w:kern w:val="0"/>
          <w:sz w:val="24"/>
          <w14:textFill>
            <w14:solidFill>
              <w14:schemeClr w14:val="tx1"/>
            </w14:solidFill>
          </w14:textFill>
        </w:rPr>
        <w:t>填补差价，</w:t>
      </w:r>
      <w:r>
        <w:rPr>
          <w:rFonts w:hint="eastAsia" w:ascii="宋体" w:hAnsi="宋体" w:cs="宋体"/>
          <w:color w:val="000000" w:themeColor="text1"/>
          <w:kern w:val="0"/>
          <w:sz w:val="24"/>
          <w14:textFill>
            <w14:solidFill>
              <w14:schemeClr w14:val="tx1"/>
            </w14:solidFill>
          </w14:textFill>
        </w:rPr>
        <w:t>乙方无须</w:t>
      </w:r>
      <w:r>
        <w:rPr>
          <w:rFonts w:ascii="宋体" w:hAnsi="宋体" w:cs="宋体"/>
          <w:color w:val="000000" w:themeColor="text1"/>
          <w:kern w:val="0"/>
          <w:sz w:val="24"/>
          <w14:textFill>
            <w14:solidFill>
              <w14:schemeClr w14:val="tx1"/>
            </w14:solidFill>
          </w14:textFill>
        </w:rPr>
        <w:t>另行承担责任。</w:t>
      </w:r>
      <w:r>
        <w:rPr>
          <w:rFonts w:hint="eastAsia" w:ascii="宋体" w:hAnsi="宋体" w:cs="宋体"/>
          <w:color w:val="000000" w:themeColor="text1"/>
          <w:kern w:val="0"/>
          <w:sz w:val="24"/>
          <w14:textFill>
            <w14:solidFill>
              <w14:schemeClr w14:val="tx1"/>
            </w14:solidFill>
          </w14:textFill>
        </w:rPr>
        <w:t>若乙方</w:t>
      </w:r>
      <w:r>
        <w:rPr>
          <w:rFonts w:ascii="宋体" w:hAnsi="宋体" w:cs="宋体"/>
          <w:color w:val="000000" w:themeColor="text1"/>
          <w:kern w:val="0"/>
          <w:sz w:val="24"/>
          <w14:textFill>
            <w14:solidFill>
              <w14:schemeClr w14:val="tx1"/>
            </w14:solidFill>
          </w14:textFill>
        </w:rPr>
        <w:t>所交纳的保证金</w:t>
      </w:r>
      <w:r>
        <w:rPr>
          <w:rFonts w:hint="eastAsia" w:ascii="宋体" w:hAnsi="宋体" w:cs="宋体"/>
          <w:color w:val="000000" w:themeColor="text1"/>
          <w:kern w:val="0"/>
          <w:sz w:val="24"/>
          <w14:textFill>
            <w14:solidFill>
              <w14:schemeClr w14:val="tx1"/>
            </w14:solidFill>
          </w14:textFill>
        </w:rPr>
        <w:t>不</w:t>
      </w:r>
      <w:r>
        <w:rPr>
          <w:rFonts w:ascii="宋体" w:hAnsi="宋体" w:cs="宋体"/>
          <w:color w:val="000000" w:themeColor="text1"/>
          <w:kern w:val="0"/>
          <w:sz w:val="24"/>
          <w14:textFill>
            <w14:solidFill>
              <w14:schemeClr w14:val="tx1"/>
            </w14:solidFill>
          </w14:textFill>
        </w:rPr>
        <w:t>足以弥补该差价等费用损失的，</w:t>
      </w:r>
      <w:r>
        <w:rPr>
          <w:rFonts w:hint="eastAsia" w:ascii="宋体" w:hAnsi="宋体" w:cs="宋体"/>
          <w:color w:val="000000" w:themeColor="text1"/>
          <w:kern w:val="0"/>
          <w:sz w:val="24"/>
          <w14:textFill>
            <w14:solidFill>
              <w14:schemeClr w14:val="tx1"/>
            </w14:solidFill>
          </w14:textFill>
        </w:rPr>
        <w:t>则由乙方承担不足</w:t>
      </w:r>
      <w:r>
        <w:rPr>
          <w:rFonts w:ascii="宋体" w:hAnsi="宋体" w:cs="宋体"/>
          <w:color w:val="000000" w:themeColor="text1"/>
          <w:kern w:val="0"/>
          <w:sz w:val="24"/>
          <w14:textFill>
            <w14:solidFill>
              <w14:schemeClr w14:val="tx1"/>
            </w14:solidFill>
          </w14:textFill>
        </w:rPr>
        <w:t>部分。</w:t>
      </w:r>
    </w:p>
    <w:p w14:paraId="5F4E337F">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9.5 因任何一方原因导致标的未在规定期限内办理完交接手续，违约方须按违约天数向对方支付</w:t>
      </w:r>
      <w:r>
        <w:rPr>
          <w:rFonts w:hint="eastAsia" w:ascii="宋体" w:hAnsi="宋体"/>
          <w:color w:val="000000" w:themeColor="text1"/>
          <w:sz w:val="24"/>
          <w:u w:val="single"/>
          <w14:textFill>
            <w14:solidFill>
              <w14:schemeClr w14:val="tx1"/>
            </w14:solidFill>
          </w14:textFill>
        </w:rPr>
        <w:t>每日1千元</w:t>
      </w:r>
      <w:r>
        <w:rPr>
          <w:rFonts w:hint="eastAsia" w:ascii="宋体" w:hAnsi="宋体"/>
          <w:color w:val="000000" w:themeColor="text1"/>
          <w:sz w:val="24"/>
          <w14:textFill>
            <w14:solidFill>
              <w14:schemeClr w14:val="tx1"/>
            </w14:solidFill>
          </w14:textFill>
        </w:rPr>
        <w:t>的违约金。</w:t>
      </w:r>
    </w:p>
    <w:p w14:paraId="0FCFB068">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9.6 由于一方的过错造成本合同不能履行、不能完全履行或被认定为无效时，由过错的一方承担违约责任，双方均有过错的，则由甲乙双方按责任大小承担各自相应的责任。</w:t>
      </w:r>
    </w:p>
    <w:p w14:paraId="5C4D1573">
      <w:pPr>
        <w:spacing w:line="500" w:lineRule="exact"/>
        <w:ind w:firstLine="482" w:firstLineChars="200"/>
        <w:rPr>
          <w:rFonts w:ascii="宋体" w:hAnsi="宋体"/>
          <w:b/>
          <w:bCs/>
          <w:color w:val="000000" w:themeColor="text1"/>
          <w:sz w:val="24"/>
          <w14:textFill>
            <w14:solidFill>
              <w14:schemeClr w14:val="tx1"/>
            </w14:solidFill>
          </w14:textFill>
        </w:rPr>
      </w:pPr>
    </w:p>
    <w:p w14:paraId="1A7CEF4A">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第十条   合同的变更和解除</w:t>
      </w:r>
    </w:p>
    <w:p w14:paraId="3B03A4D1">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10.1当事人双方协商一致，可以变更或解除本合同。</w:t>
      </w:r>
    </w:p>
    <w:p w14:paraId="692D286E">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10.2发生下列情况之一时，一方可以解除本合同。</w:t>
      </w:r>
    </w:p>
    <w:p w14:paraId="212DD7BC">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（1）由于不可抗力或不可归责于双方的原因致使本合同的目的无法实现的；</w:t>
      </w:r>
    </w:p>
    <w:p w14:paraId="4F99B607">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（2）另一方丧失实际履约能力的；</w:t>
      </w:r>
    </w:p>
    <w:p w14:paraId="2B25BAE3">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（3）另一方严重违约致使不能实现合同目的的；</w:t>
      </w:r>
    </w:p>
    <w:p w14:paraId="5D6F5883">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（4）另一方出现本合同第九条所述违约情形的。</w:t>
      </w:r>
    </w:p>
    <w:p w14:paraId="39967C8B">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10.3 变更或解除本合同均应采用书面形式，并报产权交易机构备案。</w:t>
      </w:r>
    </w:p>
    <w:p w14:paraId="4C638FDC">
      <w:pPr>
        <w:spacing w:line="500" w:lineRule="exact"/>
        <w:ind w:firstLine="480" w:firstLineChars="200"/>
        <w:rPr>
          <w:rFonts w:ascii="宋体" w:hAnsi="宋体"/>
          <w:color w:val="000000" w:themeColor="text1"/>
          <w:sz w:val="24"/>
          <w14:textFill>
            <w14:solidFill>
              <w14:schemeClr w14:val="tx1"/>
            </w14:solidFill>
          </w14:textFill>
        </w:rPr>
      </w:pPr>
    </w:p>
    <w:p w14:paraId="0CE17C92">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第十一条 管辖及争议解决方式</w:t>
      </w:r>
    </w:p>
    <w:p w14:paraId="5C05E41A">
      <w:pPr>
        <w:spacing w:line="500" w:lineRule="exact"/>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11.1本合同及实物资产交易中的行为均适用中华人民共和国法律。</w:t>
      </w:r>
    </w:p>
    <w:p w14:paraId="3AE6EEB5">
      <w:pPr>
        <w:spacing w:line="500" w:lineRule="exact"/>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11.2有关本合同的解释或履行，当事人之间发生争议的，应由双方协商解决；协商解决不成的，提交武汉仲裁委员会仲裁。</w:t>
      </w:r>
    </w:p>
    <w:p w14:paraId="36A559E0">
      <w:pPr>
        <w:spacing w:line="500" w:lineRule="exact"/>
        <w:ind w:firstLine="540" w:firstLineChars="225"/>
        <w:rPr>
          <w:rFonts w:ascii="宋体" w:hAnsi="宋体"/>
          <w:color w:val="000000" w:themeColor="text1"/>
          <w:sz w:val="24"/>
          <w14:textFill>
            <w14:solidFill>
              <w14:schemeClr w14:val="tx1"/>
            </w14:solidFill>
          </w14:textFill>
        </w:rPr>
      </w:pPr>
    </w:p>
    <w:p w14:paraId="40930B83">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第十二条   合同的生效</w:t>
      </w:r>
    </w:p>
    <w:p w14:paraId="0C892580">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12.1本合同自甲乙双方的授权代表签字盖章之时生效。</w:t>
      </w:r>
    </w:p>
    <w:p w14:paraId="682DC532">
      <w:pPr>
        <w:spacing w:line="500" w:lineRule="exact"/>
        <w:ind w:firstLine="482" w:firstLineChars="200"/>
        <w:rPr>
          <w:rFonts w:ascii="宋体" w:hAnsi="宋体"/>
          <w:b/>
          <w:bCs/>
          <w:color w:val="000000" w:themeColor="text1"/>
          <w:sz w:val="24"/>
          <w14:textFill>
            <w14:solidFill>
              <w14:schemeClr w14:val="tx1"/>
            </w14:solidFill>
          </w14:textFill>
        </w:rPr>
      </w:pPr>
    </w:p>
    <w:p w14:paraId="7C3BEACC">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第十三条   其他</w:t>
      </w:r>
    </w:p>
    <w:p w14:paraId="210A64FE">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13.1双方对本合同内容的变更或补充应采用书面形式订立，并作为本合同的附件。本合同的附件与本合同具有同等的法律效力。</w:t>
      </w:r>
    </w:p>
    <w:p w14:paraId="3345C548">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13.2本合同一式</w:t>
      </w:r>
      <w:r>
        <w:rPr>
          <w:rFonts w:hint="eastAsia" w:ascii="宋体" w:hAnsi="宋体"/>
          <w:color w:val="000000" w:themeColor="text1"/>
          <w:sz w:val="24"/>
          <w:u w:val="single"/>
          <w14:textFill>
            <w14:solidFill>
              <w14:schemeClr w14:val="tx1"/>
            </w14:solidFill>
          </w14:textFill>
        </w:rPr>
        <w:t>叁</w:t>
      </w:r>
      <w:r>
        <w:rPr>
          <w:rFonts w:hint="eastAsia" w:ascii="宋体" w:hAnsi="宋体"/>
          <w:color w:val="000000" w:themeColor="text1"/>
          <w:sz w:val="24"/>
          <w14:textFill>
            <w14:solidFill>
              <w14:schemeClr w14:val="tx1"/>
            </w14:solidFill>
          </w14:textFill>
        </w:rPr>
        <w:t>份，甲、乙双方各执</w:t>
      </w:r>
      <w:r>
        <w:rPr>
          <w:rFonts w:hint="eastAsia" w:ascii="宋体" w:hAnsi="宋体"/>
          <w:color w:val="000000" w:themeColor="text1"/>
          <w:sz w:val="24"/>
          <w:u w:val="single"/>
          <w14:textFill>
            <w14:solidFill>
              <w14:schemeClr w14:val="tx1"/>
            </w14:solidFill>
          </w14:textFill>
        </w:rPr>
        <w:t>壹</w:t>
      </w:r>
      <w:r>
        <w:rPr>
          <w:rFonts w:hint="eastAsia" w:ascii="宋体" w:hAnsi="宋体"/>
          <w:color w:val="000000" w:themeColor="text1"/>
          <w:sz w:val="24"/>
          <w14:textFill>
            <w14:solidFill>
              <w14:schemeClr w14:val="tx1"/>
            </w14:solidFill>
          </w14:textFill>
        </w:rPr>
        <w:t>份，产权交易机构留存</w:t>
      </w:r>
      <w:r>
        <w:rPr>
          <w:rFonts w:hint="eastAsia" w:ascii="宋体" w:hAnsi="宋体"/>
          <w:color w:val="000000" w:themeColor="text1"/>
          <w:sz w:val="24"/>
          <w:u w:val="single"/>
          <w14:textFill>
            <w14:solidFill>
              <w14:schemeClr w14:val="tx1"/>
            </w14:solidFill>
          </w14:textFill>
        </w:rPr>
        <w:t>壹</w:t>
      </w:r>
      <w:r>
        <w:rPr>
          <w:rFonts w:hint="eastAsia" w:ascii="宋体" w:hAnsi="宋体"/>
          <w:color w:val="000000" w:themeColor="text1"/>
          <w:sz w:val="24"/>
          <w14:textFill>
            <w14:solidFill>
              <w14:schemeClr w14:val="tx1"/>
            </w14:solidFill>
          </w14:textFill>
        </w:rPr>
        <w:t>份用于备案。</w:t>
      </w:r>
    </w:p>
    <w:p w14:paraId="60A13025">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14:paraId="4EFE106E">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转让方（甲方）                             受让方（乙方）</w:t>
      </w:r>
    </w:p>
    <w:p w14:paraId="3A42B890">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                       法定代表人或授权代表</w:t>
      </w:r>
    </w:p>
    <w:p w14:paraId="6306774E">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（签字/盖章）：                            （签字/盖章）：</w:t>
      </w:r>
    </w:p>
    <w:p w14:paraId="171AF679">
      <w:pPr>
        <w:spacing w:line="500" w:lineRule="exact"/>
        <w:ind w:firstLine="480" w:firstLineChars="200"/>
        <w:rPr>
          <w:rFonts w:ascii="宋体" w:hAnsi="宋体"/>
          <w:color w:val="000000" w:themeColor="text1"/>
          <w:sz w:val="24"/>
          <w14:textFill>
            <w14:solidFill>
              <w14:schemeClr w14:val="tx1"/>
            </w14:solidFill>
          </w14:textFill>
        </w:rPr>
      </w:pPr>
    </w:p>
    <w:p w14:paraId="5C2A2C71">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签约时间：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     日</w:t>
      </w:r>
    </w:p>
    <w:p w14:paraId="6A828019">
      <w:pPr>
        <w:spacing w:line="500" w:lineRule="exact"/>
        <w:ind w:firstLine="480" w:firstLineChars="200"/>
        <w:rPr>
          <w:rFonts w:ascii="宋体" w:hAnsi="宋体"/>
          <w:color w:val="000000" w:themeColor="text1"/>
          <w:sz w:val="24"/>
          <w14:textFill>
            <w14:solidFill>
              <w14:schemeClr w14:val="tx1"/>
            </w14:solidFill>
          </w14:textFill>
        </w:rPr>
      </w:pPr>
    </w:p>
    <w:p w14:paraId="1969A8F8">
      <w:pPr>
        <w:spacing w:line="500" w:lineRule="exact"/>
        <w:rPr>
          <w:color w:val="000000" w:themeColor="text1"/>
          <w14:textFill>
            <w14:solidFill>
              <w14:schemeClr w14:val="tx1"/>
            </w14:solidFill>
          </w14:textFill>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5F6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424F"/>
    <w:multiLevelType w:val="multilevel"/>
    <w:tmpl w:val="7AF4424F"/>
    <w:lvl w:ilvl="0" w:tentative="0">
      <w:start w:val="1"/>
      <w:numFmt w:val="japaneseCounting"/>
      <w:lvlText w:val="第%1条"/>
      <w:lvlJc w:val="left"/>
      <w:pPr>
        <w:tabs>
          <w:tab w:val="left" w:pos="1080"/>
        </w:tabs>
        <w:ind w:left="1080" w:hanging="720"/>
      </w:pPr>
      <w:rPr>
        <w:rFonts w:hint="eastAsia"/>
        <w:b/>
      </w:rPr>
    </w:lvl>
    <w:lvl w:ilvl="1" w:tentative="0">
      <w:start w:val="1"/>
      <w:numFmt w:val="decimal"/>
      <w:lvlText w:val="%1.%2"/>
      <w:lvlJc w:val="left"/>
      <w:pPr>
        <w:tabs>
          <w:tab w:val="left" w:pos="1980"/>
        </w:tabs>
        <w:ind w:left="1980" w:hanging="360"/>
      </w:pPr>
      <w:rPr>
        <w:rFonts w:ascii="Times New Roman" w:hAnsi="Times New Roman" w:eastAsia="Times New Roman" w:cs="Times New Roman"/>
      </w:rPr>
    </w:lvl>
    <w:lvl w:ilvl="2" w:tentative="0">
      <w:start w:val="1"/>
      <w:numFmt w:val="decimal"/>
      <w:lvlText w:val="（%3）"/>
      <w:lvlJc w:val="left"/>
      <w:pPr>
        <w:tabs>
          <w:tab w:val="left" w:pos="2340"/>
        </w:tabs>
        <w:ind w:left="2340" w:hanging="720"/>
      </w:pPr>
      <w:rPr>
        <w:rFonts w:hint="eastAsia"/>
      </w:rPr>
    </w:lvl>
    <w:lvl w:ilvl="3" w:tentative="0">
      <w:start w:val="1"/>
      <w:numFmt w:val="decimal"/>
      <w:lvlText w:val="%4．"/>
      <w:lvlJc w:val="left"/>
      <w:pPr>
        <w:tabs>
          <w:tab w:val="left" w:pos="2400"/>
        </w:tabs>
        <w:ind w:left="2400" w:hanging="360"/>
      </w:pPr>
      <w:rPr>
        <w:rFonts w:hint="default"/>
      </w:r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ODRlN2EyZTRlMTYzNTk3YzhkMDM3NzNmNWY4ZGQifQ=="/>
  </w:docVars>
  <w:rsids>
    <w:rsidRoot w:val="00C35721"/>
    <w:rsid w:val="000102B5"/>
    <w:rsid w:val="00020C7D"/>
    <w:rsid w:val="00044F42"/>
    <w:rsid w:val="00050716"/>
    <w:rsid w:val="00052CE6"/>
    <w:rsid w:val="00060AFD"/>
    <w:rsid w:val="00062C50"/>
    <w:rsid w:val="00082094"/>
    <w:rsid w:val="0008260C"/>
    <w:rsid w:val="000878A4"/>
    <w:rsid w:val="000A5E95"/>
    <w:rsid w:val="000E402E"/>
    <w:rsid w:val="000F7222"/>
    <w:rsid w:val="000F7F84"/>
    <w:rsid w:val="001077C5"/>
    <w:rsid w:val="00110723"/>
    <w:rsid w:val="00120671"/>
    <w:rsid w:val="0013673C"/>
    <w:rsid w:val="00142E6E"/>
    <w:rsid w:val="00147905"/>
    <w:rsid w:val="00156577"/>
    <w:rsid w:val="001605EF"/>
    <w:rsid w:val="00163F16"/>
    <w:rsid w:val="001B14AF"/>
    <w:rsid w:val="001B7A69"/>
    <w:rsid w:val="001C4B7F"/>
    <w:rsid w:val="001C69B2"/>
    <w:rsid w:val="001E7191"/>
    <w:rsid w:val="002013D7"/>
    <w:rsid w:val="00207055"/>
    <w:rsid w:val="00216584"/>
    <w:rsid w:val="00247EBC"/>
    <w:rsid w:val="00294AFA"/>
    <w:rsid w:val="002A0078"/>
    <w:rsid w:val="002C3647"/>
    <w:rsid w:val="002C6429"/>
    <w:rsid w:val="002E74C1"/>
    <w:rsid w:val="002F6D10"/>
    <w:rsid w:val="002F7D06"/>
    <w:rsid w:val="003041E0"/>
    <w:rsid w:val="003408F6"/>
    <w:rsid w:val="00347840"/>
    <w:rsid w:val="00366987"/>
    <w:rsid w:val="00377BE9"/>
    <w:rsid w:val="003B78F8"/>
    <w:rsid w:val="003E6B89"/>
    <w:rsid w:val="00410B65"/>
    <w:rsid w:val="00427BAE"/>
    <w:rsid w:val="004545DB"/>
    <w:rsid w:val="00477FD6"/>
    <w:rsid w:val="00480DFC"/>
    <w:rsid w:val="00484206"/>
    <w:rsid w:val="004A0C09"/>
    <w:rsid w:val="004B3286"/>
    <w:rsid w:val="004B65C6"/>
    <w:rsid w:val="004C14FE"/>
    <w:rsid w:val="004D1E53"/>
    <w:rsid w:val="004D5B4B"/>
    <w:rsid w:val="004F596A"/>
    <w:rsid w:val="00511044"/>
    <w:rsid w:val="005223AC"/>
    <w:rsid w:val="0052405B"/>
    <w:rsid w:val="00526DE2"/>
    <w:rsid w:val="005324E6"/>
    <w:rsid w:val="00537C87"/>
    <w:rsid w:val="00542882"/>
    <w:rsid w:val="00557D87"/>
    <w:rsid w:val="00563491"/>
    <w:rsid w:val="00592975"/>
    <w:rsid w:val="00596EE8"/>
    <w:rsid w:val="005979AC"/>
    <w:rsid w:val="005A2884"/>
    <w:rsid w:val="005A4CA2"/>
    <w:rsid w:val="005A70B8"/>
    <w:rsid w:val="005C42DD"/>
    <w:rsid w:val="005E0064"/>
    <w:rsid w:val="005E7E8F"/>
    <w:rsid w:val="005F499B"/>
    <w:rsid w:val="005F5337"/>
    <w:rsid w:val="00604130"/>
    <w:rsid w:val="00655D17"/>
    <w:rsid w:val="00670990"/>
    <w:rsid w:val="00670EDD"/>
    <w:rsid w:val="00674468"/>
    <w:rsid w:val="00675609"/>
    <w:rsid w:val="00675CA3"/>
    <w:rsid w:val="0069330A"/>
    <w:rsid w:val="00694A9E"/>
    <w:rsid w:val="0069507E"/>
    <w:rsid w:val="006971A8"/>
    <w:rsid w:val="006A5390"/>
    <w:rsid w:val="006C757A"/>
    <w:rsid w:val="006D14B2"/>
    <w:rsid w:val="006D6662"/>
    <w:rsid w:val="006E5E36"/>
    <w:rsid w:val="006E68D9"/>
    <w:rsid w:val="006F0C24"/>
    <w:rsid w:val="006F19F7"/>
    <w:rsid w:val="0070534D"/>
    <w:rsid w:val="007140C5"/>
    <w:rsid w:val="0073462F"/>
    <w:rsid w:val="00747172"/>
    <w:rsid w:val="00752738"/>
    <w:rsid w:val="00770706"/>
    <w:rsid w:val="00772F24"/>
    <w:rsid w:val="00782C16"/>
    <w:rsid w:val="00783E51"/>
    <w:rsid w:val="007A1E4A"/>
    <w:rsid w:val="007C2F89"/>
    <w:rsid w:val="007D5868"/>
    <w:rsid w:val="007D7776"/>
    <w:rsid w:val="007E1BCD"/>
    <w:rsid w:val="007E4890"/>
    <w:rsid w:val="008056D2"/>
    <w:rsid w:val="00842D98"/>
    <w:rsid w:val="00856597"/>
    <w:rsid w:val="0088164B"/>
    <w:rsid w:val="00882FBA"/>
    <w:rsid w:val="008869DC"/>
    <w:rsid w:val="008B43DE"/>
    <w:rsid w:val="008C2E99"/>
    <w:rsid w:val="008D1058"/>
    <w:rsid w:val="008D164E"/>
    <w:rsid w:val="008E087D"/>
    <w:rsid w:val="008E25A1"/>
    <w:rsid w:val="008E6185"/>
    <w:rsid w:val="008E7240"/>
    <w:rsid w:val="008F2E3C"/>
    <w:rsid w:val="008F763F"/>
    <w:rsid w:val="00905A20"/>
    <w:rsid w:val="00922791"/>
    <w:rsid w:val="009242D7"/>
    <w:rsid w:val="009261F5"/>
    <w:rsid w:val="00930027"/>
    <w:rsid w:val="00931BF6"/>
    <w:rsid w:val="00936D0A"/>
    <w:rsid w:val="00940C0F"/>
    <w:rsid w:val="00951109"/>
    <w:rsid w:val="009670BC"/>
    <w:rsid w:val="009749D9"/>
    <w:rsid w:val="0098374F"/>
    <w:rsid w:val="009B790D"/>
    <w:rsid w:val="009D00A4"/>
    <w:rsid w:val="009D2531"/>
    <w:rsid w:val="009D3C2D"/>
    <w:rsid w:val="009D53DF"/>
    <w:rsid w:val="00A14956"/>
    <w:rsid w:val="00A27753"/>
    <w:rsid w:val="00A330CF"/>
    <w:rsid w:val="00A35431"/>
    <w:rsid w:val="00A35F95"/>
    <w:rsid w:val="00A44E69"/>
    <w:rsid w:val="00A4706F"/>
    <w:rsid w:val="00A56265"/>
    <w:rsid w:val="00A83285"/>
    <w:rsid w:val="00AA78DD"/>
    <w:rsid w:val="00AB3D76"/>
    <w:rsid w:val="00AC3558"/>
    <w:rsid w:val="00AC5E5E"/>
    <w:rsid w:val="00AC6B7D"/>
    <w:rsid w:val="00AD5A5B"/>
    <w:rsid w:val="00AF127D"/>
    <w:rsid w:val="00B11903"/>
    <w:rsid w:val="00B14FC8"/>
    <w:rsid w:val="00B16F2A"/>
    <w:rsid w:val="00B34723"/>
    <w:rsid w:val="00B55771"/>
    <w:rsid w:val="00B816B9"/>
    <w:rsid w:val="00B85734"/>
    <w:rsid w:val="00B85BD6"/>
    <w:rsid w:val="00BA089A"/>
    <w:rsid w:val="00BB3A59"/>
    <w:rsid w:val="00BB3AE7"/>
    <w:rsid w:val="00BB4E95"/>
    <w:rsid w:val="00BD2FE2"/>
    <w:rsid w:val="00BD3AD8"/>
    <w:rsid w:val="00BD61EC"/>
    <w:rsid w:val="00BE033B"/>
    <w:rsid w:val="00BE2428"/>
    <w:rsid w:val="00BE6A7F"/>
    <w:rsid w:val="00BE7889"/>
    <w:rsid w:val="00C15E9C"/>
    <w:rsid w:val="00C2501F"/>
    <w:rsid w:val="00C35721"/>
    <w:rsid w:val="00C51302"/>
    <w:rsid w:val="00C517C0"/>
    <w:rsid w:val="00C80E90"/>
    <w:rsid w:val="00C852AE"/>
    <w:rsid w:val="00CB42BE"/>
    <w:rsid w:val="00CB7A8F"/>
    <w:rsid w:val="00CC5B09"/>
    <w:rsid w:val="00CC7910"/>
    <w:rsid w:val="00CD5533"/>
    <w:rsid w:val="00CD6050"/>
    <w:rsid w:val="00CE61CE"/>
    <w:rsid w:val="00CE6CFF"/>
    <w:rsid w:val="00D12F28"/>
    <w:rsid w:val="00D15DE7"/>
    <w:rsid w:val="00D340EE"/>
    <w:rsid w:val="00D40F83"/>
    <w:rsid w:val="00D47D16"/>
    <w:rsid w:val="00D51826"/>
    <w:rsid w:val="00D65C4E"/>
    <w:rsid w:val="00D67926"/>
    <w:rsid w:val="00DA5C5F"/>
    <w:rsid w:val="00DB1DE1"/>
    <w:rsid w:val="00DE201D"/>
    <w:rsid w:val="00DE26BD"/>
    <w:rsid w:val="00DF0122"/>
    <w:rsid w:val="00DF7F20"/>
    <w:rsid w:val="00E109A5"/>
    <w:rsid w:val="00E21D27"/>
    <w:rsid w:val="00E21DE9"/>
    <w:rsid w:val="00E31FFC"/>
    <w:rsid w:val="00E41ECD"/>
    <w:rsid w:val="00E43C2C"/>
    <w:rsid w:val="00E46B58"/>
    <w:rsid w:val="00E6174B"/>
    <w:rsid w:val="00E74ABF"/>
    <w:rsid w:val="00E842D0"/>
    <w:rsid w:val="00EA36FB"/>
    <w:rsid w:val="00EB070A"/>
    <w:rsid w:val="00EB35AC"/>
    <w:rsid w:val="00EB6891"/>
    <w:rsid w:val="00EB7954"/>
    <w:rsid w:val="00EC2168"/>
    <w:rsid w:val="00EC4B30"/>
    <w:rsid w:val="00ED6B9B"/>
    <w:rsid w:val="00F0025B"/>
    <w:rsid w:val="00F016FC"/>
    <w:rsid w:val="00F06535"/>
    <w:rsid w:val="00F11018"/>
    <w:rsid w:val="00F20ABE"/>
    <w:rsid w:val="00F22D72"/>
    <w:rsid w:val="00F3536D"/>
    <w:rsid w:val="00F41071"/>
    <w:rsid w:val="00F44F29"/>
    <w:rsid w:val="00F51A3A"/>
    <w:rsid w:val="00F75D25"/>
    <w:rsid w:val="00F82E2A"/>
    <w:rsid w:val="00F9078F"/>
    <w:rsid w:val="00F9658E"/>
    <w:rsid w:val="00FD25B1"/>
    <w:rsid w:val="012103C5"/>
    <w:rsid w:val="045E6B34"/>
    <w:rsid w:val="04D51380"/>
    <w:rsid w:val="05705C10"/>
    <w:rsid w:val="0CBD2867"/>
    <w:rsid w:val="0CEF0A90"/>
    <w:rsid w:val="1250525D"/>
    <w:rsid w:val="18463ED8"/>
    <w:rsid w:val="1B563F78"/>
    <w:rsid w:val="1B9C3AFD"/>
    <w:rsid w:val="1D62592E"/>
    <w:rsid w:val="2E864564"/>
    <w:rsid w:val="3CB04C22"/>
    <w:rsid w:val="3DC91103"/>
    <w:rsid w:val="425F2DF2"/>
    <w:rsid w:val="42F23852"/>
    <w:rsid w:val="4DA6043B"/>
    <w:rsid w:val="527F49DF"/>
    <w:rsid w:val="535D0B4A"/>
    <w:rsid w:val="64234AFD"/>
    <w:rsid w:val="64496D44"/>
    <w:rsid w:val="77043943"/>
    <w:rsid w:val="7C64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rFonts w:eastAsia="黑体"/>
      <w:b/>
      <w:bCs/>
      <w:kern w:val="44"/>
      <w:sz w:val="48"/>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Times New Roman" w:hAnsi="Times New Roman" w:eastAsia="黑体" w:cs="Times New Roman"/>
      <w:b/>
      <w:bCs/>
      <w:kern w:val="44"/>
      <w:sz w:val="48"/>
      <w:szCs w:val="44"/>
    </w:rPr>
  </w:style>
  <w:style w:type="character" w:customStyle="1" w:styleId="9">
    <w:name w:val="页眉 Char"/>
    <w:basedOn w:val="7"/>
    <w:link w:val="5"/>
    <w:qFormat/>
    <w:uiPriority w:val="0"/>
    <w:rPr>
      <w:rFonts w:ascii="Times New Roman" w:hAnsi="Times New Roman" w:eastAsia="宋体" w:cs="Times New Roman"/>
      <w:sz w:val="18"/>
      <w:szCs w:val="18"/>
    </w:rPr>
  </w:style>
  <w:style w:type="character" w:customStyle="1" w:styleId="10">
    <w:name w:val="页脚 Char"/>
    <w:basedOn w:val="7"/>
    <w:link w:val="4"/>
    <w:semiHidden/>
    <w:qFormat/>
    <w:uiPriority w:val="99"/>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3691</Words>
  <Characters>3831</Characters>
  <Lines>32</Lines>
  <Paragraphs>9</Paragraphs>
  <TotalTime>214</TotalTime>
  <ScaleCrop>false</ScaleCrop>
  <LinksUpToDate>false</LinksUpToDate>
  <CharactersWithSpaces>4425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2015-05-14T03:25:00Z</dcterms:created>
  <dc:creator>Administrator</dc:creator>
  <cp:lastModifiedBy>ପ(雯雯)ଓ</cp:lastModifiedBy>
  <cp:lastPrinted>2017-10-20T01:49:00Z</cp:lastPrinted>
  <dcterms:modified xsi:type="dcterms:W3CDTF">2026-01-05T00:47:40Z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ED36BB98AA2C476CAA9B8022D5FDD722_13</vt:lpwstr>
  </property>
  <property fmtid="{D5CDD505-2E9C-101B-9397-08002B2CF9AE}" pid="4" name="KSOTemplateDocerSaveRecord">
    <vt:lpwstr>eyJoZGlkIjoiZjNkYzI0YTkwMWZlNjI4NGMyMjVkZDNhZDgzYWRkZmYiLCJ1c2VySWQiOiIyODE5NzI3NTUifQ==</vt:lpwstr>
  </property>
</Properties>
</file>