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9CDB4A">
      <w:pPr>
        <w:pageBreakBefore w:val="0"/>
        <w:kinsoku/>
        <w:wordWrap/>
        <w:topLinePunct w:val="0"/>
        <w:bidi w:val="0"/>
        <w:adjustRightInd/>
        <w:snapToGrid/>
        <w:spacing w:line="560" w:lineRule="exact"/>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w:t>
      </w:r>
    </w:p>
    <w:p w14:paraId="18C595C2">
      <w:pPr>
        <w:pageBreakBefore w:val="0"/>
        <w:kinsoku/>
        <w:wordWrap/>
        <w:topLinePunct w:val="0"/>
        <w:bidi w:val="0"/>
        <w:adjustRightInd/>
        <w:snapToGrid/>
        <w:spacing w:line="560" w:lineRule="exact"/>
        <w:ind w:firstLine="720" w:firstLineChars="200"/>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葛洲坝航运扩能工程及配套电力迁改拟占用</w:t>
      </w:r>
    </w:p>
    <w:p w14:paraId="4294F179">
      <w:pPr>
        <w:pageBreakBefore w:val="0"/>
        <w:kinsoku/>
        <w:wordWrap/>
        <w:topLinePunct w:val="0"/>
        <w:bidi w:val="0"/>
        <w:adjustRightInd/>
        <w:snapToGrid/>
        <w:spacing w:line="560" w:lineRule="exact"/>
        <w:ind w:firstLine="720" w:firstLineChars="200"/>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城区重点绿地范围及重建方案</w:t>
      </w:r>
    </w:p>
    <w:p w14:paraId="6F9EA7C4">
      <w:pPr>
        <w:pageBreakBefore w:val="0"/>
        <w:kinsoku/>
        <w:wordWrap/>
        <w:topLinePunct w:val="0"/>
        <w:bidi w:val="0"/>
        <w:adjustRightInd/>
        <w:snapToGrid/>
        <w:spacing w:line="560" w:lineRule="exact"/>
        <w:ind w:firstLine="720" w:firstLineChars="200"/>
        <w:jc w:val="center"/>
        <w:textAlignment w:val="auto"/>
        <w:rPr>
          <w:rFonts w:hint="eastAsia" w:ascii="方正小标宋简体" w:hAnsi="方正小标宋简体" w:eastAsia="方正小标宋简体" w:cs="方正小标宋简体"/>
          <w:sz w:val="36"/>
          <w:szCs w:val="36"/>
          <w:lang w:val="en-US" w:eastAsia="zh-CN"/>
        </w:rPr>
      </w:pPr>
    </w:p>
    <w:p w14:paraId="73E629CF">
      <w:pPr>
        <w:pageBreakBefore w:val="0"/>
        <w:kinsoku/>
        <w:wordWrap/>
        <w:overflowPunct w:val="0"/>
        <w:topLinePunct w:val="0"/>
        <w:autoSpaceDE w:val="0"/>
        <w:autoSpaceDN w:val="0"/>
        <w:bidi w:val="0"/>
        <w:adjustRightInd/>
        <w:snapToGrid/>
        <w:spacing w:line="560" w:lineRule="exact"/>
        <w:ind w:firstLine="640" w:firstLineChars="200"/>
        <w:textAlignment w:val="auto"/>
        <w:rPr>
          <w:rFonts w:ascii="黑体" w:hAnsi="黑体" w:eastAsia="黑体" w:cs="仿宋_GB2312"/>
          <w:color w:val="000000"/>
          <w:sz w:val="32"/>
          <w:szCs w:val="32"/>
        </w:rPr>
      </w:pPr>
      <w:r>
        <w:rPr>
          <w:rFonts w:hint="eastAsia" w:ascii="黑体" w:hAnsi="黑体" w:eastAsia="黑体" w:cs="仿宋_GB2312"/>
          <w:color w:val="000000"/>
          <w:sz w:val="32"/>
          <w:szCs w:val="32"/>
        </w:rPr>
        <w:t>一、建设项目基本情况</w:t>
      </w:r>
    </w:p>
    <w:p w14:paraId="1C28EE9E">
      <w:pPr>
        <w:pageBreakBefore w:val="0"/>
        <w:kinsoku/>
        <w:wordWrap/>
        <w:topLinePunct w:val="0"/>
        <w:bidi w:val="0"/>
        <w:adjustRightInd/>
        <w:snapToGrid/>
        <w:spacing w:line="560" w:lineRule="exact"/>
        <w:ind w:firstLine="640" w:firstLineChars="200"/>
        <w:textAlignment w:val="auto"/>
        <w:rPr>
          <w:rFonts w:hint="eastAsia" w:ascii="仿宋_GB2312" w:hAnsi="仿宋" w:eastAsia="仿宋_GB2312" w:cs="Times New Roman"/>
          <w:color w:val="000000"/>
          <w:kern w:val="0"/>
          <w:sz w:val="32"/>
          <w:szCs w:val="32"/>
          <w:lang w:val="en-US" w:eastAsia="zh-CN"/>
        </w:rPr>
      </w:pPr>
      <w:r>
        <w:rPr>
          <w:rFonts w:hint="eastAsia" w:ascii="仿宋_GB2312" w:hAnsi="仿宋" w:eastAsia="仿宋_GB2312" w:cs="Times New Roman"/>
          <w:color w:val="000000"/>
          <w:kern w:val="0"/>
          <w:sz w:val="32"/>
          <w:szCs w:val="32"/>
          <w:lang w:val="en-US" w:eastAsia="zh-CN"/>
        </w:rPr>
        <w:t>葛洲坝航运扩能工程建设用地范围组成主要包括：船闸、引航道、靠船墩、泄水口、隔流堤等永久建筑物、2 条施工道路、2 处临时码头、3 个 弃渣场（祠堂湾、黄家湾、赵家沟）以及混凝土生产系统、综合仓库、综合加工厂、施工营地、金结机电安装基地、施工机械停放场、水厂、高位水池等。建设用地总面积4085.11亩，其中永久用地1166.66亩、临时用地2918.45亩。</w:t>
      </w:r>
    </w:p>
    <w:p w14:paraId="38A73389">
      <w:pPr>
        <w:keepNext/>
        <w:keepLines/>
        <w:pageBreakBefore w:val="0"/>
        <w:numPr>
          <w:ilvl w:val="0"/>
          <w:numId w:val="0"/>
        </w:numPr>
        <w:kinsoku/>
        <w:wordWrap/>
        <w:topLinePunct w:val="0"/>
        <w:bidi w:val="0"/>
        <w:adjustRightInd/>
        <w:snapToGrid/>
        <w:spacing w:line="560" w:lineRule="exact"/>
        <w:ind w:firstLine="640" w:firstLineChars="200"/>
        <w:textAlignment w:val="auto"/>
        <w:outlineLvl w:val="0"/>
        <w:rPr>
          <w:rFonts w:hint="eastAsia" w:ascii="Times New Roman" w:hAnsi="Times New Roman" w:eastAsia="黑体"/>
          <w:color w:val="auto"/>
          <w:kern w:val="44"/>
          <w:sz w:val="36"/>
          <w:szCs w:val="36"/>
          <w:highlight w:val="none"/>
          <w:lang w:val="en-US" w:eastAsia="zh-CN"/>
        </w:rPr>
      </w:pPr>
      <w:r>
        <w:rPr>
          <w:rFonts w:hint="eastAsia" w:ascii="黑体" w:hAnsi="黑体" w:eastAsia="黑体" w:cs="仿宋_GB2312"/>
          <w:color w:val="000000"/>
          <w:sz w:val="32"/>
          <w:szCs w:val="32"/>
        </w:rPr>
        <w:t>二、拟占用绿地基本情况</w:t>
      </w:r>
    </w:p>
    <w:p w14:paraId="29DEFE13">
      <w:pPr>
        <w:pageBreakBefore w:val="0"/>
        <w:kinsoku/>
        <w:wordWrap/>
        <w:topLinePunct w:val="0"/>
        <w:bidi w:val="0"/>
        <w:adjustRightInd/>
        <w:snapToGrid/>
        <w:spacing w:line="560" w:lineRule="exact"/>
        <w:ind w:firstLine="640" w:firstLineChars="200"/>
        <w:textAlignment w:val="auto"/>
        <w:rPr>
          <w:rFonts w:hint="eastAsia" w:ascii="仿宋_GB2312" w:hAnsi="仿宋" w:eastAsia="仿宋" w:cs="Times New Roman"/>
          <w:color w:val="000000"/>
          <w:kern w:val="0"/>
          <w:sz w:val="32"/>
          <w:szCs w:val="32"/>
          <w:lang w:val="en-US" w:eastAsia="zh-CN"/>
        </w:rPr>
      </w:pPr>
      <w:r>
        <w:rPr>
          <w:rFonts w:hint="eastAsia" w:ascii="仿宋" w:hAnsi="仿宋" w:eastAsia="仿宋" w:cs="仿宋"/>
          <w:color w:val="000000" w:themeColor="text1"/>
          <w:sz w:val="32"/>
          <w:szCs w:val="32"/>
          <w:lang w:val="en-US" w:eastAsia="zh-CN"/>
          <w14:textFill>
            <w14:solidFill>
              <w14:schemeClr w14:val="tx1"/>
            </w14:solidFill>
          </w14:textFill>
        </w:rPr>
        <w:t>该</w:t>
      </w:r>
      <w:r>
        <w:rPr>
          <w:rFonts w:hint="eastAsia" w:ascii="仿宋_GB2312" w:hAnsi="仿宋" w:eastAsia="仿宋_GB2312" w:cs="Times New Roman"/>
          <w:color w:val="000000"/>
          <w:kern w:val="0"/>
          <w:sz w:val="32"/>
          <w:szCs w:val="32"/>
          <w:lang w:val="en-US" w:eastAsia="zh-CN"/>
        </w:rPr>
        <w:t>项目规划范围内拟占用</w:t>
      </w:r>
      <w:r>
        <w:rPr>
          <w:rFonts w:hint="eastAsia" w:ascii="Times New Roman" w:hAnsi="Times New Roman" w:eastAsia="仿宋_GB2312" w:cstheme="minorBidi"/>
          <w:b w:val="0"/>
          <w:bCs w:val="0"/>
          <w:color w:val="auto"/>
          <w:kern w:val="0"/>
          <w:sz w:val="32"/>
          <w:szCs w:val="32"/>
          <w:highlight w:val="none"/>
          <w:lang w:val="en-US" w:eastAsia="zh-CN" w:bidi="ar"/>
        </w:rPr>
        <w:t>镇</w:t>
      </w:r>
      <w:r>
        <w:rPr>
          <w:rFonts w:hint="eastAsia" w:ascii="仿宋_GB2312" w:hAnsi="仿宋" w:eastAsia="仿宋_GB2312" w:cs="Times New Roman"/>
          <w:color w:val="000000"/>
          <w:kern w:val="0"/>
          <w:sz w:val="32"/>
          <w:szCs w:val="32"/>
          <w:lang w:val="en-US" w:eastAsia="zh-CN"/>
        </w:rPr>
        <w:t>镜山公园、葛洲坝公园、葛洲坝大江防淤堤、葛洲坝三江防淤堤、滨江公园、左坝头广场，拟占用面积约18.17公顷（其中永久占用8.67公顷、临时占用9.5公顷），</w:t>
      </w:r>
      <w:r>
        <w:rPr>
          <w:rFonts w:hint="eastAsia" w:ascii="仿宋" w:hAnsi="仿宋" w:eastAsia="仿宋"/>
          <w:sz w:val="32"/>
          <w:szCs w:val="32"/>
          <w:lang w:eastAsia="zh-CN"/>
        </w:rPr>
        <w:t>以上区域均已纳入城区重点绿地名录实施永久性保护</w:t>
      </w:r>
      <w:r>
        <w:rPr>
          <w:rFonts w:hint="eastAsia" w:ascii="仿宋" w:hAnsi="仿宋" w:eastAsia="仿宋"/>
          <w:sz w:val="32"/>
          <w:szCs w:val="32"/>
        </w:rPr>
        <w:t>。</w:t>
      </w:r>
      <w:r>
        <w:rPr>
          <w:rFonts w:hint="eastAsia" w:ascii="仿宋" w:hAnsi="仿宋" w:eastAsia="仿宋"/>
          <w:sz w:val="32"/>
          <w:szCs w:val="32"/>
          <w:lang w:eastAsia="zh-CN"/>
        </w:rPr>
        <w:t>（见图</w:t>
      </w:r>
      <w:r>
        <w:rPr>
          <w:rFonts w:hint="eastAsia" w:ascii="仿宋" w:hAnsi="仿宋" w:eastAsia="仿宋"/>
          <w:sz w:val="32"/>
          <w:szCs w:val="32"/>
          <w:lang w:val="en-US" w:eastAsia="zh-CN"/>
        </w:rPr>
        <w:t>1</w:t>
      </w:r>
      <w:r>
        <w:rPr>
          <w:rFonts w:hint="eastAsia" w:ascii="仿宋" w:hAnsi="仿宋" w:eastAsia="仿宋"/>
          <w:sz w:val="32"/>
          <w:szCs w:val="32"/>
          <w:lang w:eastAsia="zh-CN"/>
        </w:rPr>
        <w:t>）</w:t>
      </w:r>
    </w:p>
    <w:p w14:paraId="1E3F581B">
      <w:pPr>
        <w:pageBreakBefore w:val="0"/>
        <w:numPr>
          <w:ilvl w:val="0"/>
          <w:numId w:val="0"/>
        </w:numPr>
        <w:kinsoku/>
        <w:wordWrap/>
        <w:topLinePunct w:val="0"/>
        <w:bidi w:val="0"/>
        <w:adjustRightInd/>
        <w:snapToGrid/>
        <w:spacing w:line="560" w:lineRule="exact"/>
        <w:ind w:firstLine="640" w:firstLineChars="200"/>
        <w:textAlignment w:val="auto"/>
        <w:rPr>
          <w:rFonts w:hint="eastAsia" w:ascii="黑体" w:hAnsi="黑体" w:eastAsia="黑体" w:cs="仿宋_GB2312"/>
          <w:color w:val="000000"/>
          <w:sz w:val="32"/>
          <w:szCs w:val="32"/>
        </w:rPr>
      </w:pPr>
      <w:r>
        <w:rPr>
          <w:rFonts w:hint="eastAsia" w:ascii="黑体" w:hAnsi="黑体" w:eastAsia="黑体" w:cs="仿宋_GB2312"/>
          <w:color w:val="000000"/>
          <w:sz w:val="32"/>
          <w:szCs w:val="32"/>
          <w:lang w:eastAsia="zh-CN"/>
        </w:rPr>
        <w:t>三、</w:t>
      </w:r>
      <w:r>
        <w:rPr>
          <w:rFonts w:hint="eastAsia" w:ascii="黑体" w:hAnsi="黑体" w:eastAsia="黑体" w:cs="仿宋_GB2312"/>
          <w:color w:val="000000"/>
          <w:sz w:val="32"/>
          <w:szCs w:val="32"/>
        </w:rPr>
        <w:t>拟占用原因</w:t>
      </w:r>
    </w:p>
    <w:p w14:paraId="614F3BFC">
      <w:pPr>
        <w:pageBreakBefore w:val="0"/>
        <w:kinsoku/>
        <w:wordWrap/>
        <w:topLinePunct w:val="0"/>
        <w:bidi w:val="0"/>
        <w:adjustRightInd/>
        <w:snapToGrid/>
        <w:spacing w:line="560" w:lineRule="exact"/>
        <w:ind w:firstLine="643" w:firstLineChars="200"/>
        <w:textAlignment w:val="auto"/>
        <w:rPr>
          <w:rFonts w:hint="default" w:ascii="仿宋_GB2312" w:hAnsi="仿宋" w:eastAsia="仿宋_GB2312" w:cs="Times New Roman"/>
          <w:b w:val="0"/>
          <w:bCs w:val="0"/>
          <w:color w:val="000000"/>
          <w:kern w:val="0"/>
          <w:sz w:val="32"/>
          <w:szCs w:val="32"/>
          <w:lang w:val="en-US" w:eastAsia="zh-CN" w:bidi="ar-SA"/>
        </w:rPr>
      </w:pPr>
      <w:r>
        <w:rPr>
          <w:rFonts w:hint="eastAsia" w:ascii="仿宋_GB2312" w:hAnsi="仿宋" w:eastAsia="仿宋_GB2312" w:cs="Times New Roman"/>
          <w:b/>
          <w:bCs/>
          <w:color w:val="000000"/>
          <w:kern w:val="0"/>
          <w:sz w:val="32"/>
          <w:szCs w:val="32"/>
          <w:lang w:val="en-US" w:eastAsia="zh-CN" w:bidi="ar-SA"/>
        </w:rPr>
        <w:t>1.</w:t>
      </w:r>
      <w:r>
        <w:rPr>
          <w:rFonts w:hint="default" w:ascii="仿宋_GB2312" w:hAnsi="仿宋" w:eastAsia="仿宋_GB2312" w:cs="Times New Roman"/>
          <w:b/>
          <w:bCs/>
          <w:color w:val="000000"/>
          <w:kern w:val="0"/>
          <w:sz w:val="32"/>
          <w:szCs w:val="32"/>
          <w:lang w:val="en-US" w:eastAsia="zh-CN" w:bidi="ar-SA"/>
        </w:rPr>
        <w:t>破解三峡船闸超负荷运行困境，保障长江物流大动脉畅通具有国家战略紧迫性</w:t>
      </w:r>
      <w:r>
        <w:rPr>
          <w:rFonts w:hint="eastAsia" w:ascii="仿宋_GB2312" w:hAnsi="仿宋" w:eastAsia="仿宋_GB2312" w:cs="Times New Roman"/>
          <w:b/>
          <w:bCs/>
          <w:color w:val="000000"/>
          <w:kern w:val="0"/>
          <w:sz w:val="32"/>
          <w:szCs w:val="32"/>
          <w:lang w:val="en-US" w:eastAsia="zh-CN" w:bidi="ar-SA"/>
        </w:rPr>
        <w:t>。</w:t>
      </w:r>
      <w:r>
        <w:rPr>
          <w:rFonts w:hint="eastAsia" w:ascii="仿宋_GB2312" w:hAnsi="仿宋" w:eastAsia="仿宋_GB2312" w:cs="Times New Roman"/>
          <w:b w:val="0"/>
          <w:bCs w:val="0"/>
          <w:color w:val="000000"/>
          <w:kern w:val="0"/>
          <w:sz w:val="32"/>
          <w:szCs w:val="32"/>
          <w:lang w:val="en-US" w:eastAsia="zh-CN" w:bidi="ar-SA"/>
        </w:rPr>
        <w:t>为解决三峡船闸长期拥堵问题，</w:t>
      </w:r>
      <w:r>
        <w:rPr>
          <w:rFonts w:hint="default" w:ascii="仿宋_GB2312" w:hAnsi="仿宋" w:eastAsia="仿宋_GB2312" w:cs="Times New Roman"/>
          <w:b w:val="0"/>
          <w:bCs w:val="0"/>
          <w:color w:val="000000"/>
          <w:kern w:val="0"/>
          <w:sz w:val="32"/>
          <w:szCs w:val="32"/>
          <w:lang w:val="en-US" w:eastAsia="zh-CN" w:bidi="ar-SA"/>
        </w:rPr>
        <w:t>2013</w:t>
      </w:r>
      <w:r>
        <w:rPr>
          <w:rFonts w:hint="eastAsia" w:ascii="仿宋_GB2312" w:hAnsi="仿宋" w:eastAsia="仿宋_GB2312" w:cs="Times New Roman"/>
          <w:b w:val="0"/>
          <w:bCs w:val="0"/>
          <w:color w:val="000000"/>
          <w:kern w:val="0"/>
          <w:sz w:val="32"/>
          <w:szCs w:val="32"/>
          <w:lang w:val="en-US" w:eastAsia="zh-CN" w:bidi="ar-SA"/>
        </w:rPr>
        <w:t xml:space="preserve">年以来国家有关部门积极推进相关的研究工作，于 </w:t>
      </w:r>
      <w:r>
        <w:rPr>
          <w:rFonts w:hint="default" w:ascii="仿宋_GB2312" w:hAnsi="仿宋" w:eastAsia="仿宋_GB2312" w:cs="Times New Roman"/>
          <w:b w:val="0"/>
          <w:bCs w:val="0"/>
          <w:color w:val="000000"/>
          <w:kern w:val="0"/>
          <w:sz w:val="32"/>
          <w:szCs w:val="32"/>
          <w:lang w:val="en-US" w:eastAsia="zh-CN" w:bidi="ar-SA"/>
        </w:rPr>
        <w:t>2018</w:t>
      </w:r>
      <w:r>
        <w:rPr>
          <w:rFonts w:hint="eastAsia" w:ascii="仿宋_GB2312" w:hAnsi="仿宋" w:eastAsia="仿宋_GB2312" w:cs="Times New Roman"/>
          <w:b w:val="0"/>
          <w:bCs w:val="0"/>
          <w:color w:val="000000"/>
          <w:kern w:val="0"/>
          <w:sz w:val="32"/>
          <w:szCs w:val="32"/>
          <w:lang w:val="en-US" w:eastAsia="zh-CN" w:bidi="ar-SA"/>
        </w:rPr>
        <w:t>年</w:t>
      </w:r>
      <w:r>
        <w:rPr>
          <w:rFonts w:hint="default" w:ascii="仿宋_GB2312" w:hAnsi="仿宋" w:eastAsia="仿宋_GB2312" w:cs="Times New Roman"/>
          <w:b w:val="0"/>
          <w:bCs w:val="0"/>
          <w:color w:val="000000"/>
          <w:kern w:val="0"/>
          <w:sz w:val="32"/>
          <w:szCs w:val="32"/>
          <w:lang w:val="en-US" w:eastAsia="zh-CN" w:bidi="ar-SA"/>
        </w:rPr>
        <w:t>9</w:t>
      </w:r>
      <w:r>
        <w:rPr>
          <w:rFonts w:hint="eastAsia" w:ascii="仿宋_GB2312" w:hAnsi="仿宋" w:eastAsia="仿宋_GB2312" w:cs="Times New Roman"/>
          <w:b w:val="0"/>
          <w:bCs w:val="0"/>
          <w:color w:val="000000"/>
          <w:kern w:val="0"/>
          <w:sz w:val="32"/>
          <w:szCs w:val="32"/>
          <w:lang w:val="en-US" w:eastAsia="zh-CN" w:bidi="ar-SA"/>
        </w:rPr>
        <w:t>月完成了《三峡水利枢纽水运新通道和葛洲坝水利枢纽航运扩能工程项目建议书》，</w:t>
      </w:r>
      <w:r>
        <w:rPr>
          <w:rFonts w:hint="default" w:ascii="仿宋_GB2312" w:hAnsi="仿宋" w:eastAsia="仿宋_GB2312" w:cs="Times New Roman"/>
          <w:b w:val="0"/>
          <w:bCs w:val="0"/>
          <w:color w:val="000000"/>
          <w:kern w:val="0"/>
          <w:sz w:val="32"/>
          <w:szCs w:val="32"/>
          <w:lang w:val="en-US" w:eastAsia="zh-CN" w:bidi="ar-SA"/>
        </w:rPr>
        <w:t>202</w:t>
      </w:r>
      <w:r>
        <w:rPr>
          <w:rFonts w:hint="eastAsia" w:ascii="仿宋_GB2312" w:hAnsi="仿宋" w:eastAsia="仿宋_GB2312" w:cs="Times New Roman"/>
          <w:b w:val="0"/>
          <w:bCs w:val="0"/>
          <w:color w:val="000000"/>
          <w:kern w:val="0"/>
          <w:sz w:val="32"/>
          <w:szCs w:val="32"/>
          <w:lang w:val="en-US" w:eastAsia="zh-CN" w:bidi="ar-SA"/>
        </w:rPr>
        <w:t>3年全面启动三峡水运新通道项目可研工作。</w:t>
      </w:r>
      <w:r>
        <w:rPr>
          <w:rFonts w:hint="default" w:ascii="仿宋_GB2312" w:hAnsi="仿宋" w:eastAsia="仿宋_GB2312" w:cs="Times New Roman"/>
          <w:b w:val="0"/>
          <w:bCs w:val="0"/>
          <w:color w:val="000000"/>
          <w:kern w:val="0"/>
          <w:sz w:val="32"/>
          <w:szCs w:val="32"/>
          <w:lang w:val="en-US" w:eastAsia="zh-CN" w:bidi="ar-SA"/>
        </w:rPr>
        <w:t>葛洲坝航运扩能工程作为三峡水运新通道的配套工程，其改建三号船闸方案正是为了匹配上游双线连续五级船闸的通过能力，符合重大基础设施优先保障国家经济大循环的公共利益原则。</w:t>
      </w:r>
    </w:p>
    <w:p w14:paraId="0650C9E4">
      <w:pPr>
        <w:pStyle w:val="2"/>
        <w:keepNext w:val="0"/>
        <w:keepLines w:val="0"/>
        <w:pageBreakBefore w:val="0"/>
        <w:widowControl/>
        <w:suppressLineNumbers w:val="0"/>
        <w:shd w:val="clear" w:fill="FFFFFF"/>
        <w:kinsoku/>
        <w:wordWrap/>
        <w:topLinePunct w:val="0"/>
        <w:bidi w:val="0"/>
        <w:adjustRightInd/>
        <w:snapToGrid/>
        <w:spacing w:before="0" w:beforeAutospacing="0" w:after="0" w:afterAutospacing="0" w:line="560" w:lineRule="exact"/>
        <w:ind w:left="0" w:right="0" w:firstLine="643" w:firstLineChars="200"/>
        <w:textAlignment w:val="auto"/>
        <w:rPr>
          <w:rFonts w:hint="default" w:ascii="仿宋_GB2312" w:hAnsi="仿宋" w:eastAsia="仿宋_GB2312" w:cs="Times New Roman"/>
          <w:b w:val="0"/>
          <w:bCs w:val="0"/>
          <w:color w:val="000000"/>
          <w:kern w:val="0"/>
          <w:sz w:val="32"/>
          <w:szCs w:val="32"/>
          <w:lang w:val="en-US" w:eastAsia="zh-CN" w:bidi="ar-SA"/>
        </w:rPr>
      </w:pPr>
      <w:r>
        <w:rPr>
          <w:rFonts w:hint="eastAsia" w:ascii="仿宋_GB2312" w:hAnsi="仿宋" w:eastAsia="仿宋_GB2312" w:cs="Times New Roman"/>
          <w:b/>
          <w:bCs/>
          <w:color w:val="000000"/>
          <w:kern w:val="0"/>
          <w:sz w:val="32"/>
          <w:szCs w:val="32"/>
          <w:lang w:val="en-US" w:eastAsia="zh-CN" w:bidi="ar-SA"/>
        </w:rPr>
        <w:t>2.</w:t>
      </w:r>
      <w:r>
        <w:rPr>
          <w:rFonts w:hint="default" w:ascii="仿宋_GB2312" w:hAnsi="仿宋" w:eastAsia="仿宋_GB2312" w:cs="Times New Roman"/>
          <w:b/>
          <w:bCs/>
          <w:color w:val="000000"/>
          <w:kern w:val="0"/>
          <w:sz w:val="32"/>
          <w:szCs w:val="32"/>
          <w:lang w:val="en-US" w:eastAsia="zh-CN" w:bidi="ar-SA"/>
        </w:rPr>
        <w:t>葛洲坝三江航道与岸线布局的唯一性，决定了城区滨江地带是工程选址的“必然通道”</w:t>
      </w:r>
      <w:r>
        <w:rPr>
          <w:rFonts w:hint="eastAsia" w:ascii="仿宋_GB2312" w:hAnsi="仿宋" w:eastAsia="仿宋_GB2312" w:cs="Times New Roman"/>
          <w:b w:val="0"/>
          <w:bCs w:val="0"/>
          <w:color w:val="000000"/>
          <w:kern w:val="0"/>
          <w:sz w:val="32"/>
          <w:szCs w:val="32"/>
          <w:lang w:val="en-US" w:eastAsia="zh-CN" w:bidi="ar-SA"/>
        </w:rPr>
        <w:t>。</w:t>
      </w:r>
      <w:r>
        <w:rPr>
          <w:rFonts w:hint="default" w:ascii="仿宋_GB2312" w:hAnsi="仿宋" w:eastAsia="仿宋_GB2312" w:cs="Times New Roman"/>
          <w:b w:val="0"/>
          <w:bCs w:val="0"/>
          <w:color w:val="000000"/>
          <w:kern w:val="0"/>
          <w:sz w:val="32"/>
          <w:szCs w:val="32"/>
          <w:lang w:val="en-US" w:eastAsia="zh-CN" w:bidi="ar-SA"/>
        </w:rPr>
        <w:t>据可研方案，葛洲坝航运扩能工程需拆除现有三号船闸并新建两线万吨级船闸，同时挖深三江上、下游引航道。受制于葛洲坝枢纽已定的水利布局和复杂的通航水流条件，新建双线船闸必须在三江左侧连续布置，以实现与上游三峡</w:t>
      </w:r>
      <w:r>
        <w:rPr>
          <w:rFonts w:hint="eastAsia" w:ascii="仿宋_GB2312" w:hAnsi="仿宋" w:eastAsia="仿宋_GB2312" w:cs="Times New Roman"/>
          <w:b w:val="0"/>
          <w:bCs w:val="0"/>
          <w:color w:val="000000"/>
          <w:kern w:val="0"/>
          <w:sz w:val="32"/>
          <w:szCs w:val="32"/>
          <w:lang w:val="en-US" w:eastAsia="zh-CN" w:bidi="ar-SA"/>
        </w:rPr>
        <w:t>枢纽</w:t>
      </w:r>
      <w:r>
        <w:rPr>
          <w:rFonts w:hint="default" w:ascii="仿宋_GB2312" w:hAnsi="仿宋" w:eastAsia="仿宋_GB2312" w:cs="Times New Roman"/>
          <w:b w:val="0"/>
          <w:bCs w:val="0"/>
          <w:color w:val="000000"/>
          <w:kern w:val="0"/>
          <w:sz w:val="32"/>
          <w:szCs w:val="32"/>
          <w:lang w:val="en-US" w:eastAsia="zh-CN" w:bidi="ar-SA"/>
        </w:rPr>
        <w:t>新通道的顺畅衔</w:t>
      </w:r>
      <w:r>
        <w:rPr>
          <w:rFonts w:hint="eastAsia" w:ascii="仿宋_GB2312" w:hAnsi="仿宋" w:eastAsia="仿宋_GB2312" w:cs="Times New Roman"/>
          <w:b w:val="0"/>
          <w:bCs w:val="0"/>
          <w:color w:val="000000"/>
          <w:kern w:val="0"/>
          <w:sz w:val="32"/>
          <w:szCs w:val="32"/>
          <w:lang w:val="en-US" w:eastAsia="zh-CN" w:bidi="ar-SA"/>
        </w:rPr>
        <w:t>接</w:t>
      </w:r>
      <w:r>
        <w:rPr>
          <w:rFonts w:hint="default" w:ascii="仿宋_GB2312" w:hAnsi="仿宋" w:eastAsia="仿宋_GB2312" w:cs="Times New Roman"/>
          <w:b w:val="0"/>
          <w:bCs w:val="0"/>
          <w:color w:val="000000"/>
          <w:kern w:val="0"/>
          <w:sz w:val="32"/>
          <w:szCs w:val="32"/>
          <w:lang w:val="en-US" w:eastAsia="zh-CN" w:bidi="ar-SA"/>
        </w:rPr>
        <w:t>。该建设用地范围自西陵一路起至黄柏河止，纵向长度约4380米，这一“黄金岸线段”是经过数十年论证、唯一能满足船闸连续布置和上下游航道平稳过渡的地带。拟占用的沿江大道、三江桥等骨干交通及滨江绿地，正处于这一无法平移、无法绕避的“工程走廊”之上。</w:t>
      </w:r>
    </w:p>
    <w:p w14:paraId="5CD8D4C5">
      <w:pPr>
        <w:pStyle w:val="2"/>
        <w:keepNext w:val="0"/>
        <w:keepLines w:val="0"/>
        <w:pageBreakBefore w:val="0"/>
        <w:widowControl/>
        <w:suppressLineNumbers w:val="0"/>
        <w:shd w:val="clear" w:fill="FFFFFF"/>
        <w:kinsoku/>
        <w:wordWrap/>
        <w:topLinePunct w:val="0"/>
        <w:bidi w:val="0"/>
        <w:adjustRightInd/>
        <w:snapToGrid/>
        <w:spacing w:before="0" w:beforeAutospacing="0" w:after="0" w:afterAutospacing="0" w:line="560" w:lineRule="exact"/>
        <w:ind w:left="0" w:right="0" w:firstLine="643" w:firstLineChars="200"/>
        <w:textAlignment w:val="auto"/>
        <w:rPr>
          <w:rFonts w:hint="default" w:ascii="仿宋_GB2312" w:hAnsi="仿宋" w:eastAsia="仿宋_GB2312" w:cs="Times New Roman"/>
          <w:b w:val="0"/>
          <w:bCs w:val="0"/>
          <w:color w:val="000000"/>
          <w:kern w:val="0"/>
          <w:sz w:val="32"/>
          <w:szCs w:val="32"/>
          <w:lang w:val="en-US" w:eastAsia="zh-CN" w:bidi="ar-SA"/>
        </w:rPr>
      </w:pPr>
      <w:r>
        <w:rPr>
          <w:rFonts w:hint="eastAsia" w:ascii="仿宋_GB2312" w:hAnsi="仿宋" w:eastAsia="仿宋_GB2312" w:cs="Times New Roman"/>
          <w:b/>
          <w:bCs/>
          <w:color w:val="000000"/>
          <w:kern w:val="0"/>
          <w:sz w:val="32"/>
          <w:szCs w:val="32"/>
          <w:lang w:val="en-US" w:eastAsia="zh-CN" w:bidi="ar-SA"/>
        </w:rPr>
        <w:t>3.</w:t>
      </w:r>
      <w:r>
        <w:rPr>
          <w:rFonts w:hint="default" w:ascii="仿宋_GB2312" w:hAnsi="仿宋" w:eastAsia="仿宋_GB2312" w:cs="Times New Roman"/>
          <w:b/>
          <w:bCs/>
          <w:color w:val="000000"/>
          <w:kern w:val="0"/>
          <w:sz w:val="32"/>
          <w:szCs w:val="32"/>
          <w:lang w:val="en-US" w:eastAsia="zh-CN" w:bidi="ar-SA"/>
        </w:rPr>
        <w:t>集约利用岸线资源推动“公转水”，是践行生态优先、绿色发展理念的更优方案</w:t>
      </w:r>
      <w:r>
        <w:rPr>
          <w:rFonts w:hint="eastAsia" w:ascii="仿宋_GB2312" w:hAnsi="仿宋" w:eastAsia="仿宋_GB2312" w:cs="Times New Roman"/>
          <w:b/>
          <w:bCs/>
          <w:color w:val="000000"/>
          <w:kern w:val="0"/>
          <w:sz w:val="32"/>
          <w:szCs w:val="32"/>
          <w:lang w:val="en-US" w:eastAsia="zh-CN" w:bidi="ar-SA"/>
        </w:rPr>
        <w:t>。</w:t>
      </w:r>
      <w:r>
        <w:rPr>
          <w:rFonts w:hint="default" w:ascii="仿宋_GB2312" w:hAnsi="仿宋" w:eastAsia="仿宋_GB2312" w:cs="Times New Roman"/>
          <w:b w:val="0"/>
          <w:bCs w:val="0"/>
          <w:color w:val="000000"/>
          <w:kern w:val="0"/>
          <w:sz w:val="32"/>
          <w:szCs w:val="32"/>
          <w:lang w:val="en-US" w:eastAsia="zh-CN" w:bidi="ar-SA"/>
        </w:rPr>
        <w:t>虽然工程拟占用部分城区绿地，但从全流域生态效益看，这是推动运输结构绿色转型的最优路径。国家发改委在相关批复中明确要求，项目建设需“共抓大保护、不搞大开发”，加强生态环境和水生生物保护，深化环境影响评价。通过对工程弃渣资源化利用、对安置区高质量规划建设，以及对滨江空间的重新规划和生态修复，有望在保障航运大动脉的同时，实现更高品质的滨江公共空间再造。</w:t>
      </w:r>
    </w:p>
    <w:p w14:paraId="7B43DA31">
      <w:pPr>
        <w:pageBreakBefore w:val="0"/>
        <w:kinsoku/>
        <w:wordWrap/>
        <w:overflowPunct w:val="0"/>
        <w:topLinePunct w:val="0"/>
        <w:autoSpaceDE w:val="0"/>
        <w:autoSpaceDN w:val="0"/>
        <w:bidi w:val="0"/>
        <w:adjustRightInd/>
        <w:snapToGrid/>
        <w:spacing w:line="560" w:lineRule="exact"/>
        <w:ind w:firstLine="640" w:firstLineChars="200"/>
        <w:textAlignment w:val="auto"/>
        <w:rPr>
          <w:rFonts w:hint="default" w:ascii="Times New Roman" w:hAnsi="Times New Roman" w:eastAsia="黑体"/>
          <w:color w:val="auto"/>
          <w:kern w:val="44"/>
          <w:sz w:val="36"/>
          <w:szCs w:val="36"/>
          <w:highlight w:val="none"/>
          <w:lang w:val="en-US" w:eastAsia="zh-CN"/>
        </w:rPr>
      </w:pPr>
      <w:r>
        <w:rPr>
          <w:rFonts w:hint="eastAsia" w:ascii="黑体" w:hAnsi="黑体" w:eastAsia="黑体" w:cs="仿宋_GB2312"/>
          <w:color w:val="000000"/>
          <w:sz w:val="32"/>
          <w:szCs w:val="32"/>
        </w:rPr>
        <w:t>四、拟占用和重建方案</w:t>
      </w:r>
    </w:p>
    <w:p w14:paraId="720D2129">
      <w:pPr>
        <w:pageBreakBefore w:val="0"/>
        <w:kinsoku/>
        <w:wordWrap/>
        <w:topLinePunct w:val="0"/>
        <w:bidi w:val="0"/>
        <w:adjustRightInd/>
        <w:snapToGrid/>
        <w:spacing w:line="560" w:lineRule="exact"/>
        <w:ind w:firstLine="640" w:firstLineChars="200"/>
        <w:textAlignment w:val="auto"/>
        <w:rPr>
          <w:rFonts w:hint="eastAsia" w:ascii="仿宋_GB2312" w:hAnsi="仿宋" w:eastAsia="仿宋_GB2312" w:cs="Times New Roman"/>
          <w:color w:val="000000"/>
          <w:kern w:val="0"/>
          <w:sz w:val="32"/>
          <w:szCs w:val="32"/>
          <w:lang w:val="en-US" w:eastAsia="zh-CN"/>
        </w:rPr>
      </w:pPr>
      <w:r>
        <w:rPr>
          <w:rFonts w:hint="eastAsia" w:ascii="仿宋_GB2312" w:hAnsi="仿宋" w:eastAsia="仿宋_GB2312" w:cs="Times New Roman"/>
          <w:color w:val="000000"/>
          <w:kern w:val="0"/>
          <w:sz w:val="32"/>
          <w:szCs w:val="32"/>
          <w:lang w:val="en-US" w:eastAsia="zh-CN"/>
        </w:rPr>
        <w:t>镇镜山公园、葛洲坝大江防淤堤、葛洲坝三江防淤堤等临时占用部分按照公园绿地原状恢复，确保品质不降。</w:t>
      </w:r>
    </w:p>
    <w:p w14:paraId="0E64F624">
      <w:pPr>
        <w:pageBreakBefore w:val="0"/>
        <w:kinsoku/>
        <w:wordWrap/>
        <w:topLinePunct w:val="0"/>
        <w:bidi w:val="0"/>
        <w:adjustRightInd/>
        <w:snapToGrid/>
        <w:spacing w:line="560" w:lineRule="exact"/>
        <w:ind w:firstLine="640" w:firstLineChars="200"/>
        <w:textAlignment w:val="auto"/>
        <w:rPr>
          <w:rFonts w:hint="eastAsia" w:ascii="仿宋" w:hAnsi="仿宋" w:eastAsia="仿宋"/>
          <w:sz w:val="32"/>
          <w:szCs w:val="32"/>
          <w:lang w:eastAsia="zh-CN"/>
        </w:rPr>
      </w:pPr>
      <w:r>
        <w:rPr>
          <w:rFonts w:hint="eastAsia" w:ascii="仿宋_GB2312" w:hAnsi="仿宋" w:eastAsia="仿宋_GB2312" w:cs="Times New Roman"/>
          <w:color w:val="000000"/>
          <w:kern w:val="0"/>
          <w:sz w:val="32"/>
          <w:szCs w:val="32"/>
          <w:lang w:val="en-US" w:eastAsia="zh-CN"/>
        </w:rPr>
        <w:t>滨江公园（石子岭路-镇江阁）、葛洲坝公园、左坝头广场等永久占用区域，采用因地制宜设计，以恢复公园功能为主，打造集散广场、体育健身场地、公园绿道、公园绿地为主的城市公园。拟恢复滨江公园、重建葛洲坝公园和西坝滨江公园、复建口袋公园，重建面积约12.88公顷。还建绿地面积大于占用城区重点绿地面积。</w:t>
      </w:r>
      <w:r>
        <w:rPr>
          <w:rFonts w:hint="eastAsia" w:ascii="仿宋" w:hAnsi="仿宋" w:eastAsia="仿宋"/>
          <w:sz w:val="32"/>
          <w:szCs w:val="32"/>
          <w:lang w:eastAsia="zh-CN"/>
        </w:rPr>
        <w:t>（见图</w:t>
      </w:r>
      <w:r>
        <w:rPr>
          <w:rFonts w:hint="eastAsia" w:ascii="仿宋" w:hAnsi="仿宋" w:eastAsia="仿宋"/>
          <w:sz w:val="32"/>
          <w:szCs w:val="32"/>
          <w:lang w:val="en-US" w:eastAsia="zh-CN"/>
        </w:rPr>
        <w:t>2</w:t>
      </w:r>
      <w:r>
        <w:rPr>
          <w:rFonts w:hint="eastAsia" w:ascii="仿宋" w:hAnsi="仿宋" w:eastAsia="仿宋"/>
          <w:sz w:val="32"/>
          <w:szCs w:val="32"/>
          <w:lang w:eastAsia="zh-CN"/>
        </w:rPr>
        <w:t>）</w:t>
      </w:r>
      <w:r>
        <w:rPr>
          <w:highlight w:val="none"/>
        </w:rPr>
        <w:drawing>
          <wp:anchor distT="0" distB="0" distL="114300" distR="114300" simplePos="0" relativeHeight="251659264" behindDoc="0" locked="0" layoutInCell="1" allowOverlap="1">
            <wp:simplePos x="0" y="0"/>
            <wp:positionH relativeFrom="column">
              <wp:posOffset>267970</wp:posOffset>
            </wp:positionH>
            <wp:positionV relativeFrom="page">
              <wp:posOffset>4701540</wp:posOffset>
            </wp:positionV>
            <wp:extent cx="5111750" cy="3278505"/>
            <wp:effectExtent l="0" t="0" r="12700" b="1714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111750" cy="3278505"/>
                    </a:xfrm>
                    <a:prstGeom prst="rect">
                      <a:avLst/>
                    </a:prstGeom>
                    <a:noFill/>
                    <a:ln>
                      <a:noFill/>
                    </a:ln>
                  </pic:spPr>
                </pic:pic>
              </a:graphicData>
            </a:graphic>
          </wp:anchor>
        </w:drawing>
      </w:r>
    </w:p>
    <w:p w14:paraId="6D79F7C8">
      <w:pPr>
        <w:pStyle w:val="14"/>
        <w:pageBreakBefore w:val="0"/>
        <w:numPr>
          <w:ilvl w:val="7"/>
          <w:numId w:val="0"/>
        </w:numPr>
        <w:kinsoku/>
        <w:wordWrap/>
        <w:overflowPunct/>
        <w:topLinePunct w:val="0"/>
        <w:autoSpaceDE/>
        <w:autoSpaceDN/>
        <w:bidi w:val="0"/>
        <w:adjustRightInd/>
        <w:snapToGrid/>
        <w:spacing w:line="560" w:lineRule="exact"/>
        <w:ind w:firstLine="960" w:firstLineChars="400"/>
        <w:jc w:val="both"/>
        <w:textAlignment w:val="auto"/>
        <w:rPr>
          <w:rFonts w:hint="eastAsia" w:ascii="仿宋" w:hAnsi="仿宋" w:eastAsia="仿宋"/>
          <w:sz w:val="32"/>
          <w:szCs w:val="32"/>
          <w:lang w:eastAsia="zh-CN"/>
        </w:rPr>
      </w:pPr>
      <w:r>
        <w:rPr>
          <w:rFonts w:hint="eastAsia"/>
          <w:highlight w:val="none"/>
          <w:lang w:val="en-US" w:eastAsia="zh-CN"/>
        </w:rPr>
        <w:t>图1  葛洲坝航运扩能及配套电力迁改项目拟占用城区重点绿地范围</w:t>
      </w:r>
    </w:p>
    <w:p w14:paraId="668D3687">
      <w:pPr>
        <w:pageBreakBefore w:val="0"/>
        <w:kinsoku/>
        <w:wordWrap/>
        <w:topLinePunct w:val="0"/>
        <w:bidi w:val="0"/>
        <w:adjustRightInd/>
        <w:snapToGrid/>
        <w:spacing w:line="560" w:lineRule="exact"/>
        <w:ind w:firstLine="640" w:firstLineChars="200"/>
        <w:textAlignment w:val="auto"/>
        <w:rPr>
          <w:rFonts w:hint="eastAsia" w:ascii="仿宋" w:hAnsi="仿宋" w:eastAsia="仿宋"/>
          <w:sz w:val="32"/>
          <w:szCs w:val="32"/>
          <w:lang w:val="en-US" w:eastAsia="zh-CN"/>
        </w:rPr>
      </w:pPr>
    </w:p>
    <w:p w14:paraId="19FBB621">
      <w:pPr>
        <w:pageBreakBefore w:val="0"/>
        <w:kinsoku/>
        <w:wordWrap/>
        <w:topLinePunct w:val="0"/>
        <w:bidi w:val="0"/>
        <w:adjustRightInd/>
        <w:snapToGrid/>
        <w:spacing w:line="560" w:lineRule="exact"/>
        <w:ind w:firstLine="640" w:firstLineChars="200"/>
        <w:textAlignment w:val="auto"/>
        <w:rPr>
          <w:rFonts w:hint="eastAsia"/>
          <w:highlight w:val="none"/>
          <w:lang w:val="en-US" w:eastAsia="zh-CN"/>
        </w:rPr>
      </w:pPr>
      <w:r>
        <w:rPr>
          <w:rFonts w:hint="eastAsia" w:ascii="仿宋" w:hAnsi="仿宋" w:eastAsia="仿宋"/>
          <w:sz w:val="32"/>
          <w:szCs w:val="32"/>
          <w:lang w:val="en-US" w:eastAsia="zh-CN"/>
        </w:rPr>
        <w:drawing>
          <wp:anchor distT="0" distB="0" distL="114300" distR="114300" simplePos="0" relativeHeight="251660288" behindDoc="0" locked="0" layoutInCell="1" allowOverlap="1">
            <wp:simplePos x="0" y="0"/>
            <wp:positionH relativeFrom="column">
              <wp:posOffset>197485</wp:posOffset>
            </wp:positionH>
            <wp:positionV relativeFrom="page">
              <wp:posOffset>1321435</wp:posOffset>
            </wp:positionV>
            <wp:extent cx="5272405" cy="2614930"/>
            <wp:effectExtent l="0" t="0" r="4445" b="13970"/>
            <wp:wrapTopAndBottom/>
            <wp:docPr id="1" name="图片 1" descr="lQLPJww1yBx0aznNATHNAmewNhauH_1NoN0Jhho7ckTEAA_615_305.png_720x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QLPJww1yBx0aznNATHNAmewNhauH_1NoN0Jhho7ckTEAA_615_305.png_720x720"/>
                    <pic:cNvPicPr>
                      <a:picLocks noChangeAspect="1"/>
                    </pic:cNvPicPr>
                  </pic:nvPicPr>
                  <pic:blipFill>
                    <a:blip r:embed="rId5"/>
                    <a:stretch>
                      <a:fillRect/>
                    </a:stretch>
                  </pic:blipFill>
                  <pic:spPr>
                    <a:xfrm>
                      <a:off x="0" y="0"/>
                      <a:ext cx="5272405" cy="2614930"/>
                    </a:xfrm>
                    <a:prstGeom prst="rect">
                      <a:avLst/>
                    </a:prstGeom>
                  </pic:spPr>
                </pic:pic>
              </a:graphicData>
            </a:graphic>
          </wp:anchor>
        </w:drawing>
      </w:r>
      <w:r>
        <w:rPr>
          <w:rFonts w:hint="eastAsia" w:ascii="仿宋" w:hAnsi="仿宋" w:eastAsia="仿宋"/>
          <w:sz w:val="32"/>
          <w:szCs w:val="32"/>
          <w:lang w:val="en-US" w:eastAsia="zh-CN"/>
        </w:rPr>
        <w:t xml:space="preserve">               </w:t>
      </w:r>
      <w:r>
        <w:rPr>
          <w:rFonts w:hint="eastAsia" w:ascii="黑体" w:eastAsia="黑体" w:hAnsiTheme="minorHAnsi" w:cstheme="minorBidi"/>
          <w:kern w:val="0"/>
          <w:sz w:val="24"/>
          <w:szCs w:val="24"/>
          <w:highlight w:val="none"/>
          <w:lang w:val="en-US" w:eastAsia="zh-CN" w:bidi="ar-SA"/>
        </w:rPr>
        <w:t>图2 城区重点绿地还建方案</w:t>
      </w:r>
    </w:p>
    <w:p w14:paraId="71CD8A7C">
      <w:pPr>
        <w:pStyle w:val="14"/>
        <w:pageBreakBefore w:val="0"/>
        <w:numPr>
          <w:ilvl w:val="7"/>
          <w:numId w:val="0"/>
        </w:numPr>
        <w:kinsoku/>
        <w:wordWrap/>
        <w:topLinePunct w:val="0"/>
        <w:bidi w:val="0"/>
        <w:adjustRightInd/>
        <w:snapToGrid/>
        <w:spacing w:line="560" w:lineRule="exact"/>
        <w:ind w:firstLine="480" w:firstLineChars="200"/>
        <w:jc w:val="both"/>
        <w:textAlignment w:val="auto"/>
        <w:rPr>
          <w:highlight w:val="none"/>
        </w:rPr>
      </w:pPr>
    </w:p>
    <w:p w14:paraId="227BC0A5">
      <w:pPr>
        <w:pageBreakBefore w:val="0"/>
        <w:kinsoku/>
        <w:wordWrap/>
        <w:topLinePunct w:val="0"/>
        <w:bidi w:val="0"/>
        <w:adjustRightInd/>
        <w:snapToGrid/>
        <w:spacing w:line="560" w:lineRule="exact"/>
        <w:ind w:firstLine="560" w:firstLineChars="200"/>
        <w:textAlignment w:val="auto"/>
        <w:rPr>
          <w:rFonts w:hint="default" w:ascii="Times New Roman" w:hAnsi="Times New Roman" w:eastAsia="仿宋_GB2312" w:cstheme="minorBidi"/>
          <w:b w:val="0"/>
          <w:bCs w:val="0"/>
          <w:color w:val="auto"/>
          <w:kern w:val="0"/>
          <w:sz w:val="28"/>
          <w:szCs w:val="28"/>
          <w:highlight w:val="none"/>
          <w:lang w:val="en-US" w:eastAsia="zh-CN" w:bidi="ar"/>
        </w:rPr>
      </w:pPr>
      <w:bookmarkStart w:id="0" w:name="_GoBack"/>
      <w:bookmarkEnd w:id="0"/>
    </w:p>
    <w:sectPr>
      <w:pgSz w:w="11906" w:h="16838"/>
      <w:pgMar w:top="2098" w:right="1474" w:bottom="1928" w:left="158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43"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0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方正黑体_GBK">
    <w:panose1 w:val="02000000000000000000"/>
    <w:charset w:val="86"/>
    <w:family w:val="auto"/>
    <w:pitch w:val="default"/>
    <w:sig w:usb0="00000001" w:usb1="0800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Unicode MS">
    <w:altName w:val="DejaVu Sans"/>
    <w:panose1 w:val="020B0604020202020204"/>
    <w:charset w:val="86"/>
    <w:family w:val="swiss"/>
    <w:pitch w:val="default"/>
    <w:sig w:usb0="00000000" w:usb1="00000000" w:usb2="0000003F" w:usb3="00000000" w:csb0="603F01FF" w:csb1="FFFF0000"/>
  </w:font>
  <w:font w:name="方正小标宋简体">
    <w:panose1 w:val="02000000000000000000"/>
    <w:charset w:val="86"/>
    <w:family w:val="auto"/>
    <w:pitch w:val="default"/>
    <w:sig w:usb0="A00002BF" w:usb1="184F6CFA" w:usb2="00000012" w:usb3="00000000" w:csb0="00040001" w:csb1="00000000"/>
  </w:font>
  <w:font w:name="仿宋">
    <w:altName w:val="仿宋_GB2312"/>
    <w:panose1 w:val="02010609060101010101"/>
    <w:charset w:val="86"/>
    <w:family w:val="modern"/>
    <w:pitch w:val="default"/>
    <w:sig w:usb0="00000000" w:usb1="0000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5137B7E"/>
    <w:multiLevelType w:val="multilevel"/>
    <w:tmpl w:val="55137B7E"/>
    <w:lvl w:ilvl="0" w:tentative="0">
      <w:start w:val="1"/>
      <w:numFmt w:val="decimal"/>
      <w:suff w:val="nothing"/>
      <w:lvlText w:val="%1"/>
      <w:lvlJc w:val="left"/>
      <w:pPr>
        <w:ind w:left="0" w:firstLine="0"/>
      </w:pPr>
      <w:rPr>
        <w:rFonts w:hint="default" w:ascii="Arial" w:hAnsi="Arial" w:eastAsia="黑体"/>
        <w:b w:val="0"/>
        <w:i w:val="0"/>
        <w:sz w:val="36"/>
        <w:szCs w:val="32"/>
      </w:rPr>
    </w:lvl>
    <w:lvl w:ilvl="1" w:tentative="0">
      <w:start w:val="1"/>
      <w:numFmt w:val="decimal"/>
      <w:suff w:val="nothing"/>
      <w:lvlText w:val="%1.%2"/>
      <w:lvlJc w:val="left"/>
      <w:pPr>
        <w:ind w:left="0" w:firstLine="0"/>
      </w:pPr>
      <w:rPr>
        <w:rFonts w:hint="default" w:ascii="Arial" w:hAnsi="Arial" w:eastAsia="黑体"/>
        <w:b w:val="0"/>
        <w:i w:val="0"/>
        <w:color w:val="auto"/>
        <w:sz w:val="32"/>
        <w:szCs w:val="28"/>
        <w:u w:val="none"/>
      </w:rPr>
    </w:lvl>
    <w:lvl w:ilvl="2" w:tentative="0">
      <w:start w:val="1"/>
      <w:numFmt w:val="decimal"/>
      <w:suff w:val="nothing"/>
      <w:lvlText w:val="%1.%2.%3"/>
      <w:lvlJc w:val="left"/>
      <w:pPr>
        <w:ind w:left="0" w:firstLine="0"/>
      </w:pPr>
      <w:rPr>
        <w:rFonts w:hint="default" w:ascii="Arial" w:hAnsi="Arial" w:cs="Arial"/>
        <w:b w:val="0"/>
        <w:bCs w:val="0"/>
        <w:i w:val="0"/>
        <w:iCs w:val="0"/>
        <w:caps w:val="0"/>
        <w:smallCaps w:val="0"/>
        <w:strike w:val="0"/>
        <w:dstrike w:val="0"/>
        <w:snapToGrid w:val="0"/>
        <w:vanish w:val="0"/>
        <w:color w:val="000000"/>
        <w:spacing w:val="0"/>
        <w:kern w:val="0"/>
        <w:position w:val="0"/>
        <w:u w:val="none"/>
        <w:vertAlign w:val="baseline"/>
      </w:rPr>
    </w:lvl>
    <w:lvl w:ilvl="3" w:tentative="0">
      <w:start w:val="1"/>
      <w:numFmt w:val="decimal"/>
      <w:suff w:val="nothing"/>
      <w:lvlText w:val="%1.%2.%3.%4"/>
      <w:lvlJc w:val="left"/>
      <w:pPr>
        <w:ind w:left="3545" w:firstLine="0"/>
      </w:pPr>
      <w:rPr>
        <w:b w:val="0"/>
        <w:bCs w:val="0"/>
        <w:i w:val="0"/>
        <w:iCs w:val="0"/>
        <w:caps w:val="0"/>
        <w:smallCaps w:val="0"/>
        <w:strike w:val="0"/>
        <w:dstrike w:val="0"/>
        <w:vanish w:val="0"/>
        <w:spacing w:val="0"/>
        <w:position w:val="0"/>
        <w:u w:val="none"/>
        <w:vertAlign w:val="baseline"/>
      </w:rPr>
    </w:lvl>
    <w:lvl w:ilvl="4" w:tentative="0">
      <w:start w:val="1"/>
      <w:numFmt w:val="decimal"/>
      <w:lvlText w:val="%5)"/>
      <w:lvlJc w:val="left"/>
      <w:pPr>
        <w:ind w:left="0" w:firstLine="0"/>
      </w:pPr>
      <w:rPr>
        <w:rFonts w:hint="eastAsia" w:ascii="楷体_GB2312" w:eastAsia="楷体_GB2312"/>
        <w:b w:val="0"/>
        <w:bCs w:val="0"/>
        <w:i w:val="0"/>
        <w:iCs w:val="0"/>
        <w:caps w:val="0"/>
        <w:smallCaps w:val="0"/>
        <w:strike w:val="0"/>
        <w:dstrike w:val="0"/>
        <w:vanish w:val="0"/>
        <w:color w:val="000000"/>
        <w:spacing w:val="0"/>
        <w:position w:val="0"/>
        <w:u w:val="none"/>
        <w:vertAlign w:val="baseline"/>
      </w:rPr>
    </w:lvl>
    <w:lvl w:ilvl="5" w:tentative="0">
      <w:start w:val="1"/>
      <w:numFmt w:val="decimal"/>
      <w:suff w:val="nothing"/>
      <w:lvlText w:val="（%6）"/>
      <w:lvlJc w:val="left"/>
      <w:pPr>
        <w:ind w:left="0" w:firstLine="0"/>
      </w:pPr>
      <w:rPr>
        <w:rFonts w:hint="default" w:ascii="仿宋_GB2312" w:hAnsi="Arial" w:eastAsia="仿宋_GB2312"/>
        <w:b w:val="0"/>
        <w:i w:val="0"/>
        <w:color w:val="auto"/>
        <w:sz w:val="28"/>
      </w:rPr>
    </w:lvl>
    <w:lvl w:ilvl="6" w:tentative="0">
      <w:start w:val="1"/>
      <w:numFmt w:val="upperLetter"/>
      <w:suff w:val="nothing"/>
      <w:lvlText w:val="%7）"/>
      <w:lvlJc w:val="left"/>
      <w:pPr>
        <w:ind w:left="0" w:firstLine="0"/>
      </w:pPr>
      <w:rPr>
        <w:rFonts w:hint="default"/>
      </w:rPr>
    </w:lvl>
    <w:lvl w:ilvl="7" w:tentative="0">
      <w:start w:val="1"/>
      <w:numFmt w:val="decimal"/>
      <w:lvlRestart w:val="2"/>
      <w:pStyle w:val="14"/>
      <w:suff w:val="nothing"/>
      <w:lvlText w:val="图%1.%2-%8"/>
      <w:lvlJc w:val="left"/>
      <w:pPr>
        <w:ind w:left="0" w:firstLine="0"/>
      </w:pPr>
      <w:rPr>
        <w:rFonts w:ascii="黑体" w:hAnsi="黑体" w:eastAsia="黑体" w:cs="Times New Roman"/>
        <w:b w:val="0"/>
        <w:bCs w:val="0"/>
        <w:i w:val="0"/>
        <w:iCs w:val="0"/>
        <w:caps w:val="0"/>
        <w:smallCaps w:val="0"/>
        <w:strike w:val="0"/>
        <w:dstrike w:val="0"/>
        <w:vanish w:val="0"/>
        <w:color w:val="000000"/>
        <w:spacing w:val="0"/>
        <w:position w:val="0"/>
        <w:u w:val="none"/>
        <w:vertAlign w:val="baseline"/>
      </w:rPr>
    </w:lvl>
    <w:lvl w:ilvl="8" w:tentative="0">
      <w:start w:val="1"/>
      <w:numFmt w:val="decimal"/>
      <w:lvlRestart w:val="2"/>
      <w:pStyle w:val="20"/>
      <w:suff w:val="nothing"/>
      <w:lvlText w:val="表%1.%2-%9"/>
      <w:lvlJc w:val="left"/>
      <w:pPr>
        <w:ind w:left="318" w:firstLine="0"/>
      </w:pPr>
      <w:rPr>
        <w:rFonts w:hint="eastAsia" w:ascii="黑体" w:hAnsi="黑体" w:eastAsia="黑体"/>
        <w:b w:val="0"/>
        <w:i w:val="0"/>
        <w:sz w:val="24"/>
        <w:lang w:val="en-US"/>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3F0721"/>
    <w:rsid w:val="05FA0F2A"/>
    <w:rsid w:val="072057C0"/>
    <w:rsid w:val="17476122"/>
    <w:rsid w:val="23ED3ED2"/>
    <w:rsid w:val="24FC40EF"/>
    <w:rsid w:val="313148F7"/>
    <w:rsid w:val="4D4C1A3C"/>
    <w:rsid w:val="533F0721"/>
    <w:rsid w:val="54F99DA7"/>
    <w:rsid w:val="57AF47B1"/>
    <w:rsid w:val="611416B3"/>
    <w:rsid w:val="779F702D"/>
    <w:rsid w:val="7DEFB392"/>
    <w:rsid w:val="AAFF55EA"/>
    <w:rsid w:val="AFBFFB56"/>
    <w:rsid w:val="FFFF6D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Normal Indent"/>
    <w:basedOn w:val="1"/>
    <w:unhideWhenUsed/>
    <w:qFormat/>
    <w:uiPriority w:val="0"/>
    <w:pPr>
      <w:ind w:firstLine="420"/>
    </w:pPr>
  </w:style>
  <w:style w:type="paragraph" w:styleId="4">
    <w:name w:val="caption"/>
    <w:basedOn w:val="1"/>
    <w:next w:val="1"/>
    <w:unhideWhenUsed/>
    <w:qFormat/>
    <w:uiPriority w:val="35"/>
    <w:pPr>
      <w:spacing w:line="240" w:lineRule="auto"/>
      <w:ind w:firstLine="0" w:firstLineChars="0"/>
    </w:pPr>
    <w:rPr>
      <w:rFonts w:ascii="Cambria" w:hAnsi="Cambria" w:eastAsia="黑体"/>
      <w:sz w:val="20"/>
      <w:szCs w:val="20"/>
    </w:rPr>
  </w:style>
  <w:style w:type="paragraph" w:styleId="5">
    <w:name w:val="Body Text"/>
    <w:basedOn w:val="1"/>
    <w:next w:val="6"/>
    <w:unhideWhenUsed/>
    <w:qFormat/>
    <w:uiPriority w:val="0"/>
    <w:pPr>
      <w:wordWrap w:val="0"/>
      <w:spacing w:after="240" w:line="300" w:lineRule="atLeast"/>
    </w:pPr>
    <w:rPr>
      <w:rFonts w:ascii="黑体" w:eastAsia="黑体"/>
      <w:b/>
      <w:bCs/>
      <w:kern w:val="0"/>
      <w:sz w:val="44"/>
      <w:szCs w:val="18"/>
    </w:rPr>
  </w:style>
  <w:style w:type="paragraph" w:styleId="6">
    <w:name w:val="toc 5"/>
    <w:basedOn w:val="1"/>
    <w:next w:val="1"/>
    <w:qFormat/>
    <w:uiPriority w:val="0"/>
    <w:pPr>
      <w:ind w:left="1680" w:leftChars="800"/>
    </w:pPr>
  </w:style>
  <w:style w:type="paragraph" w:styleId="7">
    <w:name w:val="footer"/>
    <w:basedOn w:val="1"/>
    <w:unhideWhenUsed/>
    <w:qFormat/>
    <w:uiPriority w:val="99"/>
    <w:pPr>
      <w:tabs>
        <w:tab w:val="center" w:pos="4153"/>
        <w:tab w:val="right" w:pos="8306"/>
      </w:tabs>
      <w:snapToGrid w:val="0"/>
      <w:jc w:val="left"/>
    </w:pPr>
    <w:rPr>
      <w:kern w:val="0"/>
      <w:sz w:val="18"/>
      <w:szCs w:val="18"/>
    </w:rPr>
  </w:style>
  <w:style w:type="paragraph" w:styleId="8">
    <w:name w:val="header"/>
    <w:basedOn w:val="1"/>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customStyle="1" w:styleId="14">
    <w:name w:val="图片_图名"/>
    <w:basedOn w:val="1"/>
    <w:next w:val="15"/>
    <w:qFormat/>
    <w:uiPriority w:val="0"/>
    <w:pPr>
      <w:numPr>
        <w:ilvl w:val="7"/>
        <w:numId w:val="1"/>
      </w:numPr>
      <w:spacing w:line="240" w:lineRule="auto"/>
      <w:ind w:firstLineChars="0"/>
      <w:jc w:val="center"/>
      <w:outlineLvl w:val="8"/>
    </w:pPr>
    <w:rPr>
      <w:rFonts w:ascii="黑体" w:eastAsia="黑体"/>
      <w:kern w:val="0"/>
      <w:sz w:val="24"/>
      <w:szCs w:val="24"/>
    </w:rPr>
  </w:style>
  <w:style w:type="paragraph" w:customStyle="1" w:styleId="15">
    <w:name w:val="段落_段落P"/>
    <w:basedOn w:val="16"/>
    <w:qFormat/>
    <w:uiPriority w:val="0"/>
    <w:pPr>
      <w:tabs>
        <w:tab w:val="left" w:pos="420"/>
      </w:tabs>
    </w:pPr>
    <w:rPr>
      <w:rFonts w:ascii="Times New Roman" w:hAnsi="Times New Roman" w:eastAsia="宋体" w:cs="Arial Unicode MS"/>
      <w:lang w:val="en-US"/>
    </w:rPr>
  </w:style>
  <w:style w:type="paragraph" w:customStyle="1" w:styleId="16">
    <w:name w:val="正文W"/>
    <w:basedOn w:val="17"/>
    <w:qFormat/>
    <w:uiPriority w:val="0"/>
    <w:rPr>
      <w:lang w:val="zh-CN"/>
    </w:rPr>
  </w:style>
  <w:style w:type="paragraph" w:customStyle="1" w:styleId="17">
    <w:name w:val="正  文"/>
    <w:basedOn w:val="18"/>
    <w:qFormat/>
    <w:uiPriority w:val="0"/>
    <w:pPr>
      <w:textAlignment w:val="baseline"/>
    </w:pPr>
    <w:rPr>
      <w:kern w:val="0"/>
      <w:szCs w:val="28"/>
    </w:rPr>
  </w:style>
  <w:style w:type="paragraph" w:customStyle="1" w:styleId="18">
    <w:name w:val="正文-01"/>
    <w:basedOn w:val="1"/>
    <w:qFormat/>
    <w:uiPriority w:val="0"/>
    <w:rPr>
      <w:szCs w:val="20"/>
    </w:rPr>
  </w:style>
  <w:style w:type="paragraph" w:customStyle="1" w:styleId="19">
    <w:name w:val="图片_插图T"/>
    <w:basedOn w:val="1"/>
    <w:next w:val="14"/>
    <w:qFormat/>
    <w:uiPriority w:val="0"/>
    <w:pPr>
      <w:spacing w:line="240" w:lineRule="auto"/>
      <w:ind w:firstLine="0" w:firstLineChars="0"/>
      <w:jc w:val="center"/>
    </w:pPr>
    <w:rPr>
      <w:rFonts w:ascii="黑体" w:eastAsia="黑体"/>
      <w:kern w:val="0"/>
      <w:sz w:val="24"/>
      <w:szCs w:val="24"/>
    </w:rPr>
  </w:style>
  <w:style w:type="paragraph" w:customStyle="1" w:styleId="20">
    <w:name w:val="0表名（B)"/>
    <w:basedOn w:val="4"/>
    <w:next w:val="1"/>
    <w:qFormat/>
    <w:uiPriority w:val="0"/>
    <w:pPr>
      <w:keepNext/>
      <w:numPr>
        <w:ilvl w:val="8"/>
        <w:numId w:val="2"/>
      </w:numPr>
      <w:tabs>
        <w:tab w:val="center" w:pos="4515"/>
        <w:tab w:val="right" w:pos="8925"/>
      </w:tabs>
      <w:spacing w:after="60" w:line="560" w:lineRule="exact"/>
      <w:ind w:left="318" w:leftChars="0" w:firstLine="240" w:firstLineChars="100"/>
      <w:jc w:val="left"/>
      <w:outlineLvl w:val="7"/>
    </w:pPr>
    <w:rPr>
      <w:rFonts w:ascii="黑体" w:hAnsi="黑体" w:eastAsia="黑体" w:cs="黑体"/>
      <w:sz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9</TotalTime>
  <ScaleCrop>false</ScaleCrop>
  <LinksUpToDate>false</LinksUpToDate>
  <CharactersWithSpaces>0</CharactersWithSpaces>
  <Application>WPS Office_12.8.2.21176_F1E327BC-269C-435d-A152-05C5408002CA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2026-03-05T01:38:00Z</dcterms:created>
  <dc:creator>liying5</dc:creator>
  <cp:lastModifiedBy>侯黎梦</cp:lastModifiedBy>
  <dcterms:modified xsi:type="dcterms:W3CDTF">2026-03-10T10:02:08Z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2052-12.8.2.21176</vt:lpwstr>
  </property>
  <property fmtid="{D5CDD505-2E9C-101B-9397-08002B2CF9AE}" pid="3" name="ICV">
    <vt:lpwstr>EEE6B14B6045A7A0EB81AE69FF61117A_43</vt:lpwstr>
  </property>
</Properties>
</file>