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宜昌市水产技术推广站实验室仪器设备采购</w:t>
      </w:r>
    </w:p>
    <w:tbl>
      <w:tblPr>
        <w:tblStyle w:val="4"/>
        <w:tblW w:w="8600" w:type="dxa"/>
        <w:tblInd w:w="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009"/>
        <w:gridCol w:w="3225"/>
        <w:gridCol w:w="712"/>
        <w:gridCol w:w="650"/>
        <w:gridCol w:w="1200"/>
        <w:gridCol w:w="11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8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荧光定量PCR仪滤光片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1.能检测VIC和HEX荧光.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2.免费上门安装和光路校准.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3.须匹配德国耶拿qTOWER 3荧光定量PCR仪.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4.提供厂家（制造商）针对本项目售后服务承诺加盖制造商公章</w:t>
            </w:r>
            <w:bookmarkStart w:id="0" w:name="_GoBack"/>
            <w:bookmarkEnd w:id="0"/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7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可视冰箱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总容量: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248L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耗电量: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1.43KW/24h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能效等级:一级能效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温度范围:2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6℃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尺寸: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*6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*18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搁架层数:4搁架5层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制冷方式：风直冷（直冷+风机循环冷气）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温控形式：电子温控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旋转蒸发仪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1.旋转速度：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0-90pm/min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2.控温范围：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室温-99℃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3.控温精度：±1℃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4.玻璃温度范围：-80-250℃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5.水浴锅升降行程：0-150mm （手动）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6.加 料 阀：19#标口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7.冷凝器尺寸：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约0.17㎡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8.冷凝器循环接口：宝塔接头外径12mm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9.电机功率：30W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10.加热功率：1200W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11.真空度：0.098Mpa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12.蒸发能力：20ml/min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13.旋转瓶容量：茄型1000mlφ131mm/29#标口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14.收集瓶容量：1000ml 35#球磨口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15.水浴锅壳尺寸：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360L×330W×260H（mm）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16.冷凝器尺寸：φ85×375H（mm）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17.浴锅内胆尺寸容量：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约8.6L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小型超净工作台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1.洁净等级：ISO 5级（100级）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2.适用人数：单人单面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3.平均风速：0.25-0.6m/s（可调）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4.平均菌落数：≤0.5个/皿·时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5.噪音：≤62dB（A）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6.照度：≥300LX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7.振动半峰值：≤3μm（X·Y·Z)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8.外型尺寸（宽×深×高）mm：≈800×650×1600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9.气流流向：垂直流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10.送风方式：垂直送风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3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监控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支持一键呼叫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支持定点巡航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联网方式：wifi联网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标配功能：手机远程，双向语音对讲，人形追踪，侦测报警，360度全景视角智能电子围栏，AI多事件标识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产品版本：双镜头全彩版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夜视效果：全彩夜视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多画面同时监控：1台顶2台双画面同时看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内存容量：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15天全天循环录像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洗眼冲淋设备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双口移动洗眼器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2.一套复合式冲淋设备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性能参数: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2.1公称压力：≈0.4MPA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2.2密封压力：≈0.45MPA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2.3工作压力：0.20-0.40MPA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2.4喷淋流量L/min：120-180升/分钟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2.5洗眼流量L/min：≥12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2.6适用条件：常温纯水或符合卫生标准用水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pH计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1.测量参数：pH，mV（ORP），ref mV，温度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2.测量范围：pH: -2.000～20.000，mV: -2000.0～2000.0，温度: -30.0～130.0℃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3.分辨率: 0.001/0.01/0.1pH可调，0.1 / 1mV，0.1 °C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4.精度: ±0.002pH，±0.1(–500.0…500.0 mV) 或±0.2(–2,000.0…2,000.0 mV)，0.1 °C（0-100℃）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5.自动/手动温度补偿，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6.任意选择中/英/德/法/意/俄/韩/西班牙/葡萄牙等10种操作语言的操作界面，同时任意选择一种操作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7.自动校正、自动识别缓冲液,自动终点锁定, 自动温度补偿，最高达到5点校准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8.内置11组缓冲液组，可自定义缓冲液10组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9.终点模式：自动，手动，时间间隔，三种终点模式可供选择，可连续测量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10.手套模式，可在乳胶手套，甚至棉手套下正常使用触摸屏操作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11.仪表时间与电脑时间自动同步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12.验证流程，确保用户规范使用测量系统，并能保证系统准确度符合要求。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13.仪器完全符合GLP要求，可以实时存储2000组数据，数据导出可使用U盘或软件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14.7英寸彩色触摸屏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15.全屏键盘，数据输入更轻松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16.用户指导和集成式帮助系统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17.状态指示灯显示仪表读数状态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18.两级用户权限管理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19.测量设置保存/导入为方法，彩色限值提醒，验证结果清晰提示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20.IP54 防尘防水，可更换保护罩，防腐密封接口保护盒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21.电极支架精确定位，垂直移动，多向电极专用位置，升级线缆收纳，紧凑的工作空间，袋装溶液支架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22.配置包含主机、匹配电极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玻璃器皿柜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1.外型尺寸：约900*450*180mm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2.材质：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pp材料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耐腐蚀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视窗：采用5mm钢化玻璃制作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4.开门方式：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对开玻璃门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（大写：            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8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仪器设备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质量符合行业标准规定；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.报价包含仪器设备、运费、安装调试费、税费等所有费用。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BCBA65FF"/>
    <w:rsid w:val="2B9746F7"/>
    <w:rsid w:val="3677F737"/>
    <w:rsid w:val="3DA3EA7B"/>
    <w:rsid w:val="3FEF6032"/>
    <w:rsid w:val="40235393"/>
    <w:rsid w:val="4FFD4DAC"/>
    <w:rsid w:val="53C133DD"/>
    <w:rsid w:val="58C96665"/>
    <w:rsid w:val="65F619F6"/>
    <w:rsid w:val="69785A2E"/>
    <w:rsid w:val="6FC4F9E8"/>
    <w:rsid w:val="71FD99E4"/>
    <w:rsid w:val="77738371"/>
    <w:rsid w:val="797D196B"/>
    <w:rsid w:val="79BF79AD"/>
    <w:rsid w:val="7AEC324E"/>
    <w:rsid w:val="7DFF73E3"/>
    <w:rsid w:val="7E7EDABC"/>
    <w:rsid w:val="7EDF7AB1"/>
    <w:rsid w:val="7FDF5F63"/>
    <w:rsid w:val="9FE2CF0B"/>
    <w:rsid w:val="B3C4FE20"/>
    <w:rsid w:val="B4BFBB25"/>
    <w:rsid w:val="B7FB4196"/>
    <w:rsid w:val="BCBA65FF"/>
    <w:rsid w:val="BDFBF6AF"/>
    <w:rsid w:val="D76E7ECF"/>
    <w:rsid w:val="E6FF514C"/>
    <w:rsid w:val="E77E4250"/>
    <w:rsid w:val="EF96AA2C"/>
    <w:rsid w:val="EFBEAC54"/>
    <w:rsid w:val="F3BFC6D0"/>
    <w:rsid w:val="F793F38D"/>
    <w:rsid w:val="FB7FF8CD"/>
    <w:rsid w:val="FBD705B1"/>
    <w:rsid w:val="FBEAE172"/>
    <w:rsid w:val="FBFE4B93"/>
    <w:rsid w:val="FE7ED865"/>
    <w:rsid w:val="FF992822"/>
    <w:rsid w:val="FFFDE878"/>
    <w:rsid w:val="FFFF2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600"/>
    </w:pPr>
    <w:rPr>
      <w:rFonts w:eastAsia="仿宋_GB2312"/>
      <w:sz w:val="30"/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1387</Words>
  <Characters>1842</Characters>
  <Lines>0</Lines>
  <Paragraphs>0</Paragraphs>
  <TotalTime>3</TotalTime>
  <ScaleCrop>false</ScaleCrop>
  <LinksUpToDate>false</LinksUpToDate>
  <CharactersWithSpaces>1926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2022-11-16T02:01:00Z</dcterms:created>
  <dc:creator>greatwall</dc:creator>
  <cp:lastModifiedBy>greatwall</cp:lastModifiedBy>
  <dcterms:modified xsi:type="dcterms:W3CDTF">2026-03-23T14:07:22Z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28AC719125BE41F9A34BF174EF99F614_13</vt:lpwstr>
  </property>
  <property fmtid="{D5CDD505-2E9C-101B-9397-08002B2CF9AE}" pid="4" name="KSOTemplateDocerSaveRecord">
    <vt:lpwstr>eyJoZGlkIjoiMzU1YTgyY2YxNWZmYTRjZmMwZTUxYzk1N2FhMDI2YTUiLCJ1c2VySWQiOiI1NjIyMjAwMzQifQ==</vt:lpwstr>
  </property>
</Properties>
</file>