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年市级农业专项水产养殖尾水监测询价采购。</w:t>
      </w:r>
    </w:p>
    <w:tbl>
      <w:tblPr>
        <w:tblStyle w:val="2"/>
        <w:tblW w:w="0" w:type="auto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271"/>
        <w:gridCol w:w="800"/>
        <w:gridCol w:w="1775"/>
        <w:gridCol w:w="1913"/>
        <w:gridCol w:w="8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pH值测定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≥150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悬浮物测定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≥150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总氮测定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≥150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总磷测定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≥150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高锰酸盐指数测定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≥150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陆万柒仟伍佰元整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67500.00元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报价应以实际检测需要为依据，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供应商检测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数量应大于或等于采购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2.按采购金额67500元且样品检测数量最多的原则确定成交供应商；3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报价包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含样品采集、指标测定、人工、交通、报告分析及打印、税费等所有费用；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.所采用测定方法应符合《湖北省水产养殖尾水污染物排放标准》中规定的水产养殖尾水污染物测定方法。</w:t>
            </w:r>
            <w:bookmarkStart w:id="0" w:name="_GoBack"/>
            <w:bookmarkEnd w:id="0"/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1OTY5Y2U3MzI0ZWM3MGFjZTViZTdlYWMzMmIifQ=="/>
  </w:docVars>
  <w:rsids>
    <w:rsidRoot w:val="BCBA65FF"/>
    <w:rsid w:val="2B9746F7"/>
    <w:rsid w:val="32FB85F0"/>
    <w:rsid w:val="3DA3EA7B"/>
    <w:rsid w:val="3FEF6032"/>
    <w:rsid w:val="4FFA4F90"/>
    <w:rsid w:val="58C96665"/>
    <w:rsid w:val="797D196B"/>
    <w:rsid w:val="7AEC324E"/>
    <w:rsid w:val="7BFBD66F"/>
    <w:rsid w:val="7F779036"/>
    <w:rsid w:val="7FDDFA19"/>
    <w:rsid w:val="7FEF02BF"/>
    <w:rsid w:val="B2D7D7BA"/>
    <w:rsid w:val="B4BFBB25"/>
    <w:rsid w:val="BCBA65FF"/>
    <w:rsid w:val="BDFBF6AF"/>
    <w:rsid w:val="F793F38D"/>
    <w:rsid w:val="FB7FF8CD"/>
    <w:rsid w:val="FEEDAF86"/>
    <w:rsid w:val="FF992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301</Characters>
  <Lines>0</Lines>
  <Paragraphs>0</Paragraphs>
  <TotalTime>19</TotalTime>
  <ScaleCrop>false</ScaleCrop>
  <LinksUpToDate>false</LinksUpToDate>
  <CharactersWithSpaces>314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2022-11-15T10:01:00Z</dcterms:created>
  <dc:creator>greatwall</dc:creator>
  <cp:lastModifiedBy>greatwall</cp:lastModifiedBy>
  <dcterms:modified xsi:type="dcterms:W3CDTF">2026-04-07T09:14:51Z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CF5933555A7649688948F86271643731_13</vt:lpwstr>
  </property>
</Properties>
</file>