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项目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入选基本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条件及扶持标准</w:t>
      </w:r>
      <w:bookmarkEnd w:id="0"/>
    </w:p>
    <w:tbl>
      <w:tblPr>
        <w:tblStyle w:val="5"/>
        <w:tblpPr w:leftFromText="180" w:rightFromText="180" w:vertAnchor="text" w:horzAnchor="page" w:tblpXSpec="center" w:tblpY="27"/>
        <w:tblOverlap w:val="never"/>
        <w:tblW w:w="13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080"/>
        <w:gridCol w:w="1650"/>
        <w:gridCol w:w="6015"/>
        <w:gridCol w:w="3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</w:rPr>
              <w:t>类别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  <w:lang w:val="en-US" w:eastAsia="zh-CN"/>
              </w:rPr>
              <w:t>数量（个）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</w:rPr>
              <w:t>金额</w:t>
            </w:r>
            <w:r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  <w:lang w:val="en-US" w:eastAsia="zh-CN"/>
              </w:rPr>
              <w:t>万元/个</w:t>
            </w:r>
            <w:r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2"/>
                <w:sz w:val="28"/>
                <w:szCs w:val="28"/>
                <w:lang w:val="en-US" w:eastAsia="zh-CN"/>
              </w:rPr>
              <w:t>入选</w:t>
            </w:r>
            <w:r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  <w:lang w:val="en-US" w:eastAsia="zh-CN"/>
              </w:rPr>
              <w:t>基本条件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</w:rPr>
              <w:t>服务</w:t>
            </w:r>
            <w:r>
              <w:rPr>
                <w:rFonts w:hint="eastAsia" w:ascii="Times New Roman" w:hAnsi="Times New Roman" w:eastAsia="黑体" w:cs="Times New Roman"/>
                <w:spacing w:val="-2"/>
                <w:sz w:val="28"/>
                <w:szCs w:val="28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55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1.管理成熟：组织架构、制度、经费、人员完备，常态化长效化运行，管理有序。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55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2.成效硬核：覆盖广、受益多，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在多个县市区开展活动，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在重点领域作用突出，群众满意度≥95%，解决实际问题成效显著。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55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3.可推可复制：形成成熟可复制的工作模式，可提炼标准经验，具备区域推广价值。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55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4.品牌响亮：形成专属标识，曾获县级及以上表彰或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市级以上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主流媒体多次报道，社会认可度高、引领性强。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1.活动数量：开展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≥8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场活动。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2.参与人数：项目总参与人数≥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600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人次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3.活动宣传：社会面≥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次宣传（含官方媒体、公众号推送、抖音等）。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风采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1.6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55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1.典型突出：团队/骨干事迹突出、精神昂扬，彰显老有所为、乐于奉献特质，感染力与带动性强。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55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2.特色鲜明：主题明确、形式鲜活、接地气，参与度/互动性高，具备展示传播价值。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55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3.反响良好：服务效果直观，获群众广泛好评；具备一定宣传基础，社会知晓度较高。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55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4.运行稳定：有固定队伍、阵地与内容，制度与保障基本完备，持续开展无违规。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1.活动数量：开展≥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场活动。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2.参与人数：项目总参与人数≥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人次。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3.活动宣传：社会面≥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次宣传（含官方媒体、公众号推送、抖音等）。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创新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55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1.理念创新：紧扣老龄工作新要求，在服务、机制、载体等方面有新突破、新做法，理念前瞻、回应新场景。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55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2.试点见效：处于探索阶段，已落地实践且初见成效，能有效解决具体问题，创新价值突出。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55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3.贴合需求：聚焦基层痛点、群众急难，针对性强、接地气，适配基层实际、易落地。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55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4.潜力充足：培育方向清晰，经完善可升级为风采类、示范类项目，具备基础保障条件。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1.活动数量：开展≥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场活动。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2.参与人数：项目总参与人数≥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400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人次。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3.活动宣传：社会面≥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次以上宣传（含官方媒体、公众号推送、抖音等）。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587" w:right="1701" w:bottom="147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31B63"/>
    <w:rsid w:val="1E3D66CA"/>
    <w:rsid w:val="27531B63"/>
    <w:rsid w:val="37D7492C"/>
    <w:rsid w:val="51110512"/>
    <w:rsid w:val="7F77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1"/>
    </w:rPr>
  </w:style>
  <w:style w:type="paragraph" w:styleId="3">
    <w:name w:val="Body Text Indent"/>
    <w:basedOn w:val="1"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21"/>
      <w:szCs w:val="21"/>
    </w:rPr>
  </w:style>
  <w:style w:type="paragraph" w:styleId="4">
    <w:name w:val="Normal Indent"/>
    <w:basedOn w:val="1"/>
    <w:qFormat/>
    <w:uiPriority w:val="0"/>
    <w:pPr>
      <w:widowControl w:val="0"/>
      <w:spacing w:line="600" w:lineRule="exact"/>
      <w:ind w:left="720" w:firstLine="7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2026-04-10T06:19:00Z</dcterms:created>
  <dc:creator>Administrator</dc:creator>
  <cp:lastModifiedBy>Administrator</cp:lastModifiedBy>
  <dcterms:modified xsi:type="dcterms:W3CDTF">2026-04-10T06:21:52Z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AE3FF795F1E3418095525BD2C6958011</vt:lpwstr>
  </property>
</Properties>
</file>