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10" w:tblpY="306"/>
        <w:tblOverlap w:val="never"/>
        <w:tblW w:w="93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3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2022年物流奖励补助资金分配明细表</w:t>
            </w:r>
          </w:p>
        </w:tc>
      </w:tr>
    </w:tbl>
    <w:tbl>
      <w:tblPr>
        <w:tblStyle w:val="4"/>
        <w:tblW w:w="5789" w:type="pct"/>
        <w:tblInd w:w="-5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45"/>
        <w:gridCol w:w="1856"/>
        <w:gridCol w:w="1467"/>
        <w:gridCol w:w="3338"/>
        <w:gridCol w:w="1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683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奖补金额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（一）支持龙头企业培育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支持创建国家A（星）级物流企业。对经中国物流与采购联合会按照国家标准评定为国家5A、4A、3A、2A级物流企业，分别一次性给予全额50万元、20万元、10万元、5万元奖励。对经中国物流与采购联合会按照国家标准评定为国家5星、4星、3星、2星级物流企业，分别一次性给予全额50万元、20万元、10万元、5万元奖励。企业等级提升的，按差额给予奖补。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4A升5A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湖北天元物流发展有限公司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4A（1-29批中未全额奖补）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宜昌远东明亮汽车销售有限公司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3A升4A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国药控股宜昌有限公司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宜都国鑫物流有限公司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宜昌凯祥达物流有限公司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宜昌宜和运输有限责任公司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宜昌金通物流有限公司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宜昌驰安利物流有限公司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宜昌鑫北方运输有限公司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宜昌优拓物流有限公司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国药宜昌医疗器械有限公司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宜昌三志供应链管理有限公司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枝江市百事物流有限公司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宜昌锦程万和物流有限公司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湖北民通物流有限公司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2A升3A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兴山新鑫发物流有限公司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2A升3A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宜昌泽顺物流有限公司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2A升3A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宜昌泰邦物流有限公司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宜昌平胜供应链管理有限公司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宜昌恒达物流有限公司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宜昌老李物流有限公司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宜昌寅虎物流有限公司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宜昌市亿源国油运输有限责任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宜昌富盈通物流有限公司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2A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宜昌城市兄弟物流有限公司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冷链3星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当阳市万里运输有限责任公司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（二）支持物流业态创新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2.符合标准的城乡配送、冷链运输、甩挂运输企业，每家企业一次性给予15万元奖补。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甩挂运输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宜昌鑫运得物流有限公司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3.符合标准的供应链金融企业，每家企业一次性给予15万元奖补。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宜昌白洋港集装箱有限公司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葛洲坝集团物流有限公司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4.物流信息平台或者物流信息系统投入达到200万元及以上，具有相应功能且服务企业数超过20家的主体企业1家，每家企业一次性给予 15 万元奖补。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湖北果趣电子商务有限公司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宜昌江山贝尔公铁物流有限公司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湖北天元物流发展有限公司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（三）建成县乡村农村物流网络体系</w:t>
            </w:r>
          </w:p>
        </w:tc>
        <w:tc>
          <w:tcPr>
            <w:tcW w:w="16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5.建成县乡村三级农村物流网络体系的企业，每个项目一次性给予50万元奖补。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宜昌华维物流有限责任公司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宜昌百誉智慧物流有限公司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宜昌众联云物流有限公司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（四）兑现2021年4季度多式联运补贴资金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6.对以宜昌港为水运节点，开展铁水中转集装箱运输，且季度完成铁水中转集装箱不少于100 标准箱的多式联运经营服务商，2021年第四季度实际完成的载货集装箱箱量，经核算后给予补贴，每标准箱1000元补贴。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星河国际供应链管理（湖北）有限公司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(五）兑现2022年1-3季度多式联运补贴资金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7.以宜昌港为水运节点开展集装箱铁水联运且季度完成量不少于100箱的航运﹑物流企业,根据铁路辐射半径200-500KM、500-1000KM、100OKM 以上三档，每标箱分别予以500、1000、1500元补贴。</w:t>
            </w: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200-500KM</w:t>
            </w:r>
          </w:p>
        </w:tc>
        <w:tc>
          <w:tcPr>
            <w:tcW w:w="1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宜昌港华物流有限公司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500-1000KM</w:t>
            </w:r>
          </w:p>
        </w:tc>
        <w:tc>
          <w:tcPr>
            <w:tcW w:w="1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100OKM 以上</w:t>
            </w:r>
          </w:p>
        </w:tc>
        <w:tc>
          <w:tcPr>
            <w:tcW w:w="1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200-500KM</w:t>
            </w:r>
          </w:p>
        </w:tc>
        <w:tc>
          <w:tcPr>
            <w:tcW w:w="16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星河国际供应链管理（湖北）有限公司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500-1000KM</w:t>
            </w:r>
          </w:p>
        </w:tc>
        <w:tc>
          <w:tcPr>
            <w:tcW w:w="1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100OKM 以上</w:t>
            </w:r>
          </w:p>
        </w:tc>
        <w:tc>
          <w:tcPr>
            <w:tcW w:w="1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(六）兑现2022年1-3季度钟摆航线补贴资金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8.对以宜昌港白洋作业区为节点开行且每往返航次装载量不少于30标箱的钟摆航线，按照运营成本上涨幅度，对至红花套作业区、荆州车阳河作业区按4500元/航次补贴，至姚家港作业区按5000元/航次补贴。</w:t>
            </w: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至红花套作业区</w:t>
            </w:r>
          </w:p>
        </w:tc>
        <w:tc>
          <w:tcPr>
            <w:tcW w:w="169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宜昌港华物流有限公司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荆州车阳河作业区</w:t>
            </w:r>
          </w:p>
        </w:tc>
        <w:tc>
          <w:tcPr>
            <w:tcW w:w="1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至姚家港作业区</w:t>
            </w:r>
          </w:p>
        </w:tc>
        <w:tc>
          <w:tcPr>
            <w:tcW w:w="16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(七）商品车翻坝余额（ 2021年)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9.兑现2021年商品车翻坝补贴余额1561.68万元。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宜昌港务集团有限责任公司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1,561.68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(八）其它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10.根据市政府批示同意，兑现市邮政管理局开展物流招商、智慧物流、宣传、培训等推进物流业发展的相关工作经费30万元。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宜昌市邮政管理局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11.经商请市财政同意，列支《宜荆荆都市圈物流业融合发展三年行动方案》和《宜昌东部未来城现代物流产业发展专项规划》编制经费50万元。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湖北省工程咨询股份有限公司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根据《秭归县外贸企业出口集装箱物流补贴方案》(宜市物流〔2021〕1号)秭归县外贸企业出口集装箱物流补贴共计兑现两年，2021年已对2020年发生箱量予以兑现，2022年对2021年发生箱量由物流奖补资金统筹兑现，对秭归域内的外贸企业出口集装箱按照750元/柜（箱）标准给予物流补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（市县两级各分担50%）</w:t>
            </w:r>
          </w:p>
        </w:tc>
        <w:tc>
          <w:tcPr>
            <w:tcW w:w="1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秭归县屈姑食品有限公司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72.3375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宜昌江景光电有限公司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2,974.18 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41B6C"/>
    <w:rsid w:val="2CF67A89"/>
    <w:rsid w:val="3D703754"/>
    <w:rsid w:val="41F4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准正文"/>
    <w:basedOn w:val="1"/>
    <w:qFormat/>
    <w:uiPriority w:val="0"/>
    <w:pPr>
      <w:snapToGrid w:val="0"/>
      <w:spacing w:line="360" w:lineRule="auto"/>
      <w:ind w:firstLine="600" w:firstLineChars="200"/>
    </w:pPr>
    <w:rPr>
      <w:rFonts w:ascii="Arial" w:hAnsi="Arial" w:cs="Arial"/>
      <w:sz w:val="24"/>
      <w:szCs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more"/>
    <w:basedOn w:val="5"/>
    <w:uiPriority w:val="0"/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2022-11-08T09:15:00Z</dcterms:created>
  <dc:creator>1384773555</dc:creator>
  <cp:lastModifiedBy>NTKO</cp:lastModifiedBy>
  <dcterms:modified xsi:type="dcterms:W3CDTF">2026-04-10T01:40:48Z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71B082C644DB4D3D842EABFFE9A4FB69</vt:lpwstr>
  </property>
</Properties>
</file>