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51992">
      <w:pPr>
        <w:jc w:val="center"/>
        <w:rPr>
          <w:rFonts w:hint="eastAsia"/>
          <w:b/>
          <w:bCs/>
          <w:sz w:val="28"/>
          <w:szCs w:val="36"/>
        </w:rPr>
      </w:pPr>
      <w:bookmarkStart w:id="146" w:name="_GoBack"/>
      <w:r>
        <w:rPr>
          <w:rFonts w:hint="eastAsia"/>
          <w:b/>
          <w:bCs/>
          <w:sz w:val="28"/>
          <w:szCs w:val="36"/>
        </w:rPr>
        <w:fldChar w:fldCharType="begin"/>
      </w:r>
      <w:r>
        <w:rPr>
          <w:rFonts w:hint="eastAsia"/>
          <w:b/>
          <w:bCs/>
          <w:sz w:val="28"/>
          <w:szCs w:val="36"/>
        </w:rPr>
        <w:instrText xml:space="preserve"> HYPERLINK "http://img.yichang.gov.cn/upload2022/2026/0305/20260305105950706.docx" </w:instrText>
      </w:r>
      <w:r>
        <w:rPr>
          <w:rFonts w:hint="eastAsia"/>
          <w:b/>
          <w:bCs/>
          <w:sz w:val="28"/>
          <w:szCs w:val="36"/>
        </w:rPr>
        <w:fldChar w:fldCharType="separate"/>
      </w:r>
      <w:r>
        <w:rPr>
          <w:rFonts w:hint="eastAsia"/>
          <w:b/>
          <w:bCs/>
          <w:sz w:val="28"/>
          <w:szCs w:val="36"/>
        </w:rPr>
        <w:t>2026年1月空气环境质量月报</w:t>
      </w:r>
      <w:r>
        <w:rPr>
          <w:rFonts w:hint="eastAsia"/>
          <w:b/>
          <w:bCs/>
          <w:sz w:val="28"/>
          <w:szCs w:val="36"/>
        </w:rPr>
        <w:fldChar w:fldCharType="end"/>
      </w:r>
    </w:p>
    <w:bookmarkEnd w:id="146"/>
    <w:p w14:paraId="4A9F5C51">
      <w:pPr>
        <w:jc w:val="center"/>
        <w:rPr>
          <w:rFonts w:hint="eastAsia"/>
          <w:b/>
          <w:bCs/>
          <w:sz w:val="28"/>
          <w:szCs w:val="36"/>
        </w:rPr>
      </w:pPr>
    </w:p>
    <w:p w14:paraId="6706AA8B"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0" w:name="_Toc38031388"/>
      <w:bookmarkStart w:id="1" w:name="_Toc18930274"/>
      <w:bookmarkStart w:id="2" w:name="_Toc24027375"/>
      <w:bookmarkStart w:id="3" w:name="_Toc40261093"/>
      <w:bookmarkStart w:id="4" w:name="_Toc43888017"/>
      <w:bookmarkStart w:id="5" w:name="_Toc11071110"/>
      <w:bookmarkStart w:id="6" w:name="_Toc45890225"/>
      <w:bookmarkStart w:id="7" w:name="_Toc221545419"/>
      <w:bookmarkStart w:id="8" w:name="_Toc60988596"/>
      <w:bookmarkStart w:id="9" w:name="_Toc43889217"/>
      <w:bookmarkStart w:id="10" w:name="_Toc56083025"/>
      <w:bookmarkStart w:id="11" w:name="_Toc19527520"/>
      <w:bookmarkStart w:id="12" w:name="_Toc16256717"/>
      <w:bookmarkStart w:id="13" w:name="_Toc44657748"/>
      <w:bookmarkStart w:id="14" w:name="_Toc29461471"/>
      <w:bookmarkStart w:id="15" w:name="_Toc27143822"/>
      <w:bookmarkStart w:id="16" w:name="_Toc27143804"/>
      <w:bookmarkStart w:id="17" w:name="_Toc44514959"/>
      <w:bookmarkStart w:id="18" w:name="_Toc26883113"/>
      <w:bookmarkStart w:id="19" w:name="_Toc21530174"/>
      <w:bookmarkStart w:id="20" w:name="_Toc45894147"/>
      <w:bookmarkStart w:id="21" w:name="_Toc50974827"/>
      <w:bookmarkStart w:id="22" w:name="_Toc53476338"/>
      <w:bookmarkStart w:id="23" w:name="_Toc45287596"/>
      <w:bookmarkStart w:id="24" w:name="_Toc13669061"/>
      <w:bookmarkStart w:id="25" w:name="_Toc48654552"/>
      <w:bookmarkStart w:id="26" w:name="_Toc18930299"/>
      <w:bookmarkStart w:id="27" w:name="_Toc27143887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28" w:name="bookmark5"/>
      <w:bookmarkEnd w:id="28"/>
      <w:r>
        <w:rPr>
          <w:rFonts w:ascii="黑体" w:hAnsi="黑体" w:eastAsia="黑体" w:cs="黑体"/>
          <w:sz w:val="32"/>
          <w:szCs w:val="32"/>
        </w:rPr>
        <w:t>1月</w:t>
      </w:r>
      <w:r>
        <w:rPr>
          <w:rFonts w:hint="eastAsia" w:ascii="黑体" w:hAnsi="黑体" w:eastAsia="黑体" w:cs="黑体"/>
          <w:sz w:val="32"/>
          <w:szCs w:val="32"/>
        </w:rPr>
        <w:t>环境空气质量概况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5C991FB">
      <w:pPr>
        <w:spacing w:line="540" w:lineRule="exact"/>
        <w:ind w:right="54" w:rightChars="2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个，分布在中心城区，省控点1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个，分布在各县市。</w:t>
      </w:r>
      <w:bookmarkStart w:id="29" w:name="bookmark6"/>
      <w:bookmarkEnd w:id="29"/>
      <w:r>
        <w:rPr>
          <w:rFonts w:ascii="仿宋_GB2312" w:eastAsia="仿宋_GB2312"/>
          <w:sz w:val="32"/>
          <w:szCs w:val="32"/>
        </w:rPr>
        <w:t>2026年</w:t>
      </w:r>
      <w:bookmarkStart w:id="30" w:name="bookmark7"/>
      <w:bookmarkEnd w:id="30"/>
      <w:r>
        <w:rPr>
          <w:rFonts w:ascii="仿宋_GB2312" w:eastAsia="仿宋_GB2312"/>
          <w:sz w:val="32"/>
          <w:szCs w:val="32"/>
        </w:rPr>
        <w:t>1月</w:t>
      </w:r>
      <w:r>
        <w:rPr>
          <w:rFonts w:hint="eastAsia" w:ascii="仿宋_GB2312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 w14:paraId="20F20AD9"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55880</wp:posOffset>
            </wp:positionV>
            <wp:extent cx="2519680" cy="1835785"/>
            <wp:effectExtent l="0" t="0" r="13970" b="12065"/>
            <wp:wrapSquare wrapText="bothSides"/>
            <wp:docPr id="9998037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803710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全市14个县市区优良天数比例均值为</w:t>
      </w:r>
      <w:bookmarkStart w:id="31" w:name="bookmark8"/>
      <w:bookmarkEnd w:id="31"/>
      <w:r>
        <w:rPr>
          <w:rFonts w:hint="eastAsia" w:ascii="仿宋_GB2312" w:eastAsia="仿宋_GB2312"/>
          <w:sz w:val="32"/>
          <w:szCs w:val="32"/>
        </w:rPr>
        <w:t>73.0%，较上年同期</w:t>
      </w:r>
      <w:bookmarkStart w:id="32" w:name="bookmark9"/>
      <w:bookmarkEnd w:id="32"/>
      <w:r>
        <w:rPr>
          <w:rFonts w:hint="eastAsia" w:ascii="仿宋_GB2312" w:eastAsia="仿宋_GB2312"/>
          <w:sz w:val="32"/>
          <w:szCs w:val="32"/>
        </w:rPr>
        <w:t>上升22.2个百分点，14个县市区空气质量优良天数比例在</w:t>
      </w:r>
      <w:bookmarkStart w:id="33" w:name="bookmark10"/>
      <w:bookmarkEnd w:id="33"/>
      <w:r>
        <w:rPr>
          <w:rFonts w:hint="eastAsia" w:ascii="仿宋_GB2312" w:eastAsia="仿宋_GB2312"/>
          <w:sz w:val="32"/>
          <w:szCs w:val="32"/>
        </w:rPr>
        <w:t>53.3%至</w:t>
      </w:r>
      <w:bookmarkStart w:id="34" w:name="bookmark11"/>
      <w:bookmarkEnd w:id="34"/>
      <w:r>
        <w:rPr>
          <w:rFonts w:hint="eastAsia" w:ascii="仿宋_GB2312" w:eastAsia="仿宋_GB2312"/>
          <w:sz w:val="32"/>
          <w:szCs w:val="32"/>
        </w:rPr>
        <w:t>96.8%之间。</w:t>
      </w:r>
    </w:p>
    <w:p w14:paraId="0096F74F"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249555</wp:posOffset>
            </wp:positionV>
            <wp:extent cx="2519045" cy="1850390"/>
            <wp:effectExtent l="0" t="0" r="14605" b="16510"/>
            <wp:wrapSquare wrapText="bothSides"/>
            <wp:docPr id="1807165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6501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国家考核区域的空气质量优良天数为</w:t>
      </w:r>
      <w:bookmarkStart w:id="35" w:name="bookmark12"/>
      <w:bookmarkEnd w:id="35"/>
      <w:r>
        <w:rPr>
          <w:rFonts w:hint="eastAsia" w:ascii="仿宋_GB2312" w:eastAsia="仿宋_GB2312"/>
          <w:sz w:val="32"/>
          <w:szCs w:val="32"/>
        </w:rPr>
        <w:t>19天，优良天数比例为</w:t>
      </w:r>
      <w:bookmarkStart w:id="36" w:name="bookmark13"/>
      <w:bookmarkEnd w:id="36"/>
      <w:r>
        <w:rPr>
          <w:rFonts w:hint="eastAsia" w:ascii="仿宋_GB2312" w:eastAsia="仿宋_GB2312"/>
          <w:sz w:val="32"/>
          <w:szCs w:val="32"/>
        </w:rPr>
        <w:t>61.3%，较上年同期</w:t>
      </w:r>
      <w:bookmarkStart w:id="37" w:name="bookmark14"/>
      <w:bookmarkEnd w:id="37"/>
      <w:r>
        <w:rPr>
          <w:rFonts w:hint="eastAsia" w:ascii="仿宋_GB2312" w:eastAsia="仿宋_GB2312"/>
          <w:sz w:val="32"/>
          <w:szCs w:val="32"/>
        </w:rPr>
        <w:t>上升19.4个百分点。详见附表1。</w:t>
      </w:r>
    </w:p>
    <w:p w14:paraId="3A9A4853"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3050540</wp:posOffset>
            </wp:positionH>
            <wp:positionV relativeFrom="paragraph">
              <wp:posOffset>794385</wp:posOffset>
            </wp:positionV>
            <wp:extent cx="2519680" cy="1845310"/>
            <wp:effectExtent l="0" t="0" r="13970" b="2540"/>
            <wp:wrapSquare wrapText="bothSides"/>
            <wp:docPr id="13353209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20946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按照城市环境空气质量综合指数评价，1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个县市区空气质量监测结果相对较好的县市区是：</w:t>
      </w:r>
      <w:bookmarkStart w:id="38" w:name="bookmark15"/>
      <w:bookmarkEnd w:id="38"/>
      <w:r>
        <w:rPr>
          <w:rFonts w:hint="eastAsia" w:ascii="仿宋_GB2312" w:eastAsia="仿宋_GB2312"/>
          <w:sz w:val="32"/>
          <w:szCs w:val="32"/>
        </w:rPr>
        <w:t>兴山县、</w:t>
      </w:r>
      <w:bookmarkStart w:id="39" w:name="bookmark16"/>
      <w:bookmarkEnd w:id="39"/>
      <w:r>
        <w:rPr>
          <w:rFonts w:hint="eastAsia" w:ascii="仿宋_GB2312" w:eastAsia="仿宋_GB2312"/>
          <w:sz w:val="32"/>
          <w:szCs w:val="32"/>
        </w:rPr>
        <w:t>五峰县和</w:t>
      </w:r>
      <w:bookmarkStart w:id="40" w:name="bookmark17"/>
      <w:bookmarkEnd w:id="40"/>
      <w:r>
        <w:rPr>
          <w:rFonts w:hint="eastAsia" w:ascii="仿宋_GB2312" w:eastAsia="仿宋_GB2312"/>
          <w:sz w:val="32"/>
          <w:szCs w:val="32"/>
        </w:rPr>
        <w:t>远安县；相对较差的县市区是：</w:t>
      </w:r>
      <w:bookmarkStart w:id="41" w:name="bookmark18"/>
      <w:bookmarkEnd w:id="41"/>
      <w:r>
        <w:rPr>
          <w:rFonts w:hint="eastAsia" w:ascii="仿宋_GB2312" w:eastAsia="仿宋_GB2312"/>
          <w:sz w:val="32"/>
          <w:szCs w:val="32"/>
        </w:rPr>
        <w:t>伍家岗区、</w:t>
      </w:r>
      <w:bookmarkStart w:id="42" w:name="bookmark19"/>
      <w:bookmarkEnd w:id="42"/>
      <w:r>
        <w:rPr>
          <w:rFonts w:hint="eastAsia" w:ascii="仿宋_GB2312" w:eastAsia="仿宋_GB2312"/>
          <w:sz w:val="32"/>
          <w:szCs w:val="32"/>
        </w:rPr>
        <w:t>夷陵区和</w:t>
      </w:r>
      <w:bookmarkStart w:id="43" w:name="bookmark20"/>
      <w:bookmarkEnd w:id="43"/>
      <w:r>
        <w:rPr>
          <w:rFonts w:hint="eastAsia" w:ascii="仿宋_GB2312" w:eastAsia="仿宋_GB2312"/>
          <w:sz w:val="32"/>
          <w:szCs w:val="32"/>
        </w:rPr>
        <w:t>宜昌高新区。详见附表2。</w:t>
      </w:r>
    </w:p>
    <w:p w14:paraId="4BD55B97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全市14个县市区，</w:t>
      </w:r>
      <w:bookmarkStart w:id="44" w:name="bookmark21"/>
      <w:bookmarkEnd w:id="44"/>
      <w:r>
        <w:rPr>
          <w:rFonts w:hint="eastAsia" w:ascii="仿宋_GB2312" w:eastAsia="仿宋_GB2312" w:cs="仿宋_GB2312"/>
          <w:sz w:val="32"/>
          <w:szCs w:val="32"/>
        </w:rPr>
        <w:t>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月浓度各县市区均超过年均二级标准限值；PM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月浓度除五峰县和兴山县外其他县市区均超过年均二级标准限值；其它基本项目浓度均达到国家二级浓度限值。宜昌市各县市区基本项目浓度详见附表3。</w:t>
      </w:r>
    </w:p>
    <w:p w14:paraId="53278114"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45" w:name="_Toc11071111"/>
      <w:bookmarkStart w:id="46" w:name="_Toc13669062"/>
      <w:bookmarkStart w:id="47" w:name="_Toc16256718"/>
      <w:bookmarkStart w:id="48" w:name="_Toc18930275"/>
      <w:bookmarkStart w:id="49" w:name="_Toc18930300"/>
      <w:bookmarkStart w:id="50" w:name="_Toc19527521"/>
      <w:bookmarkStart w:id="51" w:name="_Toc21530175"/>
      <w:bookmarkStart w:id="52" w:name="_Toc24027376"/>
      <w:bookmarkStart w:id="53" w:name="_Toc26883114"/>
      <w:bookmarkStart w:id="54" w:name="_Toc27143805"/>
      <w:bookmarkStart w:id="55" w:name="_Toc27143823"/>
      <w:bookmarkStart w:id="56" w:name="_Toc27143888"/>
      <w:bookmarkStart w:id="57" w:name="_Toc29461472"/>
      <w:bookmarkStart w:id="58" w:name="_Toc38031389"/>
      <w:bookmarkStart w:id="59" w:name="_Toc40261094"/>
      <w:bookmarkStart w:id="60" w:name="_Toc43888018"/>
      <w:bookmarkStart w:id="61" w:name="_Toc43889218"/>
      <w:bookmarkStart w:id="62" w:name="_Toc44514960"/>
      <w:bookmarkStart w:id="63" w:name="_Toc44657749"/>
      <w:bookmarkStart w:id="64" w:name="_Toc45287597"/>
      <w:bookmarkStart w:id="65" w:name="_Toc45890226"/>
      <w:bookmarkStart w:id="66" w:name="_Toc45894148"/>
      <w:bookmarkStart w:id="67" w:name="_Toc48654553"/>
      <w:bookmarkStart w:id="68" w:name="_Toc50974828"/>
      <w:bookmarkStart w:id="69" w:name="_Toc53476339"/>
      <w:bookmarkStart w:id="70" w:name="_Toc56083026"/>
      <w:bookmarkStart w:id="71" w:name="_Toc60988597"/>
      <w:bookmarkStart w:id="72" w:name="_Toc221545420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Start w:id="73" w:name="bookmark30"/>
      <w:bookmarkEnd w:id="73"/>
      <w:bookmarkStart w:id="74" w:name="bookmark31"/>
      <w:bookmarkEnd w:id="74"/>
      <w:r>
        <w:rPr>
          <w:rFonts w:hint="eastAsia" w:ascii="黑体" w:hAnsi="黑体" w:eastAsia="黑体" w:cs="黑体"/>
          <w:sz w:val="32"/>
          <w:szCs w:val="32"/>
        </w:rPr>
        <w:t>累计环境空气质量概况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2D8FB236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75" w:name="bookmark32"/>
      <w:bookmarkEnd w:id="75"/>
      <w:bookmarkStart w:id="76" w:name="_Toc27143824"/>
      <w:bookmarkStart w:id="77" w:name="_Toc27143806"/>
      <w:r>
        <w:rPr>
          <w:rFonts w:hint="eastAsia" w:ascii="仿宋_GB2312" w:eastAsia="仿宋_GB2312" w:cs="仿宋_GB2312"/>
          <w:sz w:val="32"/>
          <w:szCs w:val="32"/>
        </w:rPr>
        <w:t>国家考核区域的空气质量优良天数为</w:t>
      </w:r>
      <w:bookmarkStart w:id="78" w:name="bookmark33"/>
      <w:bookmarkEnd w:id="78"/>
      <w:r>
        <w:rPr>
          <w:rFonts w:hint="eastAsia" w:ascii="仿宋_GB2312" w:eastAsia="仿宋_GB2312" w:cs="仿宋_GB2312"/>
          <w:sz w:val="32"/>
          <w:szCs w:val="32"/>
        </w:rPr>
        <w:t>19天，优良天数比例为</w:t>
      </w:r>
      <w:bookmarkStart w:id="79" w:name="bookmark34"/>
      <w:bookmarkEnd w:id="79"/>
      <w:r>
        <w:rPr>
          <w:rFonts w:hint="eastAsia" w:ascii="仿宋_GB2312" w:eastAsia="仿宋_GB2312" w:cs="仿宋_GB2312"/>
          <w:sz w:val="32"/>
          <w:szCs w:val="32"/>
        </w:rPr>
        <w:t>61.3%，较上年同期</w:t>
      </w:r>
      <w:bookmarkStart w:id="80" w:name="bookmark35"/>
      <w:bookmarkEnd w:id="80"/>
      <w:r>
        <w:rPr>
          <w:rFonts w:hint="eastAsia" w:ascii="仿宋_GB2312" w:eastAsia="仿宋_GB2312" w:cs="仿宋_GB2312"/>
          <w:sz w:val="32"/>
          <w:szCs w:val="32"/>
        </w:rPr>
        <w:t>上升19.4个百分点。详见附表1。</w:t>
      </w:r>
      <w:bookmarkEnd w:id="76"/>
      <w:bookmarkEnd w:id="77"/>
    </w:p>
    <w:p w14:paraId="7CB48234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81" w:name="bookmark36"/>
      <w:bookmarkEnd w:id="81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82" w:name="bookmark37"/>
      <w:bookmarkEnd w:id="82"/>
      <w:r>
        <w:rPr>
          <w:rFonts w:hint="eastAsia" w:ascii="仿宋_GB2312" w:eastAsia="仿宋_GB2312" w:cs="仿宋_GB2312"/>
          <w:sz w:val="32"/>
          <w:szCs w:val="32"/>
        </w:rPr>
        <w:t>91μg/m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83" w:name="bookmark38"/>
      <w:bookmarkEnd w:id="83"/>
      <w:r>
        <w:rPr>
          <w:rFonts w:hint="eastAsia" w:ascii="仿宋_GB2312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eastAsia="仿宋_GB2312"/>
          <w:color w:val="000000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color w:val="000000"/>
          <w:sz w:val="32"/>
          <w:szCs w:val="32"/>
        </w:rPr>
        <w:t>为70μg/m</w:t>
      </w:r>
      <w:r>
        <w:rPr>
          <w:rFonts w:hint="eastAsia" w:ascii="仿宋_GB2312" w:eastAsia="仿宋_GB2312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84" w:name="bookmark80"/>
      <w:bookmarkEnd w:id="84"/>
      <w:r>
        <w:rPr>
          <w:rFonts w:hint="eastAsia" w:ascii="仿宋_GB2312" w:eastAsia="仿宋_GB2312" w:cs="仿宋_GB2312"/>
          <w:sz w:val="32"/>
          <w:szCs w:val="32"/>
        </w:rPr>
        <w:t>超标倍数为0.3，与</w:t>
      </w:r>
      <w:bookmarkStart w:id="85" w:name="bookmark39"/>
      <w:bookmarkEnd w:id="85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86" w:name="bookmark40"/>
      <w:bookmarkEnd w:id="86"/>
      <w:r>
        <w:rPr>
          <w:rFonts w:hint="eastAsia" w:ascii="仿宋_GB2312" w:eastAsia="仿宋_GB2312" w:cs="仿宋_GB2312"/>
          <w:sz w:val="32"/>
          <w:szCs w:val="32"/>
        </w:rPr>
        <w:t>116μg/m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87" w:name="bookmark41"/>
      <w:bookmarkEnd w:id="87"/>
      <w:r>
        <w:rPr>
          <w:rFonts w:hint="eastAsia" w:ascii="仿宋_GB2312" w:eastAsia="仿宋_GB2312" w:cs="仿宋_GB2312"/>
          <w:sz w:val="32"/>
          <w:szCs w:val="32"/>
        </w:rPr>
        <w:t>下降21.6%。详见附表4。</w:t>
      </w:r>
    </w:p>
    <w:p w14:paraId="33F3F4C2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88" w:name="bookmark42"/>
      <w:bookmarkEnd w:id="88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89" w:name="bookmark43"/>
      <w:bookmarkEnd w:id="89"/>
      <w:r>
        <w:rPr>
          <w:rFonts w:hint="eastAsia" w:ascii="仿宋_GB2312" w:eastAsia="仿宋_GB2312" w:cs="仿宋_GB2312"/>
          <w:sz w:val="32"/>
          <w:szCs w:val="32"/>
        </w:rPr>
        <w:t>69μg/m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90" w:name="bookmark44"/>
      <w:bookmarkEnd w:id="90"/>
      <w:r>
        <w:rPr>
          <w:rFonts w:hint="eastAsia" w:ascii="仿宋_GB2312" w:eastAsia="仿宋_GB2312" w:cs="仿宋_GB2312"/>
          <w:sz w:val="32"/>
          <w:szCs w:val="32"/>
        </w:rPr>
        <w:t>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为3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91" w:name="bookmark45"/>
      <w:bookmarkEnd w:id="91"/>
      <w:r>
        <w:rPr>
          <w:rFonts w:hint="eastAsia" w:ascii="仿宋_GB2312" w:eastAsia="仿宋_GB2312" w:cs="仿宋_GB2312"/>
          <w:sz w:val="32"/>
          <w:szCs w:val="32"/>
        </w:rPr>
        <w:t>超标倍数为0.97，与</w:t>
      </w:r>
      <w:bookmarkStart w:id="92" w:name="bookmark46"/>
      <w:bookmarkEnd w:id="92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93" w:name="bookmark47"/>
      <w:bookmarkEnd w:id="93"/>
      <w:r>
        <w:rPr>
          <w:rFonts w:hint="eastAsia" w:ascii="仿宋_GB2312" w:eastAsia="仿宋_GB2312" w:cs="仿宋_GB2312"/>
          <w:sz w:val="32"/>
          <w:szCs w:val="32"/>
        </w:rPr>
        <w:t>88μg/m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94" w:name="bookmark48"/>
      <w:bookmarkEnd w:id="94"/>
      <w:r>
        <w:rPr>
          <w:rFonts w:hint="eastAsia" w:ascii="仿宋_GB2312" w:eastAsia="仿宋_GB2312" w:cs="仿宋_GB2312"/>
          <w:sz w:val="32"/>
          <w:szCs w:val="32"/>
        </w:rPr>
        <w:t>下降21.6%。详见附表5。</w:t>
      </w:r>
    </w:p>
    <w:p w14:paraId="310197A9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95" w:name="bookmark49"/>
      <w:bookmarkEnd w:id="95"/>
      <w:r>
        <w:rPr>
          <w:rFonts w:hint="eastAsia" w:ascii="仿宋_GB2312" w:eastAsia="仿宋_GB2312" w:cs="仿宋_GB2312"/>
          <w:sz w:val="32"/>
          <w:szCs w:val="32"/>
        </w:rPr>
        <w:t>国家考核区域O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日最大8小时平均第90百分位数为</w:t>
      </w:r>
      <w:bookmarkStart w:id="96" w:name="bookmark50"/>
      <w:bookmarkEnd w:id="96"/>
      <w:r>
        <w:rPr>
          <w:rFonts w:hint="eastAsia" w:ascii="仿宋_GB2312" w:eastAsia="仿宋_GB2312" w:cs="仿宋_GB2312"/>
          <w:sz w:val="32"/>
          <w:szCs w:val="32"/>
        </w:rPr>
        <w:t>88μg/m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97" w:name="bookmark51"/>
      <w:bookmarkEnd w:id="97"/>
      <w:r>
        <w:rPr>
          <w:rFonts w:hint="eastAsia" w:ascii="仿宋_GB2312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eastAsia="仿宋_GB2312"/>
          <w:color w:val="000000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color w:val="000000"/>
          <w:sz w:val="32"/>
          <w:szCs w:val="32"/>
        </w:rPr>
        <w:t>为160μg/m</w:t>
      </w:r>
      <w:r>
        <w:rPr>
          <w:rFonts w:hint="eastAsia" w:ascii="仿宋_GB2312" w:eastAsia="仿宋_GB2312"/>
          <w:color w:val="000000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98" w:name="bookmark81"/>
      <w:bookmarkEnd w:id="98"/>
      <w:r>
        <w:rPr>
          <w:rFonts w:hint="eastAsia" w:ascii="仿宋_GB2312" w:eastAsia="仿宋_GB2312" w:cs="仿宋_GB2312"/>
          <w:sz w:val="32"/>
          <w:szCs w:val="32"/>
        </w:rPr>
        <w:t>与</w:t>
      </w:r>
      <w:bookmarkStart w:id="99" w:name="bookmark52"/>
      <w:bookmarkEnd w:id="99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00" w:name="bookmark53"/>
      <w:bookmarkEnd w:id="100"/>
      <w:r>
        <w:rPr>
          <w:rFonts w:hint="eastAsia" w:ascii="仿宋_GB2312" w:eastAsia="仿宋_GB2312" w:cs="仿宋_GB2312"/>
          <w:sz w:val="32"/>
          <w:szCs w:val="32"/>
        </w:rPr>
        <w:t>112μg/m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01" w:name="bookmark54"/>
      <w:bookmarkEnd w:id="101"/>
      <w:r>
        <w:rPr>
          <w:rFonts w:hint="eastAsia" w:ascii="仿宋_GB2312" w:eastAsia="仿宋_GB2312" w:cs="仿宋_GB2312"/>
          <w:sz w:val="32"/>
          <w:szCs w:val="32"/>
        </w:rPr>
        <w:t>下降21.4%。详见附表6。</w:t>
      </w:r>
    </w:p>
    <w:p w14:paraId="2523F86D">
      <w:pPr>
        <w:spacing w:line="540" w:lineRule="exact"/>
        <w:ind w:firstLine="420" w:firstLineChars="200"/>
        <w:rPr>
          <w:rFonts w:ascii="仿宋_GB2312" w:eastAsia="仿宋_GB2312" w:cs="仿宋_GB2312"/>
          <w:sz w:val="32"/>
          <w:szCs w:val="32"/>
        </w:rPr>
      </w:pPr>
      <w:bookmarkStart w:id="102" w:name="bookmark55"/>
      <w:bookmarkEnd w:id="102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1273175</wp:posOffset>
            </wp:positionH>
            <wp:positionV relativeFrom="paragraph">
              <wp:posOffset>728980</wp:posOffset>
            </wp:positionV>
            <wp:extent cx="3232785" cy="1927225"/>
            <wp:effectExtent l="0" t="0" r="5715" b="15875"/>
            <wp:wrapSquare wrapText="bothSides"/>
            <wp:docPr id="6475931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93136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cs="仿宋_GB2312"/>
          <w:sz w:val="32"/>
          <w:szCs w:val="32"/>
        </w:rPr>
        <w:t>全市各县市区</w:t>
      </w:r>
      <w:r>
        <w:rPr>
          <w:rFonts w:hint="eastAsia" w:ascii="仿宋_GB2312" w:eastAsia="仿宋_GB2312" w:cs="仿宋_GB2312"/>
          <w:sz w:val="32"/>
          <w:szCs w:val="32"/>
        </w:rPr>
        <w:t>空气质量</w:t>
      </w:r>
      <w:r>
        <w:rPr>
          <w:rFonts w:ascii="仿宋_GB2312" w:eastAsia="仿宋_GB2312" w:cs="仿宋_GB2312"/>
          <w:sz w:val="32"/>
          <w:szCs w:val="32"/>
        </w:rPr>
        <w:t>情况见附表1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ascii="仿宋_GB2312" w:eastAsia="仿宋_GB2312" w:cs="仿宋_GB2312"/>
          <w:sz w:val="32"/>
          <w:szCs w:val="32"/>
        </w:rPr>
        <w:t>全市各县市区浓度情况见附表4-6。</w:t>
      </w:r>
    </w:p>
    <w:p w14:paraId="6FFE32C1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  <w:bookmarkStart w:id="103" w:name="_Toc492622170"/>
    </w:p>
    <w:bookmarkEnd w:id="103"/>
    <w:p w14:paraId="6A3147BE">
      <w:pPr>
        <w:spacing w:line="5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04" w:name="_Toc48654559"/>
      <w:bookmarkStart w:id="105" w:name="_Toc45890232"/>
      <w:bookmarkStart w:id="106" w:name="_Toc21530180"/>
      <w:bookmarkStart w:id="107" w:name="_Toc56083032"/>
      <w:bookmarkStart w:id="108" w:name="_Toc24027381"/>
      <w:bookmarkStart w:id="109" w:name="_Toc27143893"/>
      <w:bookmarkStart w:id="110" w:name="_Toc13669071"/>
      <w:bookmarkStart w:id="111" w:name="_Toc40261100"/>
      <w:bookmarkStart w:id="112" w:name="_Toc19527526"/>
      <w:bookmarkStart w:id="113" w:name="_Toc18930284"/>
      <w:bookmarkStart w:id="114" w:name="_Toc44657755"/>
      <w:bookmarkStart w:id="115" w:name="_Toc45287603"/>
      <w:bookmarkStart w:id="116" w:name="_Toc53476345"/>
      <w:bookmarkStart w:id="117" w:name="_Toc221545425"/>
      <w:bookmarkStart w:id="118" w:name="_Toc11071119"/>
      <w:bookmarkStart w:id="119" w:name="_Toc50974834"/>
      <w:bookmarkStart w:id="120" w:name="_Toc29461477"/>
      <w:bookmarkStart w:id="121" w:name="_Toc16256727"/>
      <w:bookmarkStart w:id="122" w:name="_Toc44514966"/>
      <w:bookmarkStart w:id="123" w:name="_Toc27143811"/>
      <w:bookmarkStart w:id="124" w:name="_Toc43889224"/>
      <w:bookmarkStart w:id="125" w:name="_Toc38031395"/>
      <w:bookmarkStart w:id="126" w:name="_Toc497806304"/>
      <w:bookmarkStart w:id="127" w:name="_Toc27143829"/>
      <w:bookmarkStart w:id="128" w:name="_Toc18930309"/>
      <w:bookmarkStart w:id="129" w:name="_Toc487200541"/>
      <w:bookmarkStart w:id="130" w:name="_Toc26883119"/>
      <w:bookmarkStart w:id="131" w:name="_Toc45894154"/>
      <w:bookmarkStart w:id="132" w:name="_Toc60988603"/>
      <w:bookmarkStart w:id="133" w:name="_Toc43888024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7F9A328A">
      <w:pPr>
        <w:spacing w:line="56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134" w:name="bookmark56"/>
      <w:bookmarkEnd w:id="134"/>
      <w:r>
        <w:rPr>
          <w:rFonts w:ascii="黑体" w:hAnsi="黑体" w:eastAsia="黑体" w:cs="黑体"/>
          <w:w w:val="99"/>
          <w:sz w:val="32"/>
          <w:szCs w:val="32"/>
        </w:rPr>
        <w:t>2026年</w:t>
      </w:r>
      <w:bookmarkStart w:id="135" w:name="bookmark57"/>
      <w:bookmarkEnd w:id="135"/>
      <w:r>
        <w:rPr>
          <w:rFonts w:ascii="黑体" w:hAnsi="黑体" w:eastAsia="黑体" w:cs="黑体"/>
          <w:w w:val="99"/>
          <w:sz w:val="32"/>
          <w:szCs w:val="32"/>
        </w:rPr>
        <w:t>1月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空气质量优良天数比例情况表 </w:t>
      </w:r>
    </w:p>
    <w:p w14:paraId="41145CE6">
      <w:pPr>
        <w:spacing w:line="56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</w:p>
    <w:tbl>
      <w:tblPr>
        <w:tblStyle w:val="3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049"/>
        <w:gridCol w:w="585"/>
        <w:gridCol w:w="585"/>
        <w:gridCol w:w="585"/>
        <w:gridCol w:w="585"/>
        <w:gridCol w:w="585"/>
        <w:gridCol w:w="588"/>
        <w:gridCol w:w="878"/>
        <w:gridCol w:w="1171"/>
      </w:tblGrid>
      <w:tr w14:paraId="42F7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196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91D543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1月优良天数比例</w:t>
            </w:r>
          </w:p>
        </w:tc>
      </w:tr>
      <w:tr w14:paraId="4DAB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FA0C0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6A930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55C32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EC820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5044ED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EA6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12C6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 w14:paraId="775CFFCE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E85C9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 w14:paraId="1EEF44EA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9721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 w14:paraId="4239A9D3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934DF84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 w:cs="黑体"/>
                <w:szCs w:val="21"/>
              </w:rPr>
              <w:t>年同期增幅(%)</w:t>
            </w:r>
          </w:p>
        </w:tc>
      </w:tr>
      <w:tr w14:paraId="1C3E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F95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C8E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3CEC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0EB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50EE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92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832F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64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57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96.8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B16164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16.2</w:t>
            </w:r>
          </w:p>
        </w:tc>
      </w:tr>
      <w:tr w14:paraId="7E53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E0A6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F47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26E8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7BA1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9A9E3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E6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1E5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5C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2D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96.8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1DE4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9.7</w:t>
            </w:r>
          </w:p>
        </w:tc>
      </w:tr>
      <w:tr w14:paraId="4738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9E4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1B35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F9DA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3CC4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5545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D4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8A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CA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EC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AF09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30.2</w:t>
            </w:r>
          </w:p>
        </w:tc>
      </w:tr>
      <w:tr w14:paraId="0412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564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6F8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3B1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6A2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2D6C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15C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ED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CEC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BD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87.1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798CD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45.2</w:t>
            </w:r>
          </w:p>
        </w:tc>
      </w:tr>
      <w:tr w14:paraId="034A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EB7B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9B5D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71CA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0C9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242A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414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832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761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158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80.0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675B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31.6</w:t>
            </w:r>
          </w:p>
        </w:tc>
      </w:tr>
      <w:tr w14:paraId="23BA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9053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DCC1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ED0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F06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44A49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FE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902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92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397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77.4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D00B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12.9</w:t>
            </w:r>
          </w:p>
        </w:tc>
      </w:tr>
      <w:tr w14:paraId="776A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9F4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53B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B56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4043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5A84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3B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7D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E9A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C77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71.0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B82C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22.6</w:t>
            </w:r>
          </w:p>
        </w:tc>
      </w:tr>
      <w:tr w14:paraId="46D7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6F16B5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7081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DB7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32B5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617DE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82C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EC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86C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85C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64.5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EBB6D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16.1</w:t>
            </w:r>
          </w:p>
        </w:tc>
      </w:tr>
      <w:tr w14:paraId="0C3C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3D23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3F81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19D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B1C1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47269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9B7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F76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1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E7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61.3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F0E4D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29.2</w:t>
            </w:r>
          </w:p>
        </w:tc>
      </w:tr>
      <w:tr w14:paraId="02ED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80485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426E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DA5A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1A09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DD40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553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DE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8F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3A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61.3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6A2A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22.6</w:t>
            </w:r>
          </w:p>
        </w:tc>
      </w:tr>
      <w:tr w14:paraId="480B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D923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ECCD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5B09F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258D0B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A0AB33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92F3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62C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02E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32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61.3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A4AA2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18.4</w:t>
            </w:r>
          </w:p>
        </w:tc>
      </w:tr>
      <w:tr w14:paraId="40B7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7436D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26C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3F5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8E73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BC3C7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A69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48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CA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B8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61.3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6DCFC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16.1</w:t>
            </w:r>
          </w:p>
        </w:tc>
      </w:tr>
      <w:tr w14:paraId="3634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B7E5E9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BF32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C4B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204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D830E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48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027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1C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52B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56.7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49797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21.0</w:t>
            </w:r>
          </w:p>
        </w:tc>
      </w:tr>
      <w:tr w14:paraId="0648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5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C422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2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3322C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*宜昌高新区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C9AD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EB1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AEB9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B9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BD5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C9A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39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53.3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B3ED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18.8</w:t>
            </w:r>
          </w:p>
        </w:tc>
      </w:tr>
      <w:tr w14:paraId="1209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63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218E9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主城区平均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68C5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7615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326A7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88F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24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5BF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08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61.3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2F3F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19.4</w:t>
            </w:r>
          </w:p>
        </w:tc>
      </w:tr>
      <w:tr w14:paraId="75A2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614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DE0E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87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8D59A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73.0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94CD8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22.2</w:t>
            </w:r>
          </w:p>
        </w:tc>
      </w:tr>
    </w:tbl>
    <w:p w14:paraId="060228DE">
      <w:pPr>
        <w:widowControl/>
        <w:ind w:firstLine="1260" w:firstLineChars="600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1BE6915C">
      <w:pPr>
        <w:jc w:val="left"/>
        <w:rPr>
          <w:rFonts w:ascii="仿宋_GB2312" w:eastAsia="仿宋_GB2312" w:cs="仿宋_GB2312"/>
        </w:rPr>
        <w:sectPr>
          <w:footerReference r:id="rId4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7633F8D"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136" w:name="bookmark59"/>
      <w:bookmarkEnd w:id="136"/>
      <w:r>
        <w:rPr>
          <w:rFonts w:ascii="黑体" w:hAnsi="黑体" w:eastAsia="黑体" w:cs="黑体"/>
          <w:w w:val="99"/>
          <w:sz w:val="32"/>
          <w:szCs w:val="32"/>
        </w:rPr>
        <w:t>2026年</w:t>
      </w:r>
      <w:bookmarkStart w:id="137" w:name="bookmark60"/>
      <w:bookmarkEnd w:id="137"/>
      <w:r>
        <w:rPr>
          <w:rFonts w:ascii="黑体" w:hAnsi="黑体" w:eastAsia="黑体" w:cs="黑体"/>
          <w:w w:val="99"/>
          <w:sz w:val="32"/>
          <w:szCs w:val="32"/>
        </w:rPr>
        <w:t>1月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空气质量综合指数排名表</w:t>
      </w:r>
    </w:p>
    <w:p w14:paraId="3589E8DA">
      <w:pPr>
        <w:spacing w:line="400" w:lineRule="exact"/>
        <w:jc w:val="center"/>
        <w:rPr>
          <w:rFonts w:eastAsia="黑体"/>
          <w:w w:val="99"/>
          <w:sz w:val="32"/>
          <w:szCs w:val="32"/>
        </w:rPr>
      </w:pPr>
    </w:p>
    <w:tbl>
      <w:tblPr>
        <w:tblStyle w:val="3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 w14:paraId="0D191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 w14:paraId="06B6CAF1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2D942790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27BE9901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 w14:paraId="56007F19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6C18C3B6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 w14:paraId="2B203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15AC59F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1</w:t>
            </w:r>
          </w:p>
        </w:tc>
        <w:tc>
          <w:tcPr>
            <w:tcW w:w="1999" w:type="dxa"/>
            <w:vAlign w:val="center"/>
          </w:tcPr>
          <w:p w14:paraId="10039C0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999" w:type="dxa"/>
            <w:vAlign w:val="center"/>
          </w:tcPr>
          <w:p w14:paraId="7586008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3.12</w:t>
            </w:r>
          </w:p>
        </w:tc>
        <w:tc>
          <w:tcPr>
            <w:tcW w:w="2073" w:type="dxa"/>
            <w:vAlign w:val="center"/>
          </w:tcPr>
          <w:p w14:paraId="30CF0D2A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1.14 </w:t>
            </w:r>
          </w:p>
        </w:tc>
        <w:tc>
          <w:tcPr>
            <w:tcW w:w="1999" w:type="dxa"/>
            <w:vAlign w:val="center"/>
          </w:tcPr>
          <w:p w14:paraId="1238E119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2D172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0D1AEF2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2</w:t>
            </w:r>
          </w:p>
        </w:tc>
        <w:tc>
          <w:tcPr>
            <w:tcW w:w="1999" w:type="dxa"/>
            <w:vAlign w:val="center"/>
          </w:tcPr>
          <w:p w14:paraId="5D54A233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999" w:type="dxa"/>
            <w:vAlign w:val="center"/>
          </w:tcPr>
          <w:p w14:paraId="12DF56DF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3.31</w:t>
            </w:r>
          </w:p>
        </w:tc>
        <w:tc>
          <w:tcPr>
            <w:tcW w:w="2073" w:type="dxa"/>
            <w:vAlign w:val="center"/>
          </w:tcPr>
          <w:p w14:paraId="1D146269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1.17 </w:t>
            </w:r>
          </w:p>
        </w:tc>
        <w:tc>
          <w:tcPr>
            <w:tcW w:w="1999" w:type="dxa"/>
            <w:vAlign w:val="center"/>
          </w:tcPr>
          <w:p w14:paraId="32100ED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3B9AF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6B68720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3</w:t>
            </w:r>
          </w:p>
        </w:tc>
        <w:tc>
          <w:tcPr>
            <w:tcW w:w="1999" w:type="dxa"/>
            <w:vAlign w:val="center"/>
          </w:tcPr>
          <w:p w14:paraId="20EC91E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999" w:type="dxa"/>
            <w:vAlign w:val="center"/>
          </w:tcPr>
          <w:p w14:paraId="2EA6067D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3.84</w:t>
            </w:r>
          </w:p>
        </w:tc>
        <w:tc>
          <w:tcPr>
            <w:tcW w:w="2073" w:type="dxa"/>
            <w:vAlign w:val="center"/>
          </w:tcPr>
          <w:p w14:paraId="3253AC6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1.31 </w:t>
            </w:r>
          </w:p>
        </w:tc>
        <w:tc>
          <w:tcPr>
            <w:tcW w:w="1999" w:type="dxa"/>
            <w:vAlign w:val="center"/>
          </w:tcPr>
          <w:p w14:paraId="4F09875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5C08C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22E7E0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4</w:t>
            </w:r>
          </w:p>
        </w:tc>
        <w:tc>
          <w:tcPr>
            <w:tcW w:w="1999" w:type="dxa"/>
            <w:vAlign w:val="center"/>
          </w:tcPr>
          <w:p w14:paraId="0CA4DE6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999" w:type="dxa"/>
            <w:vAlign w:val="center"/>
          </w:tcPr>
          <w:p w14:paraId="2BF500C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3.9</w:t>
            </w:r>
          </w:p>
        </w:tc>
        <w:tc>
          <w:tcPr>
            <w:tcW w:w="2073" w:type="dxa"/>
            <w:vAlign w:val="center"/>
          </w:tcPr>
          <w:p w14:paraId="712C2A62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1.43 </w:t>
            </w:r>
          </w:p>
        </w:tc>
        <w:tc>
          <w:tcPr>
            <w:tcW w:w="1999" w:type="dxa"/>
            <w:vAlign w:val="center"/>
          </w:tcPr>
          <w:p w14:paraId="4662EC1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4019F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57D6EDCC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5</w:t>
            </w:r>
          </w:p>
        </w:tc>
        <w:tc>
          <w:tcPr>
            <w:tcW w:w="1999" w:type="dxa"/>
            <w:vAlign w:val="center"/>
          </w:tcPr>
          <w:p w14:paraId="6B6D7F1A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999" w:type="dxa"/>
            <w:vAlign w:val="center"/>
          </w:tcPr>
          <w:p w14:paraId="62B1FA09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4.42</w:t>
            </w:r>
          </w:p>
        </w:tc>
        <w:tc>
          <w:tcPr>
            <w:tcW w:w="2073" w:type="dxa"/>
            <w:vAlign w:val="center"/>
          </w:tcPr>
          <w:p w14:paraId="60D21332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1.71 </w:t>
            </w:r>
          </w:p>
        </w:tc>
        <w:tc>
          <w:tcPr>
            <w:tcW w:w="1999" w:type="dxa"/>
            <w:vAlign w:val="center"/>
          </w:tcPr>
          <w:p w14:paraId="76373C87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5DCA9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0641B5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6</w:t>
            </w:r>
          </w:p>
        </w:tc>
        <w:tc>
          <w:tcPr>
            <w:tcW w:w="1999" w:type="dxa"/>
            <w:vAlign w:val="center"/>
          </w:tcPr>
          <w:p w14:paraId="5B79C7CC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999" w:type="dxa"/>
            <w:vAlign w:val="center"/>
          </w:tcPr>
          <w:p w14:paraId="69F2CC3A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4.48</w:t>
            </w:r>
          </w:p>
        </w:tc>
        <w:tc>
          <w:tcPr>
            <w:tcW w:w="2073" w:type="dxa"/>
            <w:vAlign w:val="center"/>
          </w:tcPr>
          <w:p w14:paraId="2291B539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1.91 </w:t>
            </w:r>
          </w:p>
        </w:tc>
        <w:tc>
          <w:tcPr>
            <w:tcW w:w="1999" w:type="dxa"/>
            <w:vAlign w:val="center"/>
          </w:tcPr>
          <w:p w14:paraId="4AE2119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7BC9C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1665CE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7</w:t>
            </w:r>
          </w:p>
        </w:tc>
        <w:tc>
          <w:tcPr>
            <w:tcW w:w="1999" w:type="dxa"/>
            <w:vAlign w:val="center"/>
          </w:tcPr>
          <w:p w14:paraId="0F06016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999" w:type="dxa"/>
            <w:vAlign w:val="center"/>
          </w:tcPr>
          <w:p w14:paraId="747081D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4.64</w:t>
            </w:r>
          </w:p>
        </w:tc>
        <w:tc>
          <w:tcPr>
            <w:tcW w:w="2073" w:type="dxa"/>
            <w:vAlign w:val="center"/>
          </w:tcPr>
          <w:p w14:paraId="1B320281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1.80 </w:t>
            </w:r>
          </w:p>
        </w:tc>
        <w:tc>
          <w:tcPr>
            <w:tcW w:w="1999" w:type="dxa"/>
            <w:vAlign w:val="center"/>
          </w:tcPr>
          <w:p w14:paraId="6896C9D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67875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0717BB4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Cs w:val="21"/>
              </w:rPr>
              <w:t>7</w:t>
            </w:r>
          </w:p>
        </w:tc>
        <w:tc>
          <w:tcPr>
            <w:tcW w:w="1999" w:type="dxa"/>
            <w:vAlign w:val="center"/>
          </w:tcPr>
          <w:p w14:paraId="347753A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999" w:type="dxa"/>
            <w:vAlign w:val="center"/>
          </w:tcPr>
          <w:p w14:paraId="60D0F97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4.65</w:t>
            </w:r>
          </w:p>
        </w:tc>
        <w:tc>
          <w:tcPr>
            <w:tcW w:w="2073" w:type="dxa"/>
            <w:vAlign w:val="center"/>
          </w:tcPr>
          <w:p w14:paraId="4C005015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1.63 </w:t>
            </w:r>
          </w:p>
        </w:tc>
        <w:tc>
          <w:tcPr>
            <w:tcW w:w="1999" w:type="dxa"/>
            <w:vAlign w:val="center"/>
          </w:tcPr>
          <w:p w14:paraId="430D126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452BD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EC36BD4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99" w:type="dxa"/>
            <w:vAlign w:val="center"/>
          </w:tcPr>
          <w:p w14:paraId="3A0C80DA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999" w:type="dxa"/>
            <w:vAlign w:val="center"/>
          </w:tcPr>
          <w:p w14:paraId="0CB8071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4.73</w:t>
            </w:r>
          </w:p>
        </w:tc>
        <w:tc>
          <w:tcPr>
            <w:tcW w:w="2073" w:type="dxa"/>
            <w:vAlign w:val="center"/>
          </w:tcPr>
          <w:p w14:paraId="0AF3987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2.03 </w:t>
            </w:r>
          </w:p>
        </w:tc>
        <w:tc>
          <w:tcPr>
            <w:tcW w:w="1999" w:type="dxa"/>
            <w:vAlign w:val="center"/>
          </w:tcPr>
          <w:p w14:paraId="3E2C50F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6E47B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3D2DC102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99" w:type="dxa"/>
            <w:vAlign w:val="center"/>
          </w:tcPr>
          <w:p w14:paraId="1F5248D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999" w:type="dxa"/>
            <w:vAlign w:val="center"/>
          </w:tcPr>
          <w:p w14:paraId="32C01A4C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4.84</w:t>
            </w:r>
          </w:p>
        </w:tc>
        <w:tc>
          <w:tcPr>
            <w:tcW w:w="2073" w:type="dxa"/>
            <w:vAlign w:val="center"/>
          </w:tcPr>
          <w:p w14:paraId="0EBD9B12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1.97 </w:t>
            </w:r>
          </w:p>
        </w:tc>
        <w:tc>
          <w:tcPr>
            <w:tcW w:w="1999" w:type="dxa"/>
            <w:vAlign w:val="center"/>
          </w:tcPr>
          <w:p w14:paraId="1AF2C3A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48A5F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FA749B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99" w:type="dxa"/>
            <w:vAlign w:val="center"/>
          </w:tcPr>
          <w:p w14:paraId="5FC2FC3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999" w:type="dxa"/>
            <w:vAlign w:val="center"/>
          </w:tcPr>
          <w:p w14:paraId="5652BFE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4.84</w:t>
            </w:r>
          </w:p>
        </w:tc>
        <w:tc>
          <w:tcPr>
            <w:tcW w:w="2073" w:type="dxa"/>
            <w:vAlign w:val="center"/>
          </w:tcPr>
          <w:p w14:paraId="3F99707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2.06 </w:t>
            </w:r>
          </w:p>
        </w:tc>
        <w:tc>
          <w:tcPr>
            <w:tcW w:w="1999" w:type="dxa"/>
            <w:vAlign w:val="center"/>
          </w:tcPr>
          <w:p w14:paraId="7C7C53C1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5EA1C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22910698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99" w:type="dxa"/>
            <w:vAlign w:val="center"/>
          </w:tcPr>
          <w:p w14:paraId="30B6B835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999" w:type="dxa"/>
            <w:vAlign w:val="center"/>
          </w:tcPr>
          <w:p w14:paraId="6CC58B9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4.86</w:t>
            </w:r>
          </w:p>
        </w:tc>
        <w:tc>
          <w:tcPr>
            <w:tcW w:w="2073" w:type="dxa"/>
            <w:vAlign w:val="center"/>
          </w:tcPr>
          <w:p w14:paraId="718809FF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1.97 </w:t>
            </w:r>
          </w:p>
        </w:tc>
        <w:tc>
          <w:tcPr>
            <w:tcW w:w="1999" w:type="dxa"/>
            <w:vAlign w:val="center"/>
          </w:tcPr>
          <w:p w14:paraId="0AF4710E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35087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0007D34D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99" w:type="dxa"/>
            <w:vAlign w:val="center"/>
          </w:tcPr>
          <w:p w14:paraId="4741EB7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999" w:type="dxa"/>
            <w:vAlign w:val="center"/>
          </w:tcPr>
          <w:p w14:paraId="46F4154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5.07</w:t>
            </w:r>
          </w:p>
        </w:tc>
        <w:tc>
          <w:tcPr>
            <w:tcW w:w="2073" w:type="dxa"/>
            <w:vAlign w:val="center"/>
          </w:tcPr>
          <w:p w14:paraId="1CE1C18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1.94 </w:t>
            </w:r>
          </w:p>
        </w:tc>
        <w:tc>
          <w:tcPr>
            <w:tcW w:w="1999" w:type="dxa"/>
            <w:vAlign w:val="center"/>
          </w:tcPr>
          <w:p w14:paraId="1BCA255F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  <w:tr w14:paraId="32B1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20187D9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99" w:type="dxa"/>
            <w:vAlign w:val="center"/>
          </w:tcPr>
          <w:p w14:paraId="6696732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*宜昌高新区</w:t>
            </w:r>
          </w:p>
        </w:tc>
        <w:tc>
          <w:tcPr>
            <w:tcW w:w="1999" w:type="dxa"/>
            <w:vAlign w:val="center"/>
          </w:tcPr>
          <w:p w14:paraId="34CC779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5.2</w:t>
            </w:r>
          </w:p>
        </w:tc>
        <w:tc>
          <w:tcPr>
            <w:tcW w:w="2073" w:type="dxa"/>
            <w:vAlign w:val="center"/>
          </w:tcPr>
          <w:p w14:paraId="231475DC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 xml:space="preserve">2.00 </w:t>
            </w:r>
          </w:p>
        </w:tc>
        <w:tc>
          <w:tcPr>
            <w:tcW w:w="1999" w:type="dxa"/>
            <w:vAlign w:val="center"/>
          </w:tcPr>
          <w:p w14:paraId="62FA2D85">
            <w:pPr>
              <w:jc w:val="center"/>
              <w:rPr>
                <w:rFonts w:hint="eastAsia" w:ascii="仿宋_GB2312" w:hAnsi="等线" w:eastAsia="仿宋_GB2312"/>
                <w:color w:val="000000"/>
                <w:szCs w:val="21"/>
              </w:rPr>
            </w:pPr>
            <w:r>
              <w:rPr>
                <w:rFonts w:ascii="仿宋_GB2312" w:hAnsi="等线" w:eastAsia="仿宋_GB2312"/>
                <w:color w:val="000000"/>
                <w:szCs w:val="21"/>
              </w:rPr>
              <w:t>PM</w:t>
            </w:r>
            <w:r>
              <w:rPr>
                <w:rFonts w:ascii="仿宋_GB2312" w:hAnsi="等线" w:eastAsia="仿宋_GB2312"/>
                <w:color w:val="000000"/>
                <w:szCs w:val="21"/>
                <w:vertAlign w:val="subscript"/>
              </w:rPr>
              <w:t>2.5</w:t>
            </w:r>
          </w:p>
        </w:tc>
      </w:tr>
    </w:tbl>
    <w:p w14:paraId="5342EB52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494A7CA2">
      <w:pPr>
        <w:adjustRightInd w:val="0"/>
        <w:spacing w:line="360" w:lineRule="auto"/>
        <w:jc w:val="left"/>
        <w:rPr>
          <w:rFonts w:ascii="仿宋_GB2312" w:eastAsia="仿宋_GB2312" w:cs="仿宋_GB2312"/>
          <w:sz w:val="24"/>
        </w:rPr>
      </w:pPr>
    </w:p>
    <w:p w14:paraId="499C3682">
      <w:pPr>
        <w:spacing w:line="600" w:lineRule="exact"/>
        <w:rPr>
          <w:rFonts w:hint="eastAsia" w:ascii="黑体" w:hAnsi="黑体" w:eastAsia="黑体" w:cs="黑体"/>
          <w:w w:val="99"/>
          <w:sz w:val="32"/>
          <w:szCs w:val="32"/>
        </w:rPr>
      </w:pPr>
    </w:p>
    <w:p w14:paraId="08E3E309">
      <w:pPr>
        <w:spacing w:line="60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</w:p>
    <w:p w14:paraId="29898086"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138" w:name="bookmark61"/>
      <w:bookmarkEnd w:id="138"/>
      <w:r>
        <w:rPr>
          <w:rFonts w:ascii="黑体" w:hAnsi="黑体" w:eastAsia="黑体" w:cs="黑体"/>
          <w:w w:val="99"/>
          <w:sz w:val="32"/>
          <w:szCs w:val="32"/>
        </w:rPr>
        <w:t>2026年</w:t>
      </w:r>
      <w:bookmarkStart w:id="139" w:name="bookmark62"/>
      <w:bookmarkEnd w:id="139"/>
      <w:r>
        <w:rPr>
          <w:rFonts w:ascii="黑体" w:hAnsi="黑体" w:eastAsia="黑体" w:cs="黑体"/>
          <w:w w:val="99"/>
          <w:sz w:val="32"/>
          <w:szCs w:val="32"/>
        </w:rPr>
        <w:t>1月</w:t>
      </w:r>
      <w:r>
        <w:rPr>
          <w:rFonts w:hint="eastAsia" w:ascii="黑体" w:hAnsi="黑体" w:eastAsia="黑体" w:cs="黑体"/>
          <w:w w:val="99"/>
          <w:sz w:val="32"/>
          <w:szCs w:val="32"/>
        </w:rPr>
        <w:t>空气污染物平均浓度情况表</w:t>
      </w:r>
    </w:p>
    <w:p w14:paraId="1B146D9F">
      <w:pPr>
        <w:spacing w:line="400" w:lineRule="exact"/>
        <w:ind w:right="108"/>
        <w:jc w:val="right"/>
        <w:rPr>
          <w:rFonts w:hint="eastAsia" w:ascii="黑体" w:hAnsi="黑体" w:eastAsia="黑体"/>
          <w:w w:val="99"/>
          <w:sz w:val="22"/>
          <w:szCs w:val="22"/>
        </w:rPr>
      </w:pPr>
    </w:p>
    <w:tbl>
      <w:tblPr>
        <w:tblStyle w:val="3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 w14:paraId="7E753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E3789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8D9D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 w14:paraId="7FF689D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D3B9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 w14:paraId="5D51392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319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 w14:paraId="721D059B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</w:t>
            </w:r>
          </w:p>
          <w:p w14:paraId="5E6CFB6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6E12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 w14:paraId="038C5F3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191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 w14:paraId="7FC7894F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EBA06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 w14:paraId="67583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C8318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F552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D1172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32745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64846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F86D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549EA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1.0</w:t>
            </w:r>
          </w:p>
        </w:tc>
      </w:tr>
      <w:tr w14:paraId="73CAD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83446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4F14C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9D96F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54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755A9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022B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61A4A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9B6DA9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1.4</w:t>
            </w:r>
          </w:p>
        </w:tc>
      </w:tr>
      <w:tr w14:paraId="1005E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9E909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DD8B6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7ACF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735FB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ED5C5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BBC8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6BAE2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0.8</w:t>
            </w:r>
          </w:p>
        </w:tc>
      </w:tr>
      <w:tr w14:paraId="63742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16B2E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301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2E873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56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C4963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2AFE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60573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8BE8F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1.2</w:t>
            </w:r>
          </w:p>
        </w:tc>
      </w:tr>
      <w:tr w14:paraId="21A9C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81789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BE2F9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57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F3C34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5773F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9C5A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30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71B30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6AC8E5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1.0</w:t>
            </w:r>
          </w:p>
        </w:tc>
      </w:tr>
      <w:tr w14:paraId="0000C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962F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47F2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FE60F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8A70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0E559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B481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E8B1FB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1.2</w:t>
            </w:r>
          </w:p>
        </w:tc>
      </w:tr>
      <w:tr w14:paraId="59266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4A6D6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3ECE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50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40B13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99160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ACF9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B04A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5CCCB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1.2</w:t>
            </w:r>
          </w:p>
        </w:tc>
      </w:tr>
      <w:tr w14:paraId="145AA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02252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18113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9536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6144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3E113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E591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7D84C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1.1</w:t>
            </w:r>
          </w:p>
        </w:tc>
      </w:tr>
      <w:tr w14:paraId="7843B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53D13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4E962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023C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8306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651C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A942E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11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83543E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0.7</w:t>
            </w:r>
          </w:p>
        </w:tc>
      </w:tr>
      <w:tr w14:paraId="6820E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F8626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A531F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394A5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A433F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2C8C4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CCAD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0F5AF4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1.0</w:t>
            </w:r>
          </w:p>
        </w:tc>
      </w:tr>
      <w:tr w14:paraId="78FF0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27CCC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A7E18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42C5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60CB4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21C0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32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ADD3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D54D3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0.8</w:t>
            </w:r>
          </w:p>
        </w:tc>
      </w:tr>
      <w:tr w14:paraId="27D90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63C6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1AA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4D6A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9FB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103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42E62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26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41A5B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E3C3B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1.2</w:t>
            </w:r>
          </w:p>
        </w:tc>
      </w:tr>
      <w:tr w14:paraId="36187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56AC70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214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4DEF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E7DD3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DE3BC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30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6AC9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E70786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0.8</w:t>
            </w:r>
          </w:p>
        </w:tc>
      </w:tr>
      <w:tr w14:paraId="5D919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C55A2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*宜昌高新区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15D8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8F22F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FD282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100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B278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31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9F80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F5DFA4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1.2</w:t>
            </w:r>
          </w:p>
        </w:tc>
      </w:tr>
      <w:tr w14:paraId="4F57F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9475F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主城区平均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3C6E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25906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91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DEB22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25AC7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185EB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FB6B8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0.9</w:t>
            </w:r>
          </w:p>
        </w:tc>
      </w:tr>
      <w:tr w14:paraId="78398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EB195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08F99B0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007D8D1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815A8A3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87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1F33F78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24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BD6B8A8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76EB9D">
            <w:pPr>
              <w:adjustRightInd w:val="0"/>
              <w:jc w:val="center"/>
              <w:rPr>
                <w:rFonts w:hint="eastAsia" w:ascii="仿宋_GB2312" w:hAnsi="仿宋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_GB2312"/>
                <w:szCs w:val="21"/>
              </w:rPr>
              <w:t>1.0</w:t>
            </w:r>
          </w:p>
        </w:tc>
      </w:tr>
    </w:tbl>
    <w:p w14:paraId="52D77E60">
      <w:pPr>
        <w:widowControl/>
        <w:spacing w:line="240" w:lineRule="atLeast"/>
        <w:ind w:firstLine="420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30181081"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 w14:paraId="263DE05C"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140" w:name="bookmark63"/>
      <w:bookmarkEnd w:id="140"/>
      <w:r>
        <w:rPr>
          <w:rFonts w:ascii="黑体" w:hAnsi="黑体" w:eastAsia="黑体" w:cs="黑体"/>
          <w:w w:val="99"/>
          <w:sz w:val="32"/>
          <w:szCs w:val="32"/>
        </w:rPr>
        <w:t>2026年</w:t>
      </w:r>
      <w:bookmarkStart w:id="141" w:name="bookmark64"/>
      <w:bookmarkEnd w:id="141"/>
      <w:r>
        <w:rPr>
          <w:rFonts w:ascii="黑体" w:hAnsi="黑体" w:eastAsia="黑体" w:cs="黑体"/>
          <w:w w:val="99"/>
          <w:sz w:val="32"/>
          <w:szCs w:val="32"/>
        </w:rPr>
        <w:t>1月</w:t>
      </w:r>
      <w:r>
        <w:rPr>
          <w:rFonts w:hint="eastAsia" w:ascii="黑体" w:hAnsi="黑体" w:eastAsia="黑体" w:cs="黑体"/>
          <w:w w:val="99"/>
          <w:sz w:val="32"/>
          <w:szCs w:val="32"/>
        </w:rPr>
        <w:t>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p w14:paraId="504E4066"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</w:p>
    <w:tbl>
      <w:tblPr>
        <w:tblStyle w:val="3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033"/>
        <w:gridCol w:w="1185"/>
        <w:gridCol w:w="677"/>
        <w:gridCol w:w="2032"/>
        <w:gridCol w:w="1270"/>
      </w:tblGrid>
      <w:tr w14:paraId="2B00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87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D4E57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1月可吸入颗粒物（PM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 w14:paraId="178C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89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E76F33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9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5D188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</w:t>
            </w:r>
            <w:r>
              <w:rPr>
                <w:rFonts w:hint="eastAsia" w:ascii="黑体" w:hAnsi="黑体" w:eastAsia="黑体" w:cs="仿宋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 w:cs="仿宋"/>
                <w:szCs w:val="21"/>
              </w:rPr>
              <w:t>年同期增幅排序</w:t>
            </w:r>
          </w:p>
        </w:tc>
      </w:tr>
      <w:tr w14:paraId="2063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0160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9CF2D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6C28C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2026年1月浓度（μg/m</w:t>
            </w:r>
            <w:r>
              <w:rPr>
                <w:rFonts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4982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2D1B4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7C653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</w:t>
            </w:r>
            <w:r>
              <w:rPr>
                <w:rFonts w:ascii="黑体" w:hAnsi="黑体" w:eastAsia="黑体" w:cs="仿宋"/>
                <w:szCs w:val="21"/>
              </w:rPr>
              <w:t>202</w:t>
            </w:r>
            <w:r>
              <w:rPr>
                <w:rFonts w:hint="eastAsia" w:ascii="黑体" w:hAnsi="黑体" w:eastAsia="黑体" w:cs="仿宋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 w:cs="仿宋"/>
                <w:szCs w:val="21"/>
              </w:rPr>
              <w:t>年同期增幅(%)</w:t>
            </w:r>
          </w:p>
        </w:tc>
      </w:tr>
      <w:tr w14:paraId="3C80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56894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DFCD3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39312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54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F5A71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DD8083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97E4CD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-45.0</w:t>
            </w:r>
          </w:p>
        </w:tc>
      </w:tr>
      <w:tr w14:paraId="506F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6B9DA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C31D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5FD519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56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F066F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26AED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0D16E9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-33.9</w:t>
            </w:r>
          </w:p>
        </w:tc>
      </w:tr>
      <w:tr w14:paraId="286E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6A0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742F5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4A00E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71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10F934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351994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232CD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-26.1</w:t>
            </w:r>
          </w:p>
        </w:tc>
      </w:tr>
      <w:tr w14:paraId="7C6B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EA13C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057B4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583A2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BA357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760AC9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88941D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-24.6</w:t>
            </w:r>
          </w:p>
        </w:tc>
      </w:tr>
      <w:tr w14:paraId="27DD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0FF2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F86F2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CC0C2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BBD0A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90064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4E470A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-23.9</w:t>
            </w:r>
          </w:p>
        </w:tc>
      </w:tr>
      <w:tr w14:paraId="427B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E5CC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C6A9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C20D55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862DA1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91325C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45C81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-23.9</w:t>
            </w:r>
          </w:p>
        </w:tc>
      </w:tr>
      <w:tr w14:paraId="0A9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A4D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AEA7F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23173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EE71C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34EB4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31BF8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-20.9</w:t>
            </w:r>
          </w:p>
        </w:tc>
      </w:tr>
      <w:tr w14:paraId="72E1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369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BBFC3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4888B5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89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B18509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4978B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A90B7F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-20.7</w:t>
            </w:r>
          </w:p>
        </w:tc>
      </w:tr>
      <w:tr w14:paraId="4CB8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B28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1DADF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A855C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91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F01DE5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B7A92A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*宜昌高新区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E19B55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-20.3</w:t>
            </w:r>
          </w:p>
        </w:tc>
      </w:tr>
      <w:tr w14:paraId="1749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9ED89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E7360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106DF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94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7FBF2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692A83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90B4E3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-18.9</w:t>
            </w:r>
          </w:p>
        </w:tc>
      </w:tr>
      <w:tr w14:paraId="2777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661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D153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42C441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6FC828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5E788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41BBC2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-17.8</w:t>
            </w:r>
          </w:p>
        </w:tc>
      </w:tr>
      <w:tr w14:paraId="15C1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00A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32DB0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09795A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15B6B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89CFD0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A3B142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-16.8</w:t>
            </w:r>
          </w:p>
        </w:tc>
      </w:tr>
      <w:tr w14:paraId="347B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3C06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CBB069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3B9B90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97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BC10D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B9CC1E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D85DCF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-16.4</w:t>
            </w:r>
          </w:p>
        </w:tc>
      </w:tr>
      <w:tr w14:paraId="40BF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5F94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2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49E33B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*宜昌高新区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29F036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98</w:t>
            </w:r>
          </w:p>
        </w:tc>
        <w:tc>
          <w:tcPr>
            <w:tcW w:w="67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296BB">
            <w:pPr>
              <w:adjustRightInd w:val="0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6D57C7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CD50F3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7.9</w:t>
            </w:r>
          </w:p>
        </w:tc>
      </w:tr>
      <w:tr w14:paraId="356A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7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4C853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主城区平均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105E28F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91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D14995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主城区平均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00DDD3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-21.6</w:t>
            </w:r>
          </w:p>
        </w:tc>
      </w:tr>
      <w:tr w14:paraId="513C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71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E8D54F6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0130B8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</w:t>
            </w:r>
          </w:p>
        </w:tc>
        <w:tc>
          <w:tcPr>
            <w:tcW w:w="27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BB6C409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8B41CA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-22.9</w:t>
            </w:r>
          </w:p>
        </w:tc>
      </w:tr>
    </w:tbl>
    <w:p w14:paraId="25650D10">
      <w:pPr>
        <w:adjustRightInd w:val="0"/>
        <w:spacing w:line="280" w:lineRule="exact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</w:t>
      </w:r>
      <w:r>
        <w:rPr>
          <w:rFonts w:ascii="仿宋_GB2312" w:eastAsia="仿宋_GB2312" w:cs="仿宋_GB2312"/>
        </w:rPr>
        <w:t xml:space="preserve">      </w:t>
      </w: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14368D36">
      <w:pPr>
        <w:widowControl/>
        <w:jc w:val="left"/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br w:type="page"/>
      </w:r>
    </w:p>
    <w:p w14:paraId="33DEBFF8">
      <w:pPr>
        <w:adjustRightInd w:val="0"/>
        <w:spacing w:line="280" w:lineRule="exact"/>
        <w:jc w:val="left"/>
        <w:rPr>
          <w:rFonts w:ascii="仿宋_GB2312" w:eastAsia="仿宋_GB2312" w:cs="仿宋_GB2312"/>
        </w:rPr>
      </w:pPr>
    </w:p>
    <w:p w14:paraId="30B2E300"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142" w:name="bookmark66"/>
      <w:bookmarkEnd w:id="142"/>
      <w:r>
        <w:rPr>
          <w:rFonts w:ascii="黑体" w:hAnsi="黑体" w:eastAsia="黑体" w:cs="黑体"/>
          <w:w w:val="99"/>
          <w:sz w:val="32"/>
          <w:szCs w:val="32"/>
        </w:rPr>
        <w:t>2026年</w:t>
      </w:r>
      <w:bookmarkStart w:id="143" w:name="bookmark67"/>
      <w:bookmarkEnd w:id="143"/>
      <w:r>
        <w:rPr>
          <w:rFonts w:ascii="黑体" w:hAnsi="黑体" w:eastAsia="黑体" w:cs="黑体"/>
          <w:w w:val="99"/>
          <w:sz w:val="32"/>
          <w:szCs w:val="32"/>
        </w:rPr>
        <w:t>1月</w:t>
      </w:r>
      <w:r>
        <w:rPr>
          <w:rFonts w:hint="eastAsia" w:ascii="黑体" w:hAnsi="黑体" w:eastAsia="黑体" w:cs="黑体"/>
          <w:w w:val="99"/>
          <w:sz w:val="32"/>
          <w:szCs w:val="32"/>
        </w:rPr>
        <w:t>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p w14:paraId="22676B16"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</w:p>
    <w:tbl>
      <w:tblPr>
        <w:tblStyle w:val="3"/>
        <w:tblW w:w="7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109"/>
        <w:gridCol w:w="1265"/>
        <w:gridCol w:w="673"/>
        <w:gridCol w:w="2023"/>
        <w:gridCol w:w="1181"/>
      </w:tblGrid>
      <w:tr w14:paraId="286D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92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BB35B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1月细颗粒物（PM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 w14:paraId="1DC3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04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495E7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8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BA238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</w:t>
            </w:r>
            <w:r>
              <w:rPr>
                <w:rFonts w:hint="eastAsia" w:ascii="黑体" w:hAnsi="黑体" w:eastAsia="黑体" w:cs="仿宋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 w:cs="仿宋"/>
                <w:szCs w:val="21"/>
              </w:rPr>
              <w:t>年同期增幅排序</w:t>
            </w:r>
          </w:p>
        </w:tc>
      </w:tr>
      <w:tr w14:paraId="2BB5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6EF43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9BA05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8140E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2026年1月浓度（μg/m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A2FC4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B562B9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29923C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 w:cs="黑体"/>
                <w:szCs w:val="21"/>
              </w:rPr>
              <w:t>年同期增幅(%)</w:t>
            </w:r>
          </w:p>
        </w:tc>
      </w:tr>
      <w:tr w14:paraId="07AA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7A0B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B16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14607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C4E50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943C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E7A2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-38.3</w:t>
            </w:r>
          </w:p>
        </w:tc>
      </w:tr>
      <w:tr w14:paraId="27F9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D2C4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8BA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B71E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41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1261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219A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234B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-32.4</w:t>
            </w:r>
          </w:p>
        </w:tc>
      </w:tr>
      <w:tr w14:paraId="1CCB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E1C90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EAE6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A3CE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46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3176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8B5CA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*宜昌高新区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E6ED4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-27.8</w:t>
            </w:r>
          </w:p>
        </w:tc>
      </w:tr>
      <w:tr w14:paraId="312B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26B3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AF5F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EF75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50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4404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D393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C7D0B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-26.6</w:t>
            </w:r>
          </w:p>
        </w:tc>
      </w:tr>
      <w:tr w14:paraId="3EED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86B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E5C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110BF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57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43F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0E4D8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EC188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-25.5</w:t>
            </w:r>
          </w:p>
        </w:tc>
      </w:tr>
      <w:tr w14:paraId="1267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93FD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3207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5393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60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04F7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05F1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13A67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-25.0</w:t>
            </w:r>
          </w:p>
        </w:tc>
      </w:tr>
      <w:tr w14:paraId="1F56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16F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DE4E9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7AD7C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63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B468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1118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EF56F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-24.1</w:t>
            </w:r>
          </w:p>
        </w:tc>
      </w:tr>
      <w:tr w14:paraId="67D9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40AE9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6BA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BDDFD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EE2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CC9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E0635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-22.1</w:t>
            </w:r>
          </w:p>
        </w:tc>
      </w:tr>
      <w:tr w14:paraId="358C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F945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B2F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84E7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68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1850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49E0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3ED8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-21.2</w:t>
            </w:r>
          </w:p>
        </w:tc>
      </w:tr>
      <w:tr w14:paraId="1D96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8525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FC78A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AD616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69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F8CB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46BE9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0BA7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-21.1</w:t>
            </w:r>
          </w:p>
        </w:tc>
      </w:tr>
      <w:tr w14:paraId="10DD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C7EE6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277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76DB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69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BD552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78F9E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1733D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-20.9</w:t>
            </w:r>
          </w:p>
        </w:tc>
      </w:tr>
      <w:tr w14:paraId="2022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41C92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CF91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*宜昌高新区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0DA0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70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AE0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17ED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0EB55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-16.7</w:t>
            </w:r>
          </w:p>
        </w:tc>
      </w:tr>
      <w:tr w14:paraId="5419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5088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909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43F2B9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71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7794B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9058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0AEEFB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-15.3</w:t>
            </w:r>
          </w:p>
        </w:tc>
      </w:tr>
      <w:tr w14:paraId="51AA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3F93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2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C91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86FE9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72</w:t>
            </w:r>
          </w:p>
        </w:tc>
        <w:tc>
          <w:tcPr>
            <w:tcW w:w="6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E1BB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20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E3E74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2BB82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-14.9</w:t>
            </w:r>
          </w:p>
        </w:tc>
      </w:tr>
      <w:tr w14:paraId="47D3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030C2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主城区平均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7F66BF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69</w:t>
            </w:r>
          </w:p>
        </w:tc>
        <w:tc>
          <w:tcPr>
            <w:tcW w:w="26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98D2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主城区平均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C5B95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-21.6</w:t>
            </w:r>
          </w:p>
        </w:tc>
      </w:tr>
      <w:tr w14:paraId="591E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8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C9C98E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A27D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60</w:t>
            </w:r>
          </w:p>
        </w:tc>
        <w:tc>
          <w:tcPr>
            <w:tcW w:w="269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BA6DA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0E0D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-24.1</w:t>
            </w:r>
          </w:p>
        </w:tc>
      </w:tr>
    </w:tbl>
    <w:p w14:paraId="793380FA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</w:t>
      </w:r>
      <w:r>
        <w:rPr>
          <w:rFonts w:ascii="仿宋_GB2312" w:eastAsia="仿宋_GB2312" w:cs="仿宋_GB2312"/>
        </w:rPr>
        <w:t xml:space="preserve">       </w:t>
      </w:r>
      <w:r>
        <w:rPr>
          <w:rFonts w:hint="eastAsia" w:ascii="仿宋_GB2312" w:eastAsia="仿宋_GB2312" w:cs="仿宋_GB2312"/>
        </w:rPr>
        <w:t xml:space="preserve">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1F41BF0A">
      <w:pPr>
        <w:widowControl/>
        <w:jc w:val="left"/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br w:type="page"/>
      </w:r>
    </w:p>
    <w:p w14:paraId="5EBC6941">
      <w:pPr>
        <w:widowControl/>
        <w:jc w:val="left"/>
        <w:rPr>
          <w:rFonts w:ascii="仿宋_GB2312" w:eastAsia="仿宋_GB2312" w:cs="仿宋_GB2312"/>
        </w:rPr>
      </w:pPr>
    </w:p>
    <w:p w14:paraId="47E7FB4B"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144" w:name="bookmark69"/>
      <w:bookmarkEnd w:id="144"/>
      <w:r>
        <w:rPr>
          <w:rFonts w:ascii="黑体" w:hAnsi="黑体" w:eastAsia="黑体" w:cs="黑体"/>
          <w:w w:val="99"/>
          <w:sz w:val="32"/>
          <w:szCs w:val="32"/>
        </w:rPr>
        <w:t>2026年</w:t>
      </w:r>
      <w:bookmarkStart w:id="145" w:name="bookmark70"/>
      <w:bookmarkEnd w:id="145"/>
      <w:r>
        <w:rPr>
          <w:rFonts w:ascii="黑体" w:hAnsi="黑体" w:eastAsia="黑体" w:cs="黑体"/>
          <w:w w:val="99"/>
          <w:sz w:val="32"/>
          <w:szCs w:val="32"/>
        </w:rPr>
        <w:t>1月</w:t>
      </w:r>
      <w:r>
        <w:rPr>
          <w:rFonts w:hint="eastAsia" w:ascii="黑体" w:hAnsi="黑体" w:eastAsia="黑体" w:cs="黑体"/>
          <w:w w:val="99"/>
          <w:sz w:val="32"/>
          <w:szCs w:val="32"/>
        </w:rPr>
        <w:t>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3"/>
        <w:tblW w:w="7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25"/>
        <w:gridCol w:w="1265"/>
        <w:gridCol w:w="674"/>
        <w:gridCol w:w="2024"/>
        <w:gridCol w:w="1182"/>
      </w:tblGrid>
      <w:tr w14:paraId="14A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784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A04B7B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ascii="黑体" w:hAnsi="黑体" w:eastAsia="黑体" w:cs="仿宋"/>
                <w:szCs w:val="21"/>
              </w:rPr>
              <w:t>1月臭氧（O</w:t>
            </w:r>
            <w:r>
              <w:rPr>
                <w:rFonts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ascii="黑体" w:hAnsi="黑体" w:eastAsia="黑体" w:cs="仿宋"/>
                <w:szCs w:val="21"/>
              </w:rPr>
              <w:t>）</w:t>
            </w:r>
          </w:p>
        </w:tc>
      </w:tr>
      <w:tr w14:paraId="671F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396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A858A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88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5CF33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</w:t>
            </w:r>
            <w:r>
              <w:rPr>
                <w:rFonts w:ascii="黑体" w:hAnsi="黑体" w:eastAsia="黑体" w:cs="仿宋"/>
                <w:szCs w:val="21"/>
              </w:rPr>
              <w:t>202</w:t>
            </w:r>
            <w:r>
              <w:rPr>
                <w:rFonts w:hint="eastAsia" w:ascii="黑体" w:hAnsi="黑体" w:eastAsia="黑体" w:cs="仿宋"/>
                <w:szCs w:val="21"/>
                <w:lang w:val="en-US" w:eastAsia="zh-CN"/>
              </w:rPr>
              <w:t>5</w:t>
            </w:r>
            <w:r>
              <w:rPr>
                <w:rFonts w:ascii="黑体" w:hAnsi="黑体" w:eastAsia="黑体" w:cs="仿宋"/>
                <w:szCs w:val="21"/>
              </w:rPr>
              <w:t>年同期增幅排序</w:t>
            </w:r>
          </w:p>
        </w:tc>
      </w:tr>
      <w:tr w14:paraId="583C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009B4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411FA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14156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2026年1月浓度（μg/m</w:t>
            </w:r>
            <w:r>
              <w:rPr>
                <w:rFonts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szCs w:val="21"/>
              </w:rPr>
              <w:t>）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4D0D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4C1D6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10AE5F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</w:t>
            </w:r>
            <w:r>
              <w:rPr>
                <w:rFonts w:ascii="黑体" w:hAnsi="黑体" w:eastAsia="黑体" w:cs="黑体"/>
                <w:szCs w:val="21"/>
              </w:rPr>
              <w:t>2024年同期增幅(%)</w:t>
            </w:r>
          </w:p>
        </w:tc>
      </w:tr>
      <w:tr w14:paraId="77F9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3AB3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B7C1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4F4AA3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72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3DA3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47A46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7B12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-34.5</w:t>
            </w:r>
          </w:p>
        </w:tc>
      </w:tr>
      <w:tr w14:paraId="2713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6067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F263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E909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72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2816C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FF2FF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9DF85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-30.8</w:t>
            </w:r>
          </w:p>
        </w:tc>
      </w:tr>
      <w:tr w14:paraId="0FDD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6E0A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5BA6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9D5A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A5290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24C8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1B0C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-26.8</w:t>
            </w:r>
          </w:p>
        </w:tc>
      </w:tr>
      <w:tr w14:paraId="1B06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AC9F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5ED8E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B47A6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C787E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B53FE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62118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-19.0</w:t>
            </w:r>
          </w:p>
        </w:tc>
      </w:tr>
      <w:tr w14:paraId="52EE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ED0A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727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F01B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66164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7187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5B73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-18.3</w:t>
            </w:r>
          </w:p>
        </w:tc>
      </w:tr>
      <w:tr w14:paraId="0D10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EE3F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D51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4202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B84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D35E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D0E8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-17.5</w:t>
            </w:r>
          </w:p>
        </w:tc>
      </w:tr>
      <w:tr w14:paraId="04C0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E632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F9C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DD3EB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BB47C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BD3C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*宜昌高新区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BCCA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-16.0</w:t>
            </w:r>
          </w:p>
        </w:tc>
      </w:tr>
      <w:tr w14:paraId="3821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874C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61C2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C22B8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87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CB87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0D0EE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B00DE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-15.5</w:t>
            </w:r>
          </w:p>
        </w:tc>
      </w:tr>
      <w:tr w14:paraId="3C1C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0ADA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245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636A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88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88D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28B40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8F2C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-13.7</w:t>
            </w:r>
          </w:p>
        </w:tc>
      </w:tr>
      <w:tr w14:paraId="0246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C0E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BA53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6DDB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78E0F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5BC8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2A0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-13.5</w:t>
            </w:r>
          </w:p>
        </w:tc>
      </w:tr>
      <w:tr w14:paraId="4EC9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EBA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43141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67821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94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57E5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FDE5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4E6B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-13.0</w:t>
            </w:r>
          </w:p>
        </w:tc>
      </w:tr>
      <w:tr w14:paraId="39BE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F3828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2ECF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A90E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98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9B7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E6DD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B913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-11.6</w:t>
            </w:r>
          </w:p>
        </w:tc>
      </w:tr>
      <w:tr w14:paraId="79DF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D4D10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64D0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*宜昌高新区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E9693F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6A38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AD1C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A36063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-11.1</w:t>
            </w:r>
          </w:p>
        </w:tc>
      </w:tr>
      <w:tr w14:paraId="40CE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1C9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77F1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6CEC4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103</w:t>
            </w:r>
          </w:p>
        </w:tc>
        <w:tc>
          <w:tcPr>
            <w:tcW w:w="67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0FC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20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D3370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7F3E0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-4.6</w:t>
            </w:r>
          </w:p>
        </w:tc>
      </w:tr>
      <w:tr w14:paraId="43FE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CAC3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主城区平均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F86C0A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88</w:t>
            </w:r>
          </w:p>
        </w:tc>
        <w:tc>
          <w:tcPr>
            <w:tcW w:w="26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9A5D6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主城区平均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FE06D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-21.4</w:t>
            </w:r>
          </w:p>
        </w:tc>
      </w:tr>
      <w:tr w14:paraId="0910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70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AFE582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88BB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87</w:t>
            </w:r>
          </w:p>
        </w:tc>
        <w:tc>
          <w:tcPr>
            <w:tcW w:w="269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9541E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82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0D20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-17.9</w:t>
            </w:r>
          </w:p>
        </w:tc>
      </w:tr>
    </w:tbl>
    <w:p w14:paraId="75870AEB">
      <w:pPr>
        <w:widowControl/>
        <w:jc w:val="left"/>
        <w:rPr>
          <w:rFonts w:ascii="仿宋_GB2312" w:eastAsia="仿宋_GB2312" w:cs="仿宋_GB2312"/>
        </w:rPr>
        <w:sectPr>
          <w:footerReference r:id="rId5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</w:rPr>
        <w:t xml:space="preserve">      </w:t>
      </w:r>
      <w:r>
        <w:rPr>
          <w:rFonts w:ascii="仿宋_GB2312" w:eastAsia="仿宋_GB2312" w:cs="仿宋_GB2312"/>
        </w:rPr>
        <w:t xml:space="preserve">     </w:t>
      </w: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11EBF01A">
      <w:pPr>
        <w:jc w:val="center"/>
        <w:rPr>
          <w:rFonts w:hint="eastAsia"/>
          <w:b/>
          <w:bCs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3C39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 w14:paraId="3DE23FFB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FCCD0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</w:p>
  <w:p w14:paraId="134110EC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D1CD">
    <w:pPr>
      <w:pStyle w:val="2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8</w:t>
    </w:r>
    <w:r>
      <w:rPr>
        <w:sz w:val="24"/>
        <w:lang w:val="zh-CN"/>
      </w:rPr>
      <w:fldChar w:fldCharType="end"/>
    </w:r>
  </w:p>
  <w:p w14:paraId="1EDB6E01">
    <w:pPr>
      <w:pStyle w:val="2"/>
      <w:ind w:right="360" w:firstLine="360"/>
    </w:pPr>
  </w:p>
  <w:p w14:paraId="2D60B1F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104F7"/>
    <w:rsid w:val="491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2026-04-24T03:11:00Z</dcterms:created>
  <dc:creator>白白</dc:creator>
  <cp:lastModifiedBy>白白</cp:lastModifiedBy>
  <dcterms:modified xsi:type="dcterms:W3CDTF">2026-04-24T03:12:26Z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BAAF8C7EE6124325A4E6FDDB9FC36C1B_11</vt:lpwstr>
  </property>
  <property fmtid="{D5CDD505-2E9C-101B-9397-08002B2CF9AE}" pid="4" name="KSOTemplateDocerSaveRecord">
    <vt:lpwstr>eyJoZGlkIjoiMDY3MzgyZWI2NTQwZTgyMDRjMmFjODg3YTMwOTI2ZDAiLCJ1c2VySWQiOiI5NjE3MTkxODQifQ==</vt:lpwstr>
  </property>
</Properties>
</file>