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9CDB4A">
      <w:pPr>
        <w:pageBreakBefore w:val="0"/>
        <w:kinsoku/>
        <w:wordWrap/>
        <w:topLinePunct w:val="0"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</w:p>
    <w:p w14:paraId="42863D93">
      <w:pPr>
        <w:pageBreakBefore w:val="0"/>
        <w:kinsoku/>
        <w:wordWrap/>
        <w:topLinePunct w:val="0"/>
        <w:bidi w:val="0"/>
        <w:adjustRightInd/>
        <w:snapToGrid/>
        <w:spacing w:line="560" w:lineRule="exact"/>
        <w:ind w:firstLine="72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新建宜昌至涪陵高速铁路（宜昌市境）伍家岗段</w:t>
      </w:r>
    </w:p>
    <w:p w14:paraId="4294F179">
      <w:pPr>
        <w:pageBreakBefore w:val="0"/>
        <w:kinsoku/>
        <w:wordWrap/>
        <w:topLinePunct w:val="0"/>
        <w:bidi w:val="0"/>
        <w:adjustRightInd/>
        <w:snapToGrid/>
        <w:spacing w:line="560" w:lineRule="exact"/>
        <w:ind w:firstLine="72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拟占用城区重点绿地范围及重建方案</w:t>
      </w:r>
    </w:p>
    <w:p w14:paraId="6F9EA7C4">
      <w:pPr>
        <w:pageBreakBefore w:val="0"/>
        <w:kinsoku/>
        <w:wordWrap/>
        <w:topLinePunct w:val="0"/>
        <w:bidi w:val="0"/>
        <w:adjustRightInd/>
        <w:snapToGrid/>
        <w:spacing w:line="560" w:lineRule="exact"/>
        <w:ind w:firstLine="72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 w14:paraId="73E629CF">
      <w:pPr>
        <w:pageBreakBefore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ascii="黑体" w:hAnsi="黑体" w:eastAsia="黑体" w:cs="仿宋_GB2312"/>
          <w:color w:val="000000"/>
          <w:sz w:val="32"/>
          <w:szCs w:val="32"/>
        </w:rPr>
      </w:pPr>
      <w:r>
        <w:rPr>
          <w:rFonts w:hint="eastAsia" w:ascii="黑体" w:hAnsi="黑体" w:eastAsia="黑体" w:cs="仿宋_GB2312"/>
          <w:color w:val="000000"/>
          <w:sz w:val="32"/>
          <w:szCs w:val="32"/>
        </w:rPr>
        <w:t>一、建设项目基本情况</w:t>
      </w:r>
    </w:p>
    <w:p w14:paraId="023C6EC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bookmarkStart w:id="0" w:name="OLE_LINK2"/>
      <w:r>
        <w:rPr>
          <w:rFonts w:hint="eastAsia" w:ascii="仿宋_GB2312" w:hAnsi="仿宋_GB2312" w:eastAsia="仿宋_GB2312" w:cs="仿宋_GB2312"/>
          <w:sz w:val="32"/>
          <w:szCs w:val="32"/>
        </w:rPr>
        <w:t>新</w:t>
      </w:r>
      <w:bookmarkStart w:id="1" w:name="OLE_LINK1"/>
      <w:r>
        <w:rPr>
          <w:rFonts w:hint="eastAsia" w:ascii="仿宋_GB2312" w:hAnsi="仿宋_GB2312" w:eastAsia="仿宋_GB2312" w:cs="仿宋_GB2312"/>
          <w:sz w:val="32"/>
          <w:szCs w:val="32"/>
        </w:rPr>
        <w:t>建宜昌至涪陵高速铁路项目</w:t>
      </w:r>
      <w:bookmarkEnd w:id="1"/>
      <w:r>
        <w:rPr>
          <w:rFonts w:hint="eastAsia" w:ascii="仿宋_GB2312" w:hAnsi="仿宋_GB2312" w:eastAsia="仿宋_GB2312" w:cs="仿宋_GB2312"/>
          <w:sz w:val="32"/>
          <w:szCs w:val="32"/>
        </w:rPr>
        <w:t>涉及伍家岗区正线长4.73公里，联络线3.75公里，经三峡大道、城东大道以北、跨东艳路、桔乡路、东山大道、沿江大道至江南。途经火光村、联丰村、合益村和张家湾社区、艾家嘴社区。</w:t>
      </w:r>
      <w:bookmarkStart w:id="2" w:name="OLE_LINK3"/>
      <w:r>
        <w:rPr>
          <w:rFonts w:hint="eastAsia" w:ascii="仿宋_GB2312" w:hAnsi="仿宋_GB2312" w:eastAsia="仿宋_GB2312" w:cs="仿宋_GB2312"/>
          <w:sz w:val="32"/>
          <w:szCs w:val="32"/>
        </w:rPr>
        <w:t>该项目宜昌伍家岗区段包含两标段，一标段为宜昌枢纽工程，包括新线建设和既有线改造，施工单位为中铁十二局；二标段为宜昌长江公铁大桥，施工单位为中铁大桥局。</w:t>
      </w:r>
      <w:bookmarkEnd w:id="0"/>
      <w:bookmarkEnd w:id="2"/>
      <w:r>
        <w:rPr>
          <w:rFonts w:hint="eastAsia" w:ascii="仿宋_GB2312" w:eastAsia="仿宋_GB2312"/>
          <w:sz w:val="32"/>
          <w:szCs w:val="32"/>
        </w:rPr>
        <w:t>该项目现已取得国家林业和草原局、湖北省林业局使用林地行政许可，且已在我市办理使用林地审批手续。</w:t>
      </w:r>
    </w:p>
    <w:p w14:paraId="59CF0E6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二、</w:t>
      </w:r>
      <w:r>
        <w:rPr>
          <w:rFonts w:hint="eastAsia" w:ascii="黑体" w:hAnsi="仿宋" w:eastAsia="黑体"/>
          <w:color w:val="000000"/>
          <w:kern w:val="0"/>
          <w:sz w:val="32"/>
          <w:szCs w:val="32"/>
        </w:rPr>
        <w:t>拟占用绿地基本情况</w:t>
      </w:r>
    </w:p>
    <w:p w14:paraId="7F78743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根据项目红线图，施工区涉及永久占用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城</w:t>
      </w:r>
      <w:r>
        <w:rPr>
          <w:rFonts w:hint="eastAsia" w:ascii="仿宋_GB2312" w:hAnsi="仿宋_GB2312" w:eastAsia="仿宋_GB2312" w:cs="仿宋_GB2312"/>
          <w:sz w:val="32"/>
          <w:szCs w:val="32"/>
        </w:rPr>
        <w:t>区重点绿地面积84861平方米，其中一标段永久占用双城路山体9438平方米、城乡路山体73385平方米，二标段永久占用滨江公园2038平方米。</w:t>
      </w:r>
      <w:r>
        <w:rPr>
          <w:rFonts w:hint="eastAsia" w:ascii="仿宋_GB2312" w:eastAsia="仿宋_GB2312"/>
          <w:sz w:val="32"/>
          <w:szCs w:val="32"/>
          <w:lang w:eastAsia="zh-CN"/>
        </w:rPr>
        <w:t>（详见附图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17CD37B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以上区域均已纳入城区重点绿地名录实施永久性保护</w:t>
      </w:r>
      <w:r>
        <w:rPr>
          <w:rFonts w:hint="eastAsia" w:ascii="仿宋" w:hAnsi="仿宋" w:eastAsia="仿宋"/>
          <w:sz w:val="32"/>
          <w:szCs w:val="32"/>
        </w:rPr>
        <w:t>。</w:t>
      </w:r>
    </w:p>
    <w:p w14:paraId="2497551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三、拟占用原因</w:t>
      </w:r>
    </w:p>
    <w:p w14:paraId="09D21E1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楷体_GB2312" w:eastAsia="楷体_GB2312"/>
          <w:b/>
          <w:bCs/>
          <w:sz w:val="32"/>
          <w:szCs w:val="32"/>
        </w:rPr>
        <w:t>（一）</w:t>
      </w:r>
      <w:r>
        <w:rPr>
          <w:rFonts w:hint="eastAsia" w:ascii="楷体_GB2312" w:eastAsia="楷体_GB2312"/>
          <w:b/>
          <w:bCs/>
          <w:sz w:val="32"/>
          <w:szCs w:val="32"/>
          <w:lang w:eastAsia="zh-CN"/>
        </w:rPr>
        <w:t>完善</w:t>
      </w:r>
      <w:r>
        <w:rPr>
          <w:rFonts w:hint="eastAsia" w:ascii="楷体_GB2312" w:eastAsia="楷体_GB2312"/>
          <w:b/>
          <w:bCs/>
          <w:sz w:val="32"/>
          <w:szCs w:val="32"/>
        </w:rPr>
        <w:t>宜昌综合立体交通</w:t>
      </w:r>
      <w:r>
        <w:rPr>
          <w:rFonts w:hint="eastAsia" w:ascii="楷体_GB2312" w:eastAsia="楷体_GB2312"/>
          <w:b/>
          <w:bCs/>
          <w:sz w:val="32"/>
          <w:szCs w:val="32"/>
          <w:lang w:eastAsia="zh-CN"/>
        </w:rPr>
        <w:t>，</w:t>
      </w:r>
      <w:r>
        <w:rPr>
          <w:rFonts w:hint="eastAsia" w:ascii="楷体_GB2312" w:eastAsia="楷体_GB2312"/>
          <w:b/>
          <w:bCs/>
          <w:sz w:val="32"/>
          <w:szCs w:val="32"/>
        </w:rPr>
        <w:t>赋能区域高质量发展。</w:t>
      </w: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</w:rPr>
        <w:t>宜涪高铁</w:t>
      </w: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  <w:lang w:val="en-US" w:eastAsia="zh-CN"/>
        </w:rPr>
        <w:t>服务沿江高铁与呼南高铁，彻底解决宜昌高铁“江南江北不通”的瓶颈，形成高铁、公路、城市轨道三位一体过江，</w:t>
      </w:r>
      <w:r>
        <w:rPr>
          <w:rFonts w:ascii="仿宋_GB2312" w:eastAsia="仿宋_GB2312"/>
          <w:color w:val="000000"/>
          <w:sz w:val="32"/>
          <w:szCs w:val="32"/>
          <w:shd w:val="clear" w:color="auto" w:fill="FFFFFF"/>
          <w:lang w:val="en-US" w:eastAsia="zh-CN"/>
        </w:rPr>
        <w:t>将宜昌从 “区域节点” 升级为长江中上游水铁公空综合枢纽</w:t>
      </w: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  <w:lang w:val="en-US" w:eastAsia="zh-CN"/>
        </w:rPr>
        <w:t>，</w:t>
      </w: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  <w:lang w:eastAsia="zh-CN"/>
        </w:rPr>
        <w:t>对宜昌具有重大意义</w:t>
      </w:r>
      <w:r>
        <w:rPr>
          <w:rFonts w:ascii="仿宋_GB2312" w:eastAsia="仿宋_GB2312"/>
          <w:color w:val="000000"/>
          <w:sz w:val="32"/>
          <w:szCs w:val="32"/>
          <w:shd w:val="clear" w:color="auto" w:fill="FFFFFF"/>
          <w:lang w:val="en-US" w:eastAsia="zh-CN"/>
        </w:rPr>
        <w:t>。</w:t>
      </w:r>
      <w:r>
        <w:rPr>
          <w:rFonts w:ascii="仿宋_GB2312" w:eastAsia="仿宋_GB2312"/>
          <w:color w:val="000000"/>
          <w:sz w:val="32"/>
          <w:szCs w:val="32"/>
          <w:shd w:val="clear" w:color="auto" w:fill="FFFFFF"/>
        </w:rPr>
        <w:t>其建设对推动长江经济带高质量发展、加速川渝地区与华中、华东地区要素流动、促进区域协调发展具有不可替代的重大战略意义</w:t>
      </w: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</w:rPr>
        <w:t>，是宜昌“十五五”时期完善综合立体交通网络、赋能区域高质量发展的关键支撑。</w:t>
      </w:r>
    </w:p>
    <w:p w14:paraId="59B5CEF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0" w:firstLineChars="196"/>
        <w:textAlignment w:val="auto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楷体_GB2312" w:eastAsia="楷体_GB2312"/>
          <w:b/>
          <w:bCs/>
          <w:sz w:val="32"/>
          <w:szCs w:val="32"/>
        </w:rPr>
        <w:t>（二）缩短出行时间，提升交通效率。</w:t>
      </w: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  <w:lang w:val="en-US" w:eastAsia="zh-CN"/>
        </w:rPr>
        <w:t>宜昌是宜涪高铁（沿江高铁宜涪段）的起点枢纽、鄂西门户与关键控制性节点，也是沿江高铁贯通长三角至成渝的核心衔接点。</w:t>
      </w:r>
      <w:r>
        <w:rPr>
          <w:rFonts w:ascii="仿宋_GB2312" w:eastAsia="仿宋_GB2312"/>
          <w:color w:val="000000"/>
          <w:sz w:val="32"/>
          <w:szCs w:val="32"/>
          <w:shd w:val="clear" w:color="auto" w:fill="FFFFFF"/>
        </w:rPr>
        <w:t>宜涪高铁建成通车后，宜昌至重庆将由4个半小时缩短至2小时左右，</w:t>
      </w:r>
      <w:r>
        <w:rPr>
          <w:rFonts w:ascii="仿宋_GB2312" w:eastAsia="仿宋_GB2312"/>
          <w:color w:val="000000"/>
          <w:sz w:val="32"/>
          <w:szCs w:val="32"/>
          <w:shd w:val="clear" w:color="auto" w:fill="FFFFFF"/>
          <w:lang w:val="en-US" w:eastAsia="zh-CN"/>
        </w:rPr>
        <w:t>成渝</w:t>
      </w: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  <w:lang w:val="en-US" w:eastAsia="zh-CN"/>
        </w:rPr>
        <w:t>-</w:t>
      </w:r>
      <w:r>
        <w:rPr>
          <w:rFonts w:ascii="仿宋_GB2312" w:eastAsia="仿宋_GB2312"/>
          <w:color w:val="000000"/>
          <w:sz w:val="32"/>
          <w:szCs w:val="32"/>
          <w:shd w:val="clear" w:color="auto" w:fill="FFFFFF"/>
          <w:lang w:val="en-US" w:eastAsia="zh-CN"/>
        </w:rPr>
        <w:t>华中一日通勤圈成型，宜昌成为成渝东出、华东西进的必经门户</w:t>
      </w: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  <w:lang w:val="en-US" w:eastAsia="zh-CN"/>
        </w:rPr>
        <w:t>。</w:t>
      </w:r>
    </w:p>
    <w:p w14:paraId="1E5F2BB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_GB2312" w:eastAsia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楷体_GB2312" w:eastAsia="楷体_GB2312"/>
          <w:b/>
          <w:bCs/>
          <w:sz w:val="32"/>
          <w:szCs w:val="32"/>
        </w:rPr>
        <w:t>（三）按照铁路设计规范，无法避让绿地。</w:t>
      </w:r>
      <w:r>
        <w:rPr>
          <w:rFonts w:ascii="仿宋_GB2312" w:eastAsia="仿宋_GB2312"/>
          <w:color w:val="000000"/>
          <w:sz w:val="32"/>
          <w:szCs w:val="32"/>
          <w:shd w:val="clear" w:color="auto" w:fill="FFFFFF"/>
        </w:rPr>
        <w:t>宜涪高铁宜昌境内线路全长140.994公里，自金巴岭线路所引出，途经伍家岗区、点军区、长阳土家族自治县、宜都市和五峰土家族自治县。其中伍家岗段作为线路起始区段，既是宜涪高铁与既有武宜高铁正线衔接的咽喉区段，也是宜昌长江公铁大桥的北岸登陆区段，承担着高铁线路过江和城区接入的核心枢纽功能</w:t>
      </w: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</w:rPr>
        <w:t>。</w:t>
      </w:r>
      <w:r>
        <w:rPr>
          <w:rFonts w:ascii="仿宋_GB2312" w:eastAsia="仿宋_GB2312"/>
          <w:color w:val="000000"/>
          <w:sz w:val="32"/>
          <w:szCs w:val="32"/>
          <w:shd w:val="clear" w:color="auto" w:fill="FFFFFF"/>
        </w:rPr>
        <w:t>宜涪高铁全线选线方案均在深入研究沿线地质灾害分布、矿产压覆、生态保护红线等限制性因素的基础上，经多方案比选后形成，确属最优方案，对部分绿地和山体的占用属工程选址无法避免</w:t>
      </w: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</w:rPr>
        <w:t>。</w:t>
      </w:r>
    </w:p>
    <w:p w14:paraId="687B7D7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重建</w:t>
      </w:r>
      <w:r>
        <w:rPr>
          <w:rFonts w:hint="eastAsia" w:ascii="黑体" w:hAnsi="黑体" w:eastAsia="黑体" w:cs="黑体"/>
          <w:sz w:val="32"/>
          <w:szCs w:val="32"/>
        </w:rPr>
        <w:t>方案</w:t>
      </w:r>
    </w:p>
    <w:p w14:paraId="2B29EC3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按照《条例》规定，</w:t>
      </w:r>
      <w:r>
        <w:rPr>
          <w:rFonts w:ascii="仿宋_GB2312" w:eastAsia="仿宋_GB2312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</w:rPr>
        <w:t>经批准占用城区重点绿地或者改变其规划用途的，建设单位应当依照市人民政府城市园林绿化主管部门指定，重建同等以上面积的绿地</w:t>
      </w:r>
      <w:r>
        <w:rPr>
          <w:rFonts w:ascii="仿宋_GB2312" w:eastAsia="仿宋_GB2312"/>
          <w:sz w:val="32"/>
          <w:szCs w:val="32"/>
        </w:rPr>
        <w:t>”</w:t>
      </w:r>
      <w:r>
        <w:rPr>
          <w:rFonts w:hint="eastAsia" w:ascii="仿宋_GB2312" w:eastAsia="仿宋_GB2312"/>
          <w:sz w:val="32"/>
          <w:szCs w:val="32"/>
        </w:rPr>
        <w:t>。根据《宜昌市城区重点绿地重建和恢复办法》，占用公园绿地或广场用地的，优先选用公园绿地类规划实施重建；占用山体的，优先选用山体实施重建。</w:t>
      </w:r>
    </w:p>
    <w:p w14:paraId="2EA896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按照占补平衡的原则，拟用位于伍家岗区部分桔乡路山体（66546平方米）、中南一路山体（22975平方米）和联丰山生态公园（2355平方米）部分地块进行置换。</w:t>
      </w:r>
      <w:bookmarkStart w:id="3" w:name="OLE_LINK4"/>
      <w:r>
        <w:rPr>
          <w:rFonts w:hint="eastAsia" w:ascii="仿宋_GB2312" w:eastAsia="仿宋_GB2312"/>
          <w:sz w:val="32"/>
          <w:szCs w:val="32"/>
        </w:rPr>
        <w:t>置换绿地面积大于永久占用面积，符合条例规定。</w:t>
      </w:r>
      <w:r>
        <w:rPr>
          <w:rFonts w:hint="eastAsia" w:ascii="仿宋_GB2312" w:eastAsia="仿宋_GB2312"/>
          <w:sz w:val="32"/>
          <w:szCs w:val="32"/>
          <w:lang w:eastAsia="zh-CN"/>
        </w:rPr>
        <w:t>（详见附图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1F28AFF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联丰山生态公园已于2023年建成开放，用地性质为公园绿地，现由伍家岗区园林中心负责管养。拟置换桔乡路山体、中南一路山体地块紧邻联丰山生态公园，为城区保留山体，权属为村集体林地。置换地块已</w:t>
      </w:r>
      <w:r>
        <w:rPr>
          <w:rFonts w:hint="eastAsia" w:ascii="仿宋_GB2312" w:eastAsia="仿宋_GB2312"/>
          <w:sz w:val="32"/>
          <w:szCs w:val="32"/>
          <w:lang w:eastAsia="zh-CN"/>
        </w:rPr>
        <w:t>与</w:t>
      </w:r>
      <w:r>
        <w:rPr>
          <w:rFonts w:hint="eastAsia" w:ascii="仿宋_GB2312" w:eastAsia="仿宋_GB2312"/>
          <w:sz w:val="32"/>
          <w:szCs w:val="32"/>
        </w:rPr>
        <w:t>区规划部门核实，不涉及耕地、建设用地、生态保护红线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</w:p>
    <w:p w14:paraId="1F2F921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</w:rPr>
        <w:sectPr>
          <w:pgSz w:w="11906" w:h="16838"/>
          <w:pgMar w:top="2098" w:right="1474" w:bottom="1928" w:left="1588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eastAsia="仿宋_GB2312"/>
          <w:sz w:val="32"/>
          <w:szCs w:val="32"/>
          <w:lang w:eastAsia="zh-CN"/>
        </w:rPr>
        <w:t>以上</w:t>
      </w:r>
      <w:r>
        <w:rPr>
          <w:rFonts w:hint="eastAsia" w:ascii="仿宋_GB2312" w:eastAsia="仿宋_GB2312"/>
          <w:sz w:val="32"/>
          <w:szCs w:val="32"/>
        </w:rPr>
        <w:t>方案通过</w:t>
      </w:r>
      <w:bookmarkStart w:id="4" w:name="_GoBack"/>
      <w:bookmarkEnd w:id="4"/>
      <w:r>
        <w:rPr>
          <w:rFonts w:hint="eastAsia" w:ascii="仿宋_GB2312" w:eastAsia="仿宋_GB2312"/>
          <w:sz w:val="32"/>
          <w:szCs w:val="32"/>
        </w:rPr>
        <w:t>后，置换地块</w:t>
      </w:r>
      <w:r>
        <w:rPr>
          <w:rFonts w:hint="eastAsia" w:ascii="仿宋_GB2312" w:eastAsia="仿宋_GB2312"/>
          <w:sz w:val="32"/>
          <w:szCs w:val="32"/>
          <w:lang w:eastAsia="zh-CN"/>
        </w:rPr>
        <w:t>将按程序</w:t>
      </w:r>
      <w:r>
        <w:rPr>
          <w:rFonts w:hint="eastAsia" w:ascii="仿宋_GB2312" w:eastAsia="仿宋_GB2312"/>
          <w:sz w:val="32"/>
          <w:szCs w:val="32"/>
        </w:rPr>
        <w:t>纳入</w:t>
      </w:r>
      <w:r>
        <w:rPr>
          <w:rFonts w:hint="eastAsia" w:ascii="仿宋_GB2312" w:eastAsia="仿宋_GB2312"/>
          <w:sz w:val="32"/>
          <w:szCs w:val="32"/>
          <w:lang w:eastAsia="zh-CN"/>
        </w:rPr>
        <w:t>城区</w:t>
      </w:r>
      <w:r>
        <w:rPr>
          <w:rFonts w:hint="eastAsia" w:ascii="仿宋_GB2312" w:eastAsia="仿宋_GB2312"/>
          <w:sz w:val="32"/>
          <w:szCs w:val="32"/>
        </w:rPr>
        <w:t>重点绿地保护范围，</w:t>
      </w:r>
      <w:r>
        <w:rPr>
          <w:rFonts w:hint="eastAsia" w:ascii="仿宋_GB2312" w:eastAsia="仿宋_GB2312"/>
          <w:sz w:val="32"/>
          <w:szCs w:val="32"/>
          <w:lang w:eastAsia="zh-CN"/>
        </w:rPr>
        <w:t>并进行山体修复提升，</w:t>
      </w:r>
      <w:r>
        <w:rPr>
          <w:rFonts w:hint="eastAsia" w:ascii="仿宋_GB2312" w:eastAsia="仿宋_GB2312"/>
          <w:sz w:val="32"/>
          <w:szCs w:val="32"/>
        </w:rPr>
        <w:t>确保宜昌市城区永久性保护重点绿地面积不减少、品质不下降。</w:t>
      </w:r>
      <w:bookmarkEnd w:id="3"/>
    </w:p>
    <w:p w14:paraId="4BFE623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eastAsia="仿宋_GB2312"/>
          <w:sz w:val="32"/>
          <w:szCs w:val="32"/>
          <w:lang w:val="en-US"/>
        </w:rPr>
      </w:pPr>
      <w:r>
        <w:rPr>
          <w:rFonts w:ascii="方正小标宋简体" w:hAnsi="方正小标宋简体" w:eastAsia="方正小标宋简体" w:cs="方正小标宋简体"/>
          <w:sz w:val="44"/>
          <w:szCs w:val="4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-258445</wp:posOffset>
            </wp:positionH>
            <wp:positionV relativeFrom="page">
              <wp:posOffset>1369060</wp:posOffset>
            </wp:positionV>
            <wp:extent cx="8610600" cy="4939030"/>
            <wp:effectExtent l="0" t="0" r="0" b="13970"/>
            <wp:wrapTopAndBottom/>
            <wp:docPr id="4" name="图片 3" descr="1.宜涪铁路永久占用重点绿地示意图（伍家岗区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1.宜涪铁路永久占用重点绿地示意图（伍家岗区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493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t>附图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1：拟占用示意图</w:t>
      </w:r>
    </w:p>
    <w:p w14:paraId="691648C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eastAsia="仿宋_GB2312"/>
          <w:sz w:val="32"/>
          <w:szCs w:val="32"/>
          <w:lang w:val="en-US"/>
        </w:rPr>
        <w:sectPr>
          <w:pgSz w:w="16838" w:h="11906" w:orient="landscape"/>
          <w:pgMar w:top="1588" w:right="2098" w:bottom="1474" w:left="1928" w:header="851" w:footer="992" w:gutter="0"/>
          <w:cols w:space="425" w:num="1"/>
          <w:docGrid w:type="lines" w:linePitch="312" w:charSpace="0"/>
        </w:sectPr>
      </w:pPr>
      <w:r>
        <w:rPr>
          <w:rFonts w:ascii="方正小标宋简体" w:hAnsi="方正小标宋简体" w:eastAsia="方正小标宋简体" w:cs="方正小标宋简体"/>
          <w:sz w:val="44"/>
          <w:szCs w:val="4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46355</wp:posOffset>
            </wp:positionH>
            <wp:positionV relativeFrom="page">
              <wp:posOffset>1388110</wp:posOffset>
            </wp:positionV>
            <wp:extent cx="8084820" cy="5299075"/>
            <wp:effectExtent l="0" t="0" r="11430" b="15875"/>
            <wp:wrapSquare wrapText="bothSides"/>
            <wp:docPr id="80754480" name="图片 3" descr="拟置换地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4480" name="图片 3" descr="拟置换地块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8482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t>附图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2：还建区域示意图</w:t>
      </w:r>
    </w:p>
    <w:p w14:paraId="3EA4A058">
      <w:pPr>
        <w:pageBreakBefore w:val="0"/>
        <w:kinsoku/>
        <w:wordWrap/>
        <w:topLinePunct w:val="0"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theme="minorBidi"/>
          <w:b w:val="0"/>
          <w:bCs w:val="0"/>
          <w:color w:val="auto"/>
          <w:kern w:val="0"/>
          <w:sz w:val="28"/>
          <w:szCs w:val="28"/>
          <w:highlight w:val="none"/>
          <w:lang w:val="en-US" w:eastAsia="zh-CN" w:bidi="ar"/>
        </w:rPr>
      </w:pPr>
    </w:p>
    <w:sectPr>
      <w:pgSz w:w="11906" w:h="16838"/>
      <w:pgMar w:top="2098" w:right="1474" w:bottom="1928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43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0000000" w:usb3="00000000" w:csb0="2000019F" w:csb1="0000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altName w:val="Times New Roman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altName w:val="仿宋_GB2312"/>
    <w:panose1 w:val="02010609060101010101"/>
    <w:charset w:val="86"/>
    <w:family w:val="modern"/>
    <w:pitch w:val="default"/>
    <w:sig w:usb0="00000000" w:usb1="0000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137B7E"/>
    <w:multiLevelType w:val="multilevel"/>
    <w:tmpl w:val="55137B7E"/>
    <w:lvl w:ilvl="0" w:tentative="0">
      <w:start w:val="1"/>
      <w:numFmt w:val="decimal"/>
      <w:suff w:val="nothing"/>
      <w:lvlText w:val="%1"/>
      <w:lvlJc w:val="left"/>
      <w:pPr>
        <w:ind w:left="0" w:firstLine="0"/>
      </w:pPr>
      <w:rPr>
        <w:rFonts w:hint="default" w:ascii="Arial" w:hAnsi="Arial" w:eastAsia="黑体"/>
        <w:b w:val="0"/>
        <w:i w:val="0"/>
        <w:sz w:val="36"/>
        <w:szCs w:val="32"/>
      </w:rPr>
    </w:lvl>
    <w:lvl w:ilvl="1" w:tentative="0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 w:ascii="Arial" w:hAnsi="Arial" w:eastAsia="黑体"/>
        <w:b w:val="0"/>
        <w:i w:val="0"/>
        <w:color w:val="auto"/>
        <w:sz w:val="32"/>
        <w:szCs w:val="28"/>
        <w:u w:val="none"/>
      </w:rPr>
    </w:lvl>
    <w:lvl w:ilvl="2" w:tentative="0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 w:ascii="Arial" w:hAnsi="Arial" w:cs="Arial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 w:tentative="0">
      <w:start w:val="1"/>
      <w:numFmt w:val="decimal"/>
      <w:suff w:val="nothing"/>
      <w:lvlText w:val="%1.%2.%3.%4"/>
      <w:lvlJc w:val="left"/>
      <w:pPr>
        <w:ind w:left="3545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4" w:tentative="0">
      <w:start w:val="1"/>
      <w:numFmt w:val="decimal"/>
      <w:lvlText w:val="%5)"/>
      <w:lvlJc w:val="left"/>
      <w:pPr>
        <w:ind w:left="0" w:firstLine="0"/>
      </w:pPr>
      <w:rPr>
        <w:rFonts w:hint="eastAsia" w:ascii="楷体_GB2312" w:eastAsia="楷体_GB2312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0"/>
      </w:pPr>
      <w:rPr>
        <w:rFonts w:hint="default" w:ascii="仿宋_GB2312" w:hAnsi="Arial" w:eastAsia="仿宋_GB2312"/>
        <w:b w:val="0"/>
        <w:i w:val="0"/>
        <w:color w:val="auto"/>
        <w:sz w:val="28"/>
      </w:rPr>
    </w:lvl>
    <w:lvl w:ilvl="6" w:tentative="0">
      <w:start w:val="1"/>
      <w:numFmt w:val="upperLetter"/>
      <w:suff w:val="nothing"/>
      <w:lvlText w:val="%7）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lvlRestart w:val="2"/>
      <w:pStyle w:val="14"/>
      <w:suff w:val="nothing"/>
      <w:lvlText w:val="图%1.%2-%8"/>
      <w:lvlJc w:val="left"/>
      <w:pPr>
        <w:ind w:left="0" w:firstLine="0"/>
      </w:pPr>
      <w:rPr>
        <w:rFonts w:ascii="黑体" w:hAnsi="黑体" w:eastAsia="黑体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8" w:tentative="0">
      <w:start w:val="1"/>
      <w:numFmt w:val="decimal"/>
      <w:lvlRestart w:val="2"/>
      <w:pStyle w:val="20"/>
      <w:suff w:val="nothing"/>
      <w:lvlText w:val="表%1.%2-%9"/>
      <w:lvlJc w:val="left"/>
      <w:pPr>
        <w:ind w:left="318" w:firstLine="0"/>
      </w:pPr>
      <w:rPr>
        <w:rFonts w:hint="eastAsia" w:ascii="黑体" w:hAnsi="黑体" w:eastAsia="黑体"/>
        <w:b w:val="0"/>
        <w:i w:val="0"/>
        <w:sz w:val="24"/>
        <w:lang w:val="en-US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3F0721"/>
    <w:rsid w:val="05FA0F2A"/>
    <w:rsid w:val="072057C0"/>
    <w:rsid w:val="17476122"/>
    <w:rsid w:val="23ED3ED2"/>
    <w:rsid w:val="24FC40EF"/>
    <w:rsid w:val="313148F7"/>
    <w:rsid w:val="4D4C1A3C"/>
    <w:rsid w:val="533F0721"/>
    <w:rsid w:val="54F99DA7"/>
    <w:rsid w:val="57AF47B1"/>
    <w:rsid w:val="611416B3"/>
    <w:rsid w:val="6370D462"/>
    <w:rsid w:val="779F702D"/>
    <w:rsid w:val="7DEFB392"/>
    <w:rsid w:val="9F3E9C3D"/>
    <w:rsid w:val="AAFF55EA"/>
    <w:rsid w:val="AFBFFB56"/>
    <w:rsid w:val="F3D7F2FF"/>
    <w:rsid w:val="F6DEB79D"/>
    <w:rsid w:val="FEF8FF7D"/>
    <w:rsid w:val="FFFF6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unhideWhenUsed/>
    <w:qFormat/>
    <w:uiPriority w:val="0"/>
    <w:pPr>
      <w:ind w:firstLine="420"/>
    </w:pPr>
  </w:style>
  <w:style w:type="paragraph" w:styleId="4">
    <w:name w:val="caption"/>
    <w:basedOn w:val="1"/>
    <w:next w:val="1"/>
    <w:unhideWhenUsed/>
    <w:qFormat/>
    <w:uiPriority w:val="35"/>
    <w:pPr>
      <w:spacing w:line="240" w:lineRule="auto"/>
      <w:ind w:firstLine="0" w:firstLineChars="0"/>
    </w:pPr>
    <w:rPr>
      <w:rFonts w:ascii="Cambria" w:hAnsi="Cambria" w:eastAsia="黑体"/>
      <w:sz w:val="20"/>
      <w:szCs w:val="20"/>
    </w:rPr>
  </w:style>
  <w:style w:type="paragraph" w:styleId="5">
    <w:name w:val="Body Text"/>
    <w:basedOn w:val="1"/>
    <w:next w:val="6"/>
    <w:unhideWhenUsed/>
    <w:qFormat/>
    <w:uiPriority w:val="0"/>
    <w:pPr>
      <w:wordWrap w:val="0"/>
      <w:spacing w:after="240" w:line="300" w:lineRule="atLeast"/>
    </w:pPr>
    <w:rPr>
      <w:rFonts w:ascii="黑体" w:eastAsia="黑体"/>
      <w:b/>
      <w:bCs/>
      <w:kern w:val="0"/>
      <w:sz w:val="44"/>
      <w:szCs w:val="18"/>
    </w:rPr>
  </w:style>
  <w:style w:type="paragraph" w:styleId="6">
    <w:name w:val="toc 5"/>
    <w:basedOn w:val="1"/>
    <w:next w:val="1"/>
    <w:qFormat/>
    <w:uiPriority w:val="0"/>
    <w:pPr>
      <w:ind w:left="1680" w:leftChars="800"/>
    </w:p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8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paragraph" w:customStyle="1" w:styleId="14">
    <w:name w:val="图片_图名"/>
    <w:basedOn w:val="1"/>
    <w:next w:val="15"/>
    <w:qFormat/>
    <w:uiPriority w:val="0"/>
    <w:pPr>
      <w:numPr>
        <w:ilvl w:val="7"/>
        <w:numId w:val="1"/>
      </w:numPr>
      <w:spacing w:line="240" w:lineRule="auto"/>
      <w:ind w:firstLineChars="0"/>
      <w:jc w:val="center"/>
      <w:outlineLvl w:val="8"/>
    </w:pPr>
    <w:rPr>
      <w:rFonts w:ascii="黑体" w:eastAsia="黑体"/>
      <w:kern w:val="0"/>
      <w:sz w:val="24"/>
      <w:szCs w:val="24"/>
    </w:rPr>
  </w:style>
  <w:style w:type="paragraph" w:customStyle="1" w:styleId="15">
    <w:name w:val="段落_段落P"/>
    <w:basedOn w:val="16"/>
    <w:qFormat/>
    <w:uiPriority w:val="0"/>
    <w:pPr>
      <w:tabs>
        <w:tab w:val="left" w:pos="420"/>
      </w:tabs>
    </w:pPr>
    <w:rPr>
      <w:rFonts w:ascii="Times New Roman" w:hAnsi="Times New Roman" w:eastAsia="宋体" w:cs="Arial Unicode MS"/>
      <w:lang w:val="en-US"/>
    </w:rPr>
  </w:style>
  <w:style w:type="paragraph" w:customStyle="1" w:styleId="16">
    <w:name w:val="正文W"/>
    <w:basedOn w:val="17"/>
    <w:qFormat/>
    <w:uiPriority w:val="0"/>
    <w:rPr>
      <w:lang w:val="zh-CN"/>
    </w:rPr>
  </w:style>
  <w:style w:type="paragraph" w:customStyle="1" w:styleId="17">
    <w:name w:val="正  文"/>
    <w:basedOn w:val="18"/>
    <w:qFormat/>
    <w:uiPriority w:val="0"/>
    <w:pPr>
      <w:textAlignment w:val="baseline"/>
    </w:pPr>
    <w:rPr>
      <w:kern w:val="0"/>
      <w:szCs w:val="28"/>
    </w:rPr>
  </w:style>
  <w:style w:type="paragraph" w:customStyle="1" w:styleId="18">
    <w:name w:val="正文-01"/>
    <w:basedOn w:val="1"/>
    <w:qFormat/>
    <w:uiPriority w:val="0"/>
    <w:rPr>
      <w:szCs w:val="20"/>
    </w:rPr>
  </w:style>
  <w:style w:type="paragraph" w:customStyle="1" w:styleId="19">
    <w:name w:val="图片_插图T"/>
    <w:basedOn w:val="1"/>
    <w:next w:val="14"/>
    <w:qFormat/>
    <w:uiPriority w:val="0"/>
    <w:pPr>
      <w:spacing w:line="240" w:lineRule="auto"/>
      <w:ind w:firstLine="0" w:firstLineChars="0"/>
      <w:jc w:val="center"/>
    </w:pPr>
    <w:rPr>
      <w:rFonts w:ascii="黑体" w:eastAsia="黑体"/>
      <w:kern w:val="0"/>
      <w:sz w:val="24"/>
      <w:szCs w:val="24"/>
    </w:rPr>
  </w:style>
  <w:style w:type="paragraph" w:customStyle="1" w:styleId="20">
    <w:name w:val="0表名（B)"/>
    <w:basedOn w:val="4"/>
    <w:next w:val="1"/>
    <w:qFormat/>
    <w:uiPriority w:val="0"/>
    <w:pPr>
      <w:keepNext/>
      <w:numPr>
        <w:ilvl w:val="8"/>
        <w:numId w:val="2"/>
      </w:numPr>
      <w:tabs>
        <w:tab w:val="center" w:pos="4515"/>
        <w:tab w:val="right" w:pos="8925"/>
      </w:tabs>
      <w:spacing w:after="60" w:line="560" w:lineRule="exact"/>
      <w:ind w:left="318" w:leftChars="0" w:firstLine="240" w:firstLineChars="100"/>
      <w:jc w:val="left"/>
      <w:outlineLvl w:val="7"/>
    </w:pPr>
    <w:rPr>
      <w:rFonts w:ascii="黑体" w:hAnsi="黑体" w:eastAsia="黑体" w:cs="黑体"/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40</TotalTime>
  <ScaleCrop>false</ScaleCrop>
  <LinksUpToDate>false</LinksUpToDate>
  <CharactersWithSpaces>0</CharactersWithSpaces>
  <Application>WPS Office_12.8.2.21176_F1E327BC-269C-435d-A152-05C5408002CA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2026-03-06T17:38:00Z</dcterms:created>
  <dc:creator>liying5</dc:creator>
  <cp:lastModifiedBy>侯黎梦</cp:lastModifiedBy>
  <dcterms:modified xsi:type="dcterms:W3CDTF">2026-04-29T14:09:42Z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2052-12.8.2.21176</vt:lpwstr>
  </property>
  <property fmtid="{D5CDD505-2E9C-101B-9397-08002B2CF9AE}" pid="3" name="ICV">
    <vt:lpwstr>EEE6B14B6045A7A0EB81AE69FF61117A_43</vt:lpwstr>
  </property>
</Properties>
</file>