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val="en-US" w:eastAsia="zh-CN"/>
        </w:rPr>
        <w:t>宜昌市交通运输局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val="en-US" w:eastAsia="zh-CN"/>
        </w:rPr>
        <w:t>关于宜昌市2025年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新增纳入交通运输部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规模以上企业奖补资金分配方案的</w:t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根据《宜昌市推动服务业发展若干措施》</w:t>
      </w:r>
      <w:r>
        <w:rPr>
          <w:rFonts w:hint="eastAsia" w:cs="Times New Roman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宜府办函〔2025〕22号</w:t>
      </w:r>
      <w:r>
        <w:rPr>
          <w:rFonts w:hint="eastAsia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cs="Times New Roman"/>
          <w:sz w:val="32"/>
          <w:szCs w:val="32"/>
          <w:lang w:val="en-US" w:eastAsia="zh-CN"/>
        </w:rPr>
        <w:t>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宜昌市推动服务业发展若干措施</w:t>
      </w:r>
      <w:r>
        <w:rPr>
          <w:rFonts w:hint="eastAsia" w:cs="Times New Roman"/>
          <w:sz w:val="32"/>
          <w:szCs w:val="32"/>
          <w:lang w:val="en-US" w:eastAsia="zh-CN"/>
        </w:rPr>
        <w:t>〉实施细则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宜发改服务</w:t>
      </w:r>
      <w:r>
        <w:rPr>
          <w:rFonts w:hint="eastAsia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2026〕21号</w:t>
      </w:r>
      <w:r>
        <w:rPr>
          <w:rFonts w:hint="eastAsia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交通运输主管部门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现对我市2025年新增纳入交通运输部规模以上公路货运企业奖补资金分配方案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进行公示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，请社会各界监督。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根据</w:t>
      </w:r>
      <w:r>
        <w:rPr>
          <w:rFonts w:hint="eastAsia" w:cs="Times New Roman"/>
          <w:sz w:val="32"/>
          <w:szCs w:val="32"/>
          <w:lang w:eastAsia="zh-CN"/>
        </w:rPr>
        <w:t>文件</w:t>
      </w:r>
      <w:r>
        <w:rPr>
          <w:rFonts w:hint="eastAsia" w:eastAsia="仿宋_GB2312" w:cs="Times New Roman"/>
          <w:sz w:val="32"/>
          <w:szCs w:val="32"/>
          <w:lang w:eastAsia="zh-CN"/>
        </w:rPr>
        <w:t>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奖补资金依据现行财政体制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由市、区两级按照5∶5的比例分担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县市及夷陵区自行负担。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被公示的企业或者其他单位、个人对公示结果有异议的，请于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公示期内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向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我</w:t>
      </w:r>
      <w:r>
        <w:rPr>
          <w:rFonts w:hint="eastAsia" w:eastAsia="仿宋_GB2312" w:cs="Times New Roman"/>
          <w:kern w:val="1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书面申述或者举报，举报人应署实名或单位名称，并附联系方式，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逾期不再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联系人：</w:t>
      </w:r>
      <w:r>
        <w:rPr>
          <w:rFonts w:hint="eastAsia" w:eastAsia="仿宋_GB2312" w:cs="Times New Roman"/>
          <w:kern w:val="1"/>
          <w:sz w:val="32"/>
          <w:szCs w:val="32"/>
          <w:lang w:eastAsia="zh-CN"/>
        </w:rPr>
        <w:t>周驰力</w:t>
      </w:r>
      <w:r>
        <w:rPr>
          <w:rFonts w:hint="eastAsia" w:cs="Times New Roman"/>
          <w:kern w:val="1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联系电话：0717-62</w:t>
      </w:r>
      <w:r>
        <w:rPr>
          <w:rFonts w:hint="eastAsia" w:eastAsia="仿宋_GB2312" w:cs="Times New Roman"/>
          <w:kern w:val="1"/>
          <w:sz w:val="32"/>
          <w:szCs w:val="32"/>
          <w:lang w:val="en-US" w:eastAsia="zh-CN"/>
        </w:rPr>
        <w:t>25087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left"/>
        <w:textAlignment w:val="auto"/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：</w:t>
      </w:r>
      <w:r>
        <w:rPr>
          <w:rFonts w:hint="eastAsia" w:cs="Times New Roman"/>
          <w:kern w:val="1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年新增纳入交通运输部规模以上公路货运企业名单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宜昌市</w:t>
      </w:r>
      <w:r>
        <w:rPr>
          <w:rFonts w:hint="eastAsia" w:eastAsia="仿宋_GB2312" w:cs="Times New Roman"/>
          <w:kern w:val="1"/>
          <w:sz w:val="32"/>
          <w:szCs w:val="32"/>
          <w:lang w:val="en-US" w:eastAsia="zh-CN"/>
        </w:rPr>
        <w:t>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20</w:t>
      </w:r>
      <w:r>
        <w:rPr>
          <w:rFonts w:hint="eastAsia" w:cs="Times New Roman"/>
          <w:kern w:val="1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年</w:t>
      </w:r>
      <w:r>
        <w:rPr>
          <w:rFonts w:hint="eastAsia" w:cs="Times New Roman"/>
          <w:kern w:val="1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月</w:t>
      </w:r>
      <w:r>
        <w:rPr>
          <w:rFonts w:hint="eastAsia" w:cs="Times New Roman"/>
          <w:kern w:val="1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日</w:t>
      </w:r>
    </w:p>
    <w:p>
      <w:pPr>
        <w:tabs>
          <w:tab w:val="left" w:pos="61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tbl>
      <w:tblPr>
        <w:tblStyle w:val="5"/>
        <w:tblW w:w="88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00"/>
        <w:gridCol w:w="4350"/>
        <w:gridCol w:w="2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1"/>
                <w:sz w:val="32"/>
                <w:szCs w:val="32"/>
                <w:lang w:val="en-US" w:eastAsia="zh-CN"/>
              </w:rPr>
              <w:t>2025年新增纳入交通运输部规模以上公路货运企业名单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西陵区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宜昌鸿隆建设工程有限公司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伍家区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湖北吉安达物流有限公司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猇亭区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宜昌盛茂商贸有限公司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点军区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湖北众垚土石方工程有限公司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宜昌芸璐晟泓物流有限公司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枝江市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宜昌和泰物流有限公司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宜昌市瑞弘物流有限公司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宜昌金泽夯森化工有限公司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当阳市长盛运输有限公司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湖北枫晟物流有限公司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宜昌骏华物流有限责任公司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融合电卡（宜昌）供应链有限公司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智连优达（宜昌）物流有限公司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1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3E0D1C-BC49-4159-91E1-A4D0CAB5C5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CBE40E5-29CF-46C9-871D-278C89EAF0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1B2FD32-AC66-4D70-A75F-5A6FC53AE9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N2NiZDM0NjUyM2Q3OTA5MmQzYzJlNTQ2ODQ1NjcifQ=="/>
  </w:docVars>
  <w:rsids>
    <w:rsidRoot w:val="00000000"/>
    <w:rsid w:val="09E81194"/>
    <w:rsid w:val="0C206374"/>
    <w:rsid w:val="11BA012C"/>
    <w:rsid w:val="176F7E76"/>
    <w:rsid w:val="1E314DD2"/>
    <w:rsid w:val="1F420552"/>
    <w:rsid w:val="293749AB"/>
    <w:rsid w:val="2D8F409F"/>
    <w:rsid w:val="2D9D5521"/>
    <w:rsid w:val="3D8F4503"/>
    <w:rsid w:val="4A2B508F"/>
    <w:rsid w:val="50567F79"/>
    <w:rsid w:val="538B3FEE"/>
    <w:rsid w:val="53F84218"/>
    <w:rsid w:val="58AA315E"/>
    <w:rsid w:val="68585EAC"/>
    <w:rsid w:val="699A579C"/>
    <w:rsid w:val="69D93B62"/>
    <w:rsid w:val="6F7C2468"/>
    <w:rsid w:val="761A6442"/>
    <w:rsid w:val="762A7472"/>
    <w:rsid w:val="765D7374"/>
    <w:rsid w:val="7C5E4034"/>
    <w:rsid w:val="7FC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仿宋_GB2312" w:cs="Times New Roman"/>
      <w:color w:val="000000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/>
    </w:p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660</Characters>
  <Lines>0</Lines>
  <Paragraphs>0</Paragraphs>
  <TotalTime>1</TotalTime>
  <ScaleCrop>false</ScaleCrop>
  <LinksUpToDate>false</LinksUpToDate>
  <CharactersWithSpaces>662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2022-02-25T01:29:00Z</dcterms:created>
  <dc:creator>YSK</dc:creator>
  <cp:lastModifiedBy>竹林深处</cp:lastModifiedBy>
  <cp:lastPrinted>2023-05-17T02:49:00Z</cp:lastPrinted>
  <dcterms:modified xsi:type="dcterms:W3CDTF">2026-07-03T00:53:31Z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D4FA565BF5A3416FA50C8E1FDD5630EE_13</vt:lpwstr>
  </property>
  <property fmtid="{D5CDD505-2E9C-101B-9397-08002B2CF9AE}" pid="4" name="KSOTemplateDocerSaveRecord">
    <vt:lpwstr>eyJoZGlkIjoiNDQ2OTdjZWY5NWNmYjI2ODJiOTk5M2M0YTM0ZTA1Y2IiLCJ1c2VySWQiOiIxNjcxOTM2NDkwIn0=</vt:lpwstr>
  </property>
</Properties>
</file>